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8D" w:rsidRPr="00871EA5" w:rsidRDefault="003575D3" w:rsidP="00871EA5">
      <w:pPr>
        <w:pStyle w:val="Heading1"/>
        <w:spacing w:before="120" w:after="12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71EA5">
        <w:rPr>
          <w:rFonts w:ascii="Times New Roman" w:hAnsi="Times New Roman" w:cs="Times New Roman"/>
          <w:b w:val="0"/>
          <w:sz w:val="24"/>
          <w:szCs w:val="24"/>
        </w:rPr>
        <w:t>P</w:t>
      </w:r>
      <w:r w:rsidR="0005188D" w:rsidRPr="00871EA5">
        <w:rPr>
          <w:rFonts w:ascii="Times New Roman" w:hAnsi="Times New Roman" w:cs="Times New Roman"/>
          <w:b w:val="0"/>
          <w:sz w:val="24"/>
          <w:szCs w:val="24"/>
        </w:rPr>
        <w:t>ielikums</w:t>
      </w:r>
    </w:p>
    <w:p w:rsidR="0005188D" w:rsidRPr="00871EA5" w:rsidRDefault="0005188D" w:rsidP="00871EA5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1EA5">
        <w:rPr>
          <w:rFonts w:ascii="Times New Roman" w:hAnsi="Times New Roman" w:cs="Times New Roman"/>
          <w:sz w:val="24"/>
          <w:szCs w:val="24"/>
        </w:rPr>
        <w:t>Ministru kabineta</w:t>
      </w:r>
    </w:p>
    <w:p w:rsidR="0005188D" w:rsidRPr="00871EA5" w:rsidRDefault="0005188D" w:rsidP="00871EA5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1EA5">
        <w:rPr>
          <w:rFonts w:ascii="Times New Roman" w:hAnsi="Times New Roman" w:cs="Times New Roman"/>
          <w:sz w:val="24"/>
          <w:szCs w:val="24"/>
        </w:rPr>
        <w:t>201</w:t>
      </w:r>
      <w:r w:rsidR="002C5303" w:rsidRPr="00871EA5">
        <w:rPr>
          <w:rFonts w:ascii="Times New Roman" w:hAnsi="Times New Roman" w:cs="Times New Roman"/>
          <w:sz w:val="24"/>
          <w:szCs w:val="24"/>
        </w:rPr>
        <w:t>6</w:t>
      </w:r>
      <w:r w:rsidRPr="00871EA5">
        <w:rPr>
          <w:rFonts w:ascii="Times New Roman" w:hAnsi="Times New Roman" w:cs="Times New Roman"/>
          <w:sz w:val="24"/>
          <w:szCs w:val="24"/>
        </w:rPr>
        <w:t xml:space="preserve">.gada </w:t>
      </w:r>
      <w:r w:rsidR="00086D6D" w:rsidRPr="00871EA5">
        <w:rPr>
          <w:rFonts w:ascii="Times New Roman" w:hAnsi="Times New Roman" w:cs="Times New Roman"/>
          <w:sz w:val="24"/>
          <w:szCs w:val="24"/>
        </w:rPr>
        <w:t>___._______</w:t>
      </w:r>
    </w:p>
    <w:p w:rsidR="0005188D" w:rsidRPr="00871EA5" w:rsidRDefault="0005188D" w:rsidP="00871EA5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1EA5">
        <w:rPr>
          <w:rFonts w:ascii="Times New Roman" w:hAnsi="Times New Roman" w:cs="Times New Roman"/>
          <w:sz w:val="24"/>
          <w:szCs w:val="24"/>
        </w:rPr>
        <w:t>noteikumiem Nr._________</w:t>
      </w:r>
    </w:p>
    <w:p w:rsidR="00C4489F" w:rsidRPr="00871EA5" w:rsidRDefault="00C4489F" w:rsidP="00871EA5">
      <w:pPr>
        <w:pStyle w:val="naisnod"/>
        <w:spacing w:before="120" w:after="120"/>
      </w:pPr>
      <w:r w:rsidRPr="00871EA5">
        <w:t>Nozares, kurām nav paredzēts atbalsts</w:t>
      </w:r>
    </w:p>
    <w:p w:rsidR="00C4489F" w:rsidRPr="00871EA5" w:rsidRDefault="00C4489F" w:rsidP="00871EA5">
      <w:pPr>
        <w:pStyle w:val="naisnod"/>
        <w:spacing w:before="120" w:after="120"/>
      </w:pPr>
      <w:r w:rsidRPr="00871EA5">
        <w:t> </w:t>
      </w:r>
      <w:r w:rsidR="00136965" w:rsidRPr="00871EA5">
        <w:t>Darbības programmas „Izaugsme un nodarbinātība” 1.2.1.specifiskā atbalsta mērķa „Palielināt privātā sektora investīcijas P&amp;A” 1.2.1.4.pasākuma „Atbalsts jaunu produktu ieviešanai ražošanā” ietvaros</w:t>
      </w:r>
      <w:r w:rsidRPr="00871EA5">
        <w:t xml:space="preserve"> finansējums netiek sniegts šādās nozarēs:</w:t>
      </w:r>
    </w:p>
    <w:p w:rsidR="00DE556C" w:rsidRPr="00871EA5" w:rsidRDefault="00C4489F" w:rsidP="00871EA5">
      <w:pPr>
        <w:pStyle w:val="naisf"/>
        <w:spacing w:before="120" w:after="120"/>
      </w:pPr>
      <w:r w:rsidRPr="00871EA5">
        <w:t> </w:t>
      </w:r>
      <w:r w:rsidR="00DE556C" w:rsidRPr="00871EA5">
        <w:rPr>
          <w:rStyle w:val="tvhtml1"/>
        </w:rPr>
        <w:t>1. Vairumtirdzniecība un mazumtirdzniecība (ierobežojumus nosaka saskaņā ar NACE 2.red. G "Vairumtirdzniecība un mazumtirdzniecība; automobiļu un motociklu remonts</w:t>
      </w:r>
      <w:r w:rsidR="008D18C2" w:rsidRPr="00871EA5">
        <w:rPr>
          <w:rStyle w:val="tvhtml1"/>
        </w:rPr>
        <w:t>" (</w:t>
      </w:r>
      <w:r w:rsidR="00DE556C" w:rsidRPr="00871EA5">
        <w:rPr>
          <w:rStyle w:val="tvhtml1"/>
        </w:rPr>
        <w:t xml:space="preserve">izņemot </w:t>
      </w:r>
      <w:r w:rsidR="00AE02A7" w:rsidRPr="00871EA5">
        <w:rPr>
          <w:rStyle w:val="tvhtml1"/>
        </w:rPr>
        <w:t xml:space="preserve">G </w:t>
      </w:r>
      <w:r w:rsidR="00DE556C" w:rsidRPr="00871EA5">
        <w:rPr>
          <w:rStyle w:val="tvhtml1"/>
        </w:rPr>
        <w:t xml:space="preserve">45.2 </w:t>
      </w:r>
      <w:r w:rsidR="00621A14" w:rsidRPr="00871EA5">
        <w:rPr>
          <w:rStyle w:val="tvhtml1"/>
        </w:rPr>
        <w:t>“</w:t>
      </w:r>
      <w:r w:rsidR="00DE556C" w:rsidRPr="00871EA5">
        <w:rPr>
          <w:rStyle w:val="tvhtml1"/>
        </w:rPr>
        <w:t>Automobiļu apkope un remonts</w:t>
      </w:r>
      <w:r w:rsidR="00621A14" w:rsidRPr="00871EA5">
        <w:rPr>
          <w:rStyle w:val="tvhtml1"/>
        </w:rPr>
        <w:t>”</w:t>
      </w:r>
      <w:r w:rsidR="000C5A03" w:rsidRPr="00871EA5">
        <w:rPr>
          <w:rStyle w:val="tvhtml1"/>
        </w:rPr>
        <w:t>)</w:t>
      </w:r>
      <w:r w:rsidR="00DE556C" w:rsidRPr="00871EA5">
        <w:rPr>
          <w:rStyle w:val="tvhtml1"/>
        </w:rPr>
        <w:t>).</w:t>
      </w:r>
    </w:p>
    <w:p w:rsidR="00DE556C" w:rsidRPr="00871EA5" w:rsidRDefault="00DE556C" w:rsidP="00871EA5">
      <w:pPr>
        <w:pStyle w:val="tvhtml"/>
        <w:spacing w:before="120" w:beforeAutospacing="0" w:after="120" w:afterAutospacing="0"/>
        <w:jc w:val="both"/>
      </w:pPr>
      <w:r w:rsidRPr="00871EA5">
        <w:rPr>
          <w:rStyle w:val="tvhtml1"/>
        </w:rPr>
        <w:t xml:space="preserve">2. Finanšu starpniecība (ierobežojumus nosaka saskaņā ar NACE 2.red. K </w:t>
      </w:r>
      <w:r w:rsidR="00621A14" w:rsidRPr="00871EA5">
        <w:rPr>
          <w:rStyle w:val="tvhtml1"/>
        </w:rPr>
        <w:t>“</w:t>
      </w:r>
      <w:r w:rsidRPr="00871EA5">
        <w:rPr>
          <w:rStyle w:val="tvhtml1"/>
        </w:rPr>
        <w:t>Finanšu un apdrošināšanas darbības</w:t>
      </w:r>
      <w:r w:rsidR="00621A14" w:rsidRPr="00871EA5">
        <w:rPr>
          <w:rStyle w:val="tvhtml1"/>
        </w:rPr>
        <w:t>”</w:t>
      </w:r>
      <w:r w:rsidRPr="00871EA5">
        <w:rPr>
          <w:rStyle w:val="tvhtml1"/>
        </w:rPr>
        <w:t>).</w:t>
      </w:r>
    </w:p>
    <w:p w:rsidR="00DE556C" w:rsidRPr="00871EA5" w:rsidRDefault="00DE556C" w:rsidP="00871EA5">
      <w:pPr>
        <w:pStyle w:val="tvhtml"/>
        <w:spacing w:before="120" w:beforeAutospacing="0" w:after="120" w:afterAutospacing="0"/>
        <w:jc w:val="both"/>
      </w:pPr>
      <w:r w:rsidRPr="00871EA5">
        <w:rPr>
          <w:rStyle w:val="tvhtml1"/>
        </w:rPr>
        <w:t xml:space="preserve">3. Komercpakalpojumi (ierobežojumus nosaka saskaņā ar NACE 2.red. L </w:t>
      </w:r>
      <w:r w:rsidR="00621A14" w:rsidRPr="00871EA5">
        <w:rPr>
          <w:rStyle w:val="tvhtml1"/>
        </w:rPr>
        <w:t>“</w:t>
      </w:r>
      <w:r w:rsidRPr="00871EA5">
        <w:rPr>
          <w:rStyle w:val="tvhtml1"/>
        </w:rPr>
        <w:t>Operācijas ar nekustamo īpašumu</w:t>
      </w:r>
      <w:r w:rsidR="00621A14" w:rsidRPr="00871EA5">
        <w:rPr>
          <w:rStyle w:val="tvhtml1"/>
        </w:rPr>
        <w:t>”</w:t>
      </w:r>
      <w:r w:rsidRPr="00871EA5">
        <w:rPr>
          <w:rStyle w:val="tvhtml1"/>
        </w:rPr>
        <w:t xml:space="preserve"> un </w:t>
      </w:r>
      <w:r w:rsidR="00096057" w:rsidRPr="00871EA5">
        <w:rPr>
          <w:rStyle w:val="tvhtml1"/>
        </w:rPr>
        <w:t xml:space="preserve">N </w:t>
      </w:r>
      <w:r w:rsidRPr="00871EA5">
        <w:rPr>
          <w:rStyle w:val="tvhtml1"/>
        </w:rPr>
        <w:t>77</w:t>
      </w:r>
      <w:r w:rsidR="00096057" w:rsidRPr="00871EA5">
        <w:rPr>
          <w:rStyle w:val="tvhtml1"/>
        </w:rPr>
        <w:t xml:space="preserve"> </w:t>
      </w:r>
      <w:r w:rsidR="00621A14" w:rsidRPr="00871EA5">
        <w:rPr>
          <w:rStyle w:val="tvhtml1"/>
        </w:rPr>
        <w:t>“</w:t>
      </w:r>
      <w:r w:rsidRPr="00871EA5">
        <w:rPr>
          <w:rStyle w:val="tvhtml1"/>
        </w:rPr>
        <w:t>Iznomāšana un ekspluatācijas līzings</w:t>
      </w:r>
      <w:r w:rsidR="00621A14" w:rsidRPr="00871EA5">
        <w:rPr>
          <w:rStyle w:val="tvhtml1"/>
        </w:rPr>
        <w:t>”</w:t>
      </w:r>
      <w:r w:rsidRPr="00871EA5">
        <w:rPr>
          <w:rStyle w:val="tvhtml1"/>
        </w:rPr>
        <w:t>).</w:t>
      </w:r>
    </w:p>
    <w:p w:rsidR="00DE556C" w:rsidRPr="00871EA5" w:rsidRDefault="00DE556C" w:rsidP="00871EA5">
      <w:pPr>
        <w:pStyle w:val="tvhtml"/>
        <w:spacing w:before="120" w:beforeAutospacing="0" w:after="120" w:afterAutospacing="0"/>
        <w:jc w:val="both"/>
      </w:pPr>
      <w:r w:rsidRPr="00871EA5">
        <w:rPr>
          <w:rStyle w:val="tvhtml1"/>
        </w:rPr>
        <w:t xml:space="preserve">4. Azartspēles un derības (ierobežojumus nosaka saskaņā ar NACE 2.red. </w:t>
      </w:r>
      <w:r w:rsidR="00096057" w:rsidRPr="00871EA5">
        <w:rPr>
          <w:rStyle w:val="tvhtml1"/>
        </w:rPr>
        <w:t xml:space="preserve">R </w:t>
      </w:r>
      <w:r w:rsidRPr="00871EA5">
        <w:rPr>
          <w:rStyle w:val="tvhtml1"/>
        </w:rPr>
        <w:t>92</w:t>
      </w:r>
      <w:r w:rsidR="00096057" w:rsidRPr="00871EA5">
        <w:rPr>
          <w:rStyle w:val="tvhtml1"/>
        </w:rPr>
        <w:t xml:space="preserve"> </w:t>
      </w:r>
      <w:r w:rsidR="00621A14" w:rsidRPr="00871EA5">
        <w:rPr>
          <w:rStyle w:val="tvhtml1"/>
        </w:rPr>
        <w:t>“</w:t>
      </w:r>
      <w:r w:rsidRPr="00871EA5">
        <w:rPr>
          <w:rStyle w:val="tvhtml1"/>
        </w:rPr>
        <w:t>Azartspēles un derības</w:t>
      </w:r>
      <w:r w:rsidR="00621A14" w:rsidRPr="00871EA5">
        <w:rPr>
          <w:rStyle w:val="tvhtml1"/>
        </w:rPr>
        <w:t>”</w:t>
      </w:r>
      <w:r w:rsidRPr="00871EA5">
        <w:rPr>
          <w:rStyle w:val="tvhtml1"/>
        </w:rPr>
        <w:t>).</w:t>
      </w:r>
    </w:p>
    <w:p w:rsidR="00DE556C" w:rsidRPr="00871EA5" w:rsidRDefault="00820B54" w:rsidP="00871EA5">
      <w:pPr>
        <w:pStyle w:val="tvhtml"/>
        <w:spacing w:before="120" w:beforeAutospacing="0" w:after="120" w:afterAutospacing="0"/>
        <w:jc w:val="both"/>
        <w:rPr>
          <w:rStyle w:val="tvhtml1"/>
        </w:rPr>
      </w:pPr>
      <w:r w:rsidRPr="00871EA5">
        <w:rPr>
          <w:rStyle w:val="tvhtml1"/>
        </w:rPr>
        <w:t>5</w:t>
      </w:r>
      <w:r w:rsidR="00DE556C" w:rsidRPr="00871EA5">
        <w:rPr>
          <w:rStyle w:val="tvhtml1"/>
        </w:rPr>
        <w:t xml:space="preserve">. Zivsaimniecība un akvakultūra. Atbilstoši Komisijas regulas Nr.  </w:t>
      </w:r>
      <w:hyperlink r:id="rId7" w:tgtFrame="_blank" w:history="1">
        <w:r w:rsidR="00DE556C" w:rsidRPr="00871EA5">
          <w:rPr>
            <w:rStyle w:val="Hyperlink"/>
          </w:rPr>
          <w:t>651/2014</w:t>
        </w:r>
      </w:hyperlink>
      <w:r w:rsidR="00DE556C" w:rsidRPr="00871EA5">
        <w:rPr>
          <w:rStyle w:val="tvhtml1"/>
        </w:rPr>
        <w:t xml:space="preserve"> 1. panta 3. punkta </w:t>
      </w:r>
      <w:r w:rsidR="00621A14" w:rsidRPr="00871EA5">
        <w:rPr>
          <w:rStyle w:val="tvhtml1"/>
        </w:rPr>
        <w:t>“</w:t>
      </w:r>
      <w:r w:rsidR="00DE556C" w:rsidRPr="00871EA5">
        <w:rPr>
          <w:rStyle w:val="tvhtml1"/>
        </w:rPr>
        <w:t>a</w:t>
      </w:r>
      <w:r w:rsidR="00621A14" w:rsidRPr="00871EA5">
        <w:rPr>
          <w:rStyle w:val="tvhtml1"/>
        </w:rPr>
        <w:t>”</w:t>
      </w:r>
      <w:r w:rsidR="00DE556C" w:rsidRPr="00871EA5">
        <w:rPr>
          <w:rStyle w:val="tvhtml1"/>
        </w:rPr>
        <w:t xml:space="preserve"> apakšpunktā noteiktajai definīcijai</w:t>
      </w:r>
      <w:r w:rsidR="00D87A6A" w:rsidRPr="00871EA5">
        <w:rPr>
          <w:rStyle w:val="tvhtml1"/>
        </w:rPr>
        <w:t xml:space="preserve"> (informatīviem nolūkiem skaidrojam, ka </w:t>
      </w:r>
      <w:r w:rsidR="00621A14" w:rsidRPr="00871EA5">
        <w:rPr>
          <w:rStyle w:val="tvhtml1"/>
        </w:rPr>
        <w:t>komersanti</w:t>
      </w:r>
      <w:r w:rsidR="00D87A6A" w:rsidRPr="00871EA5">
        <w:rPr>
          <w:rStyle w:val="tvhtml1"/>
        </w:rPr>
        <w:t xml:space="preserve"> šajā nozarē parast</w:t>
      </w:r>
      <w:r w:rsidR="00BA7ACC" w:rsidRPr="00871EA5">
        <w:rPr>
          <w:rStyle w:val="tvhtml1"/>
        </w:rPr>
        <w:t>i</w:t>
      </w:r>
      <w:r w:rsidR="00D87A6A" w:rsidRPr="00871EA5">
        <w:rPr>
          <w:rStyle w:val="tvhtml1"/>
        </w:rPr>
        <w:t xml:space="preserve"> ietilpst NACE 2. </w:t>
      </w:r>
      <w:proofErr w:type="spellStart"/>
      <w:r w:rsidR="00D87A6A" w:rsidRPr="00871EA5">
        <w:rPr>
          <w:rStyle w:val="tvhtml1"/>
        </w:rPr>
        <w:t>red</w:t>
      </w:r>
      <w:proofErr w:type="spellEnd"/>
      <w:r w:rsidR="00D87A6A" w:rsidRPr="00871EA5">
        <w:rPr>
          <w:rStyle w:val="tvhtml1"/>
        </w:rPr>
        <w:t xml:space="preserve">. A 03.1 </w:t>
      </w:r>
      <w:r w:rsidR="00621A14" w:rsidRPr="00871EA5">
        <w:rPr>
          <w:rStyle w:val="tvhtml1"/>
        </w:rPr>
        <w:t>“</w:t>
      </w:r>
      <w:r w:rsidR="00D87A6A" w:rsidRPr="00871EA5">
        <w:rPr>
          <w:rStyle w:val="tvhtml1"/>
        </w:rPr>
        <w:t>Zvejniecība</w:t>
      </w:r>
      <w:r w:rsidR="00621A14" w:rsidRPr="00871EA5">
        <w:rPr>
          <w:rStyle w:val="tvhtml1"/>
        </w:rPr>
        <w:t>”</w:t>
      </w:r>
      <w:r w:rsidR="00D87A6A" w:rsidRPr="00871EA5">
        <w:rPr>
          <w:rStyle w:val="tvhtml1"/>
        </w:rPr>
        <w:t xml:space="preserve">, A 03.2. </w:t>
      </w:r>
      <w:r w:rsidR="00621A14" w:rsidRPr="00871EA5">
        <w:rPr>
          <w:rStyle w:val="tvhtml1"/>
        </w:rPr>
        <w:t>“</w:t>
      </w:r>
      <w:r w:rsidR="00D87A6A" w:rsidRPr="00871EA5">
        <w:rPr>
          <w:rStyle w:val="tvhtml1"/>
        </w:rPr>
        <w:t>Akvakultūra</w:t>
      </w:r>
      <w:r w:rsidR="00621A14" w:rsidRPr="00871EA5">
        <w:rPr>
          <w:rStyle w:val="tvhtml1"/>
        </w:rPr>
        <w:t>”</w:t>
      </w:r>
      <w:r w:rsidR="00096057" w:rsidRPr="00871EA5">
        <w:rPr>
          <w:rStyle w:val="tvhtml1"/>
        </w:rPr>
        <w:t xml:space="preserve"> un</w:t>
      </w:r>
      <w:r w:rsidR="00D87A6A" w:rsidRPr="00871EA5">
        <w:rPr>
          <w:rStyle w:val="tvhtml1"/>
        </w:rPr>
        <w:t xml:space="preserve"> C 10 </w:t>
      </w:r>
      <w:r w:rsidR="00621A14" w:rsidRPr="00871EA5">
        <w:rPr>
          <w:rStyle w:val="tvhtml1"/>
        </w:rPr>
        <w:t>“</w:t>
      </w:r>
      <w:r w:rsidR="00D87A6A" w:rsidRPr="00871EA5">
        <w:rPr>
          <w:rStyle w:val="tvhtml1"/>
        </w:rPr>
        <w:t>Pārtikas produktu ražošana</w:t>
      </w:r>
      <w:r w:rsidR="00621A14" w:rsidRPr="00871EA5">
        <w:rPr>
          <w:rStyle w:val="tvhtml1"/>
        </w:rPr>
        <w:t>”</w:t>
      </w:r>
      <w:r w:rsidR="00D87A6A" w:rsidRPr="00871EA5">
        <w:rPr>
          <w:rStyle w:val="tvhtml1"/>
        </w:rPr>
        <w:t>)</w:t>
      </w:r>
      <w:r w:rsidR="00DE556C" w:rsidRPr="00871EA5">
        <w:rPr>
          <w:rStyle w:val="tvhtml1"/>
        </w:rPr>
        <w:t>.</w:t>
      </w:r>
    </w:p>
    <w:p w:rsidR="00D26F65" w:rsidRPr="00871EA5" w:rsidRDefault="00820B54" w:rsidP="00871EA5">
      <w:pPr>
        <w:pStyle w:val="tvhtml"/>
        <w:spacing w:before="120" w:beforeAutospacing="0" w:after="120" w:afterAutospacing="0"/>
        <w:jc w:val="both"/>
      </w:pPr>
      <w:r w:rsidRPr="00871EA5">
        <w:rPr>
          <w:rStyle w:val="tvhtml1"/>
        </w:rPr>
        <w:t>6</w:t>
      </w:r>
      <w:r w:rsidR="00D26F65" w:rsidRPr="00871EA5">
        <w:rPr>
          <w:rStyle w:val="tvhtml1"/>
        </w:rPr>
        <w:t xml:space="preserve">. Lauksaimniecības nozare. Atbilstoši Komisijas regulas Nr.  </w:t>
      </w:r>
      <w:hyperlink r:id="rId8" w:tgtFrame="_blank" w:history="1">
        <w:r w:rsidR="00D26F65" w:rsidRPr="00871EA5">
          <w:rPr>
            <w:rStyle w:val="Hyperlink"/>
          </w:rPr>
          <w:t>651/2014</w:t>
        </w:r>
      </w:hyperlink>
      <w:r w:rsidR="00D26F65" w:rsidRPr="00871EA5">
        <w:rPr>
          <w:rStyle w:val="tvhtml1"/>
        </w:rPr>
        <w:t xml:space="preserve"> </w:t>
      </w:r>
      <w:r w:rsidR="002A286C" w:rsidRPr="00871EA5">
        <w:rPr>
          <w:rStyle w:val="tvhtml1"/>
        </w:rPr>
        <w:t>1.panta 3.punkta „b</w:t>
      </w:r>
      <w:r w:rsidR="00D61035" w:rsidRPr="00871EA5">
        <w:rPr>
          <w:rStyle w:val="tvhtml1"/>
        </w:rPr>
        <w:t>“</w:t>
      </w:r>
      <w:r w:rsidR="002A286C" w:rsidRPr="00871EA5">
        <w:rPr>
          <w:rStyle w:val="tvhtml1"/>
        </w:rPr>
        <w:t xml:space="preserve"> un „c</w:t>
      </w:r>
      <w:r w:rsidR="00D61035" w:rsidRPr="00871EA5">
        <w:rPr>
          <w:rStyle w:val="tvhtml1"/>
        </w:rPr>
        <w:t>“</w:t>
      </w:r>
      <w:r w:rsidR="002A286C" w:rsidRPr="00871EA5">
        <w:rPr>
          <w:rStyle w:val="tvhtml1"/>
        </w:rPr>
        <w:t xml:space="preserve"> apakšpunktā un </w:t>
      </w:r>
      <w:r w:rsidR="00D26F65" w:rsidRPr="00871EA5">
        <w:rPr>
          <w:rStyle w:val="tvhtml1"/>
        </w:rPr>
        <w:t>2. panta 9.</w:t>
      </w:r>
      <w:r w:rsidR="002A286C" w:rsidRPr="00871EA5">
        <w:rPr>
          <w:rStyle w:val="tvhtml1"/>
        </w:rPr>
        <w:t>, 10</w:t>
      </w:r>
      <w:r w:rsidR="00D26F65" w:rsidRPr="00871EA5">
        <w:rPr>
          <w:rStyle w:val="tvhtml1"/>
        </w:rPr>
        <w:t xml:space="preserve"> un 11. punktā noteiktajām definīcijām</w:t>
      </w:r>
      <w:r w:rsidR="00D87A6A" w:rsidRPr="00871EA5">
        <w:rPr>
          <w:rStyle w:val="tvhtml1"/>
        </w:rPr>
        <w:t xml:space="preserve"> (informatīviem nolūkiem skaidrojam, ka </w:t>
      </w:r>
      <w:r w:rsidR="00621A14" w:rsidRPr="00871EA5">
        <w:rPr>
          <w:rStyle w:val="tvhtml1"/>
        </w:rPr>
        <w:t>komersanti</w:t>
      </w:r>
      <w:r w:rsidR="00D87A6A" w:rsidRPr="00871EA5">
        <w:rPr>
          <w:rStyle w:val="tvhtml1"/>
        </w:rPr>
        <w:t xml:space="preserve"> šajā nozarē parast</w:t>
      </w:r>
      <w:r w:rsidR="00BA7ACC" w:rsidRPr="00871EA5">
        <w:rPr>
          <w:rStyle w:val="tvhtml1"/>
        </w:rPr>
        <w:t>i</w:t>
      </w:r>
      <w:r w:rsidR="00D87A6A" w:rsidRPr="00871EA5">
        <w:rPr>
          <w:rStyle w:val="tvhtml1"/>
        </w:rPr>
        <w:t xml:space="preserve"> ietilpst NACE 2.red. A 01 </w:t>
      </w:r>
      <w:r w:rsidR="00D61035" w:rsidRPr="00871EA5">
        <w:rPr>
          <w:rStyle w:val="tvhtml1"/>
        </w:rPr>
        <w:t>“</w:t>
      </w:r>
      <w:r w:rsidR="00D87A6A" w:rsidRPr="00871EA5">
        <w:rPr>
          <w:rStyle w:val="tvhtml1"/>
        </w:rPr>
        <w:t>Augkopība un lopkopība, medniecība un saistītās palīgdarbības</w:t>
      </w:r>
      <w:r w:rsidR="00D61035" w:rsidRPr="00871EA5">
        <w:rPr>
          <w:rStyle w:val="tvhtml1"/>
        </w:rPr>
        <w:t>”</w:t>
      </w:r>
      <w:r w:rsidR="00D87A6A" w:rsidRPr="00871EA5">
        <w:rPr>
          <w:rStyle w:val="tvhtml1"/>
        </w:rPr>
        <w:t xml:space="preserve">, A 02 </w:t>
      </w:r>
      <w:r w:rsidR="00D61035" w:rsidRPr="00871EA5">
        <w:rPr>
          <w:rStyle w:val="tvhtml1"/>
        </w:rPr>
        <w:t>“</w:t>
      </w:r>
      <w:r w:rsidR="00D87A6A" w:rsidRPr="00871EA5">
        <w:rPr>
          <w:rStyle w:val="tvhtml1"/>
        </w:rPr>
        <w:t>Mežsaimniecība un mežizstrāde</w:t>
      </w:r>
      <w:r w:rsidR="00D61035" w:rsidRPr="00871EA5">
        <w:rPr>
          <w:rStyle w:val="tvhtml1"/>
        </w:rPr>
        <w:t>”</w:t>
      </w:r>
      <w:r w:rsidR="00D87A6A" w:rsidRPr="00871EA5">
        <w:rPr>
          <w:rStyle w:val="tvhtml1"/>
        </w:rPr>
        <w:t xml:space="preserve">, C </w:t>
      </w:r>
      <w:r w:rsidR="00096057" w:rsidRPr="00871EA5">
        <w:rPr>
          <w:rStyle w:val="tvhtml1"/>
        </w:rPr>
        <w:t xml:space="preserve">10 </w:t>
      </w:r>
      <w:r w:rsidR="00D61035" w:rsidRPr="00871EA5">
        <w:rPr>
          <w:rStyle w:val="tvhtml1"/>
        </w:rPr>
        <w:t>“</w:t>
      </w:r>
      <w:r w:rsidR="00096057" w:rsidRPr="00871EA5">
        <w:rPr>
          <w:rStyle w:val="tvhtml1"/>
        </w:rPr>
        <w:t>Pārtikas produktu ražošana</w:t>
      </w:r>
      <w:r w:rsidR="00D61035" w:rsidRPr="00871EA5">
        <w:rPr>
          <w:rStyle w:val="tvhtml1"/>
        </w:rPr>
        <w:t>”</w:t>
      </w:r>
      <w:r w:rsidR="00096057" w:rsidRPr="00871EA5">
        <w:rPr>
          <w:rStyle w:val="tvhtml1"/>
        </w:rPr>
        <w:t xml:space="preserve"> un</w:t>
      </w:r>
      <w:r w:rsidR="00D87A6A" w:rsidRPr="00871EA5">
        <w:rPr>
          <w:rStyle w:val="tvhtml1"/>
        </w:rPr>
        <w:t xml:space="preserve"> C 11 </w:t>
      </w:r>
      <w:r w:rsidR="00D61035" w:rsidRPr="00871EA5">
        <w:rPr>
          <w:rStyle w:val="tvhtml1"/>
        </w:rPr>
        <w:t>“</w:t>
      </w:r>
      <w:r w:rsidR="00D87A6A" w:rsidRPr="00871EA5">
        <w:rPr>
          <w:rStyle w:val="tvhtml1"/>
        </w:rPr>
        <w:t>Dzērienu ražošana</w:t>
      </w:r>
      <w:r w:rsidR="00D61035" w:rsidRPr="00871EA5">
        <w:rPr>
          <w:rStyle w:val="tvhtml1"/>
        </w:rPr>
        <w:t>”</w:t>
      </w:r>
      <w:r w:rsidR="00D87A6A" w:rsidRPr="00871EA5">
        <w:rPr>
          <w:rStyle w:val="tvhtml1"/>
        </w:rPr>
        <w:t>)</w:t>
      </w:r>
      <w:r w:rsidR="00D26F65" w:rsidRPr="00871EA5">
        <w:rPr>
          <w:rStyle w:val="tvhtml1"/>
        </w:rPr>
        <w:t>.</w:t>
      </w:r>
    </w:p>
    <w:p w:rsidR="00DE556C" w:rsidRPr="00871EA5" w:rsidRDefault="00820B54" w:rsidP="00871EA5">
      <w:pPr>
        <w:pStyle w:val="tvhtml"/>
        <w:spacing w:before="120" w:beforeAutospacing="0" w:after="120" w:afterAutospacing="0"/>
        <w:jc w:val="both"/>
      </w:pPr>
      <w:r w:rsidRPr="00871EA5">
        <w:rPr>
          <w:rStyle w:val="tvhtml1"/>
        </w:rPr>
        <w:t>7</w:t>
      </w:r>
      <w:r w:rsidR="00DE556C" w:rsidRPr="00871EA5">
        <w:rPr>
          <w:rStyle w:val="tvhtml1"/>
        </w:rPr>
        <w:t>. Kuģu būve:</w:t>
      </w:r>
    </w:p>
    <w:p w:rsidR="00DE556C" w:rsidRPr="00871EA5" w:rsidRDefault="00820B54" w:rsidP="00871EA5">
      <w:pPr>
        <w:pStyle w:val="tvhtml"/>
        <w:spacing w:before="120" w:beforeAutospacing="0" w:after="120" w:afterAutospacing="0"/>
        <w:jc w:val="both"/>
      </w:pPr>
      <w:r w:rsidRPr="00871EA5">
        <w:rPr>
          <w:rStyle w:val="tvhtml1"/>
        </w:rPr>
        <w:t>7</w:t>
      </w:r>
      <w:r w:rsidR="00DE556C" w:rsidRPr="00871EA5">
        <w:rPr>
          <w:rStyle w:val="tvhtml1"/>
        </w:rPr>
        <w:t xml:space="preserve">.1. </w:t>
      </w:r>
      <w:r w:rsidR="00D30DB8" w:rsidRPr="00871EA5">
        <w:t>atbilstoši Komisijas regulas Nr.651/2014 13.panta a) apakšpunktā noteiktajam</w:t>
      </w:r>
      <w:r w:rsidR="00DE556C" w:rsidRPr="00871EA5">
        <w:rPr>
          <w:rStyle w:val="tvhtml1"/>
        </w:rPr>
        <w:t>;</w:t>
      </w:r>
    </w:p>
    <w:p w:rsidR="007008EE" w:rsidRPr="00871EA5" w:rsidRDefault="00820B54" w:rsidP="00871EA5">
      <w:pPr>
        <w:pStyle w:val="tvhtml"/>
        <w:spacing w:before="120" w:beforeAutospacing="0" w:after="120" w:afterAutospacing="0"/>
        <w:jc w:val="both"/>
        <w:rPr>
          <w:rStyle w:val="tvhtml1"/>
        </w:rPr>
      </w:pPr>
      <w:r w:rsidRPr="00871EA5">
        <w:rPr>
          <w:rStyle w:val="tvhtml1"/>
        </w:rPr>
        <w:t>7</w:t>
      </w:r>
      <w:r w:rsidR="00DE556C" w:rsidRPr="00871EA5">
        <w:rPr>
          <w:rStyle w:val="tvhtml1"/>
        </w:rPr>
        <w:t xml:space="preserve">.2. </w:t>
      </w:r>
      <w:r w:rsidR="007008EE" w:rsidRPr="00871EA5">
        <w:rPr>
          <w:rStyle w:val="tvhtml1"/>
        </w:rPr>
        <w:t xml:space="preserve">Ņemot vērā  </w:t>
      </w:r>
      <w:r w:rsidR="00D61035" w:rsidRPr="00871EA5">
        <w:rPr>
          <w:rStyle w:val="tvhtml1"/>
        </w:rPr>
        <w:t>“</w:t>
      </w:r>
      <w:r w:rsidR="007008EE" w:rsidRPr="00871EA5">
        <w:rPr>
          <w:rStyle w:val="tvhtml1"/>
        </w:rPr>
        <w:t>Nostādnēs par valsts atbalstu kuģu būvei</w:t>
      </w:r>
      <w:r w:rsidR="00D61035" w:rsidRPr="00871EA5">
        <w:rPr>
          <w:rStyle w:val="tvhtml1"/>
        </w:rPr>
        <w:t>”</w:t>
      </w:r>
      <w:r w:rsidR="007008EE" w:rsidRPr="00871EA5">
        <w:rPr>
          <w:rStyle w:val="tvhtml1"/>
        </w:rPr>
        <w:t xml:space="preserve"> (ES OV C364, 14.12.2011) ietvertās definīcijas, kuģu būve ir </w:t>
      </w:r>
      <w:proofErr w:type="spellStart"/>
      <w:r w:rsidR="007008EE" w:rsidRPr="00871EA5">
        <w:rPr>
          <w:rStyle w:val="tvhtml1"/>
        </w:rPr>
        <w:t>pašpiedziņas</w:t>
      </w:r>
      <w:proofErr w:type="spellEnd"/>
      <w:r w:rsidR="007008EE" w:rsidRPr="00871EA5">
        <w:rPr>
          <w:rStyle w:val="tvhtml1"/>
        </w:rPr>
        <w:t xml:space="preserve"> komerciālo kuģu būve</w:t>
      </w:r>
      <w:r w:rsidR="00DE556C" w:rsidRPr="00871EA5">
        <w:rPr>
          <w:rStyle w:val="tvhtml1"/>
        </w:rPr>
        <w:t>.</w:t>
      </w:r>
      <w:r w:rsidR="007008EE" w:rsidRPr="00871EA5">
        <w:rPr>
          <w:rStyle w:val="tvhtml1"/>
        </w:rPr>
        <w:t xml:space="preserve"> </w:t>
      </w:r>
      <w:r w:rsidR="007008EE" w:rsidRPr="00871EA5">
        <w:rPr>
          <w:rStyle w:val="tvhtml1"/>
        </w:rPr>
        <w:tab/>
      </w:r>
      <w:proofErr w:type="spellStart"/>
      <w:r w:rsidR="00EF2971" w:rsidRPr="00871EA5">
        <w:rPr>
          <w:rStyle w:val="tvhtml1"/>
        </w:rPr>
        <w:t>P</w:t>
      </w:r>
      <w:r w:rsidR="007008EE" w:rsidRPr="00871EA5">
        <w:rPr>
          <w:rStyle w:val="tvhtml1"/>
        </w:rPr>
        <w:t>ašpiedziņas</w:t>
      </w:r>
      <w:proofErr w:type="spellEnd"/>
      <w:r w:rsidR="007008EE" w:rsidRPr="00871EA5">
        <w:rPr>
          <w:rStyle w:val="tvhtml1"/>
        </w:rPr>
        <w:t xml:space="preserve"> komerciālie kuģi</w:t>
      </w:r>
      <w:r w:rsidR="00EF2971" w:rsidRPr="00871EA5">
        <w:rPr>
          <w:rStyle w:val="tvhtml1"/>
        </w:rPr>
        <w:t xml:space="preserve"> </w:t>
      </w:r>
      <w:r w:rsidR="007008EE" w:rsidRPr="00871EA5">
        <w:rPr>
          <w:rStyle w:val="tvhtml1"/>
        </w:rPr>
        <w:t>ir kuģi, kuriem, izmantojot savu paša dzinējspēku un vadību, ir visas īpašības, lai tie būtu piemēroti patstāvīgai kuģošanai atklātā jūrā vai pa iekšzemes ūdensceļiem, un kuri pieder pie vienas no šādām kategorijām:</w:t>
      </w:r>
    </w:p>
    <w:p w:rsidR="007008EE" w:rsidRPr="00871EA5" w:rsidRDefault="007008EE" w:rsidP="00871EA5">
      <w:pPr>
        <w:pStyle w:val="tvhtml"/>
        <w:spacing w:before="120" w:beforeAutospacing="0" w:after="120" w:afterAutospacing="0"/>
        <w:ind w:left="720"/>
        <w:jc w:val="both"/>
        <w:rPr>
          <w:rStyle w:val="tvhtml1"/>
        </w:rPr>
      </w:pPr>
      <w:r w:rsidRPr="00871EA5">
        <w:rPr>
          <w:rStyle w:val="tvhtml1"/>
        </w:rPr>
        <w:t>i) jūras kuģi, kas nav mazāki par 100 bruto tonnām, un līdzvērtīga izmēra iekšzemes ūdensceļu kuģi, ko izmanto pasažieru un/vai preču pārvadāšanai;</w:t>
      </w:r>
    </w:p>
    <w:p w:rsidR="007008EE" w:rsidRPr="00871EA5" w:rsidRDefault="007008EE" w:rsidP="00871EA5">
      <w:pPr>
        <w:pStyle w:val="tvhtml"/>
        <w:spacing w:before="120" w:beforeAutospacing="0" w:after="120" w:afterAutospacing="0"/>
        <w:ind w:left="720"/>
        <w:jc w:val="both"/>
        <w:rPr>
          <w:rStyle w:val="tvhtml1"/>
        </w:rPr>
      </w:pPr>
      <w:r w:rsidRPr="00871EA5">
        <w:rPr>
          <w:rStyle w:val="tvhtml1"/>
        </w:rPr>
        <w:t xml:space="preserve">ii) jūras kuģi, kas nav mazāki par 100 bruto tonnām, un līdzvērtīga izmēra iekšzemes ūdensceļu kuģi, ko izmanto īpašu pakalpojumu sniegšanai (piemēram, </w:t>
      </w:r>
      <w:proofErr w:type="spellStart"/>
      <w:r w:rsidRPr="00871EA5">
        <w:rPr>
          <w:rStyle w:val="tvhtml1"/>
        </w:rPr>
        <w:t>bagarkuģi</w:t>
      </w:r>
      <w:proofErr w:type="spellEnd"/>
      <w:r w:rsidRPr="00871EA5">
        <w:rPr>
          <w:rStyle w:val="tvhtml1"/>
        </w:rPr>
        <w:t xml:space="preserve"> un ledlauži);</w:t>
      </w:r>
    </w:p>
    <w:p w:rsidR="007008EE" w:rsidRPr="00871EA5" w:rsidRDefault="007008EE" w:rsidP="00871EA5">
      <w:pPr>
        <w:pStyle w:val="tvhtml"/>
        <w:spacing w:before="120" w:beforeAutospacing="0" w:after="120" w:afterAutospacing="0"/>
        <w:ind w:left="720"/>
        <w:jc w:val="both"/>
        <w:rPr>
          <w:rStyle w:val="tvhtml1"/>
        </w:rPr>
      </w:pPr>
      <w:r w:rsidRPr="00871EA5">
        <w:rPr>
          <w:rStyle w:val="tvhtml1"/>
        </w:rPr>
        <w:t xml:space="preserve">iii) velkoņi, kuru jauda nav mazāka par 365 </w:t>
      </w:r>
      <w:proofErr w:type="spellStart"/>
      <w:r w:rsidRPr="00871EA5">
        <w:rPr>
          <w:rStyle w:val="tvhtml1"/>
        </w:rPr>
        <w:t>kW</w:t>
      </w:r>
      <w:proofErr w:type="spellEnd"/>
      <w:r w:rsidRPr="00871EA5">
        <w:rPr>
          <w:rStyle w:val="tvhtml1"/>
        </w:rPr>
        <w:t>;</w:t>
      </w:r>
    </w:p>
    <w:p w:rsidR="00DE556C" w:rsidRPr="00871EA5" w:rsidRDefault="007008EE" w:rsidP="00871EA5">
      <w:pPr>
        <w:pStyle w:val="tvhtml"/>
        <w:spacing w:before="120" w:beforeAutospacing="0" w:after="120" w:afterAutospacing="0"/>
        <w:ind w:left="720"/>
        <w:jc w:val="both"/>
        <w:rPr>
          <w:rStyle w:val="tvhtml1"/>
        </w:rPr>
      </w:pPr>
      <w:r w:rsidRPr="00871EA5">
        <w:rPr>
          <w:rStyle w:val="tvhtml1"/>
        </w:rPr>
        <w:lastRenderedPageBreak/>
        <w:t>iv) punktos i), ii) un iii) minēto kuģu nepabeigti korpusi, kas ir peldoši un pārvietojami.</w:t>
      </w:r>
    </w:p>
    <w:p w:rsidR="00D87A6A" w:rsidRPr="00871EA5" w:rsidRDefault="00D87A6A" w:rsidP="00871EA5">
      <w:pPr>
        <w:pStyle w:val="tvhtml"/>
        <w:spacing w:before="120" w:beforeAutospacing="0" w:after="120" w:afterAutospacing="0"/>
        <w:jc w:val="both"/>
      </w:pPr>
      <w:r w:rsidRPr="00871EA5">
        <w:rPr>
          <w:rStyle w:val="tvhtml1"/>
        </w:rPr>
        <w:t xml:space="preserve">7.3. informatīviem nolūkiem skaidrojam, ka </w:t>
      </w:r>
      <w:r w:rsidR="00621A14" w:rsidRPr="00871EA5">
        <w:rPr>
          <w:rStyle w:val="tvhtml1"/>
        </w:rPr>
        <w:t>komersanti</w:t>
      </w:r>
      <w:r w:rsidRPr="00871EA5">
        <w:rPr>
          <w:rStyle w:val="tvhtml1"/>
        </w:rPr>
        <w:t xml:space="preserve"> šajā nozarē parast</w:t>
      </w:r>
      <w:r w:rsidR="00BA7ACC" w:rsidRPr="00871EA5">
        <w:rPr>
          <w:rStyle w:val="tvhtml1"/>
        </w:rPr>
        <w:t>i</w:t>
      </w:r>
      <w:r w:rsidRPr="00871EA5">
        <w:rPr>
          <w:rStyle w:val="tvhtml1"/>
        </w:rPr>
        <w:t xml:space="preserve"> ietilpst NACE 2.red. </w:t>
      </w:r>
      <w:r w:rsidR="00BE76BC" w:rsidRPr="00871EA5">
        <w:rPr>
          <w:rStyle w:val="tvhtml1"/>
        </w:rPr>
        <w:t xml:space="preserve">C 30.11 </w:t>
      </w:r>
      <w:r w:rsidR="00D61035" w:rsidRPr="00871EA5">
        <w:rPr>
          <w:rStyle w:val="tvhtml1"/>
        </w:rPr>
        <w:t>“</w:t>
      </w:r>
      <w:r w:rsidR="00BE76BC" w:rsidRPr="00871EA5">
        <w:rPr>
          <w:rStyle w:val="tvhtml1"/>
        </w:rPr>
        <w:t>Kuģu un peldošo iekārtu būve</w:t>
      </w:r>
      <w:r w:rsidR="00D61035" w:rsidRPr="00871EA5">
        <w:rPr>
          <w:rStyle w:val="tvhtml1"/>
        </w:rPr>
        <w:t>”</w:t>
      </w:r>
      <w:r w:rsidR="00BE76BC" w:rsidRPr="00871EA5">
        <w:rPr>
          <w:rStyle w:val="tvhtml1"/>
        </w:rPr>
        <w:t>.</w:t>
      </w:r>
    </w:p>
    <w:p w:rsidR="00DE556C" w:rsidRPr="00871EA5" w:rsidRDefault="00820B54" w:rsidP="00871EA5">
      <w:pPr>
        <w:pStyle w:val="tvhtml"/>
        <w:spacing w:before="120" w:beforeAutospacing="0" w:after="120" w:afterAutospacing="0"/>
        <w:jc w:val="both"/>
      </w:pPr>
      <w:r w:rsidRPr="00871EA5">
        <w:rPr>
          <w:rStyle w:val="tvhtml1"/>
        </w:rPr>
        <w:t>8</w:t>
      </w:r>
      <w:r w:rsidR="00DE556C" w:rsidRPr="00871EA5">
        <w:rPr>
          <w:rStyle w:val="tvhtml1"/>
        </w:rPr>
        <w:t xml:space="preserve">. Ogļu rūpniecība. Atbilstoši Komisijas regulas Nr.  </w:t>
      </w:r>
      <w:hyperlink r:id="rId9" w:tgtFrame="_blank" w:history="1">
        <w:r w:rsidR="00DE556C" w:rsidRPr="00871EA5">
          <w:rPr>
            <w:rStyle w:val="Hyperlink"/>
          </w:rPr>
          <w:t>651/2014</w:t>
        </w:r>
      </w:hyperlink>
      <w:r w:rsidR="00DE556C" w:rsidRPr="00871EA5">
        <w:rPr>
          <w:rStyle w:val="tvhtml1"/>
        </w:rPr>
        <w:t xml:space="preserve"> 2. panta 13. punktā noteiktajai definīcijai</w:t>
      </w:r>
      <w:r w:rsidR="00FC0935" w:rsidRPr="00871EA5">
        <w:rPr>
          <w:rStyle w:val="tvhtml1"/>
        </w:rPr>
        <w:t xml:space="preserve"> (informatīviem nolūkiem skaidrojam, ka </w:t>
      </w:r>
      <w:r w:rsidR="00621A14" w:rsidRPr="00871EA5">
        <w:rPr>
          <w:rStyle w:val="tvhtml1"/>
        </w:rPr>
        <w:t>komersanti</w:t>
      </w:r>
      <w:r w:rsidR="00FC0935" w:rsidRPr="00871EA5">
        <w:rPr>
          <w:rStyle w:val="tvhtml1"/>
        </w:rPr>
        <w:t xml:space="preserve"> šajā nozarē parast ietilpst NACE 2. </w:t>
      </w:r>
      <w:proofErr w:type="spellStart"/>
      <w:r w:rsidR="00FC0935" w:rsidRPr="00871EA5">
        <w:rPr>
          <w:rStyle w:val="tvhtml1"/>
        </w:rPr>
        <w:t>red</w:t>
      </w:r>
      <w:proofErr w:type="spellEnd"/>
      <w:r w:rsidR="00FC0935" w:rsidRPr="00871EA5">
        <w:rPr>
          <w:rStyle w:val="tvhtml1"/>
        </w:rPr>
        <w:t xml:space="preserve">. B 05 </w:t>
      </w:r>
      <w:r w:rsidR="00D61035" w:rsidRPr="00871EA5">
        <w:rPr>
          <w:rStyle w:val="tvhtml1"/>
        </w:rPr>
        <w:t>“</w:t>
      </w:r>
      <w:r w:rsidR="00FC0935" w:rsidRPr="00871EA5">
        <w:rPr>
          <w:rStyle w:val="tvhtml1"/>
        </w:rPr>
        <w:t>Ogļu un brūnogļu (</w:t>
      </w:r>
      <w:proofErr w:type="spellStart"/>
      <w:r w:rsidR="00FC0935" w:rsidRPr="00871EA5">
        <w:rPr>
          <w:rStyle w:val="tvhtml1"/>
        </w:rPr>
        <w:t>lignīta</w:t>
      </w:r>
      <w:proofErr w:type="spellEnd"/>
      <w:r w:rsidR="00FC0935" w:rsidRPr="00871EA5">
        <w:rPr>
          <w:rStyle w:val="tvhtml1"/>
        </w:rPr>
        <w:t>) ieguve</w:t>
      </w:r>
      <w:r w:rsidR="00D61035" w:rsidRPr="00871EA5">
        <w:rPr>
          <w:rStyle w:val="tvhtml1"/>
        </w:rPr>
        <w:t>”</w:t>
      </w:r>
      <w:r w:rsidR="00FC0935" w:rsidRPr="00871EA5">
        <w:rPr>
          <w:rStyle w:val="tvhtml1"/>
        </w:rPr>
        <w:t>)</w:t>
      </w:r>
      <w:r w:rsidR="00DE556C" w:rsidRPr="00871EA5">
        <w:rPr>
          <w:rStyle w:val="tvhtml1"/>
        </w:rPr>
        <w:t>.</w:t>
      </w:r>
    </w:p>
    <w:p w:rsidR="00DE556C" w:rsidRPr="00871EA5" w:rsidRDefault="00820B54" w:rsidP="00871EA5">
      <w:pPr>
        <w:pStyle w:val="tvhtml"/>
        <w:spacing w:before="120" w:beforeAutospacing="0" w:after="120" w:afterAutospacing="0"/>
        <w:jc w:val="both"/>
      </w:pPr>
      <w:r w:rsidRPr="00871EA5">
        <w:rPr>
          <w:rStyle w:val="tvhtml1"/>
        </w:rPr>
        <w:t>9</w:t>
      </w:r>
      <w:r w:rsidR="00DE556C" w:rsidRPr="00871EA5">
        <w:rPr>
          <w:rStyle w:val="tvhtml1"/>
        </w:rPr>
        <w:t xml:space="preserve">. Tērauda rūpniecība. Atbilstoši Komisijas regulas Nr.  </w:t>
      </w:r>
      <w:hyperlink r:id="rId10" w:tgtFrame="_blank" w:history="1">
        <w:r w:rsidR="00DE556C" w:rsidRPr="00871EA5">
          <w:rPr>
            <w:rStyle w:val="Hyperlink"/>
          </w:rPr>
          <w:t>651/2014</w:t>
        </w:r>
      </w:hyperlink>
      <w:r w:rsidR="00DE556C" w:rsidRPr="00871EA5">
        <w:rPr>
          <w:rStyle w:val="tvhtml1"/>
        </w:rPr>
        <w:t xml:space="preserve"> 2. panta 43. punktā noteiktajai definīcijai</w:t>
      </w:r>
      <w:r w:rsidR="00BA7ACC" w:rsidRPr="00871EA5">
        <w:rPr>
          <w:rStyle w:val="tvhtml1"/>
        </w:rPr>
        <w:t xml:space="preserve"> (informatīviem nolūkiem skaidrojam, ka </w:t>
      </w:r>
      <w:r w:rsidR="00621A14" w:rsidRPr="00871EA5">
        <w:rPr>
          <w:rStyle w:val="tvhtml1"/>
        </w:rPr>
        <w:t>komersanti</w:t>
      </w:r>
      <w:r w:rsidR="00BA7ACC" w:rsidRPr="00871EA5">
        <w:rPr>
          <w:rStyle w:val="tvhtml1"/>
        </w:rPr>
        <w:t xml:space="preserve"> šajā nozarē parasti ietilpst NACE 2. red. C 24 </w:t>
      </w:r>
      <w:r w:rsidR="00D61035" w:rsidRPr="00871EA5">
        <w:rPr>
          <w:rStyle w:val="tvhtml1"/>
        </w:rPr>
        <w:t>“</w:t>
      </w:r>
      <w:r w:rsidR="00BA7ACC" w:rsidRPr="00871EA5">
        <w:rPr>
          <w:rStyle w:val="tvhtml1"/>
        </w:rPr>
        <w:t>Metālu ražošana</w:t>
      </w:r>
      <w:r w:rsidR="00D61035" w:rsidRPr="00871EA5">
        <w:rPr>
          <w:rStyle w:val="tvhtml1"/>
        </w:rPr>
        <w:t>”</w:t>
      </w:r>
      <w:r w:rsidR="00BA7ACC" w:rsidRPr="00871EA5">
        <w:rPr>
          <w:rStyle w:val="tvhtml1"/>
        </w:rPr>
        <w:t>)</w:t>
      </w:r>
      <w:r w:rsidR="00DE556C" w:rsidRPr="00871EA5">
        <w:rPr>
          <w:rStyle w:val="tvhtml1"/>
        </w:rPr>
        <w:t>.</w:t>
      </w:r>
    </w:p>
    <w:p w:rsidR="00DE556C" w:rsidRPr="00871EA5" w:rsidRDefault="00820B54" w:rsidP="00871EA5">
      <w:pPr>
        <w:pStyle w:val="tvhtml"/>
        <w:spacing w:before="120" w:beforeAutospacing="0" w:after="120" w:afterAutospacing="0"/>
        <w:jc w:val="both"/>
      </w:pPr>
      <w:r w:rsidRPr="00871EA5">
        <w:rPr>
          <w:rStyle w:val="tvhtml1"/>
        </w:rPr>
        <w:t>10</w:t>
      </w:r>
      <w:r w:rsidR="00DE556C" w:rsidRPr="00871EA5">
        <w:rPr>
          <w:rStyle w:val="tvhtml1"/>
        </w:rPr>
        <w:t xml:space="preserve">. Sintētisko šķiedru ražošanas nozare. Atbilstoši Komisijas regulas Nr.  </w:t>
      </w:r>
      <w:hyperlink r:id="rId11" w:tgtFrame="_blank" w:history="1">
        <w:r w:rsidR="00DE556C" w:rsidRPr="00871EA5">
          <w:rPr>
            <w:rStyle w:val="Hyperlink"/>
          </w:rPr>
          <w:t>651/2014</w:t>
        </w:r>
      </w:hyperlink>
      <w:r w:rsidR="00DE556C" w:rsidRPr="00871EA5">
        <w:rPr>
          <w:rStyle w:val="tvhtml1"/>
        </w:rPr>
        <w:t xml:space="preserve"> 2. panta 44. punktā noteiktajai definīcijai</w:t>
      </w:r>
      <w:r w:rsidR="007B1C4B" w:rsidRPr="00871EA5">
        <w:rPr>
          <w:rStyle w:val="tvhtml1"/>
        </w:rPr>
        <w:t xml:space="preserve"> (informatīviem nolūkiem skaidrojam, ka </w:t>
      </w:r>
      <w:r w:rsidR="00621A14" w:rsidRPr="00871EA5">
        <w:rPr>
          <w:rStyle w:val="tvhtml1"/>
        </w:rPr>
        <w:t>komersanti</w:t>
      </w:r>
      <w:r w:rsidR="007B1C4B" w:rsidRPr="00871EA5">
        <w:rPr>
          <w:rStyle w:val="tvhtml1"/>
        </w:rPr>
        <w:t xml:space="preserve"> šajā nozarē parast</w:t>
      </w:r>
      <w:r w:rsidR="00BA7ACC" w:rsidRPr="00871EA5">
        <w:rPr>
          <w:rStyle w:val="tvhtml1"/>
        </w:rPr>
        <w:t>i</w:t>
      </w:r>
      <w:r w:rsidR="007B1C4B" w:rsidRPr="00871EA5">
        <w:rPr>
          <w:rStyle w:val="tvhtml1"/>
        </w:rPr>
        <w:t xml:space="preserve"> ietilpst NACE 2. </w:t>
      </w:r>
      <w:proofErr w:type="spellStart"/>
      <w:r w:rsidR="007B1C4B" w:rsidRPr="00871EA5">
        <w:rPr>
          <w:rStyle w:val="tvhtml1"/>
        </w:rPr>
        <w:t>red</w:t>
      </w:r>
      <w:proofErr w:type="spellEnd"/>
      <w:r w:rsidR="007B1C4B" w:rsidRPr="00871EA5">
        <w:rPr>
          <w:rStyle w:val="tvhtml1"/>
        </w:rPr>
        <w:t xml:space="preserve">. C 20.6 </w:t>
      </w:r>
      <w:r w:rsidR="00D61035" w:rsidRPr="00871EA5">
        <w:rPr>
          <w:rStyle w:val="tvhtml1"/>
        </w:rPr>
        <w:t>“</w:t>
      </w:r>
      <w:r w:rsidR="007B1C4B" w:rsidRPr="00871EA5">
        <w:rPr>
          <w:rStyle w:val="tvhtml1"/>
        </w:rPr>
        <w:t>Sintētisko šķiedru ražošana</w:t>
      </w:r>
      <w:r w:rsidR="00D61035" w:rsidRPr="00871EA5">
        <w:rPr>
          <w:rStyle w:val="tvhtml1"/>
        </w:rPr>
        <w:t>”</w:t>
      </w:r>
      <w:r w:rsidR="007B1C4B" w:rsidRPr="00871EA5">
        <w:rPr>
          <w:rStyle w:val="tvhtml1"/>
        </w:rPr>
        <w:t>)</w:t>
      </w:r>
      <w:r w:rsidR="00DE556C" w:rsidRPr="00871EA5">
        <w:rPr>
          <w:rStyle w:val="tvhtml1"/>
        </w:rPr>
        <w:t>.</w:t>
      </w:r>
    </w:p>
    <w:p w:rsidR="00DE556C" w:rsidRPr="00871EA5" w:rsidRDefault="00DE556C" w:rsidP="00871EA5">
      <w:pPr>
        <w:pStyle w:val="tvhtml"/>
        <w:spacing w:before="120" w:beforeAutospacing="0" w:after="120" w:afterAutospacing="0"/>
        <w:jc w:val="both"/>
      </w:pPr>
      <w:r w:rsidRPr="00871EA5">
        <w:rPr>
          <w:rStyle w:val="tvhtml1"/>
        </w:rPr>
        <w:t>1</w:t>
      </w:r>
      <w:r w:rsidR="00820B54" w:rsidRPr="00871EA5">
        <w:rPr>
          <w:rStyle w:val="tvhtml1"/>
        </w:rPr>
        <w:t>1</w:t>
      </w:r>
      <w:r w:rsidRPr="00871EA5">
        <w:rPr>
          <w:rStyle w:val="tvhtml1"/>
        </w:rPr>
        <w:t>. </w:t>
      </w:r>
      <w:proofErr w:type="spellStart"/>
      <w:r w:rsidR="00C12703" w:rsidRPr="00871EA5">
        <w:rPr>
          <w:rStyle w:val="tvhtml1"/>
        </w:rPr>
        <w:t>Energoinfrastruktūras</w:t>
      </w:r>
      <w:proofErr w:type="spellEnd"/>
      <w:r w:rsidR="00C12703" w:rsidRPr="00871EA5">
        <w:rPr>
          <w:rStyle w:val="tvhtml1"/>
        </w:rPr>
        <w:t xml:space="preserve"> un enerģijas ražošanas nozares sabiedrības atbilstoši Komisijas regulas Nr.651/2014 2.panta 130.punktā un 13.panta a) apakšpunktā noteiktajām definīcijām</w:t>
      </w:r>
      <w:r w:rsidR="00806D0E" w:rsidRPr="00871EA5">
        <w:rPr>
          <w:rStyle w:val="tvhtml1"/>
        </w:rPr>
        <w:t xml:space="preserve"> (informatīviem nolūkiem skaidrojam, ka </w:t>
      </w:r>
      <w:r w:rsidR="00621A14" w:rsidRPr="00871EA5">
        <w:rPr>
          <w:rStyle w:val="tvhtml1"/>
        </w:rPr>
        <w:t>komersanti</w:t>
      </w:r>
      <w:r w:rsidR="00806D0E" w:rsidRPr="00871EA5">
        <w:rPr>
          <w:rStyle w:val="tvhtml1"/>
        </w:rPr>
        <w:t xml:space="preserve"> šajā nozarē parasti ietilpst NACE 2. </w:t>
      </w:r>
      <w:proofErr w:type="spellStart"/>
      <w:r w:rsidR="00806D0E" w:rsidRPr="00871EA5">
        <w:rPr>
          <w:rStyle w:val="tvhtml1"/>
        </w:rPr>
        <w:t>red</w:t>
      </w:r>
      <w:proofErr w:type="spellEnd"/>
      <w:r w:rsidR="00806D0E" w:rsidRPr="00871EA5">
        <w:rPr>
          <w:rStyle w:val="tvhtml1"/>
        </w:rPr>
        <w:t xml:space="preserve">. D </w:t>
      </w:r>
      <w:r w:rsidR="00D61035" w:rsidRPr="00871EA5">
        <w:rPr>
          <w:rStyle w:val="tvhtml1"/>
        </w:rPr>
        <w:t>“</w:t>
      </w:r>
      <w:r w:rsidR="00806D0E" w:rsidRPr="00871EA5">
        <w:rPr>
          <w:rStyle w:val="tvhtml1"/>
        </w:rPr>
        <w:t>Elektroenerģija, gāzes apgāde, siltumapgāde un gaisa kondicionēšana</w:t>
      </w:r>
      <w:r w:rsidR="00D61035" w:rsidRPr="00871EA5">
        <w:rPr>
          <w:rStyle w:val="tvhtml1"/>
        </w:rPr>
        <w:t>”</w:t>
      </w:r>
      <w:r w:rsidR="00806D0E" w:rsidRPr="00871EA5">
        <w:rPr>
          <w:rStyle w:val="tvhtml1"/>
        </w:rPr>
        <w:t xml:space="preserve"> un H 49.5 </w:t>
      </w:r>
      <w:r w:rsidR="00D61035" w:rsidRPr="00871EA5">
        <w:rPr>
          <w:rStyle w:val="tvhtml1"/>
        </w:rPr>
        <w:t>“</w:t>
      </w:r>
      <w:r w:rsidR="00806D0E" w:rsidRPr="00871EA5">
        <w:rPr>
          <w:rStyle w:val="tvhtml1"/>
        </w:rPr>
        <w:t>Cauruļvadu transports</w:t>
      </w:r>
      <w:r w:rsidR="00D61035" w:rsidRPr="00871EA5">
        <w:rPr>
          <w:rStyle w:val="tvhtml1"/>
        </w:rPr>
        <w:t>”</w:t>
      </w:r>
      <w:r w:rsidR="00806D0E" w:rsidRPr="00871EA5">
        <w:rPr>
          <w:rStyle w:val="tvhtml1"/>
        </w:rPr>
        <w:t>)</w:t>
      </w:r>
      <w:r w:rsidRPr="00871EA5">
        <w:rPr>
          <w:rStyle w:val="tvhtml1"/>
        </w:rPr>
        <w:t>.</w:t>
      </w:r>
    </w:p>
    <w:p w:rsidR="006C6C78" w:rsidRPr="00871EA5" w:rsidRDefault="00DE556C" w:rsidP="00871EA5">
      <w:pPr>
        <w:pStyle w:val="tvhtml"/>
        <w:spacing w:before="120" w:beforeAutospacing="0" w:after="120" w:afterAutospacing="0"/>
        <w:jc w:val="both"/>
        <w:rPr>
          <w:color w:val="000000" w:themeColor="text1"/>
        </w:rPr>
      </w:pPr>
      <w:r w:rsidRPr="00871EA5">
        <w:rPr>
          <w:rStyle w:val="tvhtml1"/>
        </w:rPr>
        <w:t>1</w:t>
      </w:r>
      <w:r w:rsidR="00820B54" w:rsidRPr="00871EA5">
        <w:rPr>
          <w:rStyle w:val="tvhtml1"/>
        </w:rPr>
        <w:t>2</w:t>
      </w:r>
      <w:r w:rsidRPr="00871EA5">
        <w:rPr>
          <w:rStyle w:val="tvhtml1"/>
        </w:rPr>
        <w:t>. Transporta nozare</w:t>
      </w:r>
      <w:r w:rsidR="009A6173" w:rsidRPr="00871EA5">
        <w:rPr>
          <w:rStyle w:val="tvhtml1"/>
        </w:rPr>
        <w:t xml:space="preserve"> un ar to saistītā infrastruktūra</w:t>
      </w:r>
      <w:r w:rsidRPr="00871EA5">
        <w:rPr>
          <w:rStyle w:val="tvhtml1"/>
        </w:rPr>
        <w:t xml:space="preserve">. Atbilstoši Komisijas regulas </w:t>
      </w:r>
      <w:hyperlink r:id="rId12" w:tgtFrame="_blank" w:history="1">
        <w:r w:rsidRPr="00871EA5">
          <w:rPr>
            <w:rStyle w:val="Hyperlink"/>
          </w:rPr>
          <w:t>651/2014</w:t>
        </w:r>
      </w:hyperlink>
      <w:r w:rsidRPr="00871EA5">
        <w:rPr>
          <w:rStyle w:val="tvhtml1"/>
        </w:rPr>
        <w:t xml:space="preserve"> 2. panta 45. punktā un 13. panta </w:t>
      </w:r>
      <w:r w:rsidR="00D61035" w:rsidRPr="00871EA5">
        <w:rPr>
          <w:rStyle w:val="tvhtml1"/>
        </w:rPr>
        <w:t>“</w:t>
      </w:r>
      <w:r w:rsidRPr="00871EA5">
        <w:rPr>
          <w:rStyle w:val="tvhtml1"/>
        </w:rPr>
        <w:t>a</w:t>
      </w:r>
      <w:r w:rsidR="00D61035" w:rsidRPr="00871EA5">
        <w:rPr>
          <w:rStyle w:val="tvhtml1"/>
        </w:rPr>
        <w:t>“</w:t>
      </w:r>
      <w:r w:rsidRPr="00871EA5">
        <w:rPr>
          <w:rStyle w:val="tvhtml1"/>
        </w:rPr>
        <w:t xml:space="preserve"> apakšpunktā noteiktajām definīcijām</w:t>
      </w:r>
      <w:r w:rsidR="00667CB5" w:rsidRPr="00871EA5">
        <w:rPr>
          <w:rStyle w:val="tvhtml1"/>
        </w:rPr>
        <w:t xml:space="preserve"> (</w:t>
      </w:r>
      <w:r w:rsidR="00E11B2B" w:rsidRPr="00871EA5">
        <w:rPr>
          <w:rStyle w:val="tvhtml1"/>
        </w:rPr>
        <w:t xml:space="preserve">ierobežojumus nosaka saskaņā ar </w:t>
      </w:r>
      <w:r w:rsidR="00667CB5" w:rsidRPr="00871EA5">
        <w:rPr>
          <w:rStyle w:val="tvhtml1"/>
        </w:rPr>
        <w:t xml:space="preserve">NACE 2. </w:t>
      </w:r>
      <w:proofErr w:type="spellStart"/>
      <w:r w:rsidR="00667CB5" w:rsidRPr="00871EA5">
        <w:rPr>
          <w:rStyle w:val="tvhtml1"/>
        </w:rPr>
        <w:t>red</w:t>
      </w:r>
      <w:proofErr w:type="spellEnd"/>
      <w:r w:rsidR="00667CB5" w:rsidRPr="00871EA5">
        <w:rPr>
          <w:rStyle w:val="tvhtml1"/>
        </w:rPr>
        <w:t xml:space="preserve">. H </w:t>
      </w:r>
      <w:r w:rsidR="00AA01BD" w:rsidRPr="00871EA5">
        <w:rPr>
          <w:rStyle w:val="tvhtml1"/>
        </w:rPr>
        <w:t xml:space="preserve">49 </w:t>
      </w:r>
      <w:r w:rsidR="00D61035" w:rsidRPr="00871EA5">
        <w:rPr>
          <w:rStyle w:val="tvhtml1"/>
        </w:rPr>
        <w:t>“</w:t>
      </w:r>
      <w:r w:rsidR="00AA01BD" w:rsidRPr="00871EA5">
        <w:rPr>
          <w:rStyle w:val="tvhtml1"/>
        </w:rPr>
        <w:t>Sauszemes transports un cauruļvadu transports</w:t>
      </w:r>
      <w:r w:rsidR="00D61035" w:rsidRPr="00871EA5">
        <w:rPr>
          <w:rStyle w:val="tvhtml1"/>
        </w:rPr>
        <w:t>”</w:t>
      </w:r>
      <w:r w:rsidR="00AA01BD" w:rsidRPr="00871EA5">
        <w:rPr>
          <w:rStyle w:val="tvhtml1"/>
        </w:rPr>
        <w:t xml:space="preserve">(izņemot H  49.32 </w:t>
      </w:r>
      <w:r w:rsidR="00D61035" w:rsidRPr="00871EA5">
        <w:rPr>
          <w:rStyle w:val="tvhtml1"/>
        </w:rPr>
        <w:t>“</w:t>
      </w:r>
      <w:r w:rsidR="00AA01BD" w:rsidRPr="00871EA5">
        <w:rPr>
          <w:rStyle w:val="tvhtml1"/>
        </w:rPr>
        <w:t>Taksometru pakalpojumi</w:t>
      </w:r>
      <w:r w:rsidR="00D61035" w:rsidRPr="00871EA5">
        <w:rPr>
          <w:rStyle w:val="tvhtml1"/>
        </w:rPr>
        <w:t>”</w:t>
      </w:r>
      <w:r w:rsidR="00AA01BD" w:rsidRPr="00871EA5">
        <w:rPr>
          <w:rStyle w:val="tvhtml1"/>
        </w:rPr>
        <w:t xml:space="preserve">, </w:t>
      </w:r>
      <w:r w:rsidR="003F3302" w:rsidRPr="00871EA5">
        <w:rPr>
          <w:rStyle w:val="tvhtml1"/>
        </w:rPr>
        <w:t xml:space="preserve">H 49.42 </w:t>
      </w:r>
      <w:r w:rsidR="00D61035" w:rsidRPr="00871EA5">
        <w:rPr>
          <w:rStyle w:val="tvhtml1"/>
        </w:rPr>
        <w:t>“</w:t>
      </w:r>
      <w:r w:rsidR="003F3302" w:rsidRPr="00871EA5">
        <w:rPr>
          <w:rStyle w:val="tvhtml1"/>
        </w:rPr>
        <w:t>Individuālie kravu pārvadāšanas pakalpojumi</w:t>
      </w:r>
      <w:r w:rsidR="00D61035" w:rsidRPr="00871EA5">
        <w:rPr>
          <w:rStyle w:val="tvhtml1"/>
        </w:rPr>
        <w:t>”</w:t>
      </w:r>
      <w:r w:rsidR="003F3302" w:rsidRPr="00871EA5">
        <w:rPr>
          <w:rStyle w:val="tvhtml1"/>
        </w:rPr>
        <w:t xml:space="preserve">, </w:t>
      </w:r>
      <w:r w:rsidR="00123BD3" w:rsidRPr="00871EA5">
        <w:rPr>
          <w:rStyle w:val="tvhtml1"/>
        </w:rPr>
        <w:t xml:space="preserve">H 49.5 </w:t>
      </w:r>
      <w:r w:rsidR="00D61035" w:rsidRPr="00871EA5">
        <w:rPr>
          <w:rStyle w:val="tvhtml1"/>
        </w:rPr>
        <w:t>“</w:t>
      </w:r>
      <w:r w:rsidR="00123BD3" w:rsidRPr="00871EA5">
        <w:rPr>
          <w:rStyle w:val="tvhtml1"/>
        </w:rPr>
        <w:t>Cauruļvadu transports</w:t>
      </w:r>
      <w:r w:rsidR="00D61035" w:rsidRPr="00871EA5">
        <w:rPr>
          <w:rStyle w:val="tvhtml1"/>
        </w:rPr>
        <w:t>”</w:t>
      </w:r>
      <w:r w:rsidR="00667CB5" w:rsidRPr="00871EA5">
        <w:rPr>
          <w:rStyle w:val="tvhtml1"/>
        </w:rPr>
        <w:t>)</w:t>
      </w:r>
      <w:r w:rsidR="00123BD3" w:rsidRPr="00871EA5">
        <w:rPr>
          <w:rStyle w:val="tvhtml1"/>
        </w:rPr>
        <w:t xml:space="preserve">, </w:t>
      </w:r>
      <w:r w:rsidR="00CE4DF0" w:rsidRPr="00871EA5">
        <w:rPr>
          <w:rStyle w:val="tvhtml1"/>
        </w:rPr>
        <w:t xml:space="preserve">H  50 </w:t>
      </w:r>
      <w:r w:rsidR="00D61035" w:rsidRPr="00871EA5">
        <w:rPr>
          <w:rStyle w:val="tvhtml1"/>
        </w:rPr>
        <w:t>“</w:t>
      </w:r>
      <w:r w:rsidR="00CE4DF0" w:rsidRPr="00871EA5">
        <w:rPr>
          <w:rStyle w:val="tvhtml1"/>
        </w:rPr>
        <w:t>Ūdens transports</w:t>
      </w:r>
      <w:r w:rsidR="00D61035" w:rsidRPr="00871EA5">
        <w:rPr>
          <w:rStyle w:val="tvhtml1"/>
        </w:rPr>
        <w:t>”</w:t>
      </w:r>
      <w:r w:rsidR="00CE4DF0" w:rsidRPr="00871EA5">
        <w:rPr>
          <w:rStyle w:val="tvhtml1"/>
        </w:rPr>
        <w:t xml:space="preserve"> un H </w:t>
      </w:r>
      <w:r w:rsidR="003354B8" w:rsidRPr="00871EA5">
        <w:rPr>
          <w:rStyle w:val="tvhtml1"/>
        </w:rPr>
        <w:t xml:space="preserve">51 </w:t>
      </w:r>
      <w:r w:rsidR="00D61035" w:rsidRPr="00871EA5">
        <w:rPr>
          <w:rStyle w:val="tvhtml1"/>
        </w:rPr>
        <w:t>“</w:t>
      </w:r>
      <w:r w:rsidR="003354B8" w:rsidRPr="00871EA5">
        <w:rPr>
          <w:rStyle w:val="tvhtml1"/>
        </w:rPr>
        <w:t>Gaisa transports</w:t>
      </w:r>
      <w:r w:rsidR="00D61035" w:rsidRPr="00871EA5">
        <w:rPr>
          <w:rStyle w:val="tvhtml1"/>
        </w:rPr>
        <w:t>”</w:t>
      </w:r>
      <w:r w:rsidR="003354B8" w:rsidRPr="00871EA5">
        <w:rPr>
          <w:rStyle w:val="tvhtml1"/>
        </w:rPr>
        <w:t xml:space="preserve"> (izņemot H  51.22 </w:t>
      </w:r>
      <w:r w:rsidR="00D61035" w:rsidRPr="00871EA5">
        <w:rPr>
          <w:rStyle w:val="tvhtml1"/>
        </w:rPr>
        <w:t>“</w:t>
      </w:r>
      <w:r w:rsidR="003354B8" w:rsidRPr="00871EA5">
        <w:rPr>
          <w:rStyle w:val="tvhtml1"/>
        </w:rPr>
        <w:t>Kosmiskais transports</w:t>
      </w:r>
      <w:r w:rsidR="00D61035" w:rsidRPr="00871EA5">
        <w:rPr>
          <w:rStyle w:val="tvhtml1"/>
        </w:rPr>
        <w:t>”</w:t>
      </w:r>
      <w:r w:rsidR="003354B8" w:rsidRPr="00871EA5">
        <w:rPr>
          <w:rStyle w:val="tvhtml1"/>
        </w:rPr>
        <w:t>)</w:t>
      </w:r>
      <w:r w:rsidRPr="00871EA5">
        <w:rPr>
          <w:rStyle w:val="tvhtml1"/>
        </w:rPr>
        <w:t>.</w:t>
      </w:r>
    </w:p>
    <w:p w:rsidR="00871EA5" w:rsidRDefault="00871EA5" w:rsidP="00871EA5">
      <w:pPr>
        <w:pStyle w:val="Signature"/>
        <w:tabs>
          <w:tab w:val="left" w:pos="6663"/>
          <w:tab w:val="left" w:pos="7655"/>
        </w:tabs>
        <w:spacing w:before="120" w:after="120"/>
        <w:ind w:firstLine="0"/>
        <w:rPr>
          <w:sz w:val="24"/>
          <w:szCs w:val="24"/>
          <w:lang w:val="lv-LV"/>
        </w:rPr>
      </w:pPr>
    </w:p>
    <w:p w:rsidR="00881663" w:rsidRPr="00881663" w:rsidRDefault="00881663" w:rsidP="00881663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1663">
        <w:rPr>
          <w:rFonts w:ascii="Times New Roman" w:eastAsia="Calibri" w:hAnsi="Times New Roman" w:cs="Times New Roman"/>
          <w:sz w:val="24"/>
          <w:szCs w:val="24"/>
        </w:rPr>
        <w:t>Ministru prezidenta biedrs,</w:t>
      </w:r>
    </w:p>
    <w:p w:rsidR="00F045EB" w:rsidRPr="00881663" w:rsidRDefault="00881663" w:rsidP="00881663">
      <w:pPr>
        <w:pStyle w:val="Signature"/>
        <w:tabs>
          <w:tab w:val="left" w:pos="6946"/>
          <w:tab w:val="left" w:pos="7655"/>
        </w:tabs>
        <w:spacing w:before="120" w:after="120"/>
        <w:ind w:firstLine="0"/>
        <w:rPr>
          <w:sz w:val="24"/>
          <w:szCs w:val="24"/>
          <w:lang w:val="lv-LV"/>
        </w:rPr>
      </w:pPr>
      <w:proofErr w:type="spellStart"/>
      <w:proofErr w:type="gramStart"/>
      <w:r w:rsidRPr="00881663">
        <w:rPr>
          <w:rFonts w:eastAsia="Calibri"/>
          <w:sz w:val="24"/>
          <w:szCs w:val="24"/>
        </w:rPr>
        <w:t>e</w:t>
      </w:r>
      <w:r w:rsidRPr="00881663">
        <w:rPr>
          <w:sz w:val="24"/>
          <w:szCs w:val="24"/>
        </w:rPr>
        <w:t>konomikas</w:t>
      </w:r>
      <w:proofErr w:type="spellEnd"/>
      <w:proofErr w:type="gramEnd"/>
      <w:r w:rsidRPr="00881663">
        <w:rPr>
          <w:sz w:val="24"/>
          <w:szCs w:val="24"/>
        </w:rPr>
        <w:t xml:space="preserve"> </w:t>
      </w:r>
      <w:proofErr w:type="spellStart"/>
      <w:r w:rsidRPr="00881663">
        <w:rPr>
          <w:sz w:val="24"/>
          <w:szCs w:val="24"/>
        </w:rPr>
        <w:t>ministrs</w:t>
      </w:r>
      <w:proofErr w:type="spellEnd"/>
      <w:r w:rsidR="00F045EB" w:rsidRPr="00881663">
        <w:rPr>
          <w:sz w:val="24"/>
          <w:szCs w:val="24"/>
          <w:lang w:val="lv-LV"/>
        </w:rPr>
        <w:t xml:space="preserve">                                                                    </w:t>
      </w:r>
      <w:r w:rsidR="00BC22C6" w:rsidRPr="00881663">
        <w:rPr>
          <w:sz w:val="24"/>
          <w:szCs w:val="24"/>
          <w:lang w:val="lv-LV"/>
        </w:rPr>
        <w:tab/>
      </w:r>
      <w:proofErr w:type="spellStart"/>
      <w:r w:rsidR="00915001" w:rsidRPr="00881663">
        <w:rPr>
          <w:sz w:val="24"/>
          <w:szCs w:val="24"/>
          <w:lang w:val="lv-LV"/>
        </w:rPr>
        <w:t>A.Ašeradens</w:t>
      </w:r>
      <w:proofErr w:type="spellEnd"/>
    </w:p>
    <w:p w:rsidR="00F045EB" w:rsidRPr="00881663" w:rsidRDefault="00F045EB" w:rsidP="00871EA5">
      <w:pP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F045EB" w:rsidRPr="00881663" w:rsidRDefault="00F045EB" w:rsidP="00871EA5">
      <w:pP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881663">
        <w:rPr>
          <w:rFonts w:ascii="Times New Roman" w:hAnsi="Times New Roman" w:cs="Times New Roman"/>
          <w:sz w:val="24"/>
          <w:szCs w:val="24"/>
          <w:lang w:bidi="lo-LA"/>
        </w:rPr>
        <w:t>Iesniedzējs:</w:t>
      </w:r>
    </w:p>
    <w:p w:rsidR="00881663" w:rsidRPr="00881663" w:rsidRDefault="00881663" w:rsidP="00881663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1663">
        <w:rPr>
          <w:rFonts w:ascii="Times New Roman" w:eastAsia="Calibri" w:hAnsi="Times New Roman" w:cs="Times New Roman"/>
          <w:sz w:val="24"/>
          <w:szCs w:val="24"/>
        </w:rPr>
        <w:t>Ministru prezidenta biedrs,</w:t>
      </w:r>
    </w:p>
    <w:p w:rsidR="006D1ADA" w:rsidRPr="00881663" w:rsidRDefault="00881663" w:rsidP="00881663">
      <w:pPr>
        <w:pStyle w:val="Signature"/>
        <w:tabs>
          <w:tab w:val="left" w:pos="6946"/>
        </w:tabs>
        <w:spacing w:before="120" w:after="120"/>
        <w:ind w:firstLine="0"/>
        <w:rPr>
          <w:sz w:val="24"/>
          <w:szCs w:val="24"/>
          <w:lang w:val="lv-LV"/>
        </w:rPr>
      </w:pPr>
      <w:proofErr w:type="spellStart"/>
      <w:proofErr w:type="gramStart"/>
      <w:r w:rsidRPr="00881663">
        <w:rPr>
          <w:rFonts w:eastAsia="Calibri"/>
          <w:sz w:val="24"/>
          <w:szCs w:val="24"/>
        </w:rPr>
        <w:t>e</w:t>
      </w:r>
      <w:r w:rsidRPr="00881663">
        <w:rPr>
          <w:sz w:val="24"/>
          <w:szCs w:val="24"/>
        </w:rPr>
        <w:t>konomikas</w:t>
      </w:r>
      <w:proofErr w:type="spellEnd"/>
      <w:proofErr w:type="gramEnd"/>
      <w:r w:rsidRPr="00881663">
        <w:rPr>
          <w:sz w:val="24"/>
          <w:szCs w:val="24"/>
        </w:rPr>
        <w:t xml:space="preserve"> </w:t>
      </w:r>
      <w:proofErr w:type="spellStart"/>
      <w:r w:rsidRPr="00881663">
        <w:rPr>
          <w:sz w:val="24"/>
          <w:szCs w:val="24"/>
        </w:rPr>
        <w:t>ministrs</w:t>
      </w:r>
      <w:proofErr w:type="spellEnd"/>
      <w:r w:rsidR="006D1ADA" w:rsidRPr="00881663">
        <w:rPr>
          <w:sz w:val="24"/>
          <w:szCs w:val="24"/>
          <w:lang w:val="lv-LV"/>
        </w:rPr>
        <w:t xml:space="preserve">                                                                    </w:t>
      </w:r>
      <w:r w:rsidR="00BC22C6" w:rsidRPr="00881663">
        <w:rPr>
          <w:sz w:val="24"/>
          <w:szCs w:val="24"/>
          <w:lang w:val="lv-LV"/>
        </w:rPr>
        <w:tab/>
      </w:r>
      <w:proofErr w:type="spellStart"/>
      <w:r w:rsidR="00072637" w:rsidRPr="00881663">
        <w:rPr>
          <w:sz w:val="24"/>
          <w:szCs w:val="24"/>
          <w:lang w:val="lv-LV"/>
        </w:rPr>
        <w:t>A.Ašeradens</w:t>
      </w:r>
      <w:proofErr w:type="spellEnd"/>
    </w:p>
    <w:p w:rsidR="006D55D1" w:rsidRPr="00881663" w:rsidRDefault="006D1ADA" w:rsidP="00871EA5">
      <w:pPr>
        <w:pStyle w:val="EnvelopeReturn"/>
        <w:tabs>
          <w:tab w:val="left" w:pos="8222"/>
        </w:tabs>
        <w:spacing w:before="120" w:after="120"/>
        <w:rPr>
          <w:sz w:val="24"/>
          <w:szCs w:val="24"/>
          <w:lang w:val="lv-LV"/>
        </w:rPr>
      </w:pPr>
      <w:r w:rsidRPr="00881663">
        <w:rPr>
          <w:sz w:val="24"/>
          <w:szCs w:val="24"/>
          <w:lang w:val="lv-LV"/>
        </w:rPr>
        <w:t xml:space="preserve">Vīza: </w:t>
      </w:r>
    </w:p>
    <w:p w:rsidR="00F045EB" w:rsidRPr="00871EA5" w:rsidRDefault="00881319" w:rsidP="00BC22C6">
      <w:pPr>
        <w:pStyle w:val="EnvelopeReturn"/>
        <w:tabs>
          <w:tab w:val="left" w:pos="6804"/>
          <w:tab w:val="left" w:pos="8222"/>
        </w:tabs>
        <w:spacing w:before="120" w:after="120"/>
        <w:rPr>
          <w:sz w:val="24"/>
          <w:szCs w:val="24"/>
          <w:lang w:val="lv-LV"/>
        </w:rPr>
      </w:pPr>
      <w:r w:rsidRPr="00881663">
        <w:rPr>
          <w:sz w:val="24"/>
          <w:szCs w:val="24"/>
          <w:lang w:val="lv-LV"/>
        </w:rPr>
        <w:t>Valsts sekretāra pienākumu izpildītājs,</w:t>
      </w:r>
      <w:r w:rsidRPr="00881663">
        <w:rPr>
          <w:sz w:val="24"/>
          <w:szCs w:val="24"/>
          <w:lang w:val="lv-LV"/>
        </w:rPr>
        <w:br/>
        <w:t xml:space="preserve">valsts sekretāra vietnieks                                                            </w:t>
      </w:r>
      <w:r w:rsidR="00BC22C6">
        <w:rPr>
          <w:sz w:val="24"/>
          <w:szCs w:val="24"/>
          <w:lang w:val="lv-LV"/>
        </w:rPr>
        <w:tab/>
      </w:r>
      <w:proofErr w:type="spellStart"/>
      <w:r w:rsidR="006D55D1" w:rsidRPr="00871EA5">
        <w:rPr>
          <w:sz w:val="24"/>
          <w:szCs w:val="24"/>
          <w:lang w:val="lv-LV"/>
        </w:rPr>
        <w:t>R.</w:t>
      </w:r>
      <w:r w:rsidRPr="00871EA5">
        <w:rPr>
          <w:sz w:val="24"/>
          <w:szCs w:val="24"/>
          <w:lang w:val="lv-LV"/>
        </w:rPr>
        <w:t>Aleksejenko</w:t>
      </w:r>
      <w:proofErr w:type="spellEnd"/>
    </w:p>
    <w:p w:rsidR="00871EA5" w:rsidRDefault="00871EA5" w:rsidP="00871EA5">
      <w:pPr>
        <w:pStyle w:val="naislab"/>
        <w:spacing w:before="120" w:after="120"/>
        <w:jc w:val="left"/>
      </w:pPr>
    </w:p>
    <w:p w:rsidR="006C6C78" w:rsidRPr="00871EA5" w:rsidRDefault="0007216D" w:rsidP="00871EA5">
      <w:pPr>
        <w:pStyle w:val="naislab"/>
        <w:spacing w:before="120" w:after="120"/>
        <w:jc w:val="left"/>
      </w:pPr>
      <w:r>
        <w:t>18.04.2016 15:25</w:t>
      </w:r>
      <w:bookmarkStart w:id="0" w:name="_GoBack"/>
      <w:bookmarkEnd w:id="0"/>
    </w:p>
    <w:p w:rsidR="006C6C78" w:rsidRPr="00871EA5" w:rsidRDefault="007F65C9" w:rsidP="00871EA5">
      <w:pPr>
        <w:pStyle w:val="naislab"/>
        <w:spacing w:before="120" w:after="120"/>
        <w:jc w:val="left"/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="00881663">
        <w:rPr>
          <w:noProof/>
        </w:rPr>
        <w:t>604</w:t>
      </w:r>
      <w:r>
        <w:rPr>
          <w:noProof/>
        </w:rPr>
        <w:fldChar w:fldCharType="end"/>
      </w:r>
    </w:p>
    <w:p w:rsidR="006C6C78" w:rsidRPr="00BC22C6" w:rsidRDefault="000F3E0C" w:rsidP="00871EA5">
      <w:pPr>
        <w:pStyle w:val="naislab"/>
        <w:spacing w:before="120" w:after="120"/>
        <w:jc w:val="left"/>
      </w:pPr>
      <w:r w:rsidRPr="00BC22C6">
        <w:t>Līga Mičule</w:t>
      </w:r>
    </w:p>
    <w:p w:rsidR="006C6C78" w:rsidRPr="00871EA5" w:rsidRDefault="007F65C9" w:rsidP="00871EA5">
      <w:pPr>
        <w:pStyle w:val="naislab"/>
        <w:spacing w:before="120" w:after="120"/>
        <w:jc w:val="left"/>
      </w:pPr>
      <w:hyperlink r:id="rId13" w:history="1">
        <w:r w:rsidR="000F3E0C" w:rsidRPr="00BC22C6">
          <w:rPr>
            <w:rStyle w:val="Hyperlink"/>
            <w:color w:val="auto"/>
            <w:u w:val="none"/>
          </w:rPr>
          <w:t>Liga.Micule@em.gov.lv</w:t>
        </w:r>
      </w:hyperlink>
      <w:r w:rsidR="006C6C78" w:rsidRPr="00871EA5">
        <w:t>, 67013</w:t>
      </w:r>
      <w:r w:rsidR="000F3E0C" w:rsidRPr="00871EA5">
        <w:t>093</w:t>
      </w:r>
      <w:r w:rsidR="006C6C78" w:rsidRPr="00871EA5">
        <w:t xml:space="preserve"> </w:t>
      </w:r>
    </w:p>
    <w:sectPr w:rsidR="006C6C78" w:rsidRPr="00871EA5" w:rsidSect="00F153E0">
      <w:headerReference w:type="default" r:id="rId14"/>
      <w:footerReference w:type="default" r:id="rId15"/>
      <w:footerReference w:type="first" r:id="rId16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5C9" w:rsidRDefault="007F65C9" w:rsidP="007A42C7">
      <w:pPr>
        <w:spacing w:after="0" w:line="240" w:lineRule="auto"/>
      </w:pPr>
      <w:r>
        <w:separator/>
      </w:r>
    </w:p>
  </w:endnote>
  <w:endnote w:type="continuationSeparator" w:id="0">
    <w:p w:rsidR="007F65C9" w:rsidRDefault="007F65C9" w:rsidP="007A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2C7" w:rsidRPr="0019496F" w:rsidRDefault="008C4801" w:rsidP="00F52EF1">
    <w:pPr>
      <w:pStyle w:val="Footer"/>
      <w:jc w:val="both"/>
      <w:rPr>
        <w:rFonts w:ascii="Times New Roman" w:hAnsi="Times New Roman" w:cs="Times New Roman"/>
        <w:sz w:val="24"/>
        <w:szCs w:val="24"/>
      </w:rPr>
    </w:pPr>
    <w:r w:rsidRPr="0019496F">
      <w:rPr>
        <w:rFonts w:ascii="Times New Roman" w:hAnsi="Times New Roman" w:cs="Times New Roman"/>
        <w:sz w:val="24"/>
        <w:szCs w:val="24"/>
      </w:rPr>
      <w:fldChar w:fldCharType="begin"/>
    </w:r>
    <w:r w:rsidRPr="0019496F">
      <w:rPr>
        <w:rFonts w:ascii="Times New Roman" w:hAnsi="Times New Roman" w:cs="Times New Roman"/>
        <w:sz w:val="24"/>
        <w:szCs w:val="24"/>
      </w:rPr>
      <w:instrText xml:space="preserve"> FILENAME   \* MERGEFORMAT </w:instrText>
    </w:r>
    <w:r w:rsidRPr="0019496F">
      <w:rPr>
        <w:rFonts w:ascii="Times New Roman" w:hAnsi="Times New Roman" w:cs="Times New Roman"/>
        <w:sz w:val="24"/>
        <w:szCs w:val="24"/>
      </w:rPr>
      <w:fldChar w:fldCharType="separate"/>
    </w:r>
    <w:r w:rsidR="00881663">
      <w:rPr>
        <w:rFonts w:ascii="Times New Roman" w:hAnsi="Times New Roman" w:cs="Times New Roman"/>
        <w:noProof/>
        <w:sz w:val="24"/>
        <w:szCs w:val="24"/>
      </w:rPr>
      <w:t>EMNotp_1214_18042016.docx</w:t>
    </w:r>
    <w:r w:rsidRPr="0019496F">
      <w:rPr>
        <w:rFonts w:ascii="Times New Roman" w:hAnsi="Times New Roman" w:cs="Times New Roman"/>
        <w:sz w:val="24"/>
        <w:szCs w:val="24"/>
      </w:rPr>
      <w:fldChar w:fldCharType="end"/>
    </w:r>
    <w:r w:rsidR="007A42C7" w:rsidRPr="0019496F">
      <w:rPr>
        <w:rFonts w:ascii="Times New Roman" w:hAnsi="Times New Roman" w:cs="Times New Roman"/>
        <w:sz w:val="24"/>
        <w:szCs w:val="24"/>
      </w:rPr>
      <w:t xml:space="preserve">; </w:t>
    </w:r>
    <w:r w:rsidRPr="0019496F">
      <w:rPr>
        <w:rFonts w:ascii="Times New Roman" w:hAnsi="Times New Roman" w:cs="Times New Roman"/>
        <w:sz w:val="24"/>
        <w:szCs w:val="24"/>
      </w:rPr>
      <w:t>Darbības programmas „Izaugsme un nodarbinātība” 1.2.1.specifiskā atbalsta mērķa „Palielināt privātā sektora investīcijas P&amp;A” 1.2.1.4.pasākuma „Atbalsts jaunu produktu ieviešanai ražošanā” īstenošanas noteikumi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84B" w:rsidRPr="00C2119C" w:rsidRDefault="008C4801" w:rsidP="00A1384B">
    <w:pPr>
      <w:pStyle w:val="Footer"/>
      <w:jc w:val="both"/>
      <w:rPr>
        <w:sz w:val="24"/>
        <w:szCs w:val="24"/>
      </w:rPr>
    </w:pPr>
    <w:r w:rsidRPr="00C2119C">
      <w:rPr>
        <w:rFonts w:ascii="Times New Roman" w:hAnsi="Times New Roman" w:cs="Times New Roman"/>
        <w:sz w:val="24"/>
        <w:szCs w:val="24"/>
      </w:rPr>
      <w:fldChar w:fldCharType="begin"/>
    </w:r>
    <w:r w:rsidRPr="00C2119C">
      <w:rPr>
        <w:rFonts w:ascii="Times New Roman" w:hAnsi="Times New Roman" w:cs="Times New Roman"/>
        <w:sz w:val="24"/>
        <w:szCs w:val="24"/>
      </w:rPr>
      <w:instrText xml:space="preserve"> FILENAME   \* MERGEFORMAT </w:instrText>
    </w:r>
    <w:r w:rsidRPr="00C2119C">
      <w:rPr>
        <w:rFonts w:ascii="Times New Roman" w:hAnsi="Times New Roman" w:cs="Times New Roman"/>
        <w:sz w:val="24"/>
        <w:szCs w:val="24"/>
      </w:rPr>
      <w:fldChar w:fldCharType="separate"/>
    </w:r>
    <w:r w:rsidR="00881663">
      <w:rPr>
        <w:rFonts w:ascii="Times New Roman" w:hAnsi="Times New Roman" w:cs="Times New Roman"/>
        <w:noProof/>
        <w:sz w:val="24"/>
        <w:szCs w:val="24"/>
      </w:rPr>
      <w:t>EMNotp_1214_18042016.docx</w:t>
    </w:r>
    <w:r w:rsidRPr="00C2119C">
      <w:rPr>
        <w:rFonts w:ascii="Times New Roman" w:hAnsi="Times New Roman" w:cs="Times New Roman"/>
        <w:sz w:val="24"/>
        <w:szCs w:val="24"/>
      </w:rPr>
      <w:fldChar w:fldCharType="end"/>
    </w:r>
    <w:r w:rsidR="00A1384B" w:rsidRPr="00C2119C">
      <w:rPr>
        <w:rFonts w:ascii="Times New Roman" w:hAnsi="Times New Roman" w:cs="Times New Roman"/>
        <w:sz w:val="24"/>
        <w:szCs w:val="24"/>
      </w:rPr>
      <w:t xml:space="preserve">; </w:t>
    </w:r>
    <w:r w:rsidRPr="00C2119C">
      <w:rPr>
        <w:rFonts w:ascii="Times New Roman" w:hAnsi="Times New Roman" w:cs="Times New Roman"/>
        <w:sz w:val="24"/>
        <w:szCs w:val="24"/>
      </w:rPr>
      <w:t>Darbības programmas „Izaugsme un nodarbinātība” 1.2.1.specifiskā atbalsta mērķa „Palielināt privātā sektora investīcijas P&amp;A” 1.2.1.4.pasākuma „Atbalsts jaunu produktu ieviešanai ražošanā” īstenošanas noteikumi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5C9" w:rsidRDefault="007F65C9" w:rsidP="007A42C7">
      <w:pPr>
        <w:spacing w:after="0" w:line="240" w:lineRule="auto"/>
      </w:pPr>
      <w:r>
        <w:separator/>
      </w:r>
    </w:p>
  </w:footnote>
  <w:footnote w:type="continuationSeparator" w:id="0">
    <w:p w:rsidR="007F65C9" w:rsidRDefault="007F65C9" w:rsidP="007A4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170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153E0" w:rsidRPr="00F153E0" w:rsidRDefault="004014E6">
        <w:pPr>
          <w:pStyle w:val="Header"/>
          <w:jc w:val="center"/>
          <w:rPr>
            <w:rFonts w:ascii="Times New Roman" w:hAnsi="Times New Roman" w:cs="Times New Roman"/>
          </w:rPr>
        </w:pPr>
        <w:r w:rsidRPr="00F153E0">
          <w:rPr>
            <w:rFonts w:ascii="Times New Roman" w:hAnsi="Times New Roman" w:cs="Times New Roman"/>
          </w:rPr>
          <w:fldChar w:fldCharType="begin"/>
        </w:r>
        <w:r w:rsidR="00F153E0" w:rsidRPr="00F153E0">
          <w:rPr>
            <w:rFonts w:ascii="Times New Roman" w:hAnsi="Times New Roman" w:cs="Times New Roman"/>
          </w:rPr>
          <w:instrText xml:space="preserve"> PAGE   \* MERGEFORMAT </w:instrText>
        </w:r>
        <w:r w:rsidRPr="00F153E0">
          <w:rPr>
            <w:rFonts w:ascii="Times New Roman" w:hAnsi="Times New Roman" w:cs="Times New Roman"/>
          </w:rPr>
          <w:fldChar w:fldCharType="separate"/>
        </w:r>
        <w:r w:rsidR="0007216D">
          <w:rPr>
            <w:rFonts w:ascii="Times New Roman" w:hAnsi="Times New Roman" w:cs="Times New Roman"/>
            <w:noProof/>
          </w:rPr>
          <w:t>2</w:t>
        </w:r>
        <w:r w:rsidRPr="00F153E0">
          <w:rPr>
            <w:rFonts w:ascii="Times New Roman" w:hAnsi="Times New Roman" w:cs="Times New Roman"/>
          </w:rPr>
          <w:fldChar w:fldCharType="end"/>
        </w:r>
      </w:p>
    </w:sdtContent>
  </w:sdt>
  <w:p w:rsidR="00F153E0" w:rsidRPr="0019496F" w:rsidRDefault="00F153E0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9F"/>
    <w:rsid w:val="00004D0E"/>
    <w:rsid w:val="0003224B"/>
    <w:rsid w:val="00042CC1"/>
    <w:rsid w:val="000476F2"/>
    <w:rsid w:val="0005188D"/>
    <w:rsid w:val="00053596"/>
    <w:rsid w:val="0007216D"/>
    <w:rsid w:val="00072637"/>
    <w:rsid w:val="00074AF5"/>
    <w:rsid w:val="000757D5"/>
    <w:rsid w:val="0008363E"/>
    <w:rsid w:val="00086D6D"/>
    <w:rsid w:val="00096057"/>
    <w:rsid w:val="000C5A03"/>
    <w:rsid w:val="000D1DBE"/>
    <w:rsid w:val="000E5058"/>
    <w:rsid w:val="000E7794"/>
    <w:rsid w:val="000F3E0C"/>
    <w:rsid w:val="00103DE8"/>
    <w:rsid w:val="00117699"/>
    <w:rsid w:val="00123BD3"/>
    <w:rsid w:val="0013022D"/>
    <w:rsid w:val="00133FB8"/>
    <w:rsid w:val="00136965"/>
    <w:rsid w:val="001376E8"/>
    <w:rsid w:val="00145114"/>
    <w:rsid w:val="0015342A"/>
    <w:rsid w:val="00154FCE"/>
    <w:rsid w:val="0016065C"/>
    <w:rsid w:val="0017363B"/>
    <w:rsid w:val="00184AB7"/>
    <w:rsid w:val="0019496F"/>
    <w:rsid w:val="00195C6A"/>
    <w:rsid w:val="0019628F"/>
    <w:rsid w:val="001A3E2A"/>
    <w:rsid w:val="001A713A"/>
    <w:rsid w:val="001D6240"/>
    <w:rsid w:val="001E0737"/>
    <w:rsid w:val="001E439B"/>
    <w:rsid w:val="001F0C67"/>
    <w:rsid w:val="001F3009"/>
    <w:rsid w:val="00207A0D"/>
    <w:rsid w:val="002103E9"/>
    <w:rsid w:val="00231556"/>
    <w:rsid w:val="00234A09"/>
    <w:rsid w:val="0027724C"/>
    <w:rsid w:val="002801EC"/>
    <w:rsid w:val="00285C46"/>
    <w:rsid w:val="00294A44"/>
    <w:rsid w:val="002A0654"/>
    <w:rsid w:val="002A286C"/>
    <w:rsid w:val="002C5303"/>
    <w:rsid w:val="002C5696"/>
    <w:rsid w:val="003038E8"/>
    <w:rsid w:val="00306034"/>
    <w:rsid w:val="00323536"/>
    <w:rsid w:val="00324298"/>
    <w:rsid w:val="003354B8"/>
    <w:rsid w:val="003575D3"/>
    <w:rsid w:val="003604AC"/>
    <w:rsid w:val="00385808"/>
    <w:rsid w:val="00385B07"/>
    <w:rsid w:val="00386B8C"/>
    <w:rsid w:val="00386F96"/>
    <w:rsid w:val="00392AB6"/>
    <w:rsid w:val="003D2B46"/>
    <w:rsid w:val="003E39E5"/>
    <w:rsid w:val="003E50DA"/>
    <w:rsid w:val="003F3302"/>
    <w:rsid w:val="004014E6"/>
    <w:rsid w:val="00406953"/>
    <w:rsid w:val="00412E7D"/>
    <w:rsid w:val="00442355"/>
    <w:rsid w:val="00446C8D"/>
    <w:rsid w:val="00456AB8"/>
    <w:rsid w:val="00474B29"/>
    <w:rsid w:val="004804E8"/>
    <w:rsid w:val="00482928"/>
    <w:rsid w:val="0048311F"/>
    <w:rsid w:val="00490B7E"/>
    <w:rsid w:val="0049421E"/>
    <w:rsid w:val="00495EB1"/>
    <w:rsid w:val="004B1191"/>
    <w:rsid w:val="004C6338"/>
    <w:rsid w:val="004D65E2"/>
    <w:rsid w:val="004E2B0D"/>
    <w:rsid w:val="004E4FCE"/>
    <w:rsid w:val="00507419"/>
    <w:rsid w:val="00507945"/>
    <w:rsid w:val="00510533"/>
    <w:rsid w:val="0051404E"/>
    <w:rsid w:val="00525CB7"/>
    <w:rsid w:val="00541A36"/>
    <w:rsid w:val="00542026"/>
    <w:rsid w:val="00551EDC"/>
    <w:rsid w:val="00553007"/>
    <w:rsid w:val="005627CE"/>
    <w:rsid w:val="0057528A"/>
    <w:rsid w:val="005A0A5B"/>
    <w:rsid w:val="005A16D9"/>
    <w:rsid w:val="005C04A4"/>
    <w:rsid w:val="005C13D4"/>
    <w:rsid w:val="005D768C"/>
    <w:rsid w:val="005E1472"/>
    <w:rsid w:val="005F52FF"/>
    <w:rsid w:val="005F7B91"/>
    <w:rsid w:val="006060CB"/>
    <w:rsid w:val="0062061F"/>
    <w:rsid w:val="00621A14"/>
    <w:rsid w:val="00627D76"/>
    <w:rsid w:val="0063381B"/>
    <w:rsid w:val="00636462"/>
    <w:rsid w:val="0064114B"/>
    <w:rsid w:val="006505E5"/>
    <w:rsid w:val="006563BE"/>
    <w:rsid w:val="00660766"/>
    <w:rsid w:val="00663EB5"/>
    <w:rsid w:val="006660DE"/>
    <w:rsid w:val="00667CB5"/>
    <w:rsid w:val="006704A6"/>
    <w:rsid w:val="00674588"/>
    <w:rsid w:val="00676FE6"/>
    <w:rsid w:val="006778B0"/>
    <w:rsid w:val="006937BD"/>
    <w:rsid w:val="00697A58"/>
    <w:rsid w:val="006A2CD1"/>
    <w:rsid w:val="006C0714"/>
    <w:rsid w:val="006C29D6"/>
    <w:rsid w:val="006C6C78"/>
    <w:rsid w:val="006C6DA9"/>
    <w:rsid w:val="006C6E43"/>
    <w:rsid w:val="006D1ADA"/>
    <w:rsid w:val="006D308E"/>
    <w:rsid w:val="006D55D1"/>
    <w:rsid w:val="007008EE"/>
    <w:rsid w:val="00723479"/>
    <w:rsid w:val="007334ED"/>
    <w:rsid w:val="0076132D"/>
    <w:rsid w:val="0076392F"/>
    <w:rsid w:val="00765D15"/>
    <w:rsid w:val="00770B4C"/>
    <w:rsid w:val="00781DFE"/>
    <w:rsid w:val="007A42C7"/>
    <w:rsid w:val="007B1C4B"/>
    <w:rsid w:val="007B3DB5"/>
    <w:rsid w:val="007C0BB0"/>
    <w:rsid w:val="007F65C9"/>
    <w:rsid w:val="008061DE"/>
    <w:rsid w:val="00806D0E"/>
    <w:rsid w:val="0081459F"/>
    <w:rsid w:val="008204A6"/>
    <w:rsid w:val="00820B54"/>
    <w:rsid w:val="0084150C"/>
    <w:rsid w:val="00863F91"/>
    <w:rsid w:val="00865D13"/>
    <w:rsid w:val="008711A6"/>
    <w:rsid w:val="00871EA5"/>
    <w:rsid w:val="00880BA4"/>
    <w:rsid w:val="00881319"/>
    <w:rsid w:val="00881663"/>
    <w:rsid w:val="00896EC7"/>
    <w:rsid w:val="008A4930"/>
    <w:rsid w:val="008B3E34"/>
    <w:rsid w:val="008C4801"/>
    <w:rsid w:val="008D18C2"/>
    <w:rsid w:val="008D373C"/>
    <w:rsid w:val="008E25F8"/>
    <w:rsid w:val="008F3AF4"/>
    <w:rsid w:val="00915001"/>
    <w:rsid w:val="00924014"/>
    <w:rsid w:val="00936BB1"/>
    <w:rsid w:val="0094234E"/>
    <w:rsid w:val="00955766"/>
    <w:rsid w:val="00964FE5"/>
    <w:rsid w:val="00981F9D"/>
    <w:rsid w:val="00987C31"/>
    <w:rsid w:val="009A6173"/>
    <w:rsid w:val="009B6F4F"/>
    <w:rsid w:val="009C6E31"/>
    <w:rsid w:val="009E392C"/>
    <w:rsid w:val="009F0EC5"/>
    <w:rsid w:val="00A0089D"/>
    <w:rsid w:val="00A1384B"/>
    <w:rsid w:val="00A13F59"/>
    <w:rsid w:val="00A35400"/>
    <w:rsid w:val="00A45E60"/>
    <w:rsid w:val="00A54396"/>
    <w:rsid w:val="00A5444E"/>
    <w:rsid w:val="00A56EA6"/>
    <w:rsid w:val="00A605BA"/>
    <w:rsid w:val="00A67A7A"/>
    <w:rsid w:val="00A72B00"/>
    <w:rsid w:val="00A73BA2"/>
    <w:rsid w:val="00A754DB"/>
    <w:rsid w:val="00A8517F"/>
    <w:rsid w:val="00A93B16"/>
    <w:rsid w:val="00AA01BD"/>
    <w:rsid w:val="00AA25E6"/>
    <w:rsid w:val="00AB484A"/>
    <w:rsid w:val="00AB7AE1"/>
    <w:rsid w:val="00AC0ACB"/>
    <w:rsid w:val="00AD2AD8"/>
    <w:rsid w:val="00AE02A7"/>
    <w:rsid w:val="00AE7B9D"/>
    <w:rsid w:val="00AF0F97"/>
    <w:rsid w:val="00B03BED"/>
    <w:rsid w:val="00B25502"/>
    <w:rsid w:val="00B460D3"/>
    <w:rsid w:val="00B56F1D"/>
    <w:rsid w:val="00B7306B"/>
    <w:rsid w:val="00B87591"/>
    <w:rsid w:val="00BA02A0"/>
    <w:rsid w:val="00BA7ACC"/>
    <w:rsid w:val="00BB00F7"/>
    <w:rsid w:val="00BB15CE"/>
    <w:rsid w:val="00BC22C6"/>
    <w:rsid w:val="00BD0783"/>
    <w:rsid w:val="00BE76BC"/>
    <w:rsid w:val="00BF54BC"/>
    <w:rsid w:val="00BF5975"/>
    <w:rsid w:val="00C019A5"/>
    <w:rsid w:val="00C12703"/>
    <w:rsid w:val="00C2119C"/>
    <w:rsid w:val="00C21E2D"/>
    <w:rsid w:val="00C2520A"/>
    <w:rsid w:val="00C2745B"/>
    <w:rsid w:val="00C355D6"/>
    <w:rsid w:val="00C37D89"/>
    <w:rsid w:val="00C41A3D"/>
    <w:rsid w:val="00C4489F"/>
    <w:rsid w:val="00C53992"/>
    <w:rsid w:val="00C66756"/>
    <w:rsid w:val="00C73A18"/>
    <w:rsid w:val="00C75F2D"/>
    <w:rsid w:val="00C870E4"/>
    <w:rsid w:val="00C878E2"/>
    <w:rsid w:val="00CA57BD"/>
    <w:rsid w:val="00CA7F36"/>
    <w:rsid w:val="00CB166E"/>
    <w:rsid w:val="00CE0E25"/>
    <w:rsid w:val="00CE1E68"/>
    <w:rsid w:val="00CE4DF0"/>
    <w:rsid w:val="00CF2295"/>
    <w:rsid w:val="00D01B41"/>
    <w:rsid w:val="00D26F65"/>
    <w:rsid w:val="00D30DB8"/>
    <w:rsid w:val="00D4296B"/>
    <w:rsid w:val="00D45434"/>
    <w:rsid w:val="00D57BC1"/>
    <w:rsid w:val="00D61035"/>
    <w:rsid w:val="00D87A0A"/>
    <w:rsid w:val="00D87A6A"/>
    <w:rsid w:val="00DB1BAB"/>
    <w:rsid w:val="00DC6B0E"/>
    <w:rsid w:val="00DE3DD4"/>
    <w:rsid w:val="00DE556C"/>
    <w:rsid w:val="00E11B2B"/>
    <w:rsid w:val="00E1754C"/>
    <w:rsid w:val="00E3172C"/>
    <w:rsid w:val="00E467BE"/>
    <w:rsid w:val="00E6559A"/>
    <w:rsid w:val="00E669F5"/>
    <w:rsid w:val="00E76144"/>
    <w:rsid w:val="00E93985"/>
    <w:rsid w:val="00EB5534"/>
    <w:rsid w:val="00EB642A"/>
    <w:rsid w:val="00EF2971"/>
    <w:rsid w:val="00EF4DEA"/>
    <w:rsid w:val="00EF613B"/>
    <w:rsid w:val="00F02B2D"/>
    <w:rsid w:val="00F045EB"/>
    <w:rsid w:val="00F15088"/>
    <w:rsid w:val="00F153E0"/>
    <w:rsid w:val="00F17943"/>
    <w:rsid w:val="00F21513"/>
    <w:rsid w:val="00F32AD0"/>
    <w:rsid w:val="00F33BC4"/>
    <w:rsid w:val="00F37DD2"/>
    <w:rsid w:val="00F413E8"/>
    <w:rsid w:val="00F46AD9"/>
    <w:rsid w:val="00F52EF1"/>
    <w:rsid w:val="00F630DB"/>
    <w:rsid w:val="00F71017"/>
    <w:rsid w:val="00F85540"/>
    <w:rsid w:val="00F91214"/>
    <w:rsid w:val="00F97ACF"/>
    <w:rsid w:val="00FC0935"/>
    <w:rsid w:val="00FD4C09"/>
    <w:rsid w:val="00FE2EF9"/>
    <w:rsid w:val="00FE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14467-31A5-4754-97D8-9C0DEB49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5188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6C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C4489F"/>
    <w:pPr>
      <w:spacing w:before="22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nod">
    <w:name w:val="naisnod"/>
    <w:basedOn w:val="Normal"/>
    <w:rsid w:val="00C4489F"/>
    <w:pPr>
      <w:spacing w:before="225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islab">
    <w:name w:val="naislab"/>
    <w:basedOn w:val="Normal"/>
    <w:rsid w:val="00C4489F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489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5188D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paragraph" w:customStyle="1" w:styleId="naisc">
    <w:name w:val="naisc"/>
    <w:basedOn w:val="Normal"/>
    <w:rsid w:val="00F46AD9"/>
    <w:pPr>
      <w:spacing w:before="68" w:after="6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kr">
    <w:name w:val="naiskr"/>
    <w:basedOn w:val="Normal"/>
    <w:rsid w:val="00F46AD9"/>
    <w:pPr>
      <w:spacing w:before="68" w:after="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F46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46AD9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Strong">
    <w:name w:val="Strong"/>
    <w:basedOn w:val="DefaultParagraphFont"/>
    <w:qFormat/>
    <w:rsid w:val="00F46AD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A42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2C7"/>
  </w:style>
  <w:style w:type="paragraph" w:styleId="Footer">
    <w:name w:val="footer"/>
    <w:basedOn w:val="Normal"/>
    <w:link w:val="FooterChar"/>
    <w:uiPriority w:val="99"/>
    <w:unhideWhenUsed/>
    <w:rsid w:val="007A42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2C7"/>
  </w:style>
  <w:style w:type="character" w:customStyle="1" w:styleId="Heading3Char">
    <w:name w:val="Heading 3 Char"/>
    <w:basedOn w:val="DefaultParagraphFont"/>
    <w:link w:val="Heading3"/>
    <w:uiPriority w:val="9"/>
    <w:semiHidden/>
    <w:rsid w:val="006C6C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5F52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2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2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2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2FF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unhideWhenUsed/>
    <w:rsid w:val="00F045EB"/>
    <w:pPr>
      <w:keepLines/>
      <w:widowControl w:val="0"/>
      <w:spacing w:before="600" w:after="0" w:line="240" w:lineRule="auto"/>
    </w:pPr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Signature">
    <w:name w:val="Signature"/>
    <w:basedOn w:val="Normal"/>
    <w:next w:val="EnvelopeReturn"/>
    <w:link w:val="SignatureChar"/>
    <w:unhideWhenUsed/>
    <w:rsid w:val="00F045EB"/>
    <w:pPr>
      <w:keepNext/>
      <w:keepLines/>
      <w:widowControl w:val="0"/>
      <w:tabs>
        <w:tab w:val="right" w:pos="9072"/>
      </w:tabs>
      <w:suppressAutoHyphens/>
      <w:spacing w:before="600"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en-AU"/>
    </w:rPr>
  </w:style>
  <w:style w:type="character" w:customStyle="1" w:styleId="SignatureChar">
    <w:name w:val="Signature Char"/>
    <w:basedOn w:val="DefaultParagraphFont"/>
    <w:link w:val="Signature"/>
    <w:rsid w:val="00F045EB"/>
    <w:rPr>
      <w:rFonts w:ascii="Times New Roman" w:eastAsia="Times New Roman" w:hAnsi="Times New Roman" w:cs="Times New Roman"/>
      <w:sz w:val="26"/>
      <w:szCs w:val="20"/>
      <w:lang w:val="en-AU"/>
    </w:rPr>
  </w:style>
  <w:style w:type="paragraph" w:customStyle="1" w:styleId="tvhtml">
    <w:name w:val="tv_html"/>
    <w:basedOn w:val="Normal"/>
    <w:rsid w:val="00DE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vhtml1">
    <w:name w:val="tv_html1"/>
    <w:basedOn w:val="DefaultParagraphFont"/>
    <w:rsid w:val="00DE556C"/>
  </w:style>
  <w:style w:type="character" w:styleId="FollowedHyperlink">
    <w:name w:val="FollowedHyperlink"/>
    <w:basedOn w:val="DefaultParagraphFont"/>
    <w:uiPriority w:val="99"/>
    <w:semiHidden/>
    <w:unhideWhenUsed/>
    <w:rsid w:val="0092401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95E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reg/2014/651?locale=LV" TargetMode="External"/><Relationship Id="rId13" Type="http://schemas.openxmlformats.org/officeDocument/2006/relationships/hyperlink" Target="mailto:gatis.silovs@em.gov.l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eli/reg/2014/651?locale=LV" TargetMode="External"/><Relationship Id="rId12" Type="http://schemas.openxmlformats.org/officeDocument/2006/relationships/hyperlink" Target="http://eur-lex.europa.eu/eli/reg/2014/651?locale=L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ur-lex.europa.eu/eli/reg/2014/651?locale=L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eur-lex.europa.eu/eli/reg/2014/651?locale=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eli/reg/2014/651?locale=L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C372E-C1B5-4114-AAA7-021724C9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704</Words>
  <Characters>4713</Characters>
  <Application>Microsoft Office Word</Application>
  <DocSecurity>0</DocSecurity>
  <Lines>98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Darbības programmas „Izaugsme un nodarbinātība” 1.2.1.specifiskā atbalsta mērķa „Palielināt privātā sektora investīcijas P&amp;A” 1.2.1.4.pasākuma „Atbalsts jaunu produktu ieviešanai ražošanā” īstenošanas noteikumi</vt:lpstr>
    </vt:vector>
  </TitlesOfParts>
  <Company/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Darbības programmas „Izaugsme un nodarbinātība” 1.2.1.specifiskā atbalsta mērķa „Palielināt privātā sektora investīcijas P&amp;A” 1.2.1.4.pasākuma „Atbalsts jaunu produktu ieviešanai ražošanā” īstenošanas noteikumi</dc:title>
  <dc:subject>Pielikums</dc:subject>
  <dc:creator>Līga Mičule</dc:creator>
  <dc:description>Liga.Micule@em.gov.lv, 67013093</dc:description>
  <cp:lastModifiedBy>Līga Mičule</cp:lastModifiedBy>
  <cp:revision>20</cp:revision>
  <cp:lastPrinted>2016-02-14T16:02:00Z</cp:lastPrinted>
  <dcterms:created xsi:type="dcterms:W3CDTF">2016-02-27T13:44:00Z</dcterms:created>
  <dcterms:modified xsi:type="dcterms:W3CDTF">2016-04-18T12:25:00Z</dcterms:modified>
</cp:coreProperties>
</file>