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D2" w:rsidRPr="00D13B02" w:rsidRDefault="0047498B" w:rsidP="00852CD2">
      <w:pPr>
        <w:pStyle w:val="BodyText3"/>
        <w:jc w:val="center"/>
        <w:rPr>
          <w:i w:val="0"/>
          <w:sz w:val="26"/>
          <w:szCs w:val="26"/>
        </w:rPr>
      </w:pPr>
      <w:bookmarkStart w:id="0" w:name="OLE_LINK1"/>
      <w:bookmarkStart w:id="1" w:name="OLE_LINK2"/>
      <w:r w:rsidRPr="00D13B02">
        <w:rPr>
          <w:bCs/>
          <w:i w:val="0"/>
          <w:sz w:val="26"/>
          <w:szCs w:val="26"/>
        </w:rPr>
        <w:t>M</w:t>
      </w:r>
      <w:r w:rsidR="002B5BA9" w:rsidRPr="00D13B02">
        <w:rPr>
          <w:bCs/>
          <w:i w:val="0"/>
          <w:sz w:val="26"/>
          <w:szCs w:val="26"/>
        </w:rPr>
        <w:t xml:space="preserve">inistru kabineta noteikumu </w:t>
      </w:r>
      <w:r w:rsidR="00852CD2" w:rsidRPr="00D13B02">
        <w:rPr>
          <w:bCs/>
          <w:i w:val="0"/>
          <w:sz w:val="26"/>
          <w:szCs w:val="26"/>
        </w:rPr>
        <w:t>„Grozījumi Ministru kabineta</w:t>
      </w:r>
      <w:r w:rsidR="00852CD2" w:rsidRPr="00D13B02">
        <w:rPr>
          <w:bCs/>
          <w:sz w:val="26"/>
          <w:szCs w:val="26"/>
        </w:rPr>
        <w:t xml:space="preserve"> </w:t>
      </w:r>
      <w:r w:rsidR="00852CD2" w:rsidRPr="00D13B02">
        <w:rPr>
          <w:bCs/>
          <w:i w:val="0"/>
          <w:sz w:val="26"/>
          <w:szCs w:val="26"/>
        </w:rPr>
        <w:t>2010.gada 21.jūnija</w:t>
      </w:r>
      <w:r w:rsidR="00852CD2" w:rsidRPr="00D13B02">
        <w:rPr>
          <w:i w:val="0"/>
          <w:sz w:val="26"/>
          <w:szCs w:val="26"/>
        </w:rPr>
        <w:t xml:space="preserve"> n</w:t>
      </w:r>
      <w:r w:rsidR="00852CD2" w:rsidRPr="00D13B02">
        <w:rPr>
          <w:bCs/>
          <w:i w:val="0"/>
          <w:sz w:val="26"/>
          <w:szCs w:val="26"/>
        </w:rPr>
        <w:t>oteikumos</w:t>
      </w:r>
      <w:r w:rsidR="00852CD2" w:rsidRPr="00D13B02">
        <w:rPr>
          <w:bCs/>
          <w:sz w:val="26"/>
          <w:szCs w:val="26"/>
        </w:rPr>
        <w:t xml:space="preserve"> </w:t>
      </w:r>
      <w:r w:rsidR="00852CD2" w:rsidRPr="00D13B02">
        <w:rPr>
          <w:bCs/>
          <w:i w:val="0"/>
          <w:sz w:val="26"/>
          <w:szCs w:val="26"/>
        </w:rPr>
        <w:t>Nr.541</w:t>
      </w:r>
      <w:r w:rsidR="00852CD2" w:rsidRPr="00D13B02">
        <w:rPr>
          <w:bCs/>
          <w:sz w:val="26"/>
          <w:szCs w:val="26"/>
        </w:rPr>
        <w:t xml:space="preserve"> „</w:t>
      </w:r>
      <w:r w:rsidR="00852CD2" w:rsidRPr="00D13B02">
        <w:rPr>
          <w:i w:val="0"/>
          <w:sz w:val="26"/>
          <w:szCs w:val="26"/>
        </w:rPr>
        <w:t xml:space="preserve">Noteikumi par valsts un pašvaldību institūciju </w:t>
      </w:r>
    </w:p>
    <w:p w:rsidR="00852CD2" w:rsidRPr="00D13B02" w:rsidRDefault="00852CD2" w:rsidP="00852CD2">
      <w:pPr>
        <w:pStyle w:val="BodyText3"/>
        <w:jc w:val="center"/>
        <w:rPr>
          <w:b w:val="0"/>
          <w:sz w:val="26"/>
          <w:szCs w:val="26"/>
        </w:rPr>
      </w:pPr>
      <w:r w:rsidRPr="00D13B02">
        <w:rPr>
          <w:i w:val="0"/>
          <w:sz w:val="26"/>
          <w:szCs w:val="26"/>
        </w:rPr>
        <w:t>amatpersonu un darbinieku atlīdzības uzskaites sistēmu”</w:t>
      </w:r>
      <w:r w:rsidR="008D76BC" w:rsidRPr="00D13B02">
        <w:rPr>
          <w:i w:val="0"/>
          <w:sz w:val="26"/>
          <w:szCs w:val="26"/>
        </w:rPr>
        <w:t>”</w:t>
      </w:r>
    </w:p>
    <w:p w:rsidR="0070526D" w:rsidRPr="00D13B02" w:rsidRDefault="002B5BA9" w:rsidP="003E67CA">
      <w:pPr>
        <w:pStyle w:val="BodyText3"/>
        <w:jc w:val="center"/>
        <w:rPr>
          <w:bCs/>
          <w:i w:val="0"/>
          <w:sz w:val="26"/>
          <w:szCs w:val="26"/>
        </w:rPr>
      </w:pPr>
      <w:r w:rsidRPr="00D13B02">
        <w:rPr>
          <w:i w:val="0"/>
          <w:sz w:val="26"/>
          <w:szCs w:val="26"/>
        </w:rPr>
        <w:t xml:space="preserve"> projekta </w:t>
      </w:r>
      <w:bookmarkEnd w:id="0"/>
      <w:bookmarkEnd w:id="1"/>
      <w:r w:rsidR="003E67CA" w:rsidRPr="00D13B02">
        <w:rPr>
          <w:bCs/>
          <w:i w:val="0"/>
          <w:sz w:val="26"/>
          <w:szCs w:val="26"/>
        </w:rPr>
        <w:t>sākotnējās</w:t>
      </w:r>
      <w:r w:rsidR="005A74FF" w:rsidRPr="00D13B02">
        <w:rPr>
          <w:bCs/>
          <w:i w:val="0"/>
          <w:sz w:val="26"/>
          <w:szCs w:val="26"/>
        </w:rPr>
        <w:t xml:space="preserve"> </w:t>
      </w:r>
      <w:r w:rsidR="003E67CA" w:rsidRPr="00D13B02">
        <w:rPr>
          <w:bCs/>
          <w:i w:val="0"/>
          <w:sz w:val="26"/>
          <w:szCs w:val="26"/>
        </w:rPr>
        <w:t>ietekmes novērtējuma ziņojums (anotācija)</w:t>
      </w:r>
    </w:p>
    <w:p w:rsidR="0024678C" w:rsidRPr="00D13B02" w:rsidRDefault="0024678C" w:rsidP="0024678C">
      <w:pPr>
        <w:pStyle w:val="BodyText3"/>
        <w:jc w:val="center"/>
        <w:rPr>
          <w:i w:val="0"/>
          <w:sz w:val="26"/>
          <w:szCs w:val="26"/>
        </w:rPr>
      </w:pPr>
    </w:p>
    <w:tbl>
      <w:tblPr>
        <w:tblW w:w="975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028"/>
        <w:gridCol w:w="7371"/>
      </w:tblGrid>
      <w:tr w:rsidR="00D13B02" w:rsidRPr="00D13B02" w:rsidTr="00FC1B30">
        <w:trPr>
          <w:tblCellSpacing w:w="0" w:type="dxa"/>
        </w:trPr>
        <w:tc>
          <w:tcPr>
            <w:tcW w:w="9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26D" w:rsidRPr="00D13B02" w:rsidRDefault="0070526D" w:rsidP="00062334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</w:pPr>
            <w:r w:rsidRPr="00D13B0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izstrādes nepieciešamība</w:t>
            </w:r>
          </w:p>
          <w:p w:rsidR="00062334" w:rsidRPr="00D13B02" w:rsidRDefault="00062334" w:rsidP="00C030E6">
            <w:pPr>
              <w:pStyle w:val="ListParagraph"/>
              <w:ind w:left="840"/>
              <w:rPr>
                <w:rFonts w:eastAsia="Times New Roman" w:cs="Times New Roman"/>
                <w:sz w:val="26"/>
                <w:szCs w:val="26"/>
                <w:lang w:eastAsia="lv-LV"/>
              </w:rPr>
            </w:pPr>
          </w:p>
        </w:tc>
      </w:tr>
      <w:tr w:rsidR="00D13B02" w:rsidRPr="00D13B02" w:rsidTr="00FC6E03">
        <w:trPr>
          <w:trHeight w:val="630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2CD2" w:rsidRPr="00D13B02" w:rsidRDefault="00852CD2" w:rsidP="0024678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71E2" w:rsidRDefault="00852CD2" w:rsidP="0024678C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Pamatojums</w:t>
            </w: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P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3671E2" w:rsidRDefault="003671E2" w:rsidP="003671E2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  <w:p w:rsidR="00852CD2" w:rsidRPr="003671E2" w:rsidRDefault="00852CD2" w:rsidP="003671E2">
            <w:pPr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093A" w:rsidRPr="00FB093A" w:rsidRDefault="00FB093A" w:rsidP="00FB093A">
            <w:pPr>
              <w:ind w:firstLine="552"/>
              <w:jc w:val="both"/>
              <w:rPr>
                <w:sz w:val="24"/>
                <w:szCs w:val="24"/>
              </w:rPr>
            </w:pPr>
            <w:r w:rsidRPr="00D13B02">
              <w:rPr>
                <w:sz w:val="24"/>
                <w:szCs w:val="24"/>
              </w:rPr>
              <w:t>Ministru kabineta noteikumu</w:t>
            </w:r>
            <w:r>
              <w:rPr>
                <w:sz w:val="24"/>
                <w:szCs w:val="24"/>
              </w:rPr>
              <w:t xml:space="preserve"> projekta</w:t>
            </w:r>
            <w:r w:rsidRPr="00FB093A">
              <w:rPr>
                <w:sz w:val="24"/>
                <w:szCs w:val="24"/>
              </w:rPr>
              <w:t xml:space="preserve"> “Grozījumi Ministru kabineta 2010.gada 21.jūnija noteikumos Nr.541 “Noteikumi par valsts un pašvaldību institūciju amatpersonu un darbinieku atlīdzības uzskaites sistēmu””  (turpmāk – noteikumu projekts)</w:t>
            </w:r>
            <w:r>
              <w:rPr>
                <w:sz w:val="24"/>
                <w:szCs w:val="24"/>
              </w:rPr>
              <w:t xml:space="preserve"> </w:t>
            </w:r>
            <w:r w:rsidRPr="00FB093A">
              <w:rPr>
                <w:sz w:val="24"/>
                <w:szCs w:val="24"/>
              </w:rPr>
              <w:t>izstrādes nepieciešamība saistīta ar nepieciešamību korekti atspoguļot valsts pārvaldē nodarbināto skaitu, nodalot</w:t>
            </w:r>
            <w:r>
              <w:rPr>
                <w:sz w:val="24"/>
                <w:szCs w:val="24"/>
              </w:rPr>
              <w:t xml:space="preserve"> atsevišķi</w:t>
            </w:r>
            <w:r w:rsidRPr="00FB093A">
              <w:rPr>
                <w:sz w:val="24"/>
                <w:szCs w:val="24"/>
              </w:rPr>
              <w:t xml:space="preserve"> </w:t>
            </w:r>
            <w:r w:rsidR="00311A3F" w:rsidRPr="00311A3F">
              <w:rPr>
                <w:sz w:val="24"/>
                <w:szCs w:val="24"/>
              </w:rPr>
              <w:t xml:space="preserve">Eiropas Savienības struktūrfondu un Kohēzijas fonda </w:t>
            </w:r>
            <w:r w:rsidRPr="00FB093A">
              <w:rPr>
                <w:sz w:val="24"/>
                <w:szCs w:val="24"/>
              </w:rPr>
              <w:t xml:space="preserve">2014.-2020. plānošanas perioda </w:t>
            </w:r>
            <w:r w:rsidR="006C5BC2">
              <w:rPr>
                <w:sz w:val="24"/>
                <w:szCs w:val="24"/>
              </w:rPr>
              <w:t xml:space="preserve">specifiskā atbalsta </w:t>
            </w:r>
            <w:r w:rsidR="006C5BC2" w:rsidRPr="005A5386">
              <w:rPr>
                <w:sz w:val="24"/>
                <w:szCs w:val="24"/>
              </w:rPr>
              <w:t>mērķa</w:t>
            </w:r>
            <w:r w:rsidR="003E18A2" w:rsidRPr="005A5386">
              <w:rPr>
                <w:sz w:val="24"/>
                <w:szCs w:val="24"/>
              </w:rPr>
              <w:t xml:space="preserve"> vai</w:t>
            </w:r>
            <w:r w:rsidR="003E18A2" w:rsidRPr="003925CE">
              <w:rPr>
                <w:b/>
                <w:sz w:val="24"/>
                <w:szCs w:val="24"/>
              </w:rPr>
              <w:t xml:space="preserve"> </w:t>
            </w:r>
            <w:r w:rsidR="006C5BC2" w:rsidRPr="003925CE">
              <w:rPr>
                <w:sz w:val="24"/>
                <w:szCs w:val="24"/>
              </w:rPr>
              <w:t xml:space="preserve"> pasākuma</w:t>
            </w:r>
            <w:r w:rsidR="006C5BC2">
              <w:rPr>
                <w:sz w:val="24"/>
                <w:szCs w:val="24"/>
              </w:rPr>
              <w:t xml:space="preserve"> </w:t>
            </w:r>
            <w:r w:rsidRPr="00FB093A">
              <w:rPr>
                <w:sz w:val="24"/>
                <w:szCs w:val="24"/>
              </w:rPr>
              <w:t>projektu</w:t>
            </w:r>
            <w:r w:rsidR="003925CE">
              <w:rPr>
                <w:sz w:val="24"/>
                <w:szCs w:val="24"/>
              </w:rPr>
              <w:t xml:space="preserve"> vadībā un </w:t>
            </w:r>
            <w:r w:rsidRPr="00FB093A">
              <w:rPr>
                <w:sz w:val="24"/>
                <w:szCs w:val="24"/>
              </w:rPr>
              <w:t xml:space="preserve"> </w:t>
            </w:r>
            <w:r w:rsidR="00311A3F">
              <w:rPr>
                <w:sz w:val="24"/>
                <w:szCs w:val="24"/>
              </w:rPr>
              <w:t>īstenošanā</w:t>
            </w:r>
            <w:r w:rsidRPr="00FB093A">
              <w:rPr>
                <w:sz w:val="24"/>
                <w:szCs w:val="24"/>
              </w:rPr>
              <w:t xml:space="preserve"> </w:t>
            </w:r>
            <w:r w:rsidRPr="00B713EC">
              <w:rPr>
                <w:sz w:val="24"/>
                <w:szCs w:val="24"/>
              </w:rPr>
              <w:t>iesaistīto</w:t>
            </w:r>
            <w:r w:rsidR="00D74062" w:rsidRPr="00B713EC">
              <w:rPr>
                <w:sz w:val="24"/>
                <w:szCs w:val="24"/>
              </w:rPr>
              <w:t>s</w:t>
            </w:r>
            <w:r w:rsidRPr="00B713EC">
              <w:rPr>
                <w:sz w:val="24"/>
                <w:szCs w:val="24"/>
              </w:rPr>
              <w:t xml:space="preserve"> </w:t>
            </w:r>
            <w:r w:rsidR="00D74062" w:rsidRPr="00B713EC">
              <w:rPr>
                <w:sz w:val="24"/>
                <w:szCs w:val="24"/>
              </w:rPr>
              <w:t>ierēdņus un darbiniekus</w:t>
            </w:r>
            <w:r w:rsidR="00D74062" w:rsidRPr="00D74062">
              <w:rPr>
                <w:sz w:val="24"/>
                <w:szCs w:val="24"/>
              </w:rPr>
              <w:t xml:space="preserve"> </w:t>
            </w:r>
            <w:r w:rsidR="003925CE" w:rsidRPr="003925CE">
              <w:rPr>
                <w:sz w:val="24"/>
                <w:szCs w:val="24"/>
              </w:rPr>
              <w:t>ar terminētiem darba līgumiem</w:t>
            </w:r>
            <w:r w:rsidRPr="00FB093A">
              <w:rPr>
                <w:sz w:val="24"/>
                <w:szCs w:val="24"/>
              </w:rPr>
              <w:t>.</w:t>
            </w:r>
          </w:p>
          <w:p w:rsidR="00FB093A" w:rsidRPr="00D13B02" w:rsidRDefault="00FB093A" w:rsidP="00206F0E">
            <w:pPr>
              <w:ind w:firstLine="552"/>
              <w:jc w:val="both"/>
              <w:rPr>
                <w:sz w:val="24"/>
                <w:szCs w:val="24"/>
              </w:rPr>
            </w:pPr>
            <w:r w:rsidRPr="00FB093A">
              <w:rPr>
                <w:sz w:val="24"/>
                <w:szCs w:val="24"/>
              </w:rPr>
              <w:t xml:space="preserve"> Vienlaikus tiek precizēts identifikācijas kods saistībā ar 2015.gada 30.novembrī Saeimā pieņemtajiem grozījumiem Valsts un pašvaldību institūciju amatpersonu un darbinieku atlīdzības likumā, kas no 2016.gada 1.janvāra </w:t>
            </w:r>
            <w:r w:rsidR="006C5BC2">
              <w:rPr>
                <w:sz w:val="24"/>
                <w:szCs w:val="24"/>
              </w:rPr>
              <w:t>paredz</w:t>
            </w:r>
            <w:r w:rsidRPr="00FB093A">
              <w:rPr>
                <w:sz w:val="24"/>
                <w:szCs w:val="24"/>
              </w:rPr>
              <w:t xml:space="preserve"> izmaksāt reprezentācijas izdevumus Saeimas priekšsēdētājam, Ministru prezidentam un ministriem, līdz ar to nepieciešams sakārtot normatīvo regulējumu datu korektai atspoguļošanai atlīdzības uzskaites sistēmā.</w:t>
            </w:r>
          </w:p>
        </w:tc>
      </w:tr>
      <w:tr w:rsidR="00D13B02" w:rsidRPr="00D13B02" w:rsidTr="00FC6E03">
        <w:trPr>
          <w:trHeight w:val="472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CD29CB">
            <w:pPr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CD29CB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A5E" w:rsidRPr="00440451" w:rsidRDefault="00A16B49" w:rsidP="00F1200C">
            <w:pPr>
              <w:pStyle w:val="BodyText"/>
              <w:spacing w:after="0"/>
              <w:ind w:firstLine="529"/>
              <w:jc w:val="both"/>
              <w:rPr>
                <w:iCs/>
                <w:sz w:val="24"/>
                <w:szCs w:val="24"/>
              </w:rPr>
            </w:pPr>
            <w:r w:rsidRPr="00FB093A">
              <w:rPr>
                <w:iCs/>
                <w:sz w:val="24"/>
                <w:szCs w:val="24"/>
              </w:rPr>
              <w:t>Līdz ar izmaiņām, kas veiktas saistošajos normatīvajos aktos, nepieciešams veikt atbilst</w:t>
            </w:r>
            <w:r w:rsidR="00EB6795" w:rsidRPr="00FB093A">
              <w:rPr>
                <w:iCs/>
                <w:sz w:val="24"/>
                <w:szCs w:val="24"/>
              </w:rPr>
              <w:t>īgus</w:t>
            </w:r>
            <w:r w:rsidRPr="00FB093A">
              <w:rPr>
                <w:iCs/>
                <w:sz w:val="24"/>
                <w:szCs w:val="24"/>
              </w:rPr>
              <w:t xml:space="preserve"> grozījumus </w:t>
            </w:r>
            <w:r w:rsidRPr="00FB093A">
              <w:rPr>
                <w:sz w:val="24"/>
                <w:szCs w:val="24"/>
              </w:rPr>
              <w:t>Ministru kabineta 2010.gada 21.jūnija noteikumos Nr.541 „Noteikumi par valsts un pašvaldību institūciju amatpersonu un darbinieku atlīdzības uzskaites sistēmu”</w:t>
            </w:r>
            <w:r w:rsidRPr="00FB093A">
              <w:rPr>
                <w:b/>
                <w:sz w:val="24"/>
                <w:szCs w:val="24"/>
              </w:rPr>
              <w:t xml:space="preserve"> </w:t>
            </w:r>
            <w:r w:rsidRPr="00FB093A">
              <w:rPr>
                <w:sz w:val="24"/>
                <w:szCs w:val="24"/>
              </w:rPr>
              <w:t xml:space="preserve">(turpmāk – noteikumi), </w:t>
            </w:r>
            <w:r w:rsidR="00ED0B57" w:rsidRPr="00FB093A">
              <w:rPr>
                <w:iCs/>
                <w:sz w:val="24"/>
                <w:szCs w:val="24"/>
              </w:rPr>
              <w:t>l</w:t>
            </w:r>
            <w:r w:rsidR="00170A5E" w:rsidRPr="00FB093A">
              <w:rPr>
                <w:iCs/>
                <w:sz w:val="24"/>
                <w:szCs w:val="24"/>
              </w:rPr>
              <w:t xml:space="preserve">ai nodrošinātu viennozīmīgu un salīdzināmu informācijas ievadi </w:t>
            </w:r>
            <w:r w:rsidR="007831DC" w:rsidRPr="00FB093A">
              <w:rPr>
                <w:iCs/>
                <w:sz w:val="24"/>
                <w:szCs w:val="24"/>
              </w:rPr>
              <w:t>“V</w:t>
            </w:r>
            <w:r w:rsidR="007831DC" w:rsidRPr="00FB093A">
              <w:rPr>
                <w:sz w:val="24"/>
                <w:szCs w:val="24"/>
              </w:rPr>
              <w:t xml:space="preserve">alsts un </w:t>
            </w:r>
            <w:r w:rsidR="007831DC" w:rsidRPr="00440451">
              <w:rPr>
                <w:sz w:val="24"/>
                <w:szCs w:val="24"/>
              </w:rPr>
              <w:t>pašvaldību institūciju amatpersonu un darbinieku atlīdzības uzskaites sistēmā”</w:t>
            </w:r>
            <w:r w:rsidR="00170A5E" w:rsidRPr="00440451">
              <w:rPr>
                <w:iCs/>
                <w:sz w:val="24"/>
                <w:szCs w:val="24"/>
              </w:rPr>
              <w:t>.</w:t>
            </w:r>
          </w:p>
          <w:p w:rsidR="00FB093A" w:rsidRPr="005A5386" w:rsidRDefault="00FB093A" w:rsidP="00FB093A">
            <w:pPr>
              <w:pStyle w:val="naisvisr"/>
              <w:spacing w:before="0" w:beforeAutospacing="0" w:after="0" w:afterAutospacing="0"/>
              <w:jc w:val="both"/>
            </w:pPr>
            <w:r w:rsidRPr="005A5386">
              <w:t>Noteikumu projekts paredz šādus tehniskus precizējumus:</w:t>
            </w:r>
          </w:p>
          <w:p w:rsidR="00440451" w:rsidRPr="005A5386" w:rsidRDefault="00440451" w:rsidP="00440451">
            <w:pPr>
              <w:jc w:val="both"/>
              <w:rPr>
                <w:sz w:val="24"/>
                <w:szCs w:val="24"/>
              </w:rPr>
            </w:pPr>
            <w:r w:rsidRPr="005A5386">
              <w:rPr>
                <w:sz w:val="24"/>
                <w:szCs w:val="24"/>
              </w:rPr>
              <w:t xml:space="preserve">1. </w:t>
            </w:r>
            <w:r w:rsidR="00FB093A" w:rsidRPr="005A5386">
              <w:rPr>
                <w:sz w:val="24"/>
                <w:szCs w:val="24"/>
              </w:rPr>
              <w:t>Nodarbināto grupu nosaukumos, amatpersonas (darbinieka) statusa nosaukumos un amata statusa nosaukumos atsevišķi nodalīt E</w:t>
            </w:r>
            <w:r w:rsidR="003E18A2" w:rsidRPr="005A5386">
              <w:rPr>
                <w:sz w:val="24"/>
                <w:szCs w:val="24"/>
              </w:rPr>
              <w:t xml:space="preserve">iropas Savienības struktūrfondu </w:t>
            </w:r>
            <w:r w:rsidRPr="005A5386">
              <w:rPr>
                <w:sz w:val="24"/>
                <w:szCs w:val="24"/>
              </w:rPr>
              <w:t xml:space="preserve">un Kohēzijas fonda </w:t>
            </w:r>
            <w:r w:rsidR="00FB093A" w:rsidRPr="005A5386">
              <w:rPr>
                <w:sz w:val="24"/>
                <w:szCs w:val="24"/>
              </w:rPr>
              <w:t xml:space="preserve">2014.-2020. plānošanas perioda </w:t>
            </w:r>
            <w:r w:rsidR="006C5BC2" w:rsidRPr="005A5386">
              <w:rPr>
                <w:sz w:val="24"/>
                <w:szCs w:val="24"/>
              </w:rPr>
              <w:t>specifiskā atbalsta mērķa</w:t>
            </w:r>
            <w:r w:rsidR="0007159D" w:rsidRPr="005A5386">
              <w:rPr>
                <w:sz w:val="24"/>
                <w:szCs w:val="24"/>
              </w:rPr>
              <w:t xml:space="preserve"> vai</w:t>
            </w:r>
            <w:r w:rsidR="006C5BC2" w:rsidRPr="005A5386">
              <w:rPr>
                <w:sz w:val="24"/>
                <w:szCs w:val="24"/>
              </w:rPr>
              <w:t xml:space="preserve"> pasākuma </w:t>
            </w:r>
            <w:r w:rsidR="0007159D" w:rsidRPr="005A5386">
              <w:rPr>
                <w:sz w:val="24"/>
                <w:szCs w:val="24"/>
              </w:rPr>
              <w:t>projekta</w:t>
            </w:r>
            <w:r w:rsidR="00FB093A" w:rsidRPr="005A5386">
              <w:rPr>
                <w:sz w:val="24"/>
                <w:szCs w:val="24"/>
              </w:rPr>
              <w:t xml:space="preserve"> </w:t>
            </w:r>
            <w:r w:rsidR="00C02E64" w:rsidRPr="005A5386">
              <w:rPr>
                <w:sz w:val="24"/>
                <w:szCs w:val="24"/>
              </w:rPr>
              <w:t xml:space="preserve">vadībā un </w:t>
            </w:r>
            <w:r w:rsidRPr="005A5386">
              <w:rPr>
                <w:sz w:val="24"/>
                <w:szCs w:val="24"/>
              </w:rPr>
              <w:t>īstenošanā</w:t>
            </w:r>
            <w:r w:rsidR="00FB093A" w:rsidRPr="005A5386">
              <w:rPr>
                <w:sz w:val="24"/>
                <w:szCs w:val="24"/>
              </w:rPr>
              <w:t xml:space="preserve"> </w:t>
            </w:r>
            <w:r w:rsidR="00FB093A" w:rsidRPr="00B713EC">
              <w:rPr>
                <w:sz w:val="24"/>
                <w:szCs w:val="24"/>
              </w:rPr>
              <w:t>iesaistīto</w:t>
            </w:r>
            <w:r w:rsidR="00D74062" w:rsidRPr="00B713EC">
              <w:rPr>
                <w:sz w:val="24"/>
                <w:szCs w:val="24"/>
              </w:rPr>
              <w:t>s ierēdņus un darbiniekus</w:t>
            </w:r>
            <w:r w:rsidR="009039D8" w:rsidRPr="00B713EC">
              <w:rPr>
                <w:sz w:val="24"/>
                <w:szCs w:val="24"/>
              </w:rPr>
              <w:t>, tādējādi gūstot info</w:t>
            </w:r>
            <w:r w:rsidR="002A46CC" w:rsidRPr="00B713EC">
              <w:rPr>
                <w:sz w:val="24"/>
                <w:szCs w:val="24"/>
              </w:rPr>
              <w:t>rmāciju, cik daudz nodarbināto</w:t>
            </w:r>
            <w:r w:rsidR="00D117EF" w:rsidRPr="00B713EC">
              <w:rPr>
                <w:sz w:val="24"/>
                <w:szCs w:val="24"/>
              </w:rPr>
              <w:t xml:space="preserve"> - gan ierēdņu, gan darbinieku</w:t>
            </w:r>
            <w:r w:rsidR="002A46CC" w:rsidRPr="00B713EC">
              <w:rPr>
                <w:sz w:val="24"/>
                <w:szCs w:val="24"/>
              </w:rPr>
              <w:t xml:space="preserve"> </w:t>
            </w:r>
            <w:r w:rsidRPr="00B713EC">
              <w:rPr>
                <w:sz w:val="24"/>
                <w:szCs w:val="24"/>
              </w:rPr>
              <w:t xml:space="preserve">ar </w:t>
            </w:r>
            <w:r w:rsidR="002A46CC" w:rsidRPr="00B713EC">
              <w:rPr>
                <w:sz w:val="24"/>
                <w:szCs w:val="24"/>
              </w:rPr>
              <w:t>terminēti</w:t>
            </w:r>
            <w:r w:rsidRPr="00B713EC">
              <w:rPr>
                <w:sz w:val="24"/>
                <w:szCs w:val="24"/>
              </w:rPr>
              <w:t>em</w:t>
            </w:r>
            <w:r w:rsidR="002A46CC" w:rsidRPr="005A5386">
              <w:rPr>
                <w:sz w:val="24"/>
                <w:szCs w:val="24"/>
              </w:rPr>
              <w:t xml:space="preserve"> darba līgumi</w:t>
            </w:r>
            <w:r w:rsidRPr="005A5386">
              <w:rPr>
                <w:sz w:val="24"/>
                <w:szCs w:val="24"/>
              </w:rPr>
              <w:t>em</w:t>
            </w:r>
            <w:r w:rsidR="002A46CC" w:rsidRPr="005A5386">
              <w:rPr>
                <w:sz w:val="24"/>
                <w:szCs w:val="24"/>
              </w:rPr>
              <w:t xml:space="preserve"> v</w:t>
            </w:r>
            <w:r w:rsidR="009039D8" w:rsidRPr="005A5386">
              <w:rPr>
                <w:sz w:val="24"/>
                <w:szCs w:val="24"/>
              </w:rPr>
              <w:t xml:space="preserve">alsts pārvaldē ir piesaistīti uz </w:t>
            </w:r>
            <w:r w:rsidR="003E18A2" w:rsidRPr="005A5386">
              <w:rPr>
                <w:sz w:val="24"/>
                <w:szCs w:val="24"/>
              </w:rPr>
              <w:t xml:space="preserve">Eiropas Savienības struktūrfondu </w:t>
            </w:r>
            <w:r w:rsidRPr="005A5386">
              <w:rPr>
                <w:sz w:val="24"/>
                <w:szCs w:val="24"/>
              </w:rPr>
              <w:t xml:space="preserve">un Kohēzijas fonda </w:t>
            </w:r>
            <w:r w:rsidR="006C5BC2" w:rsidRPr="005A5386">
              <w:rPr>
                <w:sz w:val="24"/>
                <w:szCs w:val="24"/>
              </w:rPr>
              <w:t>specifiskā atbalsta mērķa</w:t>
            </w:r>
            <w:r w:rsidR="0007159D" w:rsidRPr="005A5386">
              <w:rPr>
                <w:sz w:val="24"/>
                <w:szCs w:val="24"/>
              </w:rPr>
              <w:t xml:space="preserve"> vai</w:t>
            </w:r>
            <w:r w:rsidR="006C5BC2" w:rsidRPr="005A5386">
              <w:rPr>
                <w:sz w:val="24"/>
                <w:szCs w:val="24"/>
              </w:rPr>
              <w:t xml:space="preserve"> pasākuma </w:t>
            </w:r>
            <w:r w:rsidR="0007159D" w:rsidRPr="005A5386">
              <w:rPr>
                <w:sz w:val="24"/>
                <w:szCs w:val="24"/>
              </w:rPr>
              <w:t>projekta</w:t>
            </w:r>
            <w:r w:rsidR="009039D8" w:rsidRPr="005A5386">
              <w:rPr>
                <w:sz w:val="24"/>
                <w:szCs w:val="24"/>
              </w:rPr>
              <w:t xml:space="preserve"> </w:t>
            </w:r>
            <w:r w:rsidRPr="005A5386">
              <w:rPr>
                <w:sz w:val="24"/>
                <w:szCs w:val="24"/>
              </w:rPr>
              <w:t xml:space="preserve">īstenošanu. Līdz ar to šāda informācija  ir sniedzama tikai par konkrētiem darbiniekiem, kuri tiek pieņemti darbā uz specifiskā atbalsta mērķa </w:t>
            </w:r>
            <w:r w:rsidR="0007159D" w:rsidRPr="005A5386">
              <w:rPr>
                <w:sz w:val="24"/>
                <w:szCs w:val="24"/>
              </w:rPr>
              <w:t xml:space="preserve">vai pasākuma </w:t>
            </w:r>
            <w:r w:rsidRPr="005A5386">
              <w:rPr>
                <w:sz w:val="24"/>
                <w:szCs w:val="24"/>
              </w:rPr>
              <w:t xml:space="preserve">projekta īstenošanu (par konkrēto </w:t>
            </w:r>
            <w:r w:rsidR="003E18A2" w:rsidRPr="005A5386">
              <w:rPr>
                <w:sz w:val="24"/>
                <w:szCs w:val="24"/>
              </w:rPr>
              <w:t>specifiskā atbalsta mērķa</w:t>
            </w:r>
            <w:r w:rsidRPr="005A5386">
              <w:rPr>
                <w:sz w:val="24"/>
                <w:szCs w:val="24"/>
              </w:rPr>
              <w:t xml:space="preserve"> </w:t>
            </w:r>
            <w:r w:rsidR="00F859B8" w:rsidRPr="005A5386">
              <w:rPr>
                <w:sz w:val="24"/>
                <w:szCs w:val="24"/>
              </w:rPr>
              <w:t>pasākumu</w:t>
            </w:r>
            <w:r w:rsidRPr="005A5386">
              <w:rPr>
                <w:sz w:val="24"/>
                <w:szCs w:val="24"/>
              </w:rPr>
              <w:t xml:space="preserve"> ir izdoti atsevišķi </w:t>
            </w:r>
            <w:r w:rsidR="003E18A2" w:rsidRPr="005A5386">
              <w:rPr>
                <w:sz w:val="24"/>
                <w:szCs w:val="24"/>
              </w:rPr>
              <w:t xml:space="preserve">Ministru kabineta </w:t>
            </w:r>
            <w:r w:rsidRPr="005A5386">
              <w:rPr>
                <w:sz w:val="24"/>
                <w:szCs w:val="24"/>
              </w:rPr>
              <w:t xml:space="preserve"> noteikumi un projektam ir piemē</w:t>
            </w:r>
            <w:r w:rsidR="00F859B8" w:rsidRPr="005A5386">
              <w:rPr>
                <w:sz w:val="24"/>
                <w:szCs w:val="24"/>
              </w:rPr>
              <w:t>rota atlase (ierobežota projektu iesniegumu</w:t>
            </w:r>
            <w:r w:rsidRPr="005A5386">
              <w:rPr>
                <w:sz w:val="24"/>
                <w:szCs w:val="24"/>
              </w:rPr>
              <w:t xml:space="preserve"> atlase, atklāt</w:t>
            </w:r>
            <w:r w:rsidR="00F859B8" w:rsidRPr="005A5386">
              <w:rPr>
                <w:sz w:val="24"/>
                <w:szCs w:val="24"/>
              </w:rPr>
              <w:t>a</w:t>
            </w:r>
            <w:r w:rsidRPr="005A5386">
              <w:rPr>
                <w:sz w:val="24"/>
                <w:szCs w:val="24"/>
              </w:rPr>
              <w:t xml:space="preserve"> projektu</w:t>
            </w:r>
            <w:r w:rsidR="00F859B8" w:rsidRPr="005A5386">
              <w:rPr>
                <w:sz w:val="24"/>
                <w:szCs w:val="24"/>
              </w:rPr>
              <w:t xml:space="preserve"> iesniegumu atlase</w:t>
            </w:r>
            <w:r w:rsidR="008E653D">
              <w:rPr>
                <w:sz w:val="24"/>
                <w:szCs w:val="24"/>
              </w:rPr>
              <w:t xml:space="preserve"> </w:t>
            </w:r>
            <w:proofErr w:type="spellStart"/>
            <w:r w:rsidR="008E653D">
              <w:rPr>
                <w:sz w:val="24"/>
                <w:szCs w:val="24"/>
              </w:rPr>
              <w:t>utml</w:t>
            </w:r>
            <w:proofErr w:type="spellEnd"/>
            <w:r w:rsidR="008E653D">
              <w:rPr>
                <w:sz w:val="24"/>
                <w:szCs w:val="24"/>
              </w:rPr>
              <w:t>.)</w:t>
            </w:r>
            <w:r w:rsidRPr="005A5386">
              <w:rPr>
                <w:sz w:val="24"/>
                <w:szCs w:val="24"/>
              </w:rPr>
              <w:t xml:space="preserve">) un tam tiek veidota amata vieta </w:t>
            </w:r>
            <w:r w:rsidR="003E18A2" w:rsidRPr="005A5386">
              <w:rPr>
                <w:sz w:val="24"/>
                <w:szCs w:val="24"/>
              </w:rPr>
              <w:t>uz noteiktu laiku (</w:t>
            </w:r>
            <w:r w:rsidRPr="005A5386">
              <w:rPr>
                <w:sz w:val="24"/>
                <w:szCs w:val="24"/>
              </w:rPr>
              <w:t xml:space="preserve">projekta </w:t>
            </w:r>
            <w:r w:rsidR="008C76B6" w:rsidRPr="005A5386">
              <w:rPr>
                <w:sz w:val="24"/>
                <w:szCs w:val="24"/>
              </w:rPr>
              <w:t xml:space="preserve"> īstenošanas laik</w:t>
            </w:r>
            <w:r w:rsidR="008E653D">
              <w:rPr>
                <w:sz w:val="24"/>
                <w:szCs w:val="24"/>
              </w:rPr>
              <w:t>s</w:t>
            </w:r>
            <w:r w:rsidR="003E18A2" w:rsidRPr="005A5386">
              <w:rPr>
                <w:sz w:val="24"/>
                <w:szCs w:val="24"/>
              </w:rPr>
              <w:t>)</w:t>
            </w:r>
            <w:r w:rsidRPr="005A5386">
              <w:rPr>
                <w:sz w:val="24"/>
                <w:szCs w:val="24"/>
              </w:rPr>
              <w:t xml:space="preserve">. </w:t>
            </w:r>
          </w:p>
          <w:p w:rsidR="00440451" w:rsidRPr="005A5386" w:rsidRDefault="00440451" w:rsidP="00B600BA">
            <w:pPr>
              <w:jc w:val="both"/>
              <w:rPr>
                <w:sz w:val="24"/>
                <w:szCs w:val="24"/>
              </w:rPr>
            </w:pPr>
            <w:r w:rsidRPr="005A5386">
              <w:rPr>
                <w:sz w:val="24"/>
                <w:szCs w:val="24"/>
              </w:rPr>
              <w:t xml:space="preserve">Šis regulējums nav attiecināms uz tiem </w:t>
            </w:r>
            <w:r w:rsidR="007717AA" w:rsidRPr="005A5386">
              <w:rPr>
                <w:sz w:val="24"/>
                <w:szCs w:val="24"/>
              </w:rPr>
              <w:t>ierēdņiem (</w:t>
            </w:r>
            <w:r w:rsidRPr="005A5386">
              <w:rPr>
                <w:sz w:val="24"/>
                <w:szCs w:val="24"/>
              </w:rPr>
              <w:t>darbiniekiem</w:t>
            </w:r>
            <w:r w:rsidR="007717AA" w:rsidRPr="005A5386">
              <w:rPr>
                <w:sz w:val="24"/>
                <w:szCs w:val="24"/>
              </w:rPr>
              <w:t>)</w:t>
            </w:r>
            <w:r w:rsidRPr="005A5386">
              <w:rPr>
                <w:sz w:val="24"/>
                <w:szCs w:val="24"/>
              </w:rPr>
              <w:t xml:space="preserve">, kuri strādā pamatdarbā, piemēram, ministrijā </w:t>
            </w:r>
            <w:r w:rsidR="00B600BA" w:rsidRPr="005A5386">
              <w:rPr>
                <w:sz w:val="24"/>
                <w:szCs w:val="24"/>
              </w:rPr>
              <w:t xml:space="preserve">uz pilnu vai nepilnu darba laiku </w:t>
            </w:r>
            <w:r w:rsidRPr="005A5386">
              <w:rPr>
                <w:sz w:val="24"/>
                <w:szCs w:val="24"/>
              </w:rPr>
              <w:t xml:space="preserve">saskaņā ar amatu sarakstu un saņem piemaksu </w:t>
            </w:r>
            <w:r w:rsidR="00C02E64" w:rsidRPr="005A5386">
              <w:rPr>
                <w:sz w:val="24"/>
                <w:szCs w:val="24"/>
              </w:rPr>
              <w:t xml:space="preserve">par </w:t>
            </w:r>
            <w:r w:rsidR="003E18A2" w:rsidRPr="005A5386">
              <w:rPr>
                <w:sz w:val="24"/>
                <w:szCs w:val="24"/>
              </w:rPr>
              <w:t xml:space="preserve">daļlaika darbu </w:t>
            </w:r>
            <w:r w:rsidRPr="005A5386">
              <w:rPr>
                <w:sz w:val="24"/>
                <w:szCs w:val="24"/>
              </w:rPr>
              <w:t>projektā</w:t>
            </w:r>
            <w:r w:rsidR="00B600BA" w:rsidRPr="005A5386">
              <w:rPr>
                <w:sz w:val="24"/>
                <w:szCs w:val="24"/>
              </w:rPr>
              <w:t>, kā arī</w:t>
            </w:r>
            <w:r w:rsidR="00715959" w:rsidRPr="005A5386">
              <w:rPr>
                <w:sz w:val="24"/>
                <w:szCs w:val="24"/>
              </w:rPr>
              <w:t xml:space="preserve"> uz</w:t>
            </w:r>
            <w:r w:rsidR="00B600BA" w:rsidRPr="005A5386">
              <w:rPr>
                <w:sz w:val="24"/>
                <w:szCs w:val="24"/>
              </w:rPr>
              <w:t xml:space="preserve"> tiem </w:t>
            </w:r>
            <w:r w:rsidR="00715959" w:rsidRPr="005A5386">
              <w:rPr>
                <w:bCs/>
                <w:sz w:val="24"/>
                <w:szCs w:val="24"/>
              </w:rPr>
              <w:t xml:space="preserve">atbildīgās iestādes, vadošās iestādes, sertifikācijas iestādes un revīzijas </w:t>
            </w:r>
            <w:r w:rsidR="00715959" w:rsidRPr="005A5386">
              <w:rPr>
                <w:bCs/>
                <w:sz w:val="24"/>
                <w:szCs w:val="24"/>
              </w:rPr>
              <w:lastRenderedPageBreak/>
              <w:t xml:space="preserve">iestādes </w:t>
            </w:r>
            <w:r w:rsidR="007717AA" w:rsidRPr="005A5386">
              <w:rPr>
                <w:sz w:val="24"/>
                <w:szCs w:val="24"/>
              </w:rPr>
              <w:t xml:space="preserve">ierēdņiem (darbiniekiem), </w:t>
            </w:r>
            <w:r w:rsidR="00B600BA" w:rsidRPr="005A5386">
              <w:rPr>
                <w:sz w:val="24"/>
                <w:szCs w:val="24"/>
              </w:rPr>
              <w:t xml:space="preserve">kuru atlīdzība tiek segta no </w:t>
            </w:r>
            <w:r w:rsidR="003E18A2" w:rsidRPr="005A5386">
              <w:rPr>
                <w:sz w:val="24"/>
                <w:szCs w:val="24"/>
              </w:rPr>
              <w:t xml:space="preserve">Eiropas Savienības fondu </w:t>
            </w:r>
            <w:r w:rsidR="00B600BA" w:rsidRPr="005A5386">
              <w:rPr>
                <w:sz w:val="24"/>
                <w:szCs w:val="24"/>
              </w:rPr>
              <w:t>2014.-2020.plānošanas perioda tehniskās palīdzības līdzekļiem.</w:t>
            </w:r>
          </w:p>
          <w:p w:rsidR="00FB093A" w:rsidRDefault="003244A1" w:rsidP="00FB093A">
            <w:pPr>
              <w:pStyle w:val="naisvisr"/>
              <w:spacing w:before="0" w:beforeAutospacing="0" w:after="0" w:afterAutospacing="0"/>
              <w:jc w:val="both"/>
            </w:pPr>
            <w:r>
              <w:t xml:space="preserve">  </w:t>
            </w:r>
            <w:r w:rsidR="00FB093A" w:rsidRPr="00FB093A">
              <w:t>2. Precizēt identifikācijas koda aprakstu, iekļaujot tajā norādi uz Saeimas priekšsēdētāja, Ministru prezidenta un ministru reprezentācijas izdevumu kompensāciju, atbilstoši Saeimā pieņemtajiem grozījumiem atlīdzības likumā</w:t>
            </w:r>
            <w:r w:rsidR="00716D7C">
              <w:t>, kas turpmāk paredz tiesības šīm amatpersonām saņemt šādu kompensāciju</w:t>
            </w:r>
            <w:r w:rsidR="00FB093A" w:rsidRPr="00FB093A">
              <w:t>;</w:t>
            </w:r>
          </w:p>
          <w:p w:rsidR="00FC1B30" w:rsidRPr="00FB093A" w:rsidRDefault="003244A1" w:rsidP="006C5BC2">
            <w:pPr>
              <w:pStyle w:val="naisvisr"/>
              <w:spacing w:before="0" w:beforeAutospacing="0" w:after="0" w:afterAutospacing="0"/>
              <w:jc w:val="both"/>
            </w:pPr>
            <w:r>
              <w:t xml:space="preserve">  </w:t>
            </w:r>
            <w:r w:rsidR="00FB093A">
              <w:t xml:space="preserve">3. </w:t>
            </w:r>
            <w:r w:rsidR="00FB093A" w:rsidRPr="00FB093A">
              <w:t xml:space="preserve">Precizēt noteikumu 4.punktu, papildinot </w:t>
            </w:r>
            <w:r w:rsidR="00FB093A" w:rsidRPr="00C02E64">
              <w:t>to ar atsauci</w:t>
            </w:r>
            <w:r w:rsidR="00FB093A" w:rsidRPr="00FB093A">
              <w:t>, ka atlīdzības uzskaites sistēmā iekļaujamā informācijai par amata vietu skaitu ir jāsakrīt ar iestādes vadītāja apstiprināto amatu vietu sarakstu.</w:t>
            </w:r>
            <w:r w:rsidR="009039D8">
              <w:t xml:space="preserve"> Šāds precizējums nepieciešams saistībā ar pēdējā laikā arvien biežāk konstatēto situāciju, ka atlīdzības </w:t>
            </w:r>
            <w:r w:rsidR="00665CE0">
              <w:t xml:space="preserve">uzskaites </w:t>
            </w:r>
            <w:r w:rsidR="009039D8">
              <w:t xml:space="preserve">sistēmā iekļautā informācija par amata vietu skaitu gada ietvaros ir mainīgs lielums, kas dažkārt atsevišķās institūcijās </w:t>
            </w:r>
            <w:r w:rsidR="006C5BC2">
              <w:t xml:space="preserve">mainās </w:t>
            </w:r>
            <w:r w:rsidR="009039D8">
              <w:t xml:space="preserve">par vairākiem desmitiem un pat simtiem </w:t>
            </w:r>
            <w:r w:rsidR="006C5BC2">
              <w:t>amata vietu</w:t>
            </w:r>
            <w:r w:rsidR="009039D8">
              <w:t>, tādējādi radot nekorektu informāciju.</w:t>
            </w:r>
          </w:p>
        </w:tc>
      </w:tr>
      <w:tr w:rsidR="00D13B02" w:rsidRPr="00D13B02" w:rsidTr="00FC6E03">
        <w:trPr>
          <w:trHeight w:val="476"/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CD29CB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3</w:t>
            </w:r>
            <w:r w:rsidR="0070526D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Projekta izstrādē iesaistītās institūcijas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046AD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404A9F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Noteikumu projekts attiecas tikai uz </w:t>
            </w:r>
            <w:r w:rsidR="00404A9F" w:rsidRPr="00020DEF">
              <w:rPr>
                <w:rFonts w:eastAsia="Times New Roman" w:cs="Times New Roman"/>
                <w:sz w:val="24"/>
                <w:szCs w:val="24"/>
                <w:lang w:eastAsia="lv-LV"/>
              </w:rPr>
              <w:t>valsts un pašvaldību</w:t>
            </w:r>
            <w:r w:rsidR="00404A9F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institūciju amatpersonām un darbiniekiem, tādēļ sabiedrības līdzdalība noteikumu projekta izstrādē nebija nepieciešama.</w:t>
            </w:r>
          </w:p>
        </w:tc>
      </w:tr>
      <w:tr w:rsidR="00D13B02" w:rsidRPr="00D13B02" w:rsidTr="00FC6E03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CD29C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CD29CB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Cita informācija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3E67CA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Nav</w:t>
            </w:r>
            <w:r w:rsidR="00D237F7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</w:tbl>
    <w:p w:rsidR="0070526D" w:rsidRPr="00D13B02" w:rsidRDefault="0070526D" w:rsidP="00115E82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W w:w="9782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135"/>
        <w:gridCol w:w="5126"/>
      </w:tblGrid>
      <w:tr w:rsidR="00D13B02" w:rsidRPr="00D13B02" w:rsidTr="006E6796">
        <w:trPr>
          <w:tblCellSpacing w:w="0" w:type="dxa"/>
        </w:trPr>
        <w:tc>
          <w:tcPr>
            <w:tcW w:w="9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334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D13B02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 xml:space="preserve"> II. </w:t>
            </w:r>
            <w:r w:rsidR="00222330" w:rsidRPr="00D13B02">
              <w:rPr>
                <w:rFonts w:eastAsia="Times New Roman" w:cs="Times New Roman"/>
                <w:b/>
                <w:bCs/>
                <w:sz w:val="26"/>
                <w:szCs w:val="26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D13B02" w:rsidRPr="00D13B02" w:rsidTr="00443571">
        <w:trPr>
          <w:trHeight w:val="276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CD29CB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6455CB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F2780E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Valsts un </w:t>
            </w:r>
            <w:r w:rsidR="00F2780E" w:rsidRPr="00020DEF">
              <w:rPr>
                <w:rFonts w:eastAsia="Times New Roman" w:cs="Times New Roman"/>
                <w:sz w:val="24"/>
                <w:szCs w:val="24"/>
                <w:lang w:eastAsia="lv-LV"/>
              </w:rPr>
              <w:t>pašvaldību</w:t>
            </w:r>
            <w:r w:rsidR="00F2780E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institūciju </w:t>
            </w:r>
            <w:r w:rsidR="00FC6E03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personālvadības struktūru </w:t>
            </w:r>
            <w:r w:rsidR="00F2780E" w:rsidRPr="009E615A">
              <w:rPr>
                <w:rFonts w:eastAsia="Times New Roman" w:cs="Times New Roman"/>
                <w:sz w:val="24"/>
                <w:szCs w:val="24"/>
                <w:lang w:eastAsia="lv-LV"/>
              </w:rPr>
              <w:t>amatpersonas un darbinieki.</w:t>
            </w:r>
          </w:p>
        </w:tc>
      </w:tr>
      <w:tr w:rsidR="00D13B02" w:rsidRPr="00D13B02" w:rsidTr="00443571">
        <w:trPr>
          <w:trHeight w:val="523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CD29CB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6B41" w:rsidRPr="00D13B02" w:rsidRDefault="009F2BAE" w:rsidP="009F2BAE">
            <w:pPr>
              <w:jc w:val="both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D13B02" w:rsidRPr="00D13B02" w:rsidTr="0044357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D34375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3CC" w:rsidRPr="00D13B02" w:rsidRDefault="009F2BAE" w:rsidP="00594E73">
            <w:pPr>
              <w:jc w:val="both"/>
              <w:rPr>
                <w:rFonts w:eastAsia="Times New Roman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594E73">
              <w:rPr>
                <w:rFonts w:eastAsia="Times New Roman" w:cs="Times New Roman"/>
                <w:sz w:val="24"/>
                <w:szCs w:val="24"/>
                <w:lang w:eastAsia="lv-LV"/>
              </w:rPr>
              <w:t>Noteikumu projekts nerada papildu a</w:t>
            </w:r>
            <w:r w:rsidR="00DB5926">
              <w:rPr>
                <w:rFonts w:eastAsia="Times New Roman" w:cs="Times New Roman"/>
                <w:sz w:val="24"/>
                <w:szCs w:val="24"/>
                <w:lang w:eastAsia="lv-LV"/>
              </w:rPr>
              <w:t>dministrat</w:t>
            </w:r>
            <w:r w:rsidR="00594E73">
              <w:rPr>
                <w:rFonts w:eastAsia="Times New Roman" w:cs="Times New Roman"/>
                <w:sz w:val="24"/>
                <w:szCs w:val="24"/>
                <w:lang w:eastAsia="lv-LV"/>
              </w:rPr>
              <w:t>īvo</w:t>
            </w:r>
            <w:r w:rsidR="00DB5926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slog</w:t>
            </w:r>
            <w:r w:rsidR="00594E73">
              <w:rPr>
                <w:rFonts w:eastAsia="Times New Roman" w:cs="Times New Roman"/>
                <w:sz w:val="24"/>
                <w:szCs w:val="24"/>
                <w:lang w:eastAsia="lv-LV"/>
              </w:rPr>
              <w:t>u</w:t>
            </w:r>
            <w:r w:rsidR="00DB5926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13B02" w:rsidRPr="00D13B02" w:rsidTr="0044357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7052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D34375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26D" w:rsidRPr="00D13B02" w:rsidRDefault="0070526D" w:rsidP="00074A1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D6191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9697E" w:rsidRDefault="0070526D" w:rsidP="00115E82">
      <w:pPr>
        <w:rPr>
          <w:rFonts w:eastAsia="Times New Roman" w:cs="Times New Roman"/>
          <w:sz w:val="16"/>
          <w:szCs w:val="16"/>
          <w:lang w:eastAsia="lv-LV"/>
        </w:rPr>
      </w:pPr>
      <w:r w:rsidRPr="00D13B02">
        <w:rPr>
          <w:rFonts w:eastAsia="Times New Roman" w:cs="Times New Roman"/>
          <w:sz w:val="16"/>
          <w:szCs w:val="16"/>
          <w:lang w:eastAsia="lv-LV"/>
        </w:rPr>
        <w:t> </w:t>
      </w:r>
    </w:p>
    <w:tbl>
      <w:tblPr>
        <w:tblW w:w="539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6521"/>
      </w:tblGrid>
      <w:tr w:rsidR="00DB5926" w:rsidRPr="00DB5926" w:rsidTr="00DB5926">
        <w:tc>
          <w:tcPr>
            <w:tcW w:w="5000" w:type="pct"/>
            <w:gridSpan w:val="3"/>
            <w:shd w:val="clear" w:color="auto" w:fill="auto"/>
          </w:tcPr>
          <w:p w:rsidR="00DB5926" w:rsidRPr="00DB5926" w:rsidRDefault="00DB5926" w:rsidP="00DA0D41">
            <w:pPr>
              <w:jc w:val="center"/>
              <w:rPr>
                <w:b/>
                <w:sz w:val="24"/>
                <w:szCs w:val="24"/>
              </w:rPr>
            </w:pPr>
            <w:r w:rsidRPr="00DB5926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.</w:t>
            </w:r>
            <w:r w:rsidRPr="00DB5926">
              <w:rPr>
                <w:b/>
                <w:sz w:val="24"/>
                <w:szCs w:val="24"/>
              </w:rPr>
              <w:t xml:space="preserve"> Sabiedrības līdzdalība un komunikācijas aktivitātes</w:t>
            </w:r>
          </w:p>
        </w:tc>
      </w:tr>
      <w:tr w:rsidR="00DB5926" w:rsidRPr="00DB5926" w:rsidTr="00DB5926">
        <w:trPr>
          <w:trHeight w:val="425"/>
        </w:trPr>
        <w:tc>
          <w:tcPr>
            <w:tcW w:w="290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1.</w:t>
            </w:r>
          </w:p>
        </w:tc>
        <w:tc>
          <w:tcPr>
            <w:tcW w:w="1377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333" w:type="pct"/>
            <w:shd w:val="clear" w:color="auto" w:fill="auto"/>
          </w:tcPr>
          <w:p w:rsidR="00DB5926" w:rsidRPr="00DB5926" w:rsidRDefault="00DB5926" w:rsidP="00A6731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Uzziņa par Ministru </w:t>
            </w:r>
            <w:r w:rsidR="00A6731B">
              <w:rPr>
                <w:sz w:val="24"/>
                <w:szCs w:val="24"/>
              </w:rPr>
              <w:t xml:space="preserve">kabineta </w:t>
            </w:r>
            <w:r>
              <w:rPr>
                <w:sz w:val="24"/>
                <w:szCs w:val="24"/>
              </w:rPr>
              <w:t>noteikumu projekta izstrādi publi</w:t>
            </w:r>
            <w:r w:rsidR="00A6731B">
              <w:rPr>
                <w:sz w:val="24"/>
                <w:szCs w:val="24"/>
              </w:rPr>
              <w:t>cēta Finanšu ministrijas mājas lapā.</w:t>
            </w:r>
          </w:p>
        </w:tc>
      </w:tr>
      <w:tr w:rsidR="00DB5926" w:rsidRPr="00DB5926" w:rsidTr="00DB5926">
        <w:trPr>
          <w:trHeight w:val="425"/>
        </w:trPr>
        <w:tc>
          <w:tcPr>
            <w:tcW w:w="290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2.</w:t>
            </w:r>
          </w:p>
        </w:tc>
        <w:tc>
          <w:tcPr>
            <w:tcW w:w="1377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Sabiedrības līdzdalība projekta izstrādē</w:t>
            </w:r>
          </w:p>
        </w:tc>
        <w:tc>
          <w:tcPr>
            <w:tcW w:w="3333" w:type="pct"/>
            <w:shd w:val="clear" w:color="auto" w:fill="auto"/>
          </w:tcPr>
          <w:p w:rsidR="00DB5926" w:rsidRPr="00DB5926" w:rsidRDefault="00A6731B" w:rsidP="00A6731B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A6731B">
              <w:rPr>
                <w:sz w:val="24"/>
                <w:szCs w:val="24"/>
              </w:rPr>
              <w:t>Sabiedrības grupām projekta tiesiskais regulējums pēc būtības nemaina to tiesības un pienākumus.</w:t>
            </w:r>
          </w:p>
        </w:tc>
      </w:tr>
      <w:tr w:rsidR="00DB5926" w:rsidRPr="00DB5926" w:rsidTr="00DB5926">
        <w:trPr>
          <w:trHeight w:val="425"/>
        </w:trPr>
        <w:tc>
          <w:tcPr>
            <w:tcW w:w="290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3.</w:t>
            </w:r>
          </w:p>
        </w:tc>
        <w:tc>
          <w:tcPr>
            <w:tcW w:w="1377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Sabiedrības līdzdalības rezultāti</w:t>
            </w:r>
          </w:p>
        </w:tc>
        <w:tc>
          <w:tcPr>
            <w:tcW w:w="3333" w:type="pct"/>
            <w:shd w:val="clear" w:color="auto" w:fill="auto"/>
          </w:tcPr>
          <w:p w:rsidR="00DB5926" w:rsidRPr="00DB5926" w:rsidRDefault="00A6731B" w:rsidP="00DA0D4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DB5926">
              <w:rPr>
                <w:sz w:val="24"/>
                <w:szCs w:val="24"/>
              </w:rPr>
              <w:t>Noteikumu projekts šo jomu neskar.</w:t>
            </w:r>
          </w:p>
        </w:tc>
      </w:tr>
      <w:tr w:rsidR="00DB5926" w:rsidRPr="00DB5926" w:rsidTr="00DB5926">
        <w:trPr>
          <w:trHeight w:val="425"/>
        </w:trPr>
        <w:tc>
          <w:tcPr>
            <w:tcW w:w="290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</w:rPr>
              <w:t>4.</w:t>
            </w:r>
          </w:p>
        </w:tc>
        <w:tc>
          <w:tcPr>
            <w:tcW w:w="1377" w:type="pct"/>
            <w:shd w:val="clear" w:color="auto" w:fill="auto"/>
          </w:tcPr>
          <w:p w:rsidR="00DB5926" w:rsidRPr="00DB5926" w:rsidRDefault="00DB5926" w:rsidP="00DA0D41">
            <w:pPr>
              <w:jc w:val="both"/>
              <w:rPr>
                <w:sz w:val="24"/>
                <w:szCs w:val="24"/>
              </w:rPr>
            </w:pPr>
            <w:r w:rsidRPr="00DB5926">
              <w:rPr>
                <w:sz w:val="24"/>
                <w:szCs w:val="24"/>
                <w:shd w:val="clear" w:color="auto" w:fill="FFFFFF"/>
              </w:rPr>
              <w:t>Cita informācija</w:t>
            </w:r>
          </w:p>
        </w:tc>
        <w:tc>
          <w:tcPr>
            <w:tcW w:w="3333" w:type="pct"/>
            <w:shd w:val="clear" w:color="auto" w:fill="auto"/>
          </w:tcPr>
          <w:p w:rsidR="00DB5926" w:rsidRPr="00DB5926" w:rsidRDefault="00DB5926" w:rsidP="00DA0D41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  <w:r w:rsidRPr="00DB5926">
              <w:rPr>
                <w:sz w:val="24"/>
                <w:szCs w:val="24"/>
              </w:rPr>
              <w:t>Nav</w:t>
            </w:r>
          </w:p>
        </w:tc>
      </w:tr>
    </w:tbl>
    <w:p w:rsidR="00DB5926" w:rsidRDefault="00DB5926" w:rsidP="00115E82">
      <w:pPr>
        <w:rPr>
          <w:rFonts w:eastAsia="Times New Roman" w:cs="Times New Roman"/>
          <w:sz w:val="16"/>
          <w:szCs w:val="16"/>
          <w:lang w:eastAsia="lv-LV"/>
        </w:rPr>
      </w:pPr>
    </w:p>
    <w:p w:rsidR="00DB5926" w:rsidRPr="00D13B02" w:rsidRDefault="00DB5926" w:rsidP="00115E82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W w:w="9759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127"/>
        <w:gridCol w:w="4111"/>
      </w:tblGrid>
      <w:tr w:rsidR="00D13B02" w:rsidRPr="00D13B02" w:rsidTr="008B6D8B">
        <w:trPr>
          <w:trHeight w:val="517"/>
          <w:tblCellSpacing w:w="0" w:type="dxa"/>
        </w:trPr>
        <w:tc>
          <w:tcPr>
            <w:tcW w:w="97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E66814" w:rsidP="00C145BF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lv-LV"/>
              </w:rPr>
            </w:pPr>
            <w:r w:rsidRPr="00D13B02">
              <w:rPr>
                <w:rFonts w:eastAsia="Times New Roman" w:cs="Times New Roman"/>
                <w:b/>
                <w:sz w:val="26"/>
                <w:szCs w:val="26"/>
                <w:lang w:eastAsia="lv-LV"/>
              </w:rPr>
              <w:t> VII. Tiesību akta projekta izpildes nodrošināšana un tās ietekme uz institūcijām</w:t>
            </w:r>
          </w:p>
        </w:tc>
      </w:tr>
      <w:tr w:rsidR="00D13B02" w:rsidRPr="00D13B02" w:rsidTr="0044357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E66814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E66814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F2780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Finanšu ministrija</w:t>
            </w:r>
            <w:r w:rsidR="00F2780E">
              <w:rPr>
                <w:rFonts w:eastAsia="Times New Roman" w:cs="Times New Roman"/>
                <w:sz w:val="24"/>
                <w:szCs w:val="24"/>
                <w:lang w:eastAsia="lv-LV"/>
              </w:rPr>
              <w:t>,</w:t>
            </w: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2780E">
              <w:rPr>
                <w:rFonts w:eastAsia="Times New Roman" w:cs="Times New Roman"/>
                <w:sz w:val="24"/>
                <w:szCs w:val="24"/>
                <w:lang w:eastAsia="lv-LV"/>
              </w:rPr>
              <w:t>valsts un pašvaldību institūcijas</w:t>
            </w:r>
            <w:r w:rsidR="008738FA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D13B02" w:rsidRPr="00D13B02" w:rsidTr="00443571">
        <w:trPr>
          <w:trHeight w:val="1121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074A1E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074A1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074A1E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AD6191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AD6191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D13B02" w:rsidRPr="00D13B02" w:rsidTr="00443571">
        <w:trPr>
          <w:trHeight w:val="517"/>
          <w:tblCellSpacing w:w="0" w:type="dxa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074A1E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074A1E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814" w:rsidRPr="00D13B02" w:rsidRDefault="007C4D8F" w:rsidP="00C145BF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  <w:r w:rsidR="00074A1E" w:rsidRPr="00D13B02"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70526D" w:rsidRPr="00D13B02" w:rsidRDefault="009C7CB7" w:rsidP="00115E82">
      <w:pPr>
        <w:rPr>
          <w:rFonts w:eastAsia="Times New Roman" w:cs="Times New Roman"/>
          <w:sz w:val="26"/>
          <w:szCs w:val="26"/>
          <w:lang w:eastAsia="lv-LV"/>
        </w:rPr>
      </w:pPr>
      <w:r w:rsidRPr="00D13B0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Anotācijas III </w:t>
      </w:r>
      <w:r w:rsidR="009F2BAE">
        <w:rPr>
          <w:rFonts w:eastAsia="Times New Roman" w:cs="Times New Roman"/>
          <w:i/>
          <w:iCs/>
          <w:sz w:val="26"/>
          <w:szCs w:val="26"/>
          <w:lang w:eastAsia="lv-LV"/>
        </w:rPr>
        <w:t>–</w:t>
      </w:r>
      <w:r w:rsidR="00FC6E03">
        <w:rPr>
          <w:rFonts w:eastAsia="Times New Roman" w:cs="Times New Roman"/>
          <w:i/>
          <w:iCs/>
          <w:sz w:val="26"/>
          <w:szCs w:val="26"/>
          <w:lang w:eastAsia="lv-LV"/>
        </w:rPr>
        <w:t>V;</w:t>
      </w:r>
      <w:r w:rsidR="00074A1E" w:rsidRPr="00D13B0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VI</w:t>
      </w:r>
      <w:r w:rsidR="009267DF" w:rsidRPr="00D13B0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  <w:r w:rsidR="00E77C7F" w:rsidRPr="00D13B02">
        <w:rPr>
          <w:rFonts w:eastAsia="Times New Roman" w:cs="Times New Roman"/>
          <w:i/>
          <w:iCs/>
          <w:sz w:val="26"/>
          <w:szCs w:val="26"/>
          <w:lang w:eastAsia="lv-LV"/>
        </w:rPr>
        <w:t>sadaļa</w:t>
      </w:r>
      <w:r w:rsidR="00F50272" w:rsidRPr="00D13B02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– </w:t>
      </w:r>
      <w:r w:rsidR="00E77C7F" w:rsidRPr="00D13B02">
        <w:rPr>
          <w:rFonts w:eastAsia="Times New Roman" w:cs="Times New Roman"/>
          <w:i/>
          <w:sz w:val="24"/>
          <w:szCs w:val="24"/>
          <w:lang w:eastAsia="lv-LV"/>
        </w:rPr>
        <w:t>projekt</w:t>
      </w:r>
      <w:r w:rsidR="00F50272" w:rsidRPr="00D13B02">
        <w:rPr>
          <w:rFonts w:eastAsia="Times New Roman" w:cs="Times New Roman"/>
          <w:i/>
          <w:sz w:val="24"/>
          <w:szCs w:val="24"/>
          <w:lang w:eastAsia="lv-LV"/>
        </w:rPr>
        <w:t xml:space="preserve">s </w:t>
      </w:r>
      <w:r w:rsidR="00E77C7F" w:rsidRPr="00D13B02">
        <w:rPr>
          <w:rFonts w:eastAsia="Times New Roman" w:cs="Times New Roman"/>
          <w:i/>
          <w:sz w:val="24"/>
          <w:szCs w:val="24"/>
          <w:lang w:eastAsia="lv-LV"/>
        </w:rPr>
        <w:t>š</w:t>
      </w:r>
      <w:r w:rsidR="009F2BAE">
        <w:rPr>
          <w:rFonts w:eastAsia="Times New Roman" w:cs="Times New Roman"/>
          <w:i/>
          <w:sz w:val="24"/>
          <w:szCs w:val="24"/>
          <w:lang w:eastAsia="lv-LV"/>
        </w:rPr>
        <w:t>īs jomas</w:t>
      </w:r>
      <w:r w:rsidR="00E77C7F" w:rsidRPr="00D13B02">
        <w:rPr>
          <w:rFonts w:eastAsia="Times New Roman" w:cs="Times New Roman"/>
          <w:i/>
          <w:sz w:val="24"/>
          <w:szCs w:val="24"/>
          <w:lang w:eastAsia="lv-LV"/>
        </w:rPr>
        <w:t xml:space="preserve"> neskar</w:t>
      </w:r>
      <w:r w:rsidRPr="00D13B02">
        <w:rPr>
          <w:rFonts w:eastAsia="Times New Roman" w:cs="Times New Roman"/>
          <w:i/>
          <w:sz w:val="24"/>
          <w:szCs w:val="24"/>
          <w:lang w:eastAsia="lv-LV"/>
        </w:rPr>
        <w:t>.</w:t>
      </w:r>
    </w:p>
    <w:p w:rsidR="00100469" w:rsidRDefault="0070526D" w:rsidP="00935378">
      <w:pPr>
        <w:rPr>
          <w:rFonts w:eastAsia="Times New Roman" w:cs="Times New Roman"/>
          <w:sz w:val="26"/>
          <w:szCs w:val="26"/>
          <w:lang w:eastAsia="lv-LV"/>
        </w:rPr>
      </w:pPr>
      <w:r w:rsidRPr="00D13B02">
        <w:rPr>
          <w:rFonts w:eastAsia="Times New Roman" w:cs="Times New Roman"/>
          <w:sz w:val="26"/>
          <w:szCs w:val="26"/>
          <w:lang w:eastAsia="lv-LV"/>
        </w:rPr>
        <w:t> </w:t>
      </w:r>
    </w:p>
    <w:p w:rsidR="00443571" w:rsidRPr="00D13B02" w:rsidRDefault="00443571" w:rsidP="00935378">
      <w:pPr>
        <w:rPr>
          <w:sz w:val="26"/>
          <w:szCs w:val="26"/>
        </w:rPr>
      </w:pPr>
    </w:p>
    <w:p w:rsidR="00EF1C47" w:rsidRPr="00B5249F" w:rsidRDefault="00EF1C47" w:rsidP="00A14139">
      <w:pPr>
        <w:pStyle w:val="naisf"/>
        <w:spacing w:before="0" w:beforeAutospacing="0" w:after="0" w:afterAutospacing="0"/>
        <w:ind w:left="6946" w:hanging="6946"/>
        <w:rPr>
          <w:strike/>
          <w:sz w:val="26"/>
          <w:szCs w:val="26"/>
        </w:rPr>
      </w:pPr>
      <w:r w:rsidRPr="00B5249F">
        <w:rPr>
          <w:sz w:val="26"/>
          <w:szCs w:val="26"/>
        </w:rPr>
        <w:t>Finanšu ministr</w:t>
      </w:r>
      <w:r w:rsidR="00FC6E03" w:rsidRPr="00B5249F">
        <w:rPr>
          <w:sz w:val="26"/>
          <w:szCs w:val="26"/>
        </w:rPr>
        <w:t xml:space="preserve">e                                                                     </w:t>
      </w:r>
      <w:proofErr w:type="spellStart"/>
      <w:r w:rsidR="00FC6E03" w:rsidRPr="00B5249F">
        <w:rPr>
          <w:sz w:val="26"/>
          <w:szCs w:val="26"/>
        </w:rPr>
        <w:t>D.Reizniece</w:t>
      </w:r>
      <w:proofErr w:type="spellEnd"/>
      <w:r w:rsidR="00FC6E03" w:rsidRPr="00B5249F">
        <w:rPr>
          <w:sz w:val="26"/>
          <w:szCs w:val="26"/>
        </w:rPr>
        <w:t xml:space="preserve"> - Ozola</w:t>
      </w:r>
    </w:p>
    <w:p w:rsidR="007A5B2F" w:rsidRDefault="007A5B2F" w:rsidP="00613BF4">
      <w:pPr>
        <w:rPr>
          <w:sz w:val="20"/>
          <w:szCs w:val="20"/>
        </w:rPr>
      </w:pPr>
    </w:p>
    <w:p w:rsidR="005F389A" w:rsidRDefault="005F389A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DD5539" w:rsidRDefault="00DD5539" w:rsidP="00613BF4">
      <w:pPr>
        <w:rPr>
          <w:sz w:val="20"/>
          <w:szCs w:val="20"/>
        </w:rPr>
      </w:pPr>
    </w:p>
    <w:p w:rsidR="00434971" w:rsidRDefault="00434971" w:rsidP="00613BF4">
      <w:pPr>
        <w:rPr>
          <w:sz w:val="20"/>
          <w:szCs w:val="20"/>
        </w:rPr>
      </w:pPr>
    </w:p>
    <w:p w:rsidR="00434971" w:rsidRDefault="00434971" w:rsidP="00613BF4">
      <w:pPr>
        <w:rPr>
          <w:sz w:val="20"/>
          <w:szCs w:val="20"/>
        </w:rPr>
      </w:pPr>
    </w:p>
    <w:p w:rsidR="00434971" w:rsidRDefault="00434971" w:rsidP="00613BF4">
      <w:pPr>
        <w:rPr>
          <w:sz w:val="20"/>
          <w:szCs w:val="20"/>
        </w:rPr>
      </w:pPr>
    </w:p>
    <w:p w:rsidR="00434971" w:rsidRDefault="00434971" w:rsidP="00613BF4">
      <w:pPr>
        <w:rPr>
          <w:sz w:val="20"/>
          <w:szCs w:val="20"/>
        </w:rPr>
      </w:pPr>
    </w:p>
    <w:p w:rsidR="00434971" w:rsidRDefault="00434971" w:rsidP="00613BF4">
      <w:pPr>
        <w:rPr>
          <w:sz w:val="20"/>
          <w:szCs w:val="20"/>
        </w:rPr>
      </w:pPr>
    </w:p>
    <w:p w:rsidR="00434971" w:rsidRDefault="00434971" w:rsidP="00613BF4">
      <w:pPr>
        <w:rPr>
          <w:sz w:val="20"/>
          <w:szCs w:val="20"/>
        </w:rPr>
      </w:pPr>
    </w:p>
    <w:p w:rsidR="00484512" w:rsidRPr="00484512" w:rsidRDefault="00484512" w:rsidP="00484512">
      <w:pPr>
        <w:tabs>
          <w:tab w:val="left" w:pos="3840"/>
        </w:tabs>
        <w:rPr>
          <w:sz w:val="20"/>
          <w:szCs w:val="20"/>
        </w:rPr>
      </w:pPr>
      <w:proofErr w:type="spellStart"/>
      <w:r w:rsidRPr="00484512">
        <w:rPr>
          <w:sz w:val="20"/>
          <w:szCs w:val="20"/>
        </w:rPr>
        <w:t>I.Artemjeva</w:t>
      </w:r>
      <w:proofErr w:type="spellEnd"/>
    </w:p>
    <w:p w:rsidR="00B713EC" w:rsidRDefault="00B713EC" w:rsidP="00484512">
      <w:pPr>
        <w:rPr>
          <w:sz w:val="20"/>
          <w:szCs w:val="20"/>
        </w:rPr>
      </w:pPr>
      <w:r>
        <w:rPr>
          <w:sz w:val="20"/>
          <w:szCs w:val="20"/>
        </w:rPr>
        <w:t>14.04.2016 12:20</w:t>
      </w:r>
      <w:bookmarkStart w:id="2" w:name="_GoBack"/>
      <w:bookmarkEnd w:id="2"/>
    </w:p>
    <w:p w:rsidR="00484512" w:rsidRPr="00484512" w:rsidRDefault="00484512" w:rsidP="00484512">
      <w:pPr>
        <w:rPr>
          <w:sz w:val="20"/>
          <w:szCs w:val="20"/>
        </w:rPr>
      </w:pPr>
      <w:r w:rsidRPr="00484512">
        <w:rPr>
          <w:sz w:val="20"/>
          <w:szCs w:val="20"/>
        </w:rPr>
        <w:fldChar w:fldCharType="begin"/>
      </w:r>
      <w:r w:rsidRPr="00484512">
        <w:rPr>
          <w:sz w:val="20"/>
          <w:szCs w:val="20"/>
        </w:rPr>
        <w:instrText xml:space="preserve"> NUMWORDS   \* MERGEFORMAT </w:instrText>
      </w:r>
      <w:r w:rsidRPr="00484512">
        <w:rPr>
          <w:sz w:val="20"/>
          <w:szCs w:val="20"/>
        </w:rPr>
        <w:fldChar w:fldCharType="separate"/>
      </w:r>
      <w:r w:rsidR="0033561A">
        <w:rPr>
          <w:noProof/>
          <w:sz w:val="20"/>
          <w:szCs w:val="20"/>
        </w:rPr>
        <w:t>730</w:t>
      </w:r>
      <w:r w:rsidRPr="00484512">
        <w:rPr>
          <w:sz w:val="20"/>
          <w:szCs w:val="20"/>
        </w:rPr>
        <w:fldChar w:fldCharType="end"/>
      </w:r>
    </w:p>
    <w:p w:rsidR="00484512" w:rsidRPr="00484512" w:rsidRDefault="0033561A" w:rsidP="00484512">
      <w:pPr>
        <w:pStyle w:val="naiskr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67095599</w:t>
      </w:r>
    </w:p>
    <w:p w:rsidR="00B253BC" w:rsidRPr="00484512" w:rsidRDefault="0033561A" w:rsidP="00443571">
      <w:pPr>
        <w:pStyle w:val="naiskr"/>
        <w:spacing w:before="0" w:beforeAutospacing="0" w:after="0" w:afterAutospacing="0"/>
        <w:rPr>
          <w:sz w:val="20"/>
          <w:szCs w:val="20"/>
        </w:rPr>
      </w:pPr>
      <w:hyperlink r:id="rId11" w:history="1">
        <w:r w:rsidR="00484512" w:rsidRPr="00484512">
          <w:rPr>
            <w:rStyle w:val="Hyperlink"/>
            <w:sz w:val="20"/>
            <w:szCs w:val="20"/>
          </w:rPr>
          <w:t>Ineta.Artemjeva@fm.gov.lv</w:t>
        </w:r>
      </w:hyperlink>
      <w:r w:rsidR="00484512" w:rsidRPr="00484512">
        <w:rPr>
          <w:sz w:val="20"/>
          <w:szCs w:val="20"/>
        </w:rPr>
        <w:t xml:space="preserve"> </w:t>
      </w:r>
    </w:p>
    <w:sectPr w:rsidR="00B253BC" w:rsidRPr="00484512" w:rsidSect="00E46928">
      <w:headerReference w:type="default" r:id="rId12"/>
      <w:footerReference w:type="default" r:id="rId13"/>
      <w:footerReference w:type="first" r:id="rId14"/>
      <w:pgSz w:w="11906" w:h="16838"/>
      <w:pgMar w:top="851" w:right="1134" w:bottom="184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9D0" w:rsidRDefault="006B19D0" w:rsidP="007740F2">
      <w:r>
        <w:separator/>
      </w:r>
    </w:p>
  </w:endnote>
  <w:endnote w:type="continuationSeparator" w:id="0">
    <w:p w:rsidR="006B19D0" w:rsidRDefault="006B19D0" w:rsidP="0077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190" w:rsidRPr="00523728" w:rsidRDefault="00724190" w:rsidP="00724190">
    <w:pPr>
      <w:pStyle w:val="Footer"/>
      <w:jc w:val="both"/>
      <w:rPr>
        <w:rFonts w:cs="Times New Roman"/>
        <w:sz w:val="18"/>
        <w:szCs w:val="18"/>
      </w:rPr>
    </w:pPr>
    <w:r w:rsidRPr="00523728">
      <w:rPr>
        <w:sz w:val="18"/>
        <w:szCs w:val="18"/>
      </w:rPr>
      <w:t>FMAnot_</w:t>
    </w:r>
    <w:r w:rsidR="00F31A75">
      <w:rPr>
        <w:sz w:val="18"/>
        <w:szCs w:val="18"/>
      </w:rPr>
      <w:t>14</w:t>
    </w:r>
    <w:r w:rsidR="000A34A2">
      <w:rPr>
        <w:sz w:val="18"/>
        <w:szCs w:val="18"/>
      </w:rPr>
      <w:t>04</w:t>
    </w:r>
    <w:r w:rsidR="00ED0B57">
      <w:rPr>
        <w:sz w:val="18"/>
        <w:szCs w:val="18"/>
      </w:rPr>
      <w:t>16</w:t>
    </w:r>
    <w:r w:rsidR="008C1EF1">
      <w:rPr>
        <w:sz w:val="18"/>
        <w:szCs w:val="18"/>
      </w:rPr>
      <w:t>_541</w:t>
    </w:r>
    <w:r>
      <w:rPr>
        <w:sz w:val="18"/>
        <w:szCs w:val="18"/>
      </w:rPr>
      <w:t xml:space="preserve">; </w:t>
    </w:r>
    <w:r w:rsidRPr="00523728">
      <w:rPr>
        <w:sz w:val="18"/>
        <w:szCs w:val="18"/>
      </w:rPr>
      <w:t xml:space="preserve">Ministru kabineta </w:t>
    </w:r>
    <w:r w:rsidRPr="00523728">
      <w:rPr>
        <w:rFonts w:cs="Times New Roman"/>
        <w:sz w:val="18"/>
        <w:szCs w:val="18"/>
      </w:rPr>
      <w:t>noteikumu „</w:t>
    </w:r>
    <w:r>
      <w:rPr>
        <w:rFonts w:cs="Times New Roman"/>
        <w:sz w:val="18"/>
        <w:szCs w:val="18"/>
      </w:rPr>
      <w:t xml:space="preserve">Grozījumi </w:t>
    </w:r>
    <w:r w:rsidRPr="001C2CD5">
      <w:rPr>
        <w:rFonts w:cs="Times New Roman"/>
        <w:bCs/>
        <w:sz w:val="18"/>
        <w:szCs w:val="18"/>
      </w:rPr>
      <w:t>Ministru kabineta 20</w:t>
    </w:r>
    <w:r>
      <w:rPr>
        <w:rFonts w:cs="Times New Roman"/>
        <w:bCs/>
        <w:sz w:val="18"/>
        <w:szCs w:val="18"/>
      </w:rPr>
      <w:t>10</w:t>
    </w:r>
    <w:r w:rsidRPr="001C2CD5">
      <w:rPr>
        <w:rFonts w:cs="Times New Roman"/>
        <w:bCs/>
        <w:sz w:val="18"/>
        <w:szCs w:val="18"/>
      </w:rPr>
      <w:t xml:space="preserve">.gada </w:t>
    </w:r>
    <w:r>
      <w:rPr>
        <w:rFonts w:cs="Times New Roman"/>
        <w:bCs/>
        <w:sz w:val="18"/>
        <w:szCs w:val="18"/>
      </w:rPr>
      <w:t>21.jūnija noteikumos Nr.541 „</w:t>
    </w:r>
    <w:r w:rsidRPr="001C2CD5">
      <w:rPr>
        <w:rFonts w:cs="Times New Roman"/>
        <w:bCs/>
        <w:sz w:val="18"/>
        <w:szCs w:val="18"/>
      </w:rPr>
      <w:t xml:space="preserve">Noteikumi par valsts un pašvaldību institūciju amatpersonu un darbinieku </w:t>
    </w:r>
    <w:r>
      <w:rPr>
        <w:rFonts w:cs="Times New Roman"/>
        <w:bCs/>
        <w:sz w:val="18"/>
        <w:szCs w:val="18"/>
      </w:rPr>
      <w:t>atlīdzības uzskaites sistēmu””</w:t>
    </w:r>
    <w:r w:rsidR="003671E2">
      <w:rPr>
        <w:rFonts w:cs="Times New Roman"/>
        <w:sz w:val="18"/>
        <w:szCs w:val="18"/>
      </w:rPr>
      <w:t xml:space="preserve"> projekta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E2" w:rsidRPr="00523728" w:rsidRDefault="003671E2" w:rsidP="003671E2">
    <w:pPr>
      <w:pStyle w:val="Footer"/>
      <w:jc w:val="both"/>
      <w:rPr>
        <w:rFonts w:cs="Times New Roman"/>
        <w:sz w:val="18"/>
        <w:szCs w:val="18"/>
      </w:rPr>
    </w:pPr>
    <w:r w:rsidRPr="00523728">
      <w:rPr>
        <w:sz w:val="18"/>
        <w:szCs w:val="18"/>
      </w:rPr>
      <w:t>FMAnot_</w:t>
    </w:r>
    <w:r w:rsidR="00B713EC">
      <w:rPr>
        <w:sz w:val="18"/>
        <w:szCs w:val="18"/>
      </w:rPr>
      <w:t>1404</w:t>
    </w:r>
    <w:r w:rsidR="00ED0B57">
      <w:rPr>
        <w:sz w:val="18"/>
        <w:szCs w:val="18"/>
      </w:rPr>
      <w:t>16</w:t>
    </w:r>
    <w:r w:rsidR="008C1EF1">
      <w:rPr>
        <w:sz w:val="18"/>
        <w:szCs w:val="18"/>
      </w:rPr>
      <w:t>_541</w:t>
    </w:r>
    <w:r>
      <w:rPr>
        <w:sz w:val="18"/>
        <w:szCs w:val="18"/>
      </w:rPr>
      <w:t xml:space="preserve">; </w:t>
    </w:r>
    <w:r w:rsidRPr="00523728">
      <w:rPr>
        <w:sz w:val="18"/>
        <w:szCs w:val="18"/>
      </w:rPr>
      <w:t xml:space="preserve">Ministru kabineta </w:t>
    </w:r>
    <w:r w:rsidRPr="00523728">
      <w:rPr>
        <w:rFonts w:cs="Times New Roman"/>
        <w:sz w:val="18"/>
        <w:szCs w:val="18"/>
      </w:rPr>
      <w:t>noteikumu „</w:t>
    </w:r>
    <w:r>
      <w:rPr>
        <w:rFonts w:cs="Times New Roman"/>
        <w:sz w:val="18"/>
        <w:szCs w:val="18"/>
      </w:rPr>
      <w:t xml:space="preserve">Grozījumi </w:t>
    </w:r>
    <w:r w:rsidRPr="001C2CD5">
      <w:rPr>
        <w:rFonts w:cs="Times New Roman"/>
        <w:bCs/>
        <w:sz w:val="18"/>
        <w:szCs w:val="18"/>
      </w:rPr>
      <w:t>Ministru kabineta 20</w:t>
    </w:r>
    <w:r>
      <w:rPr>
        <w:rFonts w:cs="Times New Roman"/>
        <w:bCs/>
        <w:sz w:val="18"/>
        <w:szCs w:val="18"/>
      </w:rPr>
      <w:t>10</w:t>
    </w:r>
    <w:r w:rsidRPr="001C2CD5">
      <w:rPr>
        <w:rFonts w:cs="Times New Roman"/>
        <w:bCs/>
        <w:sz w:val="18"/>
        <w:szCs w:val="18"/>
      </w:rPr>
      <w:t xml:space="preserve">.gada </w:t>
    </w:r>
    <w:r>
      <w:rPr>
        <w:rFonts w:cs="Times New Roman"/>
        <w:bCs/>
        <w:sz w:val="18"/>
        <w:szCs w:val="18"/>
      </w:rPr>
      <w:t>21.jūnija noteikumos Nr.541 „</w:t>
    </w:r>
    <w:r w:rsidRPr="001C2CD5">
      <w:rPr>
        <w:rFonts w:cs="Times New Roman"/>
        <w:bCs/>
        <w:sz w:val="18"/>
        <w:szCs w:val="18"/>
      </w:rPr>
      <w:t xml:space="preserve">Noteikumi par valsts un pašvaldību institūciju amatpersonu un darbinieku </w:t>
    </w:r>
    <w:r>
      <w:rPr>
        <w:rFonts w:cs="Times New Roman"/>
        <w:bCs/>
        <w:sz w:val="18"/>
        <w:szCs w:val="18"/>
      </w:rPr>
      <w:t>atlīdzības uzskaites sistēmu””</w:t>
    </w:r>
    <w:r>
      <w:rPr>
        <w:rFonts w:cs="Times New Roman"/>
        <w:sz w:val="18"/>
        <w:szCs w:val="18"/>
      </w:rPr>
      <w:t xml:space="preserve"> projekta sākotnējās ietekmes novērtējuma ziņojums (anotācija)</w:t>
    </w:r>
  </w:p>
  <w:p w:rsidR="0055124D" w:rsidRPr="003671E2" w:rsidRDefault="0055124D" w:rsidP="003671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9D0" w:rsidRDefault="006B19D0" w:rsidP="007740F2">
      <w:r>
        <w:separator/>
      </w:r>
    </w:p>
  </w:footnote>
  <w:footnote w:type="continuationSeparator" w:id="0">
    <w:p w:rsidR="006B19D0" w:rsidRDefault="006B19D0" w:rsidP="0077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258421"/>
      <w:docPartObj>
        <w:docPartGallery w:val="Page Numbers (Top of Page)"/>
        <w:docPartUnique/>
      </w:docPartObj>
    </w:sdtPr>
    <w:sdtEndPr/>
    <w:sdtContent>
      <w:p w:rsidR="0055124D" w:rsidRDefault="0055124D">
        <w:pPr>
          <w:pStyle w:val="Header"/>
          <w:jc w:val="center"/>
        </w:pPr>
        <w:r w:rsidRPr="00F8589C">
          <w:rPr>
            <w:sz w:val="24"/>
            <w:szCs w:val="24"/>
          </w:rPr>
          <w:fldChar w:fldCharType="begin"/>
        </w:r>
        <w:r w:rsidRPr="00F8589C">
          <w:rPr>
            <w:sz w:val="24"/>
            <w:szCs w:val="24"/>
          </w:rPr>
          <w:instrText xml:space="preserve"> PAGE   \* MERGEFORMAT </w:instrText>
        </w:r>
        <w:r w:rsidRPr="00F8589C">
          <w:rPr>
            <w:sz w:val="24"/>
            <w:szCs w:val="24"/>
          </w:rPr>
          <w:fldChar w:fldCharType="separate"/>
        </w:r>
        <w:r w:rsidR="0033561A">
          <w:rPr>
            <w:noProof/>
            <w:sz w:val="24"/>
            <w:szCs w:val="24"/>
          </w:rPr>
          <w:t>2</w:t>
        </w:r>
        <w:r w:rsidRPr="00F8589C">
          <w:rPr>
            <w:noProof/>
            <w:sz w:val="24"/>
            <w:szCs w:val="24"/>
          </w:rPr>
          <w:fldChar w:fldCharType="end"/>
        </w:r>
      </w:p>
    </w:sdtContent>
  </w:sdt>
  <w:p w:rsidR="009821C9" w:rsidRDefault="009821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265E"/>
    <w:multiLevelType w:val="hybridMultilevel"/>
    <w:tmpl w:val="C48820B4"/>
    <w:lvl w:ilvl="0" w:tplc="CD0266A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B91222"/>
    <w:multiLevelType w:val="hybridMultilevel"/>
    <w:tmpl w:val="B0BCA1E6"/>
    <w:lvl w:ilvl="0" w:tplc="ECD68F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C70429"/>
    <w:multiLevelType w:val="hybridMultilevel"/>
    <w:tmpl w:val="6B6EC41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5306C"/>
    <w:multiLevelType w:val="hybridMultilevel"/>
    <w:tmpl w:val="DF38EE5A"/>
    <w:lvl w:ilvl="0" w:tplc="12B031AC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00" w:hanging="360"/>
      </w:pPr>
    </w:lvl>
    <w:lvl w:ilvl="2" w:tplc="0426001B" w:tentative="1">
      <w:start w:val="1"/>
      <w:numFmt w:val="lowerRoman"/>
      <w:lvlText w:val="%3."/>
      <w:lvlJc w:val="right"/>
      <w:pPr>
        <w:ind w:left="1920" w:hanging="180"/>
      </w:pPr>
    </w:lvl>
    <w:lvl w:ilvl="3" w:tplc="0426000F" w:tentative="1">
      <w:start w:val="1"/>
      <w:numFmt w:val="decimal"/>
      <w:lvlText w:val="%4."/>
      <w:lvlJc w:val="left"/>
      <w:pPr>
        <w:ind w:left="2640" w:hanging="360"/>
      </w:pPr>
    </w:lvl>
    <w:lvl w:ilvl="4" w:tplc="04260019" w:tentative="1">
      <w:start w:val="1"/>
      <w:numFmt w:val="lowerLetter"/>
      <w:lvlText w:val="%5."/>
      <w:lvlJc w:val="left"/>
      <w:pPr>
        <w:ind w:left="3360" w:hanging="360"/>
      </w:pPr>
    </w:lvl>
    <w:lvl w:ilvl="5" w:tplc="0426001B" w:tentative="1">
      <w:start w:val="1"/>
      <w:numFmt w:val="lowerRoman"/>
      <w:lvlText w:val="%6."/>
      <w:lvlJc w:val="right"/>
      <w:pPr>
        <w:ind w:left="4080" w:hanging="180"/>
      </w:pPr>
    </w:lvl>
    <w:lvl w:ilvl="6" w:tplc="0426000F" w:tentative="1">
      <w:start w:val="1"/>
      <w:numFmt w:val="decimal"/>
      <w:lvlText w:val="%7."/>
      <w:lvlJc w:val="left"/>
      <w:pPr>
        <w:ind w:left="4800" w:hanging="360"/>
      </w:pPr>
    </w:lvl>
    <w:lvl w:ilvl="7" w:tplc="04260019" w:tentative="1">
      <w:start w:val="1"/>
      <w:numFmt w:val="lowerLetter"/>
      <w:lvlText w:val="%8."/>
      <w:lvlJc w:val="left"/>
      <w:pPr>
        <w:ind w:left="5520" w:hanging="360"/>
      </w:pPr>
    </w:lvl>
    <w:lvl w:ilvl="8" w:tplc="042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CC15C72"/>
    <w:multiLevelType w:val="multilevel"/>
    <w:tmpl w:val="ABDE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8" w:hanging="1800"/>
      </w:pPr>
      <w:rPr>
        <w:rFonts w:hint="default"/>
      </w:rPr>
    </w:lvl>
  </w:abstractNum>
  <w:abstractNum w:abstractNumId="5">
    <w:nsid w:val="6E162279"/>
    <w:multiLevelType w:val="hybridMultilevel"/>
    <w:tmpl w:val="E222DC60"/>
    <w:lvl w:ilvl="0" w:tplc="FC8054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02C21"/>
    <w:multiLevelType w:val="hybridMultilevel"/>
    <w:tmpl w:val="F678F6DC"/>
    <w:lvl w:ilvl="0" w:tplc="E2FEB7B6">
      <w:start w:val="1"/>
      <w:numFmt w:val="decimal"/>
      <w:lvlText w:val="%1)"/>
      <w:lvlJc w:val="left"/>
      <w:pPr>
        <w:ind w:left="889" w:hanging="360"/>
      </w:pPr>
      <w:rPr>
        <w:rFonts w:ascii="Times New Roman" w:eastAsiaTheme="minorHAnsi" w:hAnsi="Times New Roman" w:cstheme="minorBidi"/>
      </w:rPr>
    </w:lvl>
    <w:lvl w:ilvl="1" w:tplc="04260019" w:tentative="1">
      <w:start w:val="1"/>
      <w:numFmt w:val="lowerLetter"/>
      <w:lvlText w:val="%2."/>
      <w:lvlJc w:val="left"/>
      <w:pPr>
        <w:ind w:left="1609" w:hanging="360"/>
      </w:pPr>
    </w:lvl>
    <w:lvl w:ilvl="2" w:tplc="0426001B" w:tentative="1">
      <w:start w:val="1"/>
      <w:numFmt w:val="lowerRoman"/>
      <w:lvlText w:val="%3."/>
      <w:lvlJc w:val="right"/>
      <w:pPr>
        <w:ind w:left="2329" w:hanging="180"/>
      </w:pPr>
    </w:lvl>
    <w:lvl w:ilvl="3" w:tplc="0426000F" w:tentative="1">
      <w:start w:val="1"/>
      <w:numFmt w:val="decimal"/>
      <w:lvlText w:val="%4."/>
      <w:lvlJc w:val="left"/>
      <w:pPr>
        <w:ind w:left="3049" w:hanging="360"/>
      </w:pPr>
    </w:lvl>
    <w:lvl w:ilvl="4" w:tplc="04260019" w:tentative="1">
      <w:start w:val="1"/>
      <w:numFmt w:val="lowerLetter"/>
      <w:lvlText w:val="%5."/>
      <w:lvlJc w:val="left"/>
      <w:pPr>
        <w:ind w:left="3769" w:hanging="360"/>
      </w:pPr>
    </w:lvl>
    <w:lvl w:ilvl="5" w:tplc="0426001B" w:tentative="1">
      <w:start w:val="1"/>
      <w:numFmt w:val="lowerRoman"/>
      <w:lvlText w:val="%6."/>
      <w:lvlJc w:val="right"/>
      <w:pPr>
        <w:ind w:left="4489" w:hanging="180"/>
      </w:pPr>
    </w:lvl>
    <w:lvl w:ilvl="6" w:tplc="0426000F" w:tentative="1">
      <w:start w:val="1"/>
      <w:numFmt w:val="decimal"/>
      <w:lvlText w:val="%7."/>
      <w:lvlJc w:val="left"/>
      <w:pPr>
        <w:ind w:left="5209" w:hanging="360"/>
      </w:pPr>
    </w:lvl>
    <w:lvl w:ilvl="7" w:tplc="04260019" w:tentative="1">
      <w:start w:val="1"/>
      <w:numFmt w:val="lowerLetter"/>
      <w:lvlText w:val="%8."/>
      <w:lvlJc w:val="left"/>
      <w:pPr>
        <w:ind w:left="5929" w:hanging="360"/>
      </w:pPr>
    </w:lvl>
    <w:lvl w:ilvl="8" w:tplc="0426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D"/>
    <w:rsid w:val="0000317F"/>
    <w:rsid w:val="00003AA7"/>
    <w:rsid w:val="00013474"/>
    <w:rsid w:val="00017E1C"/>
    <w:rsid w:val="00020DEF"/>
    <w:rsid w:val="00026F6C"/>
    <w:rsid w:val="00041BC5"/>
    <w:rsid w:val="00046ADB"/>
    <w:rsid w:val="00051A8F"/>
    <w:rsid w:val="00054559"/>
    <w:rsid w:val="00054C53"/>
    <w:rsid w:val="000558C0"/>
    <w:rsid w:val="00060255"/>
    <w:rsid w:val="000608D1"/>
    <w:rsid w:val="00062334"/>
    <w:rsid w:val="0007159D"/>
    <w:rsid w:val="0007283C"/>
    <w:rsid w:val="00072DC7"/>
    <w:rsid w:val="00074A1E"/>
    <w:rsid w:val="00076B41"/>
    <w:rsid w:val="00090F7C"/>
    <w:rsid w:val="000A16FE"/>
    <w:rsid w:val="000A1EBA"/>
    <w:rsid w:val="000A3048"/>
    <w:rsid w:val="000A34A2"/>
    <w:rsid w:val="000A3D41"/>
    <w:rsid w:val="000B39E7"/>
    <w:rsid w:val="000B52E8"/>
    <w:rsid w:val="000C2273"/>
    <w:rsid w:val="000C39BE"/>
    <w:rsid w:val="000C4DF9"/>
    <w:rsid w:val="000D07B2"/>
    <w:rsid w:val="000D201D"/>
    <w:rsid w:val="000D3D6E"/>
    <w:rsid w:val="000E0E9C"/>
    <w:rsid w:val="000E0EAB"/>
    <w:rsid w:val="000E4D67"/>
    <w:rsid w:val="000F0666"/>
    <w:rsid w:val="000F2D60"/>
    <w:rsid w:val="00100469"/>
    <w:rsid w:val="00115E82"/>
    <w:rsid w:val="0012014A"/>
    <w:rsid w:val="00122717"/>
    <w:rsid w:val="00124BE5"/>
    <w:rsid w:val="0012536F"/>
    <w:rsid w:val="00130A65"/>
    <w:rsid w:val="00131852"/>
    <w:rsid w:val="00133FC3"/>
    <w:rsid w:val="001373D3"/>
    <w:rsid w:val="0014131D"/>
    <w:rsid w:val="00142743"/>
    <w:rsid w:val="00143A5E"/>
    <w:rsid w:val="0014438B"/>
    <w:rsid w:val="00150939"/>
    <w:rsid w:val="00152376"/>
    <w:rsid w:val="001544B1"/>
    <w:rsid w:val="0015634F"/>
    <w:rsid w:val="00161D6A"/>
    <w:rsid w:val="0016244A"/>
    <w:rsid w:val="00163FE2"/>
    <w:rsid w:val="00170A5E"/>
    <w:rsid w:val="00174D79"/>
    <w:rsid w:val="00182716"/>
    <w:rsid w:val="0018303A"/>
    <w:rsid w:val="00184225"/>
    <w:rsid w:val="0018668D"/>
    <w:rsid w:val="0018679A"/>
    <w:rsid w:val="00192B03"/>
    <w:rsid w:val="00193DC7"/>
    <w:rsid w:val="001952CE"/>
    <w:rsid w:val="00195D19"/>
    <w:rsid w:val="001A5D75"/>
    <w:rsid w:val="001A7971"/>
    <w:rsid w:val="001B1E3E"/>
    <w:rsid w:val="001C2CD5"/>
    <w:rsid w:val="001C3291"/>
    <w:rsid w:val="001C519F"/>
    <w:rsid w:val="001D0571"/>
    <w:rsid w:val="001D5678"/>
    <w:rsid w:val="001D7B24"/>
    <w:rsid w:val="001E1202"/>
    <w:rsid w:val="001F56FF"/>
    <w:rsid w:val="00200731"/>
    <w:rsid w:val="00201FE1"/>
    <w:rsid w:val="00203F69"/>
    <w:rsid w:val="00206F0E"/>
    <w:rsid w:val="00216F53"/>
    <w:rsid w:val="002176AD"/>
    <w:rsid w:val="00222330"/>
    <w:rsid w:val="00227194"/>
    <w:rsid w:val="00230D49"/>
    <w:rsid w:val="00232BA7"/>
    <w:rsid w:val="0023657A"/>
    <w:rsid w:val="002424D8"/>
    <w:rsid w:val="002460DD"/>
    <w:rsid w:val="0024678C"/>
    <w:rsid w:val="00250856"/>
    <w:rsid w:val="00256191"/>
    <w:rsid w:val="0026659A"/>
    <w:rsid w:val="00266D26"/>
    <w:rsid w:val="00267D9E"/>
    <w:rsid w:val="0027097A"/>
    <w:rsid w:val="0027277F"/>
    <w:rsid w:val="002727AD"/>
    <w:rsid w:val="00275FD8"/>
    <w:rsid w:val="002816F8"/>
    <w:rsid w:val="002842DF"/>
    <w:rsid w:val="00286673"/>
    <w:rsid w:val="002A09D6"/>
    <w:rsid w:val="002A18B1"/>
    <w:rsid w:val="002A2506"/>
    <w:rsid w:val="002A2997"/>
    <w:rsid w:val="002A3DAE"/>
    <w:rsid w:val="002A429F"/>
    <w:rsid w:val="002A46CC"/>
    <w:rsid w:val="002B33E3"/>
    <w:rsid w:val="002B368B"/>
    <w:rsid w:val="002B5BA9"/>
    <w:rsid w:val="002C49F7"/>
    <w:rsid w:val="002D23CC"/>
    <w:rsid w:val="002D7459"/>
    <w:rsid w:val="002E69E7"/>
    <w:rsid w:val="002F0327"/>
    <w:rsid w:val="002F14AD"/>
    <w:rsid w:val="002F3527"/>
    <w:rsid w:val="002F7FE7"/>
    <w:rsid w:val="0030223A"/>
    <w:rsid w:val="00303583"/>
    <w:rsid w:val="00303E69"/>
    <w:rsid w:val="003048D8"/>
    <w:rsid w:val="003050B9"/>
    <w:rsid w:val="00311A3F"/>
    <w:rsid w:val="00312AA6"/>
    <w:rsid w:val="003243DA"/>
    <w:rsid w:val="003244A1"/>
    <w:rsid w:val="00324680"/>
    <w:rsid w:val="00325216"/>
    <w:rsid w:val="003339A6"/>
    <w:rsid w:val="0033561A"/>
    <w:rsid w:val="00342319"/>
    <w:rsid w:val="00342CDC"/>
    <w:rsid w:val="0035017E"/>
    <w:rsid w:val="003539EF"/>
    <w:rsid w:val="0035647F"/>
    <w:rsid w:val="00356748"/>
    <w:rsid w:val="00360180"/>
    <w:rsid w:val="003608AD"/>
    <w:rsid w:val="0036096D"/>
    <w:rsid w:val="00360CEA"/>
    <w:rsid w:val="00361901"/>
    <w:rsid w:val="00362D9E"/>
    <w:rsid w:val="00362E77"/>
    <w:rsid w:val="00366C1A"/>
    <w:rsid w:val="003671E2"/>
    <w:rsid w:val="003729C7"/>
    <w:rsid w:val="003760E3"/>
    <w:rsid w:val="00377F94"/>
    <w:rsid w:val="0038376D"/>
    <w:rsid w:val="00385736"/>
    <w:rsid w:val="003925CE"/>
    <w:rsid w:val="003941B7"/>
    <w:rsid w:val="0039636F"/>
    <w:rsid w:val="003A59AD"/>
    <w:rsid w:val="003B32D5"/>
    <w:rsid w:val="003B544A"/>
    <w:rsid w:val="003B71D3"/>
    <w:rsid w:val="003B7D1C"/>
    <w:rsid w:val="003C5CEA"/>
    <w:rsid w:val="003C7172"/>
    <w:rsid w:val="003D47B9"/>
    <w:rsid w:val="003D6E2F"/>
    <w:rsid w:val="003D7A7B"/>
    <w:rsid w:val="003E18A2"/>
    <w:rsid w:val="003E333B"/>
    <w:rsid w:val="003E67CA"/>
    <w:rsid w:val="003F0215"/>
    <w:rsid w:val="003F2463"/>
    <w:rsid w:val="003F29C4"/>
    <w:rsid w:val="004027CE"/>
    <w:rsid w:val="00404A9F"/>
    <w:rsid w:val="00406416"/>
    <w:rsid w:val="00406D73"/>
    <w:rsid w:val="00411BC0"/>
    <w:rsid w:val="004124FD"/>
    <w:rsid w:val="004125EE"/>
    <w:rsid w:val="00417CCF"/>
    <w:rsid w:val="0042009D"/>
    <w:rsid w:val="00422671"/>
    <w:rsid w:val="004250B6"/>
    <w:rsid w:val="00425672"/>
    <w:rsid w:val="004269B0"/>
    <w:rsid w:val="00431480"/>
    <w:rsid w:val="00434867"/>
    <w:rsid w:val="00434971"/>
    <w:rsid w:val="004368AE"/>
    <w:rsid w:val="00437848"/>
    <w:rsid w:val="00440451"/>
    <w:rsid w:val="004408BD"/>
    <w:rsid w:val="004427A4"/>
    <w:rsid w:val="00443571"/>
    <w:rsid w:val="00444C23"/>
    <w:rsid w:val="004454AD"/>
    <w:rsid w:val="00445CF1"/>
    <w:rsid w:val="0044601F"/>
    <w:rsid w:val="00450B86"/>
    <w:rsid w:val="00457159"/>
    <w:rsid w:val="0046430C"/>
    <w:rsid w:val="00464608"/>
    <w:rsid w:val="00465DA1"/>
    <w:rsid w:val="004704D8"/>
    <w:rsid w:val="00472A11"/>
    <w:rsid w:val="00473FED"/>
    <w:rsid w:val="0047498B"/>
    <w:rsid w:val="00475E26"/>
    <w:rsid w:val="004807EA"/>
    <w:rsid w:val="00484512"/>
    <w:rsid w:val="0049457B"/>
    <w:rsid w:val="00496A52"/>
    <w:rsid w:val="004A783D"/>
    <w:rsid w:val="004A7AFE"/>
    <w:rsid w:val="004B4BE7"/>
    <w:rsid w:val="004C0984"/>
    <w:rsid w:val="004D012C"/>
    <w:rsid w:val="004D1FD8"/>
    <w:rsid w:val="004E0339"/>
    <w:rsid w:val="004E3EA8"/>
    <w:rsid w:val="004E63DA"/>
    <w:rsid w:val="004F4590"/>
    <w:rsid w:val="004F6E25"/>
    <w:rsid w:val="004F7055"/>
    <w:rsid w:val="004F7DC8"/>
    <w:rsid w:val="00501105"/>
    <w:rsid w:val="00523728"/>
    <w:rsid w:val="00524111"/>
    <w:rsid w:val="00524E95"/>
    <w:rsid w:val="005500B1"/>
    <w:rsid w:val="0055124D"/>
    <w:rsid w:val="00551AFE"/>
    <w:rsid w:val="0055511C"/>
    <w:rsid w:val="0056019C"/>
    <w:rsid w:val="005631DF"/>
    <w:rsid w:val="00563CED"/>
    <w:rsid w:val="00564A51"/>
    <w:rsid w:val="005657D6"/>
    <w:rsid w:val="00565E76"/>
    <w:rsid w:val="00566793"/>
    <w:rsid w:val="005668B0"/>
    <w:rsid w:val="00566FC5"/>
    <w:rsid w:val="00570E1F"/>
    <w:rsid w:val="00574AB3"/>
    <w:rsid w:val="0057577F"/>
    <w:rsid w:val="00585F3A"/>
    <w:rsid w:val="005912E0"/>
    <w:rsid w:val="00594E73"/>
    <w:rsid w:val="005951DA"/>
    <w:rsid w:val="00595AFA"/>
    <w:rsid w:val="00596CDE"/>
    <w:rsid w:val="005A3AC5"/>
    <w:rsid w:val="005A4DBB"/>
    <w:rsid w:val="005A5386"/>
    <w:rsid w:val="005A74FF"/>
    <w:rsid w:val="005A7E8D"/>
    <w:rsid w:val="005B5AA6"/>
    <w:rsid w:val="005B61EB"/>
    <w:rsid w:val="005B7B1F"/>
    <w:rsid w:val="005C37C2"/>
    <w:rsid w:val="005C75DA"/>
    <w:rsid w:val="005D40D7"/>
    <w:rsid w:val="005D466E"/>
    <w:rsid w:val="005D47F4"/>
    <w:rsid w:val="005D695A"/>
    <w:rsid w:val="005E039A"/>
    <w:rsid w:val="005F2843"/>
    <w:rsid w:val="005F389A"/>
    <w:rsid w:val="006044A8"/>
    <w:rsid w:val="00605A33"/>
    <w:rsid w:val="00606A4B"/>
    <w:rsid w:val="0061334F"/>
    <w:rsid w:val="00613BF4"/>
    <w:rsid w:val="00627B2A"/>
    <w:rsid w:val="00634950"/>
    <w:rsid w:val="00643A1F"/>
    <w:rsid w:val="006455CB"/>
    <w:rsid w:val="00645E21"/>
    <w:rsid w:val="0064669A"/>
    <w:rsid w:val="006502C4"/>
    <w:rsid w:val="00653D0C"/>
    <w:rsid w:val="0066496D"/>
    <w:rsid w:val="00665CE0"/>
    <w:rsid w:val="00672F44"/>
    <w:rsid w:val="00672F87"/>
    <w:rsid w:val="00674A47"/>
    <w:rsid w:val="00675607"/>
    <w:rsid w:val="0068087C"/>
    <w:rsid w:val="00684105"/>
    <w:rsid w:val="0069205F"/>
    <w:rsid w:val="006935D1"/>
    <w:rsid w:val="00693B48"/>
    <w:rsid w:val="006B19D0"/>
    <w:rsid w:val="006B3E2A"/>
    <w:rsid w:val="006B7A79"/>
    <w:rsid w:val="006C0E9A"/>
    <w:rsid w:val="006C1B3A"/>
    <w:rsid w:val="006C5BC2"/>
    <w:rsid w:val="006C60FA"/>
    <w:rsid w:val="006D0D20"/>
    <w:rsid w:val="006D3764"/>
    <w:rsid w:val="006E0584"/>
    <w:rsid w:val="006E0C4B"/>
    <w:rsid w:val="006E101C"/>
    <w:rsid w:val="006E1A22"/>
    <w:rsid w:val="006E1FEE"/>
    <w:rsid w:val="006E3186"/>
    <w:rsid w:val="006E6796"/>
    <w:rsid w:val="006F07B8"/>
    <w:rsid w:val="006F3E87"/>
    <w:rsid w:val="006F4A10"/>
    <w:rsid w:val="006F6A48"/>
    <w:rsid w:val="00701DC5"/>
    <w:rsid w:val="007022B9"/>
    <w:rsid w:val="00702BF0"/>
    <w:rsid w:val="00703BA7"/>
    <w:rsid w:val="0070526D"/>
    <w:rsid w:val="00711492"/>
    <w:rsid w:val="007131A5"/>
    <w:rsid w:val="0071489C"/>
    <w:rsid w:val="00715959"/>
    <w:rsid w:val="00716D7C"/>
    <w:rsid w:val="007200A6"/>
    <w:rsid w:val="00724190"/>
    <w:rsid w:val="00725501"/>
    <w:rsid w:val="00730771"/>
    <w:rsid w:val="00733739"/>
    <w:rsid w:val="0073757A"/>
    <w:rsid w:val="00753410"/>
    <w:rsid w:val="00760C6B"/>
    <w:rsid w:val="00765723"/>
    <w:rsid w:val="007658B8"/>
    <w:rsid w:val="007717AA"/>
    <w:rsid w:val="007740F2"/>
    <w:rsid w:val="007745A6"/>
    <w:rsid w:val="007756E5"/>
    <w:rsid w:val="00776CCD"/>
    <w:rsid w:val="0078057E"/>
    <w:rsid w:val="007831DC"/>
    <w:rsid w:val="007841C0"/>
    <w:rsid w:val="0078510C"/>
    <w:rsid w:val="007862F1"/>
    <w:rsid w:val="00786509"/>
    <w:rsid w:val="00793890"/>
    <w:rsid w:val="00796CCD"/>
    <w:rsid w:val="007A4CA0"/>
    <w:rsid w:val="007A5B2F"/>
    <w:rsid w:val="007B5773"/>
    <w:rsid w:val="007B5ACE"/>
    <w:rsid w:val="007B649C"/>
    <w:rsid w:val="007C4D8F"/>
    <w:rsid w:val="007C655C"/>
    <w:rsid w:val="007D4F27"/>
    <w:rsid w:val="007D791F"/>
    <w:rsid w:val="007E1438"/>
    <w:rsid w:val="007E241A"/>
    <w:rsid w:val="007E26D2"/>
    <w:rsid w:val="007E6B54"/>
    <w:rsid w:val="007F1998"/>
    <w:rsid w:val="007F1CFD"/>
    <w:rsid w:val="007F3204"/>
    <w:rsid w:val="00803914"/>
    <w:rsid w:val="00804892"/>
    <w:rsid w:val="00804EB8"/>
    <w:rsid w:val="00806404"/>
    <w:rsid w:val="00807539"/>
    <w:rsid w:val="008138A9"/>
    <w:rsid w:val="0082071F"/>
    <w:rsid w:val="00826821"/>
    <w:rsid w:val="008304F2"/>
    <w:rsid w:val="00832579"/>
    <w:rsid w:val="00835068"/>
    <w:rsid w:val="00835802"/>
    <w:rsid w:val="008442FB"/>
    <w:rsid w:val="00851D90"/>
    <w:rsid w:val="00852CD2"/>
    <w:rsid w:val="00861512"/>
    <w:rsid w:val="00862EB1"/>
    <w:rsid w:val="00864570"/>
    <w:rsid w:val="00864869"/>
    <w:rsid w:val="008738FA"/>
    <w:rsid w:val="00877908"/>
    <w:rsid w:val="00877A89"/>
    <w:rsid w:val="0088044F"/>
    <w:rsid w:val="0088217B"/>
    <w:rsid w:val="0089165D"/>
    <w:rsid w:val="00896087"/>
    <w:rsid w:val="0089697E"/>
    <w:rsid w:val="008A06DF"/>
    <w:rsid w:val="008A1796"/>
    <w:rsid w:val="008A59AE"/>
    <w:rsid w:val="008A7A42"/>
    <w:rsid w:val="008B1D2E"/>
    <w:rsid w:val="008B3CD1"/>
    <w:rsid w:val="008B7114"/>
    <w:rsid w:val="008B730E"/>
    <w:rsid w:val="008C1196"/>
    <w:rsid w:val="008C14A5"/>
    <w:rsid w:val="008C160B"/>
    <w:rsid w:val="008C1EF1"/>
    <w:rsid w:val="008C2E53"/>
    <w:rsid w:val="008C2F4F"/>
    <w:rsid w:val="008C4091"/>
    <w:rsid w:val="008C6C7D"/>
    <w:rsid w:val="008C76B6"/>
    <w:rsid w:val="008D01F8"/>
    <w:rsid w:val="008D11BA"/>
    <w:rsid w:val="008D28C7"/>
    <w:rsid w:val="008D33D9"/>
    <w:rsid w:val="008D5368"/>
    <w:rsid w:val="008D545A"/>
    <w:rsid w:val="008D76BC"/>
    <w:rsid w:val="008E5289"/>
    <w:rsid w:val="008E653D"/>
    <w:rsid w:val="008E6AFB"/>
    <w:rsid w:val="008E74E0"/>
    <w:rsid w:val="008F0B2E"/>
    <w:rsid w:val="00901616"/>
    <w:rsid w:val="00901E0A"/>
    <w:rsid w:val="009039D8"/>
    <w:rsid w:val="009052B2"/>
    <w:rsid w:val="00914A3B"/>
    <w:rsid w:val="009152DA"/>
    <w:rsid w:val="00915FA9"/>
    <w:rsid w:val="00921B9C"/>
    <w:rsid w:val="00923883"/>
    <w:rsid w:val="00923FDF"/>
    <w:rsid w:val="009267DF"/>
    <w:rsid w:val="00927926"/>
    <w:rsid w:val="009305A4"/>
    <w:rsid w:val="00931F57"/>
    <w:rsid w:val="0093409E"/>
    <w:rsid w:val="00935378"/>
    <w:rsid w:val="00945255"/>
    <w:rsid w:val="00953466"/>
    <w:rsid w:val="00955248"/>
    <w:rsid w:val="00957AFB"/>
    <w:rsid w:val="00963B7D"/>
    <w:rsid w:val="00970036"/>
    <w:rsid w:val="00975747"/>
    <w:rsid w:val="009804AB"/>
    <w:rsid w:val="009821C9"/>
    <w:rsid w:val="009927C3"/>
    <w:rsid w:val="009933EB"/>
    <w:rsid w:val="0099586B"/>
    <w:rsid w:val="009A5BF0"/>
    <w:rsid w:val="009B236A"/>
    <w:rsid w:val="009B42FC"/>
    <w:rsid w:val="009B4C0B"/>
    <w:rsid w:val="009B4DC9"/>
    <w:rsid w:val="009B73F8"/>
    <w:rsid w:val="009C430B"/>
    <w:rsid w:val="009C6BC3"/>
    <w:rsid w:val="009C7CB7"/>
    <w:rsid w:val="009D6228"/>
    <w:rsid w:val="009E20C8"/>
    <w:rsid w:val="009E3154"/>
    <w:rsid w:val="009E423D"/>
    <w:rsid w:val="009E615A"/>
    <w:rsid w:val="009F1C8A"/>
    <w:rsid w:val="009F2004"/>
    <w:rsid w:val="009F2BAE"/>
    <w:rsid w:val="009F49A6"/>
    <w:rsid w:val="009F71E7"/>
    <w:rsid w:val="00A02AEE"/>
    <w:rsid w:val="00A046DC"/>
    <w:rsid w:val="00A14139"/>
    <w:rsid w:val="00A16B49"/>
    <w:rsid w:val="00A2149E"/>
    <w:rsid w:val="00A27D1D"/>
    <w:rsid w:val="00A31194"/>
    <w:rsid w:val="00A452AA"/>
    <w:rsid w:val="00A53B29"/>
    <w:rsid w:val="00A546D2"/>
    <w:rsid w:val="00A560F3"/>
    <w:rsid w:val="00A57A47"/>
    <w:rsid w:val="00A6731B"/>
    <w:rsid w:val="00A70C5A"/>
    <w:rsid w:val="00A75A00"/>
    <w:rsid w:val="00A87936"/>
    <w:rsid w:val="00A90CCA"/>
    <w:rsid w:val="00A923DC"/>
    <w:rsid w:val="00A94684"/>
    <w:rsid w:val="00A94EB9"/>
    <w:rsid w:val="00A976A4"/>
    <w:rsid w:val="00AA094C"/>
    <w:rsid w:val="00AA2299"/>
    <w:rsid w:val="00AB20BE"/>
    <w:rsid w:val="00AB3CBF"/>
    <w:rsid w:val="00AB7A60"/>
    <w:rsid w:val="00AC26DD"/>
    <w:rsid w:val="00AC3BEB"/>
    <w:rsid w:val="00AC702C"/>
    <w:rsid w:val="00AD6191"/>
    <w:rsid w:val="00AE5A6F"/>
    <w:rsid w:val="00AF079B"/>
    <w:rsid w:val="00B060ED"/>
    <w:rsid w:val="00B07A5E"/>
    <w:rsid w:val="00B103E7"/>
    <w:rsid w:val="00B10CE6"/>
    <w:rsid w:val="00B1463A"/>
    <w:rsid w:val="00B253BC"/>
    <w:rsid w:val="00B254E1"/>
    <w:rsid w:val="00B26E00"/>
    <w:rsid w:val="00B2717F"/>
    <w:rsid w:val="00B30A99"/>
    <w:rsid w:val="00B30D51"/>
    <w:rsid w:val="00B31F9C"/>
    <w:rsid w:val="00B35C6D"/>
    <w:rsid w:val="00B37224"/>
    <w:rsid w:val="00B425AC"/>
    <w:rsid w:val="00B4486A"/>
    <w:rsid w:val="00B47F2B"/>
    <w:rsid w:val="00B5249F"/>
    <w:rsid w:val="00B52B42"/>
    <w:rsid w:val="00B5358B"/>
    <w:rsid w:val="00B565FF"/>
    <w:rsid w:val="00B56D81"/>
    <w:rsid w:val="00B600BA"/>
    <w:rsid w:val="00B66FC6"/>
    <w:rsid w:val="00B713EC"/>
    <w:rsid w:val="00B71B92"/>
    <w:rsid w:val="00B73B49"/>
    <w:rsid w:val="00B7762B"/>
    <w:rsid w:val="00B77A16"/>
    <w:rsid w:val="00B83911"/>
    <w:rsid w:val="00B8427E"/>
    <w:rsid w:val="00B93AD7"/>
    <w:rsid w:val="00B9529B"/>
    <w:rsid w:val="00BA0537"/>
    <w:rsid w:val="00BA068E"/>
    <w:rsid w:val="00BA1E74"/>
    <w:rsid w:val="00BA20D0"/>
    <w:rsid w:val="00BA5C0C"/>
    <w:rsid w:val="00BA6E0A"/>
    <w:rsid w:val="00BA73BF"/>
    <w:rsid w:val="00BA75AE"/>
    <w:rsid w:val="00BB5474"/>
    <w:rsid w:val="00BB7856"/>
    <w:rsid w:val="00BC243A"/>
    <w:rsid w:val="00BD1E6E"/>
    <w:rsid w:val="00BE1C92"/>
    <w:rsid w:val="00BE3FFA"/>
    <w:rsid w:val="00BE447C"/>
    <w:rsid w:val="00BE4663"/>
    <w:rsid w:val="00BE6EE6"/>
    <w:rsid w:val="00BE7F62"/>
    <w:rsid w:val="00BF4552"/>
    <w:rsid w:val="00BF46C6"/>
    <w:rsid w:val="00C02E64"/>
    <w:rsid w:val="00C030E6"/>
    <w:rsid w:val="00C0345C"/>
    <w:rsid w:val="00C060CE"/>
    <w:rsid w:val="00C07A1A"/>
    <w:rsid w:val="00C07BD4"/>
    <w:rsid w:val="00C11128"/>
    <w:rsid w:val="00C2074D"/>
    <w:rsid w:val="00C20DF8"/>
    <w:rsid w:val="00C24025"/>
    <w:rsid w:val="00C27314"/>
    <w:rsid w:val="00C3705C"/>
    <w:rsid w:val="00C41080"/>
    <w:rsid w:val="00C41A24"/>
    <w:rsid w:val="00C41EFB"/>
    <w:rsid w:val="00C53542"/>
    <w:rsid w:val="00C54418"/>
    <w:rsid w:val="00C55F00"/>
    <w:rsid w:val="00C60184"/>
    <w:rsid w:val="00C60F8C"/>
    <w:rsid w:val="00C62121"/>
    <w:rsid w:val="00C65492"/>
    <w:rsid w:val="00C674C2"/>
    <w:rsid w:val="00C67AB6"/>
    <w:rsid w:val="00C751F2"/>
    <w:rsid w:val="00C77FE9"/>
    <w:rsid w:val="00C8056A"/>
    <w:rsid w:val="00C80A73"/>
    <w:rsid w:val="00C80B41"/>
    <w:rsid w:val="00C84F1F"/>
    <w:rsid w:val="00C93300"/>
    <w:rsid w:val="00C94B60"/>
    <w:rsid w:val="00CA1A14"/>
    <w:rsid w:val="00CA529E"/>
    <w:rsid w:val="00CA65BD"/>
    <w:rsid w:val="00CB48DC"/>
    <w:rsid w:val="00CB589D"/>
    <w:rsid w:val="00CB67AC"/>
    <w:rsid w:val="00CC052C"/>
    <w:rsid w:val="00CC2F68"/>
    <w:rsid w:val="00CC35D2"/>
    <w:rsid w:val="00CC6EFB"/>
    <w:rsid w:val="00CD0DDE"/>
    <w:rsid w:val="00CD1309"/>
    <w:rsid w:val="00CD17EB"/>
    <w:rsid w:val="00CD29CB"/>
    <w:rsid w:val="00CD4010"/>
    <w:rsid w:val="00CD656C"/>
    <w:rsid w:val="00CD7799"/>
    <w:rsid w:val="00CE2D10"/>
    <w:rsid w:val="00CE30D1"/>
    <w:rsid w:val="00CE3DB5"/>
    <w:rsid w:val="00CE5D76"/>
    <w:rsid w:val="00CE7A8D"/>
    <w:rsid w:val="00CF1757"/>
    <w:rsid w:val="00CF51F0"/>
    <w:rsid w:val="00CF52D9"/>
    <w:rsid w:val="00CF742B"/>
    <w:rsid w:val="00CF7BE1"/>
    <w:rsid w:val="00D02869"/>
    <w:rsid w:val="00D03436"/>
    <w:rsid w:val="00D03451"/>
    <w:rsid w:val="00D06959"/>
    <w:rsid w:val="00D07C37"/>
    <w:rsid w:val="00D107DE"/>
    <w:rsid w:val="00D117EF"/>
    <w:rsid w:val="00D13B02"/>
    <w:rsid w:val="00D237F7"/>
    <w:rsid w:val="00D23A73"/>
    <w:rsid w:val="00D261F6"/>
    <w:rsid w:val="00D34375"/>
    <w:rsid w:val="00D47C94"/>
    <w:rsid w:val="00D5055B"/>
    <w:rsid w:val="00D51669"/>
    <w:rsid w:val="00D520F1"/>
    <w:rsid w:val="00D56190"/>
    <w:rsid w:val="00D57E12"/>
    <w:rsid w:val="00D623CD"/>
    <w:rsid w:val="00D62D21"/>
    <w:rsid w:val="00D63500"/>
    <w:rsid w:val="00D64500"/>
    <w:rsid w:val="00D721B8"/>
    <w:rsid w:val="00D73EFC"/>
    <w:rsid w:val="00D74062"/>
    <w:rsid w:val="00D754A5"/>
    <w:rsid w:val="00D76AD0"/>
    <w:rsid w:val="00D81CB1"/>
    <w:rsid w:val="00D879B4"/>
    <w:rsid w:val="00D87F5B"/>
    <w:rsid w:val="00D90AC4"/>
    <w:rsid w:val="00D9437D"/>
    <w:rsid w:val="00D94D1D"/>
    <w:rsid w:val="00D96E3F"/>
    <w:rsid w:val="00DA1516"/>
    <w:rsid w:val="00DA2445"/>
    <w:rsid w:val="00DA3A26"/>
    <w:rsid w:val="00DA5F8F"/>
    <w:rsid w:val="00DA6233"/>
    <w:rsid w:val="00DA7E66"/>
    <w:rsid w:val="00DB3796"/>
    <w:rsid w:val="00DB5926"/>
    <w:rsid w:val="00DC050F"/>
    <w:rsid w:val="00DC4A5E"/>
    <w:rsid w:val="00DC5246"/>
    <w:rsid w:val="00DC7B44"/>
    <w:rsid w:val="00DD16D1"/>
    <w:rsid w:val="00DD5539"/>
    <w:rsid w:val="00DE1A07"/>
    <w:rsid w:val="00DE3D44"/>
    <w:rsid w:val="00DF0D03"/>
    <w:rsid w:val="00DF219A"/>
    <w:rsid w:val="00DF4B58"/>
    <w:rsid w:val="00DF511F"/>
    <w:rsid w:val="00DF56E7"/>
    <w:rsid w:val="00E040B8"/>
    <w:rsid w:val="00E061B5"/>
    <w:rsid w:val="00E12F7F"/>
    <w:rsid w:val="00E15814"/>
    <w:rsid w:val="00E1587D"/>
    <w:rsid w:val="00E16B00"/>
    <w:rsid w:val="00E20D5A"/>
    <w:rsid w:val="00E222EA"/>
    <w:rsid w:val="00E24549"/>
    <w:rsid w:val="00E24D1C"/>
    <w:rsid w:val="00E26EA7"/>
    <w:rsid w:val="00E33FF6"/>
    <w:rsid w:val="00E34609"/>
    <w:rsid w:val="00E36613"/>
    <w:rsid w:val="00E414CA"/>
    <w:rsid w:val="00E46928"/>
    <w:rsid w:val="00E471C3"/>
    <w:rsid w:val="00E473DD"/>
    <w:rsid w:val="00E503EA"/>
    <w:rsid w:val="00E51789"/>
    <w:rsid w:val="00E5514D"/>
    <w:rsid w:val="00E5612A"/>
    <w:rsid w:val="00E5641D"/>
    <w:rsid w:val="00E61587"/>
    <w:rsid w:val="00E64ACE"/>
    <w:rsid w:val="00E66814"/>
    <w:rsid w:val="00E70758"/>
    <w:rsid w:val="00E73F6A"/>
    <w:rsid w:val="00E77C7F"/>
    <w:rsid w:val="00E77D29"/>
    <w:rsid w:val="00E805D4"/>
    <w:rsid w:val="00E82DB4"/>
    <w:rsid w:val="00E833C2"/>
    <w:rsid w:val="00E8681C"/>
    <w:rsid w:val="00E87B78"/>
    <w:rsid w:val="00EA02E2"/>
    <w:rsid w:val="00EA5615"/>
    <w:rsid w:val="00EA7AB6"/>
    <w:rsid w:val="00EB0AD9"/>
    <w:rsid w:val="00EB39A0"/>
    <w:rsid w:val="00EB66C1"/>
    <w:rsid w:val="00EB6795"/>
    <w:rsid w:val="00EC3E65"/>
    <w:rsid w:val="00EC3F8A"/>
    <w:rsid w:val="00EC4FF3"/>
    <w:rsid w:val="00EC6DFA"/>
    <w:rsid w:val="00ED0B57"/>
    <w:rsid w:val="00ED34A0"/>
    <w:rsid w:val="00ED4D51"/>
    <w:rsid w:val="00EE0E01"/>
    <w:rsid w:val="00EF0010"/>
    <w:rsid w:val="00EF1C47"/>
    <w:rsid w:val="00EF3296"/>
    <w:rsid w:val="00EF3549"/>
    <w:rsid w:val="00EF406C"/>
    <w:rsid w:val="00F01922"/>
    <w:rsid w:val="00F020D9"/>
    <w:rsid w:val="00F025CE"/>
    <w:rsid w:val="00F068CD"/>
    <w:rsid w:val="00F1200C"/>
    <w:rsid w:val="00F16AFA"/>
    <w:rsid w:val="00F179D6"/>
    <w:rsid w:val="00F17A59"/>
    <w:rsid w:val="00F21DE0"/>
    <w:rsid w:val="00F2780E"/>
    <w:rsid w:val="00F31A75"/>
    <w:rsid w:val="00F365F4"/>
    <w:rsid w:val="00F4097F"/>
    <w:rsid w:val="00F4712B"/>
    <w:rsid w:val="00F47BDF"/>
    <w:rsid w:val="00F50272"/>
    <w:rsid w:val="00F50D8F"/>
    <w:rsid w:val="00F574AE"/>
    <w:rsid w:val="00F57AAC"/>
    <w:rsid w:val="00F60360"/>
    <w:rsid w:val="00F6632C"/>
    <w:rsid w:val="00F67175"/>
    <w:rsid w:val="00F675D3"/>
    <w:rsid w:val="00F70677"/>
    <w:rsid w:val="00F708BC"/>
    <w:rsid w:val="00F8589C"/>
    <w:rsid w:val="00F859B8"/>
    <w:rsid w:val="00F8684A"/>
    <w:rsid w:val="00F94342"/>
    <w:rsid w:val="00F96BD4"/>
    <w:rsid w:val="00FA241A"/>
    <w:rsid w:val="00FA2FDC"/>
    <w:rsid w:val="00FA6B6E"/>
    <w:rsid w:val="00FA6D95"/>
    <w:rsid w:val="00FA71A2"/>
    <w:rsid w:val="00FB093A"/>
    <w:rsid w:val="00FB1F36"/>
    <w:rsid w:val="00FB528D"/>
    <w:rsid w:val="00FB5B96"/>
    <w:rsid w:val="00FB6276"/>
    <w:rsid w:val="00FC1B30"/>
    <w:rsid w:val="00FC6E03"/>
    <w:rsid w:val="00FD0185"/>
    <w:rsid w:val="00FE056B"/>
    <w:rsid w:val="00FE11DF"/>
    <w:rsid w:val="00FE5D02"/>
    <w:rsid w:val="00FF3662"/>
    <w:rsid w:val="00FF3BF4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3E109DB6-B70D-409E-A957-E115A944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052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odyText3">
    <w:name w:val="Body Text 3"/>
    <w:basedOn w:val="Normal"/>
    <w:link w:val="BodyText3Char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customStyle="1" w:styleId="BodyText3Char">
    <w:name w:val="Body Text 3 Char"/>
    <w:basedOn w:val="DefaultParagraphFont"/>
    <w:link w:val="BodyText3"/>
    <w:rsid w:val="002B5BA9"/>
    <w:rPr>
      <w:rFonts w:eastAsia="Times New Roman" w:cs="Times New Roman"/>
      <w:b/>
      <w:i/>
      <w:sz w:val="24"/>
      <w:szCs w:val="20"/>
      <w:lang w:eastAsia="lv-LV"/>
    </w:rPr>
  </w:style>
  <w:style w:type="character" w:styleId="Hyperlink">
    <w:name w:val="Hyperlink"/>
    <w:basedOn w:val="DefaultParagraphFont"/>
    <w:uiPriority w:val="99"/>
    <w:rsid w:val="002A42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0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0F2"/>
  </w:style>
  <w:style w:type="paragraph" w:styleId="Footer">
    <w:name w:val="footer"/>
    <w:basedOn w:val="Normal"/>
    <w:link w:val="FooterChar"/>
    <w:unhideWhenUsed/>
    <w:rsid w:val="007740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40F2"/>
  </w:style>
  <w:style w:type="paragraph" w:styleId="ListParagraph">
    <w:name w:val="List Paragraph"/>
    <w:basedOn w:val="Normal"/>
    <w:uiPriority w:val="99"/>
    <w:qFormat/>
    <w:rsid w:val="000623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1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6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65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635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63500"/>
  </w:style>
  <w:style w:type="paragraph" w:customStyle="1" w:styleId="naisvisr">
    <w:name w:val="naisvisr"/>
    <w:basedOn w:val="Normal"/>
    <w:rsid w:val="00FB09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4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ta.Artemjeva@fm.gov.l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L.Ruškule</Vad_x012b_t_x0101_js>
    <Kategorija xmlns="2e5bb04e-596e-45bd-9003-43ca78b1ba16">Anotācija</Kategorija>
    <DKP xmlns="2e5bb04e-596e-45bd-9003-43ca78b1ba16">447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123A-A0FB-4BCB-AF5E-898A29474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96C66FB-5F34-4422-B311-54C1CF655C7F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2e5bb04e-596e-45bd-9003-43ca78b1ba1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45DBF74-7919-4B71-A43B-DB2817F10B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A159A9-8B80-4BCE-88FE-FB32E14A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762</Words>
  <Characters>5605</Characters>
  <Application>Microsoft Office Word</Application>
  <DocSecurity>0</DocSecurity>
  <Lines>215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„Grozījumi Ministru kabineta 2010.gada 21.jūnija noteikumos Nr.541 „Noteikumi par valsts un pašvaldību institūciju amatpersonu un darbinieku atlīdzības uzskaites sistēmu”” projekta anotācija</vt:lpstr>
    </vt:vector>
  </TitlesOfParts>
  <Company>fm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„Grozījumi Ministru kabineta 2010.gada 21.jūnija noteikumos Nr.541 „Noteikumi par valsts un pašvaldību institūciju amatpersonu un darbinieku atlīdzības uzskaites sistēmu”” projekta anotācija</dc:title>
  <dc:subject>Anotācija</dc:subject>
  <dc:creator>I.Artemjeva</dc:creator>
  <dc:description>Ineta.Artemjeva@fm.gov.lv; tālr. 67095599</dc:description>
  <cp:lastModifiedBy>Indra</cp:lastModifiedBy>
  <cp:revision>16</cp:revision>
  <cp:lastPrinted>2016-03-17T15:36:00Z</cp:lastPrinted>
  <dcterms:created xsi:type="dcterms:W3CDTF">2016-04-04T12:15:00Z</dcterms:created>
  <dcterms:modified xsi:type="dcterms:W3CDTF">2016-04-21T09:21:00Z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