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F1" w:rsidRPr="00427742" w:rsidRDefault="003C14F1" w:rsidP="003E6F9B">
      <w:pPr>
        <w:pStyle w:val="Heading2"/>
        <w:spacing w:before="0" w:after="0"/>
        <w:ind w:right="-108"/>
        <w:jc w:val="center"/>
        <w:rPr>
          <w:rFonts w:ascii="Times New Roman" w:hAnsi="Times New Roman"/>
          <w:bCs w:val="0"/>
          <w:i w:val="0"/>
          <w:sz w:val="26"/>
          <w:szCs w:val="26"/>
          <w:lang w:eastAsia="lv-LV"/>
        </w:rPr>
      </w:pPr>
      <w:r w:rsidRPr="00427742">
        <w:rPr>
          <w:rFonts w:ascii="Times New Roman" w:hAnsi="Times New Roman"/>
          <w:bCs w:val="0"/>
          <w:i w:val="0"/>
          <w:sz w:val="26"/>
          <w:szCs w:val="26"/>
          <w:lang w:eastAsia="lv-LV"/>
        </w:rPr>
        <w:t xml:space="preserve">Ministru kabineta noteikumu projekta „Grozījumi Ministru kabineta 2008.gada 25.marta noteikumos Nr.196 </w:t>
      </w:r>
    </w:p>
    <w:p w:rsidR="003C14F1" w:rsidRPr="00427742" w:rsidRDefault="003C14F1" w:rsidP="003E6F9B">
      <w:pPr>
        <w:pStyle w:val="Heading2"/>
        <w:spacing w:before="0" w:after="0"/>
        <w:ind w:right="-108"/>
        <w:jc w:val="center"/>
        <w:rPr>
          <w:rFonts w:ascii="Times New Roman" w:hAnsi="Times New Roman"/>
          <w:bCs w:val="0"/>
          <w:i w:val="0"/>
          <w:sz w:val="26"/>
          <w:szCs w:val="26"/>
          <w:lang w:eastAsia="lv-LV"/>
        </w:rPr>
      </w:pPr>
      <w:r w:rsidRPr="00427742">
        <w:rPr>
          <w:rFonts w:ascii="Times New Roman" w:hAnsi="Times New Roman"/>
          <w:bCs w:val="0"/>
          <w:i w:val="0"/>
          <w:sz w:val="26"/>
          <w:szCs w:val="26"/>
          <w:lang w:eastAsia="lv-LV"/>
        </w:rPr>
        <w:t>„Noteikumi par pašvaldību aizņēmumiem un galvojumiem””</w:t>
      </w:r>
    </w:p>
    <w:p w:rsidR="00555F05" w:rsidRPr="00427742" w:rsidRDefault="003C14F1" w:rsidP="00555F05">
      <w:pPr>
        <w:pStyle w:val="Heading2"/>
        <w:spacing w:before="0" w:after="0"/>
        <w:ind w:right="-108"/>
        <w:jc w:val="center"/>
        <w:rPr>
          <w:rFonts w:ascii="Times New Roman" w:hAnsi="Times New Roman"/>
          <w:i w:val="0"/>
          <w:sz w:val="26"/>
          <w:szCs w:val="26"/>
        </w:rPr>
      </w:pPr>
      <w:r w:rsidRPr="00427742">
        <w:rPr>
          <w:rFonts w:ascii="Times New Roman" w:hAnsi="Times New Roman"/>
          <w:i w:val="0"/>
          <w:sz w:val="26"/>
          <w:szCs w:val="26"/>
        </w:rPr>
        <w:t>sākotnējās ietekmes novērtējuma ziņojums (anotācija)</w:t>
      </w: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35"/>
      </w:tblGrid>
      <w:tr w:rsidR="009A0027" w:rsidRPr="00427742" w:rsidTr="00D36916">
        <w:tc>
          <w:tcPr>
            <w:tcW w:w="9786" w:type="dxa"/>
            <w:gridSpan w:val="3"/>
            <w:vAlign w:val="center"/>
          </w:tcPr>
          <w:p w:rsidR="00852042" w:rsidRPr="00427742" w:rsidRDefault="00852042" w:rsidP="00A25063">
            <w:pPr>
              <w:pStyle w:val="naisnod"/>
              <w:spacing w:before="0" w:after="0"/>
              <w:rPr>
                <w:sz w:val="26"/>
                <w:szCs w:val="26"/>
              </w:rPr>
            </w:pPr>
            <w:r w:rsidRPr="00427742">
              <w:rPr>
                <w:sz w:val="26"/>
                <w:szCs w:val="26"/>
              </w:rPr>
              <w:t>I</w:t>
            </w:r>
            <w:r w:rsidR="000941C5" w:rsidRPr="00427742">
              <w:rPr>
                <w:sz w:val="26"/>
                <w:szCs w:val="26"/>
              </w:rPr>
              <w:t>.</w:t>
            </w:r>
            <w:r w:rsidRPr="00427742">
              <w:rPr>
                <w:sz w:val="26"/>
                <w:szCs w:val="26"/>
              </w:rPr>
              <w:t xml:space="preserve"> Tiesību akta </w:t>
            </w:r>
            <w:r w:rsidR="002E3FF4" w:rsidRPr="00427742">
              <w:rPr>
                <w:sz w:val="26"/>
                <w:szCs w:val="26"/>
              </w:rPr>
              <w:t xml:space="preserve">projekta </w:t>
            </w:r>
            <w:r w:rsidRPr="00427742">
              <w:rPr>
                <w:sz w:val="26"/>
                <w:szCs w:val="26"/>
              </w:rPr>
              <w:t>izstrādes nepieciešamība</w:t>
            </w:r>
          </w:p>
        </w:tc>
      </w:tr>
      <w:tr w:rsidR="00883DA1" w:rsidRPr="00427742" w:rsidTr="00813AC1">
        <w:trPr>
          <w:trHeight w:val="267"/>
        </w:trPr>
        <w:tc>
          <w:tcPr>
            <w:tcW w:w="483" w:type="dxa"/>
          </w:tcPr>
          <w:p w:rsidR="00262E2B" w:rsidRPr="00427742" w:rsidRDefault="00262E2B" w:rsidP="00A25063">
            <w:pPr>
              <w:pStyle w:val="naiskr"/>
              <w:spacing w:before="0" w:after="0"/>
              <w:jc w:val="center"/>
              <w:rPr>
                <w:sz w:val="26"/>
                <w:szCs w:val="26"/>
              </w:rPr>
            </w:pPr>
            <w:r w:rsidRPr="00427742">
              <w:rPr>
                <w:sz w:val="26"/>
                <w:szCs w:val="26"/>
              </w:rPr>
              <w:t>1.</w:t>
            </w:r>
          </w:p>
        </w:tc>
        <w:tc>
          <w:tcPr>
            <w:tcW w:w="2268" w:type="dxa"/>
          </w:tcPr>
          <w:p w:rsidR="00262E2B" w:rsidRPr="00427742" w:rsidRDefault="002D7F54" w:rsidP="00A25063">
            <w:pPr>
              <w:pStyle w:val="naiskr"/>
              <w:spacing w:before="0" w:after="0"/>
              <w:rPr>
                <w:sz w:val="26"/>
                <w:szCs w:val="26"/>
              </w:rPr>
            </w:pPr>
            <w:r w:rsidRPr="00427742">
              <w:rPr>
                <w:sz w:val="26"/>
                <w:szCs w:val="26"/>
              </w:rPr>
              <w:t>Pamatojums</w:t>
            </w:r>
          </w:p>
        </w:tc>
        <w:tc>
          <w:tcPr>
            <w:tcW w:w="7035" w:type="dxa"/>
          </w:tcPr>
          <w:p w:rsidR="00F80940" w:rsidRPr="00427742" w:rsidRDefault="004B5087" w:rsidP="003D662D">
            <w:pPr>
              <w:jc w:val="both"/>
              <w:rPr>
                <w:bCs/>
                <w:sz w:val="26"/>
                <w:szCs w:val="26"/>
              </w:rPr>
            </w:pPr>
            <w:r w:rsidRPr="00427742">
              <w:rPr>
                <w:bCs/>
                <w:sz w:val="26"/>
                <w:szCs w:val="26"/>
                <w:lang w:eastAsia="en-US"/>
              </w:rPr>
              <w:t>Ministru kabineta noteikumu projekts „Grozījumi Ministru kabineta 2008.gada 25.marta noteikumos Nr.196 „Noteikumi par pašvaldību aizņēmumiem un galvojumiem”</w:t>
            </w:r>
            <w:r w:rsidRPr="00427742">
              <w:rPr>
                <w:sz w:val="26"/>
                <w:szCs w:val="26"/>
                <w:lang w:eastAsia="en-US"/>
              </w:rPr>
              <w:t xml:space="preserve">” (turpmāk – Noteikumu projekts) izstrādāts, lai, </w:t>
            </w:r>
            <w:r w:rsidRPr="00427742">
              <w:rPr>
                <w:sz w:val="26"/>
                <w:szCs w:val="26"/>
              </w:rPr>
              <w:t>ņemot vērā jauno ko</w:t>
            </w:r>
            <w:r w:rsidR="003D662D" w:rsidRPr="00427742">
              <w:rPr>
                <w:sz w:val="26"/>
                <w:szCs w:val="26"/>
              </w:rPr>
              <w:t>mpetenču un funkciju sadalījumu</w:t>
            </w:r>
            <w:r w:rsidRPr="00427742">
              <w:rPr>
                <w:sz w:val="26"/>
                <w:szCs w:val="26"/>
                <w:lang w:eastAsia="en-US"/>
              </w:rPr>
              <w:t xml:space="preserve"> Eiropas Savienības struktūrfondu līdzfinansēto atbalsta programmu īsteno</w:t>
            </w:r>
            <w:r w:rsidR="003D662D" w:rsidRPr="00427742">
              <w:rPr>
                <w:sz w:val="26"/>
                <w:szCs w:val="26"/>
                <w:lang w:eastAsia="en-US"/>
              </w:rPr>
              <w:t>šanā un uzraudzībā, nodrošinātu</w:t>
            </w:r>
            <w:r w:rsidRPr="00427742">
              <w:rPr>
                <w:sz w:val="26"/>
                <w:szCs w:val="26"/>
                <w:lang w:eastAsia="en-US"/>
              </w:rPr>
              <w:t xml:space="preserve"> </w:t>
            </w:r>
            <w:r w:rsidR="003D662D" w:rsidRPr="00427742">
              <w:rPr>
                <w:sz w:val="26"/>
                <w:szCs w:val="26"/>
                <w:lang w:eastAsia="en-US"/>
              </w:rPr>
              <w:t>attiecīgās</w:t>
            </w:r>
            <w:r w:rsidRPr="00427742">
              <w:rPr>
                <w:sz w:val="26"/>
                <w:szCs w:val="26"/>
                <w:lang w:eastAsia="en-US"/>
              </w:rPr>
              <w:t xml:space="preserve"> iestādes  - Centrālās finanšu un līgumu aģentūras pārstāvību Pašvaldību aizņēmumu un galvojumu kontroles un pārraudzības padomē (turpmāk- Padome). Vienlaikus Not</w:t>
            </w:r>
            <w:r w:rsidR="003D662D" w:rsidRPr="00427742">
              <w:rPr>
                <w:sz w:val="26"/>
                <w:szCs w:val="26"/>
                <w:lang w:eastAsia="en-US"/>
              </w:rPr>
              <w:t xml:space="preserve">eikumu projekts paredz </w:t>
            </w:r>
            <w:r w:rsidRPr="00427742">
              <w:rPr>
                <w:sz w:val="26"/>
                <w:szCs w:val="26"/>
                <w:lang w:eastAsia="en-US"/>
              </w:rPr>
              <w:t>tehniskus (redakcionālus) precizējumus.</w:t>
            </w:r>
          </w:p>
        </w:tc>
      </w:tr>
      <w:tr w:rsidR="00E826C5" w:rsidRPr="00427742" w:rsidTr="00813AC1">
        <w:trPr>
          <w:trHeight w:val="472"/>
        </w:trPr>
        <w:tc>
          <w:tcPr>
            <w:tcW w:w="483" w:type="dxa"/>
          </w:tcPr>
          <w:p w:rsidR="00E826C5" w:rsidRPr="00427742" w:rsidRDefault="00E826C5" w:rsidP="005A6EF3">
            <w:pPr>
              <w:pStyle w:val="naiskr"/>
              <w:spacing w:before="0" w:after="0"/>
              <w:jc w:val="center"/>
              <w:rPr>
                <w:sz w:val="26"/>
                <w:szCs w:val="26"/>
              </w:rPr>
            </w:pPr>
            <w:r w:rsidRPr="00427742">
              <w:rPr>
                <w:sz w:val="26"/>
                <w:szCs w:val="26"/>
              </w:rPr>
              <w:t>2.</w:t>
            </w:r>
          </w:p>
        </w:tc>
        <w:tc>
          <w:tcPr>
            <w:tcW w:w="2268" w:type="dxa"/>
          </w:tcPr>
          <w:p w:rsidR="00991C57" w:rsidRPr="00427742" w:rsidRDefault="00E826C5" w:rsidP="005A6EF3">
            <w:pPr>
              <w:pStyle w:val="naiskr"/>
              <w:spacing w:before="0" w:after="0"/>
              <w:rPr>
                <w:sz w:val="26"/>
                <w:szCs w:val="26"/>
              </w:rPr>
            </w:pPr>
            <w:r w:rsidRPr="00427742">
              <w:rPr>
                <w:sz w:val="26"/>
                <w:szCs w:val="26"/>
              </w:rPr>
              <w:t>Pašreizējā situācija un problēmas, kuru risināšanai tiesību akta projekts izstrādāts, tiesiskā regulējuma mērķis un būtība</w:t>
            </w: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991C57" w:rsidRPr="00427742" w:rsidRDefault="00991C57" w:rsidP="00991C57">
            <w:pPr>
              <w:rPr>
                <w:sz w:val="26"/>
                <w:szCs w:val="26"/>
              </w:rPr>
            </w:pPr>
          </w:p>
          <w:p w:rsidR="00E826C5" w:rsidRPr="00427742" w:rsidRDefault="00E826C5" w:rsidP="00991C57">
            <w:pPr>
              <w:ind w:firstLine="720"/>
              <w:rPr>
                <w:sz w:val="26"/>
                <w:szCs w:val="26"/>
              </w:rPr>
            </w:pPr>
          </w:p>
        </w:tc>
        <w:tc>
          <w:tcPr>
            <w:tcW w:w="7035" w:type="dxa"/>
          </w:tcPr>
          <w:p w:rsidR="004B5087" w:rsidRPr="00427742" w:rsidRDefault="004B5087" w:rsidP="004B5087">
            <w:pPr>
              <w:jc w:val="both"/>
              <w:rPr>
                <w:sz w:val="26"/>
                <w:szCs w:val="26"/>
              </w:rPr>
            </w:pPr>
            <w:r w:rsidRPr="00427742">
              <w:rPr>
                <w:bCs/>
                <w:sz w:val="26"/>
                <w:szCs w:val="26"/>
              </w:rPr>
              <w:t>Pašvaldībām atbilstoši norm</w:t>
            </w:r>
            <w:r w:rsidR="003D662D" w:rsidRPr="00427742">
              <w:rPr>
                <w:bCs/>
                <w:sz w:val="26"/>
                <w:szCs w:val="26"/>
              </w:rPr>
              <w:t>atīvajos aktos noteikta</w:t>
            </w:r>
            <w:r w:rsidR="00BA5458" w:rsidRPr="00427742">
              <w:rPr>
                <w:bCs/>
                <w:sz w:val="26"/>
                <w:szCs w:val="26"/>
              </w:rPr>
              <w:t>ja</w:t>
            </w:r>
            <w:r w:rsidR="003D662D" w:rsidRPr="00427742">
              <w:rPr>
                <w:bCs/>
                <w:sz w:val="26"/>
                <w:szCs w:val="26"/>
              </w:rPr>
              <w:t>m (likuma</w:t>
            </w:r>
            <w:r w:rsidRPr="00427742">
              <w:rPr>
                <w:bCs/>
                <w:sz w:val="26"/>
                <w:szCs w:val="26"/>
              </w:rPr>
              <w:t xml:space="preserve"> “Par pašvaldību budžetiem” 22.pants,  likuma “Par valsts budžetu 2016.gadam</w:t>
            </w:r>
            <w:r w:rsidR="003D662D" w:rsidRPr="00427742">
              <w:rPr>
                <w:bCs/>
                <w:sz w:val="26"/>
                <w:szCs w:val="26"/>
              </w:rPr>
              <w:t>”</w:t>
            </w:r>
            <w:r w:rsidRPr="00427742">
              <w:rPr>
                <w:bCs/>
                <w:sz w:val="26"/>
                <w:szCs w:val="26"/>
              </w:rPr>
              <w:t xml:space="preserve"> 15.pants) </w:t>
            </w:r>
            <w:r w:rsidRPr="00427742">
              <w:rPr>
                <w:sz w:val="26"/>
                <w:szCs w:val="26"/>
              </w:rPr>
              <w:t>pēc pozitīva Padomes lēmuma saņemšanas</w:t>
            </w:r>
            <w:r w:rsidRPr="00427742">
              <w:rPr>
                <w:bCs/>
                <w:sz w:val="26"/>
                <w:szCs w:val="26"/>
              </w:rPr>
              <w:t xml:space="preserve"> ir tiesības ņemt aizņēmumus investīciju projektu īstenošanai, tajā skaitā </w:t>
            </w:r>
            <w:r w:rsidRPr="00427742">
              <w:rPr>
                <w:sz w:val="26"/>
                <w:szCs w:val="26"/>
              </w:rPr>
              <w:t xml:space="preserve">Eiropas Savienības struktūrfondu līdzfinansēto projektu īstenošanai. </w:t>
            </w:r>
          </w:p>
          <w:p w:rsidR="004B5087" w:rsidRPr="00427742" w:rsidRDefault="004B5087" w:rsidP="004B5087">
            <w:pPr>
              <w:jc w:val="both"/>
              <w:rPr>
                <w:sz w:val="26"/>
                <w:szCs w:val="26"/>
              </w:rPr>
            </w:pPr>
            <w:r w:rsidRPr="00427742">
              <w:rPr>
                <w:sz w:val="26"/>
                <w:szCs w:val="26"/>
              </w:rPr>
              <w:t>Noteikumu projektā ir precizētas institūcijas, kuru pārstāvji ir deleģēti darbam Padomē - Ekonomikas ministrijas pārstāvis tiks aizstāts ar Centrālās finanšu un līgumu aģentūras pārstāvi, ņemot vērā jauno kompetenču un funkciju sadalījumu Eiropas Savienības struktūrfondu līdzfinansēto atbalsta programmu īstenošanā un uzraudzībā, kas noteikts Eiropas Savienības struktūrfondu un Kohēzijas fonda 2014.-2020.gada plānošanas perioda vadības likumā.</w:t>
            </w:r>
          </w:p>
          <w:p w:rsidR="004B5087" w:rsidRPr="00427742" w:rsidRDefault="004B5087" w:rsidP="004B5087">
            <w:pPr>
              <w:jc w:val="both"/>
              <w:rPr>
                <w:sz w:val="26"/>
                <w:szCs w:val="26"/>
              </w:rPr>
            </w:pPr>
            <w:r w:rsidRPr="00427742">
              <w:rPr>
                <w:sz w:val="26"/>
                <w:szCs w:val="26"/>
              </w:rPr>
              <w:t>Noteikumu projektā ir veikti sekojoši tehniski (redakcionāli) precizējumi:</w:t>
            </w:r>
          </w:p>
          <w:p w:rsidR="004B5087" w:rsidRPr="00427742" w:rsidRDefault="004B5087" w:rsidP="004B5087">
            <w:pPr>
              <w:pStyle w:val="ListParagraph"/>
              <w:numPr>
                <w:ilvl w:val="0"/>
                <w:numId w:val="50"/>
              </w:numPr>
              <w:contextualSpacing/>
              <w:jc w:val="both"/>
              <w:rPr>
                <w:sz w:val="26"/>
                <w:szCs w:val="26"/>
              </w:rPr>
            </w:pPr>
            <w:r w:rsidRPr="00427742">
              <w:rPr>
                <w:sz w:val="26"/>
                <w:szCs w:val="26"/>
              </w:rPr>
              <w:t xml:space="preserve">precizēts </w:t>
            </w:r>
            <w:r w:rsidR="00BA5458" w:rsidRPr="00427742">
              <w:rPr>
                <w:bCs/>
                <w:sz w:val="26"/>
                <w:szCs w:val="26"/>
                <w:lang w:val="lv-LV" w:eastAsia="en-US"/>
              </w:rPr>
              <w:t xml:space="preserve"> </w:t>
            </w:r>
            <w:r w:rsidR="00BA5458" w:rsidRPr="00427742">
              <w:rPr>
                <w:bCs/>
                <w:sz w:val="26"/>
                <w:szCs w:val="26"/>
                <w:lang w:val="lv-LV"/>
              </w:rPr>
              <w:t>Ministru kabineta 2008.gada 25.marta noteikumu Nr.196 „Noteikumi par pašvaldību aizņēmumiem un galvojumiem”</w:t>
            </w:r>
            <w:r w:rsidRPr="00427742">
              <w:rPr>
                <w:sz w:val="26"/>
                <w:szCs w:val="26"/>
              </w:rPr>
              <w:t xml:space="preserve"> </w:t>
            </w:r>
            <w:r w:rsidR="00BA5458" w:rsidRPr="00427742">
              <w:rPr>
                <w:sz w:val="26"/>
                <w:szCs w:val="26"/>
                <w:lang w:val="lv-LV"/>
              </w:rPr>
              <w:t xml:space="preserve">(turpmāk- Noteikumi) </w:t>
            </w:r>
            <w:r w:rsidRPr="00427742">
              <w:rPr>
                <w:sz w:val="26"/>
                <w:szCs w:val="26"/>
              </w:rPr>
              <w:t>3.punkts, aizstājot vārdu “nolikumu” ar vārdu “reglamentu”</w:t>
            </w:r>
            <w:r w:rsidR="00BA5458" w:rsidRPr="00427742">
              <w:rPr>
                <w:sz w:val="26"/>
                <w:szCs w:val="26"/>
              </w:rPr>
              <w:t xml:space="preserve">, </w:t>
            </w:r>
            <w:r w:rsidR="00BA5458" w:rsidRPr="00427742">
              <w:rPr>
                <w:sz w:val="26"/>
                <w:szCs w:val="26"/>
                <w:lang w:val="lv-LV"/>
              </w:rPr>
              <w:t>ņemot vērā, ka</w:t>
            </w:r>
            <w:r w:rsidRPr="00427742">
              <w:rPr>
                <w:sz w:val="26"/>
                <w:szCs w:val="26"/>
                <w:lang w:val="lv-LV"/>
              </w:rPr>
              <w:t xml:space="preserve"> finanšu ministrs apstiprina </w:t>
            </w:r>
            <w:r w:rsidR="00BA5458" w:rsidRPr="00427742">
              <w:rPr>
                <w:sz w:val="26"/>
                <w:szCs w:val="26"/>
              </w:rPr>
              <w:t xml:space="preserve"> Padomes reglametu;</w:t>
            </w:r>
          </w:p>
          <w:p w:rsidR="009E7BFE" w:rsidRPr="00427742" w:rsidRDefault="004B5087" w:rsidP="004B5087">
            <w:pPr>
              <w:pStyle w:val="ListParagraph"/>
              <w:numPr>
                <w:ilvl w:val="0"/>
                <w:numId w:val="50"/>
              </w:numPr>
              <w:contextualSpacing/>
              <w:jc w:val="both"/>
              <w:rPr>
                <w:sz w:val="26"/>
                <w:szCs w:val="26"/>
              </w:rPr>
            </w:pPr>
            <w:r w:rsidRPr="00427742">
              <w:rPr>
                <w:sz w:val="26"/>
                <w:szCs w:val="26"/>
              </w:rPr>
              <w:t xml:space="preserve"> atbilstoši aktuālajai terminoloģijai precizēta Noteikumu 16.punkta re</w:t>
            </w:r>
            <w:r w:rsidR="003D662D" w:rsidRPr="00427742">
              <w:rPr>
                <w:sz w:val="26"/>
                <w:szCs w:val="26"/>
              </w:rPr>
              <w:t>da</w:t>
            </w:r>
            <w:r w:rsidR="00555F05" w:rsidRPr="00427742">
              <w:rPr>
                <w:sz w:val="26"/>
                <w:szCs w:val="26"/>
              </w:rPr>
              <w:t>kcija pašvaldību iesniedzamajie</w:t>
            </w:r>
            <w:r w:rsidR="003D662D" w:rsidRPr="00427742">
              <w:rPr>
                <w:sz w:val="26"/>
                <w:szCs w:val="26"/>
              </w:rPr>
              <w:t>m dokumentie</w:t>
            </w:r>
            <w:r w:rsidRPr="00427742">
              <w:rPr>
                <w:sz w:val="26"/>
                <w:szCs w:val="26"/>
              </w:rPr>
              <w:t xml:space="preserve">m (pašvaldības ar  </w:t>
            </w:r>
            <w:r w:rsidRPr="00427742">
              <w:rPr>
                <w:bCs/>
                <w:sz w:val="26"/>
                <w:szCs w:val="26"/>
              </w:rPr>
              <w:t>līgumslēdzēju noslēgtā līguma par Eiropas Savienības fonda projekta īstenošanu kopija</w:t>
            </w:r>
            <w:r w:rsidR="003D662D" w:rsidRPr="00427742">
              <w:rPr>
                <w:bCs/>
                <w:sz w:val="26"/>
                <w:szCs w:val="26"/>
                <w:lang w:val="lv-LV"/>
              </w:rPr>
              <w:t xml:space="preserve"> un attiecīgā projekta iesnieguma pielikumi</w:t>
            </w:r>
            <w:r w:rsidRPr="00427742">
              <w:rPr>
                <w:bCs/>
                <w:sz w:val="26"/>
                <w:szCs w:val="26"/>
              </w:rPr>
              <w:t>).</w:t>
            </w:r>
          </w:p>
        </w:tc>
      </w:tr>
      <w:tr w:rsidR="00E826C5" w:rsidRPr="00427742" w:rsidTr="00DA5C2E">
        <w:trPr>
          <w:trHeight w:val="585"/>
        </w:trPr>
        <w:tc>
          <w:tcPr>
            <w:tcW w:w="483" w:type="dxa"/>
          </w:tcPr>
          <w:p w:rsidR="00E826C5" w:rsidRPr="00427742" w:rsidRDefault="00E826C5" w:rsidP="005A6EF3">
            <w:pPr>
              <w:pStyle w:val="naiskr"/>
              <w:spacing w:before="0" w:after="0"/>
              <w:jc w:val="center"/>
              <w:rPr>
                <w:sz w:val="26"/>
                <w:szCs w:val="26"/>
              </w:rPr>
            </w:pPr>
            <w:r w:rsidRPr="00427742">
              <w:rPr>
                <w:sz w:val="26"/>
                <w:szCs w:val="26"/>
              </w:rPr>
              <w:t>3.</w:t>
            </w:r>
          </w:p>
        </w:tc>
        <w:tc>
          <w:tcPr>
            <w:tcW w:w="2268" w:type="dxa"/>
          </w:tcPr>
          <w:p w:rsidR="00427742" w:rsidRDefault="00E826C5" w:rsidP="005A6EF3">
            <w:pPr>
              <w:pStyle w:val="naiskr"/>
              <w:spacing w:before="0" w:after="0"/>
              <w:rPr>
                <w:sz w:val="26"/>
                <w:szCs w:val="26"/>
              </w:rPr>
            </w:pPr>
            <w:r w:rsidRPr="00427742">
              <w:rPr>
                <w:sz w:val="26"/>
                <w:szCs w:val="26"/>
              </w:rPr>
              <w:t xml:space="preserve">Projekta izstrādē iesaistītās </w:t>
            </w:r>
          </w:p>
          <w:p w:rsidR="00427742" w:rsidRPr="00427742" w:rsidRDefault="00427742" w:rsidP="005A6EF3">
            <w:pPr>
              <w:pStyle w:val="naiskr"/>
              <w:spacing w:before="0" w:after="0"/>
              <w:rPr>
                <w:sz w:val="26"/>
                <w:szCs w:val="26"/>
              </w:rPr>
            </w:pPr>
            <w:r w:rsidRPr="00427742">
              <w:rPr>
                <w:sz w:val="26"/>
                <w:szCs w:val="26"/>
              </w:rPr>
              <w:t>I</w:t>
            </w:r>
            <w:r w:rsidR="00E826C5" w:rsidRPr="00427742">
              <w:rPr>
                <w:sz w:val="26"/>
                <w:szCs w:val="26"/>
              </w:rPr>
              <w:t>nstitūcijas</w:t>
            </w:r>
          </w:p>
        </w:tc>
        <w:tc>
          <w:tcPr>
            <w:tcW w:w="7035" w:type="dxa"/>
          </w:tcPr>
          <w:p w:rsidR="00E826C5" w:rsidRPr="00427742" w:rsidRDefault="00D27163" w:rsidP="002633A2">
            <w:pPr>
              <w:spacing w:after="120"/>
              <w:jc w:val="both"/>
              <w:rPr>
                <w:sz w:val="26"/>
                <w:szCs w:val="26"/>
              </w:rPr>
            </w:pPr>
            <w:r w:rsidRPr="00427742">
              <w:rPr>
                <w:sz w:val="26"/>
                <w:szCs w:val="26"/>
              </w:rPr>
              <w:t xml:space="preserve">Finanšu </w:t>
            </w:r>
            <w:proofErr w:type="spellStart"/>
            <w:r w:rsidRPr="00427742">
              <w:rPr>
                <w:sz w:val="26"/>
                <w:szCs w:val="26"/>
              </w:rPr>
              <w:t>minstrija</w:t>
            </w:r>
            <w:proofErr w:type="spellEnd"/>
            <w:r w:rsidR="002633A2" w:rsidRPr="00427742">
              <w:rPr>
                <w:sz w:val="26"/>
                <w:szCs w:val="26"/>
              </w:rPr>
              <w:t>.</w:t>
            </w:r>
          </w:p>
        </w:tc>
      </w:tr>
      <w:tr w:rsidR="00E826C5" w:rsidRPr="00427742" w:rsidTr="0009223E">
        <w:tc>
          <w:tcPr>
            <w:tcW w:w="483" w:type="dxa"/>
          </w:tcPr>
          <w:p w:rsidR="00E826C5" w:rsidRPr="00427742" w:rsidRDefault="00E826C5" w:rsidP="005A6EF3">
            <w:pPr>
              <w:pStyle w:val="naiskr"/>
              <w:spacing w:before="0" w:after="0"/>
              <w:jc w:val="center"/>
              <w:rPr>
                <w:sz w:val="26"/>
                <w:szCs w:val="26"/>
              </w:rPr>
            </w:pPr>
            <w:r w:rsidRPr="00427742">
              <w:rPr>
                <w:sz w:val="26"/>
                <w:szCs w:val="26"/>
              </w:rPr>
              <w:t>4.</w:t>
            </w:r>
          </w:p>
        </w:tc>
        <w:tc>
          <w:tcPr>
            <w:tcW w:w="2268" w:type="dxa"/>
          </w:tcPr>
          <w:p w:rsidR="00E826C5" w:rsidRPr="00427742" w:rsidRDefault="00E826C5" w:rsidP="005A6EF3">
            <w:pPr>
              <w:pStyle w:val="naiskr"/>
              <w:spacing w:before="0" w:after="0"/>
              <w:rPr>
                <w:sz w:val="26"/>
                <w:szCs w:val="26"/>
              </w:rPr>
            </w:pPr>
            <w:r w:rsidRPr="00427742">
              <w:rPr>
                <w:sz w:val="26"/>
                <w:szCs w:val="26"/>
              </w:rPr>
              <w:t>Cita informācija</w:t>
            </w:r>
          </w:p>
        </w:tc>
        <w:tc>
          <w:tcPr>
            <w:tcW w:w="7035" w:type="dxa"/>
          </w:tcPr>
          <w:p w:rsidR="00E826C5" w:rsidRPr="00427742" w:rsidRDefault="00EE3CD8" w:rsidP="00E90274">
            <w:pPr>
              <w:jc w:val="both"/>
              <w:rPr>
                <w:sz w:val="26"/>
                <w:szCs w:val="26"/>
              </w:rPr>
            </w:pPr>
            <w:r w:rsidRPr="00427742">
              <w:rPr>
                <w:sz w:val="26"/>
                <w:szCs w:val="26"/>
              </w:rPr>
              <w:t>Nav.</w:t>
            </w:r>
          </w:p>
        </w:tc>
      </w:tr>
    </w:tbl>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78"/>
        <w:gridCol w:w="3010"/>
        <w:gridCol w:w="6118"/>
      </w:tblGrid>
      <w:tr w:rsidR="00E65675" w:rsidRPr="00427742" w:rsidTr="003E6F9B">
        <w:trPr>
          <w:jc w:val="center"/>
        </w:trPr>
        <w:tc>
          <w:tcPr>
            <w:tcW w:w="9906" w:type="dxa"/>
            <w:gridSpan w:val="3"/>
          </w:tcPr>
          <w:p w:rsidR="00E65675" w:rsidRPr="00427742" w:rsidRDefault="00E65675" w:rsidP="003E6F9B">
            <w:pPr>
              <w:pStyle w:val="naisnod"/>
              <w:spacing w:before="0" w:after="0"/>
              <w:rPr>
                <w:sz w:val="26"/>
                <w:szCs w:val="26"/>
              </w:rPr>
            </w:pPr>
            <w:r w:rsidRPr="00427742">
              <w:rPr>
                <w:sz w:val="26"/>
                <w:szCs w:val="26"/>
              </w:rPr>
              <w:lastRenderedPageBreak/>
              <w:t xml:space="preserve">VI. </w:t>
            </w:r>
            <w:r w:rsidRPr="00427742">
              <w:rPr>
                <w:bCs w:val="0"/>
                <w:sz w:val="26"/>
                <w:szCs w:val="26"/>
              </w:rPr>
              <w:t>Sabiedrības līdzdalība un komunikācijas aktivitātes</w:t>
            </w:r>
          </w:p>
        </w:tc>
      </w:tr>
      <w:tr w:rsidR="00E65675" w:rsidRPr="00427742" w:rsidTr="003E6F9B">
        <w:trPr>
          <w:jc w:val="center"/>
        </w:trPr>
        <w:tc>
          <w:tcPr>
            <w:tcW w:w="778" w:type="dxa"/>
          </w:tcPr>
          <w:p w:rsidR="00E65675" w:rsidRPr="00427742" w:rsidRDefault="00E65675" w:rsidP="003E6F9B">
            <w:pPr>
              <w:pStyle w:val="naiskr"/>
              <w:tabs>
                <w:tab w:val="left" w:pos="2628"/>
              </w:tabs>
              <w:spacing w:before="0" w:after="0"/>
              <w:jc w:val="center"/>
              <w:rPr>
                <w:iCs/>
                <w:sz w:val="26"/>
                <w:szCs w:val="26"/>
              </w:rPr>
            </w:pPr>
            <w:r w:rsidRPr="00427742">
              <w:rPr>
                <w:iCs/>
                <w:sz w:val="26"/>
                <w:szCs w:val="26"/>
              </w:rPr>
              <w:t>1.</w:t>
            </w:r>
          </w:p>
        </w:tc>
        <w:tc>
          <w:tcPr>
            <w:tcW w:w="3010" w:type="dxa"/>
          </w:tcPr>
          <w:p w:rsidR="00E65675" w:rsidRPr="00427742" w:rsidRDefault="00E65675" w:rsidP="003E6F9B">
            <w:pPr>
              <w:pStyle w:val="naiskr"/>
              <w:tabs>
                <w:tab w:val="left" w:pos="2628"/>
              </w:tabs>
              <w:spacing w:before="0" w:after="0"/>
              <w:rPr>
                <w:iCs/>
                <w:sz w:val="26"/>
                <w:szCs w:val="26"/>
              </w:rPr>
            </w:pPr>
            <w:r w:rsidRPr="00427742">
              <w:rPr>
                <w:sz w:val="26"/>
                <w:szCs w:val="26"/>
              </w:rPr>
              <w:t>Plānotās sabiedrības līdzdalības un komunikācijas aktivitātes saistībā ar projektu</w:t>
            </w:r>
          </w:p>
        </w:tc>
        <w:tc>
          <w:tcPr>
            <w:tcW w:w="6118" w:type="dxa"/>
          </w:tcPr>
          <w:p w:rsidR="00E65675" w:rsidRPr="00427742" w:rsidRDefault="00B70EFB" w:rsidP="003E6F9B">
            <w:pPr>
              <w:pStyle w:val="naiskr"/>
              <w:tabs>
                <w:tab w:val="left" w:pos="2628"/>
              </w:tabs>
              <w:spacing w:before="0" w:after="0"/>
              <w:jc w:val="both"/>
              <w:rPr>
                <w:iCs/>
                <w:sz w:val="26"/>
                <w:szCs w:val="26"/>
              </w:rPr>
            </w:pPr>
            <w:r>
              <w:rPr>
                <w:iCs/>
                <w:sz w:val="26"/>
                <w:szCs w:val="26"/>
              </w:rPr>
              <w:t>Uzziņa</w:t>
            </w:r>
            <w:r w:rsidR="00BA5458" w:rsidRPr="00427742">
              <w:rPr>
                <w:iCs/>
                <w:sz w:val="26"/>
                <w:szCs w:val="26"/>
              </w:rPr>
              <w:t xml:space="preserve"> par N</w:t>
            </w:r>
            <w:r w:rsidR="00E65675" w:rsidRPr="00427742">
              <w:rPr>
                <w:iCs/>
                <w:sz w:val="26"/>
                <w:szCs w:val="26"/>
              </w:rPr>
              <w:t xml:space="preserve">oteikumu projektu </w:t>
            </w:r>
            <w:r>
              <w:rPr>
                <w:iCs/>
                <w:sz w:val="26"/>
                <w:szCs w:val="26"/>
              </w:rPr>
              <w:t>tika</w:t>
            </w:r>
            <w:r w:rsidR="00BA5458" w:rsidRPr="00427742">
              <w:rPr>
                <w:iCs/>
                <w:sz w:val="26"/>
                <w:szCs w:val="26"/>
              </w:rPr>
              <w:t xml:space="preserve"> </w:t>
            </w:r>
            <w:r w:rsidR="00E65675" w:rsidRPr="00427742">
              <w:rPr>
                <w:iCs/>
                <w:sz w:val="26"/>
                <w:szCs w:val="26"/>
              </w:rPr>
              <w:t xml:space="preserve">publicēta Finanšu ministrijas mājaslapā </w:t>
            </w:r>
            <w:r w:rsidR="004F0C44">
              <w:rPr>
                <w:iCs/>
                <w:sz w:val="26"/>
                <w:szCs w:val="26"/>
              </w:rPr>
              <w:t>29.02.2</w:t>
            </w:r>
            <w:r>
              <w:rPr>
                <w:iCs/>
                <w:sz w:val="26"/>
                <w:szCs w:val="26"/>
              </w:rPr>
              <w:t xml:space="preserve">016. </w:t>
            </w:r>
            <w:r w:rsidR="00E65675" w:rsidRPr="00427742">
              <w:rPr>
                <w:iCs/>
                <w:sz w:val="26"/>
                <w:szCs w:val="26"/>
              </w:rPr>
              <w:t>un pēc izsludināšanas Valsts sekretāru sanāksmē – Ministru kabineta mājaslapā.</w:t>
            </w:r>
          </w:p>
        </w:tc>
      </w:tr>
      <w:tr w:rsidR="00E65675" w:rsidRPr="00427742" w:rsidTr="003E6F9B">
        <w:trPr>
          <w:jc w:val="center"/>
        </w:trPr>
        <w:tc>
          <w:tcPr>
            <w:tcW w:w="778" w:type="dxa"/>
          </w:tcPr>
          <w:p w:rsidR="00E65675" w:rsidRPr="00427742" w:rsidRDefault="00E65675" w:rsidP="003E6F9B">
            <w:pPr>
              <w:pStyle w:val="naiskr"/>
              <w:tabs>
                <w:tab w:val="left" w:pos="2628"/>
              </w:tabs>
              <w:spacing w:before="0" w:after="0"/>
              <w:jc w:val="center"/>
              <w:rPr>
                <w:iCs/>
                <w:sz w:val="26"/>
                <w:szCs w:val="26"/>
              </w:rPr>
            </w:pPr>
            <w:r w:rsidRPr="00427742">
              <w:rPr>
                <w:iCs/>
                <w:sz w:val="26"/>
                <w:szCs w:val="26"/>
              </w:rPr>
              <w:t>2.</w:t>
            </w:r>
          </w:p>
        </w:tc>
        <w:tc>
          <w:tcPr>
            <w:tcW w:w="3010" w:type="dxa"/>
          </w:tcPr>
          <w:p w:rsidR="00E65675" w:rsidRPr="00427742" w:rsidRDefault="00E65675" w:rsidP="003E6F9B">
            <w:pPr>
              <w:pStyle w:val="naiskr"/>
              <w:tabs>
                <w:tab w:val="left" w:pos="2628"/>
              </w:tabs>
              <w:spacing w:before="0" w:after="0"/>
              <w:rPr>
                <w:sz w:val="26"/>
                <w:szCs w:val="26"/>
              </w:rPr>
            </w:pPr>
            <w:r w:rsidRPr="00427742">
              <w:rPr>
                <w:sz w:val="26"/>
                <w:szCs w:val="26"/>
              </w:rPr>
              <w:t>Sabiedrības līdzdalība projekta izstrādē</w:t>
            </w:r>
          </w:p>
        </w:tc>
        <w:tc>
          <w:tcPr>
            <w:tcW w:w="6118" w:type="dxa"/>
          </w:tcPr>
          <w:p w:rsidR="00E65675" w:rsidRPr="00427742" w:rsidRDefault="00E65675" w:rsidP="003E6F9B">
            <w:pPr>
              <w:rPr>
                <w:sz w:val="26"/>
                <w:szCs w:val="26"/>
              </w:rPr>
            </w:pPr>
            <w:r w:rsidRPr="00427742">
              <w:rPr>
                <w:sz w:val="26"/>
                <w:szCs w:val="26"/>
              </w:rPr>
              <w:t>Nav attiecināms.</w:t>
            </w:r>
          </w:p>
        </w:tc>
      </w:tr>
      <w:tr w:rsidR="00E65675" w:rsidRPr="00427742" w:rsidTr="003E6F9B">
        <w:trPr>
          <w:jc w:val="center"/>
        </w:trPr>
        <w:tc>
          <w:tcPr>
            <w:tcW w:w="778" w:type="dxa"/>
          </w:tcPr>
          <w:p w:rsidR="00E65675" w:rsidRPr="00427742" w:rsidRDefault="00E65675" w:rsidP="003E6F9B">
            <w:pPr>
              <w:pStyle w:val="naiskr"/>
              <w:tabs>
                <w:tab w:val="left" w:pos="2628"/>
              </w:tabs>
              <w:spacing w:before="0" w:after="0"/>
              <w:jc w:val="center"/>
              <w:rPr>
                <w:iCs/>
                <w:sz w:val="26"/>
                <w:szCs w:val="26"/>
              </w:rPr>
            </w:pPr>
            <w:r w:rsidRPr="00427742">
              <w:rPr>
                <w:iCs/>
                <w:sz w:val="26"/>
                <w:szCs w:val="26"/>
              </w:rPr>
              <w:t>3.</w:t>
            </w:r>
          </w:p>
        </w:tc>
        <w:tc>
          <w:tcPr>
            <w:tcW w:w="3010" w:type="dxa"/>
          </w:tcPr>
          <w:p w:rsidR="00E65675" w:rsidRPr="00427742" w:rsidRDefault="00E65675" w:rsidP="003E6F9B">
            <w:pPr>
              <w:pStyle w:val="naiskr"/>
              <w:tabs>
                <w:tab w:val="left" w:pos="2628"/>
              </w:tabs>
              <w:spacing w:before="0" w:after="0"/>
              <w:rPr>
                <w:iCs/>
                <w:sz w:val="26"/>
                <w:szCs w:val="26"/>
              </w:rPr>
            </w:pPr>
            <w:r w:rsidRPr="00427742">
              <w:rPr>
                <w:sz w:val="26"/>
                <w:szCs w:val="26"/>
              </w:rPr>
              <w:t>Sabiedrības līdzdalības rezultāti</w:t>
            </w:r>
          </w:p>
        </w:tc>
        <w:tc>
          <w:tcPr>
            <w:tcW w:w="6118" w:type="dxa"/>
          </w:tcPr>
          <w:p w:rsidR="00E65675" w:rsidRPr="00427742" w:rsidRDefault="00E65675" w:rsidP="003E6F9B">
            <w:pPr>
              <w:rPr>
                <w:sz w:val="26"/>
                <w:szCs w:val="26"/>
              </w:rPr>
            </w:pPr>
            <w:r w:rsidRPr="00427742">
              <w:rPr>
                <w:sz w:val="26"/>
                <w:szCs w:val="26"/>
              </w:rPr>
              <w:t>Nav attiecināms.</w:t>
            </w:r>
          </w:p>
        </w:tc>
      </w:tr>
      <w:tr w:rsidR="00E65675" w:rsidRPr="00427742" w:rsidTr="003E6F9B">
        <w:trPr>
          <w:jc w:val="center"/>
        </w:trPr>
        <w:tc>
          <w:tcPr>
            <w:tcW w:w="778" w:type="dxa"/>
          </w:tcPr>
          <w:p w:rsidR="00E65675" w:rsidRPr="00427742" w:rsidRDefault="00E65675" w:rsidP="003E6F9B">
            <w:pPr>
              <w:pStyle w:val="naiskr"/>
              <w:tabs>
                <w:tab w:val="left" w:pos="2628"/>
              </w:tabs>
              <w:spacing w:before="0" w:after="0"/>
              <w:jc w:val="center"/>
              <w:rPr>
                <w:iCs/>
                <w:sz w:val="26"/>
                <w:szCs w:val="26"/>
              </w:rPr>
            </w:pPr>
            <w:r w:rsidRPr="00427742">
              <w:rPr>
                <w:iCs/>
                <w:sz w:val="26"/>
                <w:szCs w:val="26"/>
              </w:rPr>
              <w:t>4.</w:t>
            </w:r>
          </w:p>
        </w:tc>
        <w:tc>
          <w:tcPr>
            <w:tcW w:w="3010" w:type="dxa"/>
          </w:tcPr>
          <w:p w:rsidR="00E65675" w:rsidRPr="00427742" w:rsidRDefault="00E65675" w:rsidP="003E6F9B">
            <w:pPr>
              <w:pStyle w:val="naiskr"/>
              <w:tabs>
                <w:tab w:val="left" w:pos="2628"/>
              </w:tabs>
              <w:spacing w:before="0" w:after="0"/>
              <w:rPr>
                <w:sz w:val="26"/>
                <w:szCs w:val="26"/>
              </w:rPr>
            </w:pPr>
            <w:r w:rsidRPr="00427742">
              <w:rPr>
                <w:sz w:val="26"/>
                <w:szCs w:val="26"/>
              </w:rPr>
              <w:t>Cita informācija</w:t>
            </w:r>
          </w:p>
        </w:tc>
        <w:tc>
          <w:tcPr>
            <w:tcW w:w="6118" w:type="dxa"/>
          </w:tcPr>
          <w:p w:rsidR="00E65675" w:rsidRPr="00427742" w:rsidRDefault="00E65675" w:rsidP="003E6F9B">
            <w:pPr>
              <w:rPr>
                <w:sz w:val="26"/>
                <w:szCs w:val="26"/>
              </w:rPr>
            </w:pPr>
            <w:r w:rsidRPr="00427742">
              <w:rPr>
                <w:sz w:val="26"/>
                <w:szCs w:val="26"/>
              </w:rPr>
              <w:t>Nav.</w:t>
            </w:r>
          </w:p>
        </w:tc>
      </w:tr>
    </w:tbl>
    <w:p w:rsidR="00555F05" w:rsidRPr="00427742" w:rsidRDefault="00555F05" w:rsidP="004907B8">
      <w:pPr>
        <w:pStyle w:val="naisf"/>
        <w:spacing w:before="0" w:after="0"/>
        <w:ind w:firstLine="0"/>
        <w:rPr>
          <w:sz w:val="26"/>
          <w:szCs w:val="26"/>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427742"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4907B8" w:rsidRPr="00427742" w:rsidRDefault="004907B8" w:rsidP="00E218E6">
            <w:pPr>
              <w:pStyle w:val="naisnod"/>
              <w:spacing w:before="0" w:after="0"/>
              <w:rPr>
                <w:sz w:val="26"/>
                <w:szCs w:val="26"/>
              </w:rPr>
            </w:pPr>
            <w:r w:rsidRPr="00427742">
              <w:rPr>
                <w:sz w:val="26"/>
                <w:szCs w:val="26"/>
              </w:rPr>
              <w:t>V</w:t>
            </w:r>
            <w:r w:rsidR="001F46CC" w:rsidRPr="00427742">
              <w:rPr>
                <w:sz w:val="26"/>
                <w:szCs w:val="26"/>
              </w:rPr>
              <w:t>I</w:t>
            </w:r>
            <w:r w:rsidR="00EB14E3" w:rsidRPr="00427742">
              <w:rPr>
                <w:sz w:val="26"/>
                <w:szCs w:val="26"/>
              </w:rPr>
              <w:t>I</w:t>
            </w:r>
            <w:r w:rsidRPr="00427742">
              <w:rPr>
                <w:sz w:val="26"/>
                <w:szCs w:val="26"/>
              </w:rPr>
              <w:t>. Tiesību akta projekta izpildes nodrošināšana un tās ietekme uz institūcijām</w:t>
            </w:r>
          </w:p>
        </w:tc>
      </w:tr>
      <w:tr w:rsidR="004907B8" w:rsidRPr="00427742"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427742" w:rsidRDefault="004907B8" w:rsidP="003F7D40">
            <w:pPr>
              <w:pStyle w:val="naisnod"/>
              <w:spacing w:before="0" w:after="0"/>
              <w:rPr>
                <w:b w:val="0"/>
                <w:sz w:val="26"/>
                <w:szCs w:val="26"/>
              </w:rPr>
            </w:pPr>
            <w:r w:rsidRPr="00427742">
              <w:rPr>
                <w:b w:val="0"/>
                <w:sz w:val="26"/>
                <w:szCs w:val="26"/>
              </w:rPr>
              <w:t>1.</w:t>
            </w:r>
          </w:p>
        </w:tc>
        <w:tc>
          <w:tcPr>
            <w:tcW w:w="3260" w:type="dxa"/>
            <w:tcBorders>
              <w:top w:val="single" w:sz="4" w:space="0" w:color="auto"/>
              <w:left w:val="single" w:sz="4" w:space="0" w:color="auto"/>
              <w:bottom w:val="single" w:sz="4" w:space="0" w:color="auto"/>
              <w:right w:val="single" w:sz="4" w:space="0" w:color="auto"/>
            </w:tcBorders>
          </w:tcPr>
          <w:p w:rsidR="004907B8" w:rsidRPr="00427742" w:rsidRDefault="004907B8" w:rsidP="003F7D40">
            <w:pPr>
              <w:pStyle w:val="naisnod"/>
              <w:spacing w:before="0" w:after="0"/>
              <w:jc w:val="left"/>
              <w:rPr>
                <w:b w:val="0"/>
                <w:sz w:val="26"/>
                <w:szCs w:val="26"/>
              </w:rPr>
            </w:pPr>
            <w:r w:rsidRPr="00427742">
              <w:rPr>
                <w:b w:val="0"/>
                <w:sz w:val="26"/>
                <w:szCs w:val="26"/>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427742" w:rsidRDefault="00E37AB4" w:rsidP="00E37AB4">
            <w:pPr>
              <w:pStyle w:val="naisnod"/>
              <w:spacing w:before="0" w:after="0"/>
              <w:jc w:val="both"/>
              <w:rPr>
                <w:b w:val="0"/>
                <w:sz w:val="26"/>
                <w:szCs w:val="26"/>
              </w:rPr>
            </w:pPr>
            <w:r w:rsidRPr="00427742">
              <w:rPr>
                <w:b w:val="0"/>
                <w:sz w:val="26"/>
                <w:szCs w:val="26"/>
              </w:rPr>
              <w:t>Finanšu ministrija, Vides aizsardzības un reģionālās attīstības ministrija, Zemkopības ministrija, Latvijas Banka, Latvijas Pašvaldību savienība, Centrālā finanšu un līgumu aģentūra, Valsts kase un pašvaldības.</w:t>
            </w:r>
          </w:p>
        </w:tc>
      </w:tr>
      <w:tr w:rsidR="004907B8" w:rsidRPr="00427742"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427742" w:rsidRDefault="004907B8" w:rsidP="003F7D40">
            <w:pPr>
              <w:pStyle w:val="naisnod"/>
              <w:spacing w:before="0" w:after="0"/>
              <w:rPr>
                <w:b w:val="0"/>
                <w:sz w:val="26"/>
                <w:szCs w:val="26"/>
              </w:rPr>
            </w:pPr>
            <w:r w:rsidRPr="00427742">
              <w:rPr>
                <w:b w:val="0"/>
                <w:sz w:val="26"/>
                <w:szCs w:val="26"/>
              </w:rPr>
              <w:t>2.</w:t>
            </w:r>
          </w:p>
        </w:tc>
        <w:tc>
          <w:tcPr>
            <w:tcW w:w="3260" w:type="dxa"/>
            <w:tcBorders>
              <w:top w:val="single" w:sz="4" w:space="0" w:color="auto"/>
              <w:left w:val="single" w:sz="4" w:space="0" w:color="auto"/>
              <w:bottom w:val="single" w:sz="4" w:space="0" w:color="auto"/>
              <w:right w:val="single" w:sz="4" w:space="0" w:color="auto"/>
            </w:tcBorders>
          </w:tcPr>
          <w:p w:rsidR="004907B8" w:rsidRPr="00427742" w:rsidRDefault="004907B8" w:rsidP="003F7D40">
            <w:pPr>
              <w:rPr>
                <w:sz w:val="26"/>
                <w:szCs w:val="26"/>
              </w:rPr>
            </w:pPr>
            <w:r w:rsidRPr="00427742">
              <w:rPr>
                <w:sz w:val="26"/>
                <w:szCs w:val="26"/>
              </w:rPr>
              <w:t>Projekta izpildes ietekme uz pārvaldes funkcijām un institucionālo struktūru.</w:t>
            </w:r>
          </w:p>
          <w:p w:rsidR="004907B8" w:rsidRPr="00427742" w:rsidRDefault="004907B8" w:rsidP="003F7D40">
            <w:pPr>
              <w:pStyle w:val="naisnod"/>
              <w:spacing w:before="0" w:after="0"/>
              <w:jc w:val="left"/>
              <w:rPr>
                <w:b w:val="0"/>
                <w:sz w:val="26"/>
                <w:szCs w:val="26"/>
              </w:rPr>
            </w:pPr>
            <w:r w:rsidRPr="00427742">
              <w:rPr>
                <w:b w:val="0"/>
                <w:bCs w:val="0"/>
                <w:sz w:val="26"/>
                <w:szCs w:val="26"/>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C13488" w:rsidRPr="00427742" w:rsidRDefault="00BA5458" w:rsidP="00C13488">
            <w:pPr>
              <w:pStyle w:val="naisnod"/>
              <w:jc w:val="both"/>
              <w:rPr>
                <w:b w:val="0"/>
                <w:color w:val="000000" w:themeColor="text1"/>
                <w:sz w:val="26"/>
                <w:szCs w:val="26"/>
              </w:rPr>
            </w:pPr>
            <w:r w:rsidRPr="00427742">
              <w:rPr>
                <w:b w:val="0"/>
                <w:color w:val="000000" w:themeColor="text1"/>
                <w:sz w:val="26"/>
                <w:szCs w:val="26"/>
              </w:rPr>
              <w:t>Iesaistītās institūcijas N</w:t>
            </w:r>
            <w:r w:rsidR="00C13488" w:rsidRPr="00427742">
              <w:rPr>
                <w:b w:val="0"/>
                <w:color w:val="000000" w:themeColor="text1"/>
                <w:sz w:val="26"/>
                <w:szCs w:val="26"/>
              </w:rPr>
              <w:t>oteikumu projekta izpildi nodrošina to esošo funkciju un uzdevumus ietvaros.</w:t>
            </w:r>
          </w:p>
          <w:p w:rsidR="00B87C51" w:rsidRPr="00427742" w:rsidRDefault="00C13488" w:rsidP="00C13488">
            <w:pPr>
              <w:pStyle w:val="naisnod"/>
              <w:spacing w:before="0" w:after="0"/>
              <w:jc w:val="both"/>
              <w:rPr>
                <w:b w:val="0"/>
                <w:color w:val="FF0000"/>
                <w:sz w:val="26"/>
                <w:szCs w:val="26"/>
              </w:rPr>
            </w:pPr>
            <w:r w:rsidRPr="00427742">
              <w:rPr>
                <w:b w:val="0"/>
                <w:color w:val="000000" w:themeColor="text1"/>
                <w:sz w:val="26"/>
                <w:szCs w:val="26"/>
              </w:rPr>
              <w:t>Noteikumu projekta izpildei nav nepieciešams radīt jaunas vai likvidēt esošās institūcijas, kā arī nav nepieciešams reorganizēt esošās institūcijas.</w:t>
            </w:r>
          </w:p>
        </w:tc>
      </w:tr>
      <w:tr w:rsidR="004907B8" w:rsidRPr="00427742"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4907B8" w:rsidRPr="00427742" w:rsidRDefault="004907B8" w:rsidP="003F7D40">
            <w:pPr>
              <w:rPr>
                <w:bCs/>
                <w:sz w:val="26"/>
                <w:szCs w:val="26"/>
              </w:rPr>
            </w:pPr>
            <w:r w:rsidRPr="00427742">
              <w:rPr>
                <w:bCs/>
                <w:sz w:val="26"/>
                <w:szCs w:val="26"/>
              </w:rPr>
              <w:t>3.</w:t>
            </w:r>
          </w:p>
        </w:tc>
        <w:tc>
          <w:tcPr>
            <w:tcW w:w="3260" w:type="dxa"/>
            <w:tcBorders>
              <w:top w:val="outset" w:sz="6" w:space="0" w:color="auto"/>
              <w:left w:val="outset" w:sz="6" w:space="0" w:color="auto"/>
              <w:bottom w:val="outset" w:sz="6" w:space="0" w:color="auto"/>
              <w:right w:val="outset" w:sz="6" w:space="0" w:color="auto"/>
            </w:tcBorders>
          </w:tcPr>
          <w:p w:rsidR="004907B8" w:rsidRPr="00427742" w:rsidRDefault="004907B8" w:rsidP="003F7D40">
            <w:pPr>
              <w:rPr>
                <w:sz w:val="26"/>
                <w:szCs w:val="26"/>
              </w:rPr>
            </w:pPr>
            <w:r w:rsidRPr="00427742">
              <w:rPr>
                <w:sz w:val="26"/>
                <w:szCs w:val="26"/>
              </w:rPr>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427742" w:rsidRDefault="00DA5C2E" w:rsidP="003F7D40">
            <w:pPr>
              <w:rPr>
                <w:bCs/>
                <w:sz w:val="26"/>
                <w:szCs w:val="26"/>
              </w:rPr>
            </w:pPr>
            <w:r w:rsidRPr="00427742">
              <w:rPr>
                <w:iCs/>
                <w:sz w:val="26"/>
                <w:szCs w:val="26"/>
              </w:rPr>
              <w:t>Nav</w:t>
            </w:r>
            <w:r w:rsidR="00C13488" w:rsidRPr="00427742">
              <w:rPr>
                <w:iCs/>
                <w:sz w:val="26"/>
                <w:szCs w:val="26"/>
              </w:rPr>
              <w:t>.</w:t>
            </w:r>
          </w:p>
        </w:tc>
      </w:tr>
    </w:tbl>
    <w:p w:rsidR="00555F05" w:rsidRPr="00427742" w:rsidRDefault="00555F05" w:rsidP="00C13488">
      <w:pPr>
        <w:pStyle w:val="naisf"/>
        <w:spacing w:before="0" w:after="0"/>
        <w:ind w:firstLine="0"/>
        <w:rPr>
          <w:sz w:val="26"/>
          <w:szCs w:val="26"/>
        </w:rPr>
      </w:pPr>
    </w:p>
    <w:p w:rsidR="00C13488" w:rsidRPr="00427742" w:rsidRDefault="00C13488" w:rsidP="00C13488">
      <w:pPr>
        <w:pStyle w:val="naisf"/>
        <w:spacing w:before="0" w:after="0"/>
        <w:ind w:firstLine="0"/>
        <w:rPr>
          <w:i/>
          <w:sz w:val="26"/>
          <w:szCs w:val="26"/>
        </w:rPr>
      </w:pPr>
      <w:r w:rsidRPr="00427742">
        <w:rPr>
          <w:i/>
          <w:sz w:val="26"/>
          <w:szCs w:val="26"/>
        </w:rPr>
        <w:t xml:space="preserve">Anotācijas </w:t>
      </w:r>
      <w:r w:rsidR="00E37AB4" w:rsidRPr="00427742">
        <w:rPr>
          <w:i/>
          <w:sz w:val="26"/>
          <w:szCs w:val="26"/>
        </w:rPr>
        <w:t xml:space="preserve">II, </w:t>
      </w:r>
      <w:r w:rsidRPr="00427742">
        <w:rPr>
          <w:i/>
          <w:sz w:val="26"/>
          <w:szCs w:val="26"/>
        </w:rPr>
        <w:t>III,  IV</w:t>
      </w:r>
      <w:r w:rsidR="00EE1992" w:rsidRPr="00427742">
        <w:rPr>
          <w:i/>
          <w:sz w:val="26"/>
          <w:szCs w:val="26"/>
        </w:rPr>
        <w:t xml:space="preserve"> </w:t>
      </w:r>
      <w:r w:rsidR="002A67BE" w:rsidRPr="00427742">
        <w:rPr>
          <w:i/>
          <w:sz w:val="26"/>
          <w:szCs w:val="26"/>
        </w:rPr>
        <w:t>un V</w:t>
      </w:r>
      <w:r w:rsidR="00E37AB4" w:rsidRPr="00427742">
        <w:rPr>
          <w:i/>
          <w:sz w:val="26"/>
          <w:szCs w:val="26"/>
        </w:rPr>
        <w:t xml:space="preserve"> </w:t>
      </w:r>
      <w:r w:rsidRPr="00427742">
        <w:rPr>
          <w:i/>
          <w:sz w:val="26"/>
          <w:szCs w:val="26"/>
        </w:rPr>
        <w:t>sadaļa – projekts šo jomu neskar.</w:t>
      </w:r>
    </w:p>
    <w:p w:rsidR="004F098F" w:rsidRPr="00427742" w:rsidRDefault="004F098F" w:rsidP="00A25063">
      <w:pPr>
        <w:rPr>
          <w:noProof/>
          <w:sz w:val="26"/>
          <w:szCs w:val="26"/>
        </w:rPr>
      </w:pPr>
    </w:p>
    <w:p w:rsidR="00433584" w:rsidRPr="00427742" w:rsidRDefault="00CC7068" w:rsidP="00433584">
      <w:pPr>
        <w:tabs>
          <w:tab w:val="left" w:pos="6804"/>
        </w:tabs>
        <w:spacing w:before="120"/>
        <w:ind w:right="-522"/>
        <w:rPr>
          <w:sz w:val="26"/>
          <w:szCs w:val="26"/>
        </w:rPr>
      </w:pPr>
      <w:r w:rsidRPr="00427742">
        <w:rPr>
          <w:sz w:val="26"/>
          <w:szCs w:val="26"/>
        </w:rPr>
        <w:t>Ministru prezidents</w:t>
      </w:r>
      <w:r w:rsidR="00433584" w:rsidRPr="00427742">
        <w:rPr>
          <w:sz w:val="26"/>
          <w:szCs w:val="26"/>
        </w:rPr>
        <w:tab/>
      </w:r>
      <w:proofErr w:type="spellStart"/>
      <w:r w:rsidRPr="00427742">
        <w:rPr>
          <w:sz w:val="26"/>
          <w:szCs w:val="26"/>
        </w:rPr>
        <w:t>M.Kučinskis</w:t>
      </w:r>
      <w:proofErr w:type="spellEnd"/>
    </w:p>
    <w:p w:rsidR="00433584" w:rsidRPr="00427742" w:rsidRDefault="00433584" w:rsidP="00433584">
      <w:pPr>
        <w:tabs>
          <w:tab w:val="left" w:pos="6804"/>
        </w:tabs>
        <w:spacing w:before="120"/>
        <w:ind w:right="-522"/>
        <w:rPr>
          <w:b/>
          <w:sz w:val="26"/>
          <w:szCs w:val="26"/>
        </w:rPr>
      </w:pPr>
    </w:p>
    <w:p w:rsidR="00555F05" w:rsidRPr="00427742" w:rsidRDefault="00555F05" w:rsidP="00433584">
      <w:pPr>
        <w:tabs>
          <w:tab w:val="left" w:pos="6804"/>
        </w:tabs>
        <w:spacing w:before="120"/>
        <w:ind w:right="-522"/>
        <w:rPr>
          <w:b/>
          <w:sz w:val="26"/>
          <w:szCs w:val="26"/>
        </w:rPr>
      </w:pPr>
    </w:p>
    <w:p w:rsidR="00433584" w:rsidRPr="00427742" w:rsidRDefault="00CC7068" w:rsidP="0052718A">
      <w:pPr>
        <w:tabs>
          <w:tab w:val="left" w:pos="6804"/>
        </w:tabs>
        <w:ind w:right="-522"/>
        <w:rPr>
          <w:sz w:val="26"/>
          <w:szCs w:val="26"/>
        </w:rPr>
      </w:pPr>
      <w:r w:rsidRPr="00427742">
        <w:rPr>
          <w:sz w:val="26"/>
          <w:szCs w:val="26"/>
        </w:rPr>
        <w:t>Finanšu ministre</w:t>
      </w:r>
      <w:r w:rsidR="00D21AFB" w:rsidRPr="00427742">
        <w:rPr>
          <w:sz w:val="26"/>
          <w:szCs w:val="26"/>
        </w:rPr>
        <w:t xml:space="preserve"> </w:t>
      </w:r>
      <w:r w:rsidR="00D21AFB" w:rsidRPr="00427742">
        <w:rPr>
          <w:sz w:val="26"/>
          <w:szCs w:val="26"/>
        </w:rPr>
        <w:tab/>
      </w:r>
      <w:proofErr w:type="spellStart"/>
      <w:r w:rsidRPr="00427742">
        <w:rPr>
          <w:sz w:val="26"/>
          <w:szCs w:val="26"/>
        </w:rPr>
        <w:t>D.Reizniece</w:t>
      </w:r>
      <w:proofErr w:type="spellEnd"/>
      <w:r w:rsidRPr="00427742">
        <w:rPr>
          <w:sz w:val="26"/>
          <w:szCs w:val="26"/>
        </w:rPr>
        <w:t>-Ozola</w:t>
      </w:r>
    </w:p>
    <w:p w:rsidR="00433584" w:rsidRDefault="00433584" w:rsidP="00433584">
      <w:pPr>
        <w:widowControl w:val="0"/>
        <w:rPr>
          <w:sz w:val="28"/>
          <w:szCs w:val="28"/>
        </w:rPr>
      </w:pPr>
    </w:p>
    <w:p w:rsidR="00427742" w:rsidRDefault="00427742" w:rsidP="00433584">
      <w:pPr>
        <w:widowControl w:val="0"/>
        <w:rPr>
          <w:sz w:val="28"/>
          <w:szCs w:val="28"/>
        </w:rPr>
      </w:pPr>
    </w:p>
    <w:p w:rsidR="00427742" w:rsidRDefault="00427742" w:rsidP="00433584">
      <w:pPr>
        <w:widowControl w:val="0"/>
        <w:rPr>
          <w:sz w:val="28"/>
          <w:szCs w:val="28"/>
        </w:rPr>
      </w:pPr>
    </w:p>
    <w:p w:rsidR="00427742" w:rsidRPr="00AB7489" w:rsidRDefault="00427742" w:rsidP="00433584">
      <w:pPr>
        <w:widowControl w:val="0"/>
        <w:rPr>
          <w:sz w:val="28"/>
          <w:szCs w:val="28"/>
        </w:rPr>
      </w:pPr>
    </w:p>
    <w:p w:rsidR="007C2029" w:rsidRPr="00555F05" w:rsidRDefault="007C2029" w:rsidP="00427742">
      <w:pPr>
        <w:widowControl w:val="0"/>
        <w:jc w:val="center"/>
        <w:rPr>
          <w:sz w:val="16"/>
          <w:szCs w:val="16"/>
        </w:rPr>
      </w:pPr>
    </w:p>
    <w:p w:rsidR="00433584" w:rsidRPr="00160E20" w:rsidRDefault="00160E20" w:rsidP="00433584">
      <w:pPr>
        <w:widowControl w:val="0"/>
        <w:rPr>
          <w:sz w:val="20"/>
          <w:szCs w:val="20"/>
        </w:rPr>
      </w:pPr>
      <w:r>
        <w:rPr>
          <w:sz w:val="20"/>
          <w:szCs w:val="20"/>
        </w:rPr>
        <w:t>11.04</w:t>
      </w:r>
      <w:r w:rsidR="00F67C40" w:rsidRPr="00160E20">
        <w:rPr>
          <w:sz w:val="20"/>
          <w:szCs w:val="20"/>
        </w:rPr>
        <w:t>.2016</w:t>
      </w:r>
      <w:r w:rsidR="007830B3" w:rsidRPr="00160E20">
        <w:rPr>
          <w:sz w:val="20"/>
          <w:szCs w:val="20"/>
        </w:rPr>
        <w:t>.</w:t>
      </w:r>
      <w:r w:rsidR="00AB0DB6" w:rsidRPr="00160E20">
        <w:rPr>
          <w:sz w:val="20"/>
          <w:szCs w:val="20"/>
        </w:rPr>
        <w:t xml:space="preserve"> </w:t>
      </w:r>
      <w:r>
        <w:rPr>
          <w:sz w:val="20"/>
          <w:szCs w:val="20"/>
        </w:rPr>
        <w:t>12:20</w:t>
      </w:r>
    </w:p>
    <w:p w:rsidR="007C2029" w:rsidRPr="00160E20" w:rsidRDefault="00B70EFB" w:rsidP="007C2029">
      <w:pPr>
        <w:widowControl w:val="0"/>
        <w:tabs>
          <w:tab w:val="left" w:pos="7513"/>
        </w:tabs>
        <w:jc w:val="both"/>
        <w:rPr>
          <w:sz w:val="20"/>
          <w:szCs w:val="20"/>
        </w:rPr>
      </w:pPr>
      <w:r w:rsidRPr="00160E20">
        <w:rPr>
          <w:sz w:val="20"/>
          <w:szCs w:val="20"/>
        </w:rPr>
        <w:t>450</w:t>
      </w:r>
    </w:p>
    <w:p w:rsidR="007C2029" w:rsidRPr="00160E20" w:rsidRDefault="00C826E2" w:rsidP="007C2029">
      <w:pPr>
        <w:widowControl w:val="0"/>
        <w:tabs>
          <w:tab w:val="left" w:pos="7513"/>
        </w:tabs>
        <w:jc w:val="both"/>
        <w:rPr>
          <w:sz w:val="20"/>
          <w:szCs w:val="20"/>
        </w:rPr>
      </w:pPr>
      <w:r w:rsidRPr="00160E20">
        <w:rPr>
          <w:sz w:val="20"/>
          <w:szCs w:val="20"/>
        </w:rPr>
        <w:t xml:space="preserve">Tīcmane </w:t>
      </w:r>
      <w:bookmarkStart w:id="0" w:name="_GoBack"/>
      <w:r w:rsidRPr="00160E20">
        <w:rPr>
          <w:sz w:val="20"/>
          <w:szCs w:val="20"/>
        </w:rPr>
        <w:t>67095420</w:t>
      </w:r>
    </w:p>
    <w:p w:rsidR="00BF4B68" w:rsidRPr="00160E20" w:rsidRDefault="00C826E2" w:rsidP="007C2029">
      <w:pPr>
        <w:widowControl w:val="0"/>
        <w:tabs>
          <w:tab w:val="left" w:pos="7513"/>
        </w:tabs>
        <w:jc w:val="both"/>
        <w:rPr>
          <w:noProof/>
          <w:sz w:val="20"/>
          <w:szCs w:val="20"/>
        </w:rPr>
      </w:pPr>
      <w:r w:rsidRPr="00160E20">
        <w:rPr>
          <w:sz w:val="20"/>
          <w:szCs w:val="20"/>
        </w:rPr>
        <w:t>Linda.Ticmane</w:t>
      </w:r>
      <w:r w:rsidR="007C2029" w:rsidRPr="00160E20">
        <w:rPr>
          <w:sz w:val="20"/>
          <w:szCs w:val="20"/>
        </w:rPr>
        <w:t>@fm.gov.lv</w:t>
      </w:r>
      <w:bookmarkEnd w:id="0"/>
    </w:p>
    <w:sectPr w:rsidR="00BF4B68" w:rsidRPr="00160E20" w:rsidSect="00B14D9F">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857" w:rsidRDefault="002A6857">
      <w:r>
        <w:separator/>
      </w:r>
    </w:p>
  </w:endnote>
  <w:endnote w:type="continuationSeparator" w:id="0">
    <w:p w:rsidR="002A6857" w:rsidRDefault="002A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82" w:rsidRPr="00482982" w:rsidRDefault="00482982" w:rsidP="00482982">
    <w:pPr>
      <w:pStyle w:val="Footer"/>
      <w:rPr>
        <w:sz w:val="20"/>
        <w:szCs w:val="20"/>
      </w:rPr>
    </w:pPr>
    <w:r w:rsidRPr="00482982">
      <w:rPr>
        <w:bCs/>
        <w:sz w:val="20"/>
        <w:szCs w:val="20"/>
      </w:rPr>
      <w:t>F</w:t>
    </w:r>
    <w:r w:rsidR="00B70EFB">
      <w:rPr>
        <w:bCs/>
        <w:sz w:val="20"/>
        <w:szCs w:val="20"/>
      </w:rPr>
      <w:t>MAnot_2502</w:t>
    </w:r>
    <w:r w:rsidRPr="00482982">
      <w:rPr>
        <w:bCs/>
        <w:sz w:val="20"/>
        <w:szCs w:val="20"/>
      </w:rPr>
      <w:t>16</w:t>
    </w:r>
    <w:r w:rsidR="00B70EFB">
      <w:rPr>
        <w:bCs/>
        <w:sz w:val="20"/>
        <w:szCs w:val="20"/>
      </w:rPr>
      <w:t>_Groz_MK196</w:t>
    </w:r>
    <w:r w:rsidRPr="00482982">
      <w:rPr>
        <w:bCs/>
        <w:sz w:val="20"/>
        <w:szCs w:val="20"/>
      </w:rPr>
      <w:t>; Anotācija Ministru kabineta noteikumu projektam „Grozījumi Ministru kabineta 2008.gada 25.marta noteikumos Nr.196„Noteikumi par pašvaldību aizņēmumiem un galvojumiem””</w:t>
    </w:r>
  </w:p>
  <w:p w:rsidR="00CD6C0B" w:rsidRPr="00482982" w:rsidRDefault="00CD6C0B" w:rsidP="00482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78" w:rsidRPr="00225B78" w:rsidRDefault="00B70EFB" w:rsidP="00225B78">
    <w:pPr>
      <w:tabs>
        <w:tab w:val="center" w:pos="4153"/>
        <w:tab w:val="right" w:pos="8306"/>
      </w:tabs>
      <w:jc w:val="both"/>
      <w:rPr>
        <w:sz w:val="20"/>
        <w:szCs w:val="20"/>
        <w:lang w:eastAsia="en-US"/>
      </w:rPr>
    </w:pPr>
    <w:r w:rsidRPr="00482982">
      <w:rPr>
        <w:bCs/>
        <w:sz w:val="20"/>
        <w:szCs w:val="20"/>
      </w:rPr>
      <w:t>F</w:t>
    </w:r>
    <w:r>
      <w:rPr>
        <w:bCs/>
        <w:sz w:val="20"/>
        <w:szCs w:val="20"/>
      </w:rPr>
      <w:t>MAnot_2502</w:t>
    </w:r>
    <w:r w:rsidRPr="00482982">
      <w:rPr>
        <w:bCs/>
        <w:sz w:val="20"/>
        <w:szCs w:val="20"/>
      </w:rPr>
      <w:t>16</w:t>
    </w:r>
    <w:r>
      <w:rPr>
        <w:bCs/>
        <w:sz w:val="20"/>
        <w:szCs w:val="20"/>
      </w:rPr>
      <w:t>_Groz_MK196</w:t>
    </w:r>
    <w:r w:rsidR="00225B78" w:rsidRPr="00225B78">
      <w:rPr>
        <w:bCs/>
        <w:sz w:val="20"/>
        <w:szCs w:val="20"/>
      </w:rPr>
      <w:t>; Anotācija Ministru kabineta noteikumu projektam „Grozījumi Ministru kabineta 2008.gada 25.marta noteikumos Nr.196„Noteikumi par pašvaldību aizņēmumiem un galvojumiem””</w:t>
    </w:r>
  </w:p>
  <w:p w:rsidR="00CD6C0B" w:rsidRPr="00225B78" w:rsidRDefault="00CD6C0B" w:rsidP="0022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857" w:rsidRDefault="002A6857">
      <w:r>
        <w:separator/>
      </w:r>
    </w:p>
  </w:footnote>
  <w:footnote w:type="continuationSeparator" w:id="0">
    <w:p w:rsidR="002A6857" w:rsidRDefault="002A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24254"/>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D20529">
          <w:rPr>
            <w:noProof/>
          </w:rPr>
          <w:t>2</w:t>
        </w:r>
        <w:r>
          <w:rPr>
            <w:noProof/>
          </w:rPr>
          <w:fldChar w:fldCharType="end"/>
        </w:r>
      </w:p>
    </w:sdtContent>
  </w:sdt>
  <w:p w:rsidR="00CD6C0B" w:rsidRDefault="00CD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3F726B"/>
    <w:multiLevelType w:val="hybridMultilevel"/>
    <w:tmpl w:val="F216E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3B19CA"/>
    <w:multiLevelType w:val="hybridMultilevel"/>
    <w:tmpl w:val="71CE6272"/>
    <w:lvl w:ilvl="0" w:tplc="3120FC88">
      <w:start w:val="1"/>
      <w:numFmt w:val="decimal"/>
      <w:lvlText w:val="%1."/>
      <w:lvlJc w:val="left"/>
      <w:pPr>
        <w:ind w:left="332" w:hanging="360"/>
      </w:pPr>
      <w:rPr>
        <w:rFonts w:hint="default"/>
      </w:rPr>
    </w:lvl>
    <w:lvl w:ilvl="1" w:tplc="04260019" w:tentative="1">
      <w:start w:val="1"/>
      <w:numFmt w:val="lowerLetter"/>
      <w:lvlText w:val="%2."/>
      <w:lvlJc w:val="left"/>
      <w:pPr>
        <w:ind w:left="1052" w:hanging="360"/>
      </w:pPr>
    </w:lvl>
    <w:lvl w:ilvl="2" w:tplc="0426001B" w:tentative="1">
      <w:start w:val="1"/>
      <w:numFmt w:val="lowerRoman"/>
      <w:lvlText w:val="%3."/>
      <w:lvlJc w:val="right"/>
      <w:pPr>
        <w:ind w:left="1772" w:hanging="180"/>
      </w:pPr>
    </w:lvl>
    <w:lvl w:ilvl="3" w:tplc="0426000F" w:tentative="1">
      <w:start w:val="1"/>
      <w:numFmt w:val="decimal"/>
      <w:lvlText w:val="%4."/>
      <w:lvlJc w:val="left"/>
      <w:pPr>
        <w:ind w:left="2492" w:hanging="360"/>
      </w:pPr>
    </w:lvl>
    <w:lvl w:ilvl="4" w:tplc="04260019" w:tentative="1">
      <w:start w:val="1"/>
      <w:numFmt w:val="lowerLetter"/>
      <w:lvlText w:val="%5."/>
      <w:lvlJc w:val="left"/>
      <w:pPr>
        <w:ind w:left="3212" w:hanging="360"/>
      </w:pPr>
    </w:lvl>
    <w:lvl w:ilvl="5" w:tplc="0426001B" w:tentative="1">
      <w:start w:val="1"/>
      <w:numFmt w:val="lowerRoman"/>
      <w:lvlText w:val="%6."/>
      <w:lvlJc w:val="right"/>
      <w:pPr>
        <w:ind w:left="3932" w:hanging="180"/>
      </w:pPr>
    </w:lvl>
    <w:lvl w:ilvl="6" w:tplc="0426000F" w:tentative="1">
      <w:start w:val="1"/>
      <w:numFmt w:val="decimal"/>
      <w:lvlText w:val="%7."/>
      <w:lvlJc w:val="left"/>
      <w:pPr>
        <w:ind w:left="4652" w:hanging="360"/>
      </w:pPr>
    </w:lvl>
    <w:lvl w:ilvl="7" w:tplc="04260019" w:tentative="1">
      <w:start w:val="1"/>
      <w:numFmt w:val="lowerLetter"/>
      <w:lvlText w:val="%8."/>
      <w:lvlJc w:val="left"/>
      <w:pPr>
        <w:ind w:left="5372" w:hanging="360"/>
      </w:pPr>
    </w:lvl>
    <w:lvl w:ilvl="8" w:tplc="0426001B" w:tentative="1">
      <w:start w:val="1"/>
      <w:numFmt w:val="lowerRoman"/>
      <w:lvlText w:val="%9."/>
      <w:lvlJc w:val="right"/>
      <w:pPr>
        <w:ind w:left="6092" w:hanging="180"/>
      </w:pPr>
    </w:lvl>
  </w:abstractNum>
  <w:abstractNum w:abstractNumId="9">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3">
    <w:nsid w:val="28935C9B"/>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A8F6691"/>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0A43753"/>
    <w:multiLevelType w:val="hybridMultilevel"/>
    <w:tmpl w:val="48A2D9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22">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DEF453D"/>
    <w:multiLevelType w:val="hybridMultilevel"/>
    <w:tmpl w:val="C5EA5A8C"/>
    <w:lvl w:ilvl="0" w:tplc="53E61B4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4">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27478FD"/>
    <w:multiLevelType w:val="hybridMultilevel"/>
    <w:tmpl w:val="CDC8F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42F5E97"/>
    <w:multiLevelType w:val="hybridMultilevel"/>
    <w:tmpl w:val="ECC03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E0959CA"/>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E105124"/>
    <w:multiLevelType w:val="hybridMultilevel"/>
    <w:tmpl w:val="BD585E94"/>
    <w:lvl w:ilvl="0" w:tplc="3C469732">
      <w:start w:val="14"/>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5582010"/>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5A70775"/>
    <w:multiLevelType w:val="hybridMultilevel"/>
    <w:tmpl w:val="D59A0E2C"/>
    <w:lvl w:ilvl="0" w:tplc="1BE0C0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EE763D6"/>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2DC2D90"/>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63066A0"/>
    <w:multiLevelType w:val="hybridMultilevel"/>
    <w:tmpl w:val="2D30D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8">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38"/>
  </w:num>
  <w:num w:numId="3">
    <w:abstractNumId w:val="11"/>
  </w:num>
  <w:num w:numId="4">
    <w:abstractNumId w:val="7"/>
  </w:num>
  <w:num w:numId="5">
    <w:abstractNumId w:val="2"/>
  </w:num>
  <w:num w:numId="6">
    <w:abstractNumId w:val="32"/>
  </w:num>
  <w:num w:numId="7">
    <w:abstractNumId w:val="40"/>
  </w:num>
  <w:num w:numId="8">
    <w:abstractNumId w:val="25"/>
  </w:num>
  <w:num w:numId="9">
    <w:abstractNumId w:val="10"/>
  </w:num>
  <w:num w:numId="10">
    <w:abstractNumId w:val="26"/>
  </w:num>
  <w:num w:numId="11">
    <w:abstractNumId w:val="27"/>
  </w:num>
  <w:num w:numId="12">
    <w:abstractNumId w:val="33"/>
  </w:num>
  <w:num w:numId="13">
    <w:abstractNumId w:val="37"/>
  </w:num>
  <w:num w:numId="14">
    <w:abstractNumId w:val="0"/>
  </w:num>
  <w:num w:numId="15">
    <w:abstractNumId w:val="16"/>
  </w:num>
  <w:num w:numId="16">
    <w:abstractNumId w:val="18"/>
  </w:num>
  <w:num w:numId="17">
    <w:abstractNumId w:val="34"/>
  </w:num>
  <w:num w:numId="18">
    <w:abstractNumId w:val="1"/>
  </w:num>
  <w:num w:numId="19">
    <w:abstractNumId w:val="28"/>
  </w:num>
  <w:num w:numId="20">
    <w:abstractNumId w:val="29"/>
  </w:num>
  <w:num w:numId="21">
    <w:abstractNumId w:val="21"/>
  </w:num>
  <w:num w:numId="22">
    <w:abstractNumId w:val="3"/>
  </w:num>
  <w:num w:numId="23">
    <w:abstractNumId w:val="47"/>
  </w:num>
  <w:num w:numId="24">
    <w:abstractNumId w:val="12"/>
  </w:num>
  <w:num w:numId="25">
    <w:abstractNumId w:val="43"/>
  </w:num>
  <w:num w:numId="26">
    <w:abstractNumId w:val="21"/>
  </w:num>
  <w:num w:numId="27">
    <w:abstractNumId w:val="6"/>
  </w:num>
  <w:num w:numId="28">
    <w:abstractNumId w:val="4"/>
  </w:num>
  <w:num w:numId="29">
    <w:abstractNumId w:val="22"/>
  </w:num>
  <w:num w:numId="30">
    <w:abstractNumId w:val="9"/>
  </w:num>
  <w:num w:numId="31">
    <w:abstractNumId w:val="48"/>
  </w:num>
  <w:num w:numId="32">
    <w:abstractNumId w:val="20"/>
  </w:num>
  <w:num w:numId="33">
    <w:abstractNumId w:val="19"/>
  </w:num>
  <w:num w:numId="34">
    <w:abstractNumId w:val="39"/>
  </w:num>
  <w:num w:numId="35">
    <w:abstractNumId w:val="30"/>
  </w:num>
  <w:num w:numId="36">
    <w:abstractNumId w:val="13"/>
  </w:num>
  <w:num w:numId="37">
    <w:abstractNumId w:val="45"/>
  </w:num>
  <w:num w:numId="38">
    <w:abstractNumId w:val="35"/>
  </w:num>
  <w:num w:numId="39">
    <w:abstractNumId w:val="42"/>
  </w:num>
  <w:num w:numId="40">
    <w:abstractNumId w:val="14"/>
  </w:num>
  <w:num w:numId="41">
    <w:abstractNumId w:val="41"/>
  </w:num>
  <w:num w:numId="42">
    <w:abstractNumId w:val="44"/>
  </w:num>
  <w:num w:numId="43">
    <w:abstractNumId w:val="23"/>
  </w:num>
  <w:num w:numId="44">
    <w:abstractNumId w:val="24"/>
  </w:num>
  <w:num w:numId="45">
    <w:abstractNumId w:val="31"/>
  </w:num>
  <w:num w:numId="46">
    <w:abstractNumId w:val="17"/>
  </w:num>
  <w:num w:numId="47">
    <w:abstractNumId w:val="46"/>
  </w:num>
  <w:num w:numId="48">
    <w:abstractNumId w:val="8"/>
  </w:num>
  <w:num w:numId="49">
    <w:abstractNumId w:val="3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2F90"/>
    <w:rsid w:val="0000308F"/>
    <w:rsid w:val="00003517"/>
    <w:rsid w:val="00004C41"/>
    <w:rsid w:val="00005687"/>
    <w:rsid w:val="0000641C"/>
    <w:rsid w:val="00011C00"/>
    <w:rsid w:val="00011D24"/>
    <w:rsid w:val="000123E4"/>
    <w:rsid w:val="00013430"/>
    <w:rsid w:val="00013FF4"/>
    <w:rsid w:val="00015213"/>
    <w:rsid w:val="0001682D"/>
    <w:rsid w:val="00017BCC"/>
    <w:rsid w:val="00017EAF"/>
    <w:rsid w:val="00020FE1"/>
    <w:rsid w:val="000214DF"/>
    <w:rsid w:val="000219F1"/>
    <w:rsid w:val="00022E13"/>
    <w:rsid w:val="00024A95"/>
    <w:rsid w:val="0002627A"/>
    <w:rsid w:val="00027394"/>
    <w:rsid w:val="00027866"/>
    <w:rsid w:val="00027E49"/>
    <w:rsid w:val="00032388"/>
    <w:rsid w:val="000347CE"/>
    <w:rsid w:val="00035CE2"/>
    <w:rsid w:val="00035DDF"/>
    <w:rsid w:val="00044FC0"/>
    <w:rsid w:val="00047AA6"/>
    <w:rsid w:val="00053EE5"/>
    <w:rsid w:val="00053F1A"/>
    <w:rsid w:val="0005553B"/>
    <w:rsid w:val="0006001D"/>
    <w:rsid w:val="000604D2"/>
    <w:rsid w:val="00061587"/>
    <w:rsid w:val="00065241"/>
    <w:rsid w:val="000675A9"/>
    <w:rsid w:val="00067A2F"/>
    <w:rsid w:val="00070D7A"/>
    <w:rsid w:val="00074B12"/>
    <w:rsid w:val="000760DB"/>
    <w:rsid w:val="00080AD1"/>
    <w:rsid w:val="00081991"/>
    <w:rsid w:val="00083587"/>
    <w:rsid w:val="0009005E"/>
    <w:rsid w:val="00090BFB"/>
    <w:rsid w:val="00090DFB"/>
    <w:rsid w:val="0009223E"/>
    <w:rsid w:val="00093161"/>
    <w:rsid w:val="000941C5"/>
    <w:rsid w:val="000971F9"/>
    <w:rsid w:val="00097549"/>
    <w:rsid w:val="000A030B"/>
    <w:rsid w:val="000A37F0"/>
    <w:rsid w:val="000A6451"/>
    <w:rsid w:val="000A6E86"/>
    <w:rsid w:val="000A75E5"/>
    <w:rsid w:val="000B064E"/>
    <w:rsid w:val="000B0C7C"/>
    <w:rsid w:val="000B63CA"/>
    <w:rsid w:val="000B69CF"/>
    <w:rsid w:val="000B7357"/>
    <w:rsid w:val="000B7A49"/>
    <w:rsid w:val="000C1E30"/>
    <w:rsid w:val="000C299B"/>
    <w:rsid w:val="000C5F5A"/>
    <w:rsid w:val="000C6DD5"/>
    <w:rsid w:val="000C788D"/>
    <w:rsid w:val="000C790C"/>
    <w:rsid w:val="000D051B"/>
    <w:rsid w:val="000D3AED"/>
    <w:rsid w:val="000D452C"/>
    <w:rsid w:val="000D5A7F"/>
    <w:rsid w:val="000E0375"/>
    <w:rsid w:val="000E0F36"/>
    <w:rsid w:val="000E3068"/>
    <w:rsid w:val="000E435E"/>
    <w:rsid w:val="000E5FF6"/>
    <w:rsid w:val="000E7EE1"/>
    <w:rsid w:val="000F061D"/>
    <w:rsid w:val="000F1982"/>
    <w:rsid w:val="000F4794"/>
    <w:rsid w:val="000F522F"/>
    <w:rsid w:val="00100EF9"/>
    <w:rsid w:val="001010FC"/>
    <w:rsid w:val="00102C2B"/>
    <w:rsid w:val="00102E86"/>
    <w:rsid w:val="00104196"/>
    <w:rsid w:val="00105059"/>
    <w:rsid w:val="0010687E"/>
    <w:rsid w:val="001071C2"/>
    <w:rsid w:val="00107336"/>
    <w:rsid w:val="001144F0"/>
    <w:rsid w:val="00115838"/>
    <w:rsid w:val="00117E30"/>
    <w:rsid w:val="001233D7"/>
    <w:rsid w:val="00124F12"/>
    <w:rsid w:val="00126BAE"/>
    <w:rsid w:val="00126BC8"/>
    <w:rsid w:val="001347F7"/>
    <w:rsid w:val="00135A81"/>
    <w:rsid w:val="00141024"/>
    <w:rsid w:val="00141307"/>
    <w:rsid w:val="001417B4"/>
    <w:rsid w:val="00141C09"/>
    <w:rsid w:val="0014222F"/>
    <w:rsid w:val="00142604"/>
    <w:rsid w:val="00144E3A"/>
    <w:rsid w:val="00146F25"/>
    <w:rsid w:val="0015060C"/>
    <w:rsid w:val="00151100"/>
    <w:rsid w:val="001539BD"/>
    <w:rsid w:val="00155DD2"/>
    <w:rsid w:val="00155E7E"/>
    <w:rsid w:val="0016018A"/>
    <w:rsid w:val="001602ED"/>
    <w:rsid w:val="00160E20"/>
    <w:rsid w:val="00161F0E"/>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854C6"/>
    <w:rsid w:val="001900E4"/>
    <w:rsid w:val="00190F88"/>
    <w:rsid w:val="001913E3"/>
    <w:rsid w:val="001917DF"/>
    <w:rsid w:val="001924EB"/>
    <w:rsid w:val="00192DDB"/>
    <w:rsid w:val="001932F6"/>
    <w:rsid w:val="00193868"/>
    <w:rsid w:val="00195F7A"/>
    <w:rsid w:val="00197064"/>
    <w:rsid w:val="00197F8A"/>
    <w:rsid w:val="001A05C8"/>
    <w:rsid w:val="001A1369"/>
    <w:rsid w:val="001A142B"/>
    <w:rsid w:val="001A2C8D"/>
    <w:rsid w:val="001A2E25"/>
    <w:rsid w:val="001A3E35"/>
    <w:rsid w:val="001A4066"/>
    <w:rsid w:val="001A5131"/>
    <w:rsid w:val="001A610A"/>
    <w:rsid w:val="001A67D3"/>
    <w:rsid w:val="001A6AE4"/>
    <w:rsid w:val="001A7068"/>
    <w:rsid w:val="001A769D"/>
    <w:rsid w:val="001A7B4C"/>
    <w:rsid w:val="001B01FD"/>
    <w:rsid w:val="001B4A71"/>
    <w:rsid w:val="001B595D"/>
    <w:rsid w:val="001C2E78"/>
    <w:rsid w:val="001C5B2B"/>
    <w:rsid w:val="001C612F"/>
    <w:rsid w:val="001D166B"/>
    <w:rsid w:val="001D1780"/>
    <w:rsid w:val="001D1BF6"/>
    <w:rsid w:val="001D390F"/>
    <w:rsid w:val="001D5B54"/>
    <w:rsid w:val="001D79C3"/>
    <w:rsid w:val="001E0C36"/>
    <w:rsid w:val="001E1DBF"/>
    <w:rsid w:val="001E3070"/>
    <w:rsid w:val="001E4639"/>
    <w:rsid w:val="001E4A7D"/>
    <w:rsid w:val="001E7957"/>
    <w:rsid w:val="001F1D58"/>
    <w:rsid w:val="001F353A"/>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25B78"/>
    <w:rsid w:val="00231344"/>
    <w:rsid w:val="0023229E"/>
    <w:rsid w:val="00233198"/>
    <w:rsid w:val="0023436E"/>
    <w:rsid w:val="002347C0"/>
    <w:rsid w:val="002349E7"/>
    <w:rsid w:val="00241A6C"/>
    <w:rsid w:val="002423A9"/>
    <w:rsid w:val="0024252D"/>
    <w:rsid w:val="00242D2B"/>
    <w:rsid w:val="00244294"/>
    <w:rsid w:val="00247D3C"/>
    <w:rsid w:val="00250B39"/>
    <w:rsid w:val="00251ADB"/>
    <w:rsid w:val="00252AAD"/>
    <w:rsid w:val="00256987"/>
    <w:rsid w:val="00262E2B"/>
    <w:rsid w:val="002633A2"/>
    <w:rsid w:val="002640EA"/>
    <w:rsid w:val="00270429"/>
    <w:rsid w:val="002716A4"/>
    <w:rsid w:val="002723E9"/>
    <w:rsid w:val="002736F6"/>
    <w:rsid w:val="00273FC0"/>
    <w:rsid w:val="00277929"/>
    <w:rsid w:val="00280C76"/>
    <w:rsid w:val="002818DF"/>
    <w:rsid w:val="002820A2"/>
    <w:rsid w:val="0028246C"/>
    <w:rsid w:val="002824DE"/>
    <w:rsid w:val="00283255"/>
    <w:rsid w:val="00283B82"/>
    <w:rsid w:val="002846E9"/>
    <w:rsid w:val="00284C34"/>
    <w:rsid w:val="00286096"/>
    <w:rsid w:val="002869A6"/>
    <w:rsid w:val="00287B63"/>
    <w:rsid w:val="0029066C"/>
    <w:rsid w:val="00294B19"/>
    <w:rsid w:val="00297440"/>
    <w:rsid w:val="00297969"/>
    <w:rsid w:val="002A1E1C"/>
    <w:rsid w:val="002A3E3E"/>
    <w:rsid w:val="002A50A8"/>
    <w:rsid w:val="002A60C9"/>
    <w:rsid w:val="002A67BE"/>
    <w:rsid w:val="002A6857"/>
    <w:rsid w:val="002A7512"/>
    <w:rsid w:val="002B04AE"/>
    <w:rsid w:val="002B0982"/>
    <w:rsid w:val="002B10D4"/>
    <w:rsid w:val="002B1263"/>
    <w:rsid w:val="002B50DB"/>
    <w:rsid w:val="002B68D1"/>
    <w:rsid w:val="002C10A7"/>
    <w:rsid w:val="002C12AB"/>
    <w:rsid w:val="002C5C60"/>
    <w:rsid w:val="002C69D8"/>
    <w:rsid w:val="002C7CAC"/>
    <w:rsid w:val="002D3306"/>
    <w:rsid w:val="002D4244"/>
    <w:rsid w:val="002D48AA"/>
    <w:rsid w:val="002D6AA6"/>
    <w:rsid w:val="002D7875"/>
    <w:rsid w:val="002D7BAA"/>
    <w:rsid w:val="002D7DC7"/>
    <w:rsid w:val="002D7F54"/>
    <w:rsid w:val="002E09A7"/>
    <w:rsid w:val="002E37E7"/>
    <w:rsid w:val="002E3ABF"/>
    <w:rsid w:val="002E3FF4"/>
    <w:rsid w:val="002E4126"/>
    <w:rsid w:val="002E559B"/>
    <w:rsid w:val="002F22AC"/>
    <w:rsid w:val="002F2A75"/>
    <w:rsid w:val="002F5B9B"/>
    <w:rsid w:val="002F5FDC"/>
    <w:rsid w:val="002F7078"/>
    <w:rsid w:val="002F759C"/>
    <w:rsid w:val="002F78C8"/>
    <w:rsid w:val="003006CA"/>
    <w:rsid w:val="00301CF3"/>
    <w:rsid w:val="0030288C"/>
    <w:rsid w:val="003032C1"/>
    <w:rsid w:val="00303F8C"/>
    <w:rsid w:val="003040EA"/>
    <w:rsid w:val="0030419E"/>
    <w:rsid w:val="00304FC1"/>
    <w:rsid w:val="00305FF9"/>
    <w:rsid w:val="00306656"/>
    <w:rsid w:val="00312C59"/>
    <w:rsid w:val="00317C67"/>
    <w:rsid w:val="00321247"/>
    <w:rsid w:val="003222D6"/>
    <w:rsid w:val="00322E4B"/>
    <w:rsid w:val="0032401F"/>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54F7"/>
    <w:rsid w:val="00370642"/>
    <w:rsid w:val="00375B25"/>
    <w:rsid w:val="003763D4"/>
    <w:rsid w:val="003807FF"/>
    <w:rsid w:val="0038132C"/>
    <w:rsid w:val="003835E3"/>
    <w:rsid w:val="00384E2B"/>
    <w:rsid w:val="00386488"/>
    <w:rsid w:val="003864FE"/>
    <w:rsid w:val="00386DB2"/>
    <w:rsid w:val="003878A9"/>
    <w:rsid w:val="00390D8B"/>
    <w:rsid w:val="00391748"/>
    <w:rsid w:val="00393609"/>
    <w:rsid w:val="00394313"/>
    <w:rsid w:val="00396542"/>
    <w:rsid w:val="0039685B"/>
    <w:rsid w:val="003968DF"/>
    <w:rsid w:val="003A0AA3"/>
    <w:rsid w:val="003A31A6"/>
    <w:rsid w:val="003A3C61"/>
    <w:rsid w:val="003A6A3C"/>
    <w:rsid w:val="003A7F0C"/>
    <w:rsid w:val="003A7F55"/>
    <w:rsid w:val="003A7F79"/>
    <w:rsid w:val="003B2A0F"/>
    <w:rsid w:val="003B426E"/>
    <w:rsid w:val="003B6404"/>
    <w:rsid w:val="003B67A2"/>
    <w:rsid w:val="003B67D0"/>
    <w:rsid w:val="003B787E"/>
    <w:rsid w:val="003C06BD"/>
    <w:rsid w:val="003C14F1"/>
    <w:rsid w:val="003C35C6"/>
    <w:rsid w:val="003C449B"/>
    <w:rsid w:val="003C6409"/>
    <w:rsid w:val="003D1AA2"/>
    <w:rsid w:val="003D21FF"/>
    <w:rsid w:val="003D662D"/>
    <w:rsid w:val="003D698A"/>
    <w:rsid w:val="003D770B"/>
    <w:rsid w:val="003D7FEA"/>
    <w:rsid w:val="003E493E"/>
    <w:rsid w:val="003E55B7"/>
    <w:rsid w:val="003F0112"/>
    <w:rsid w:val="003F071A"/>
    <w:rsid w:val="003F160B"/>
    <w:rsid w:val="003F1E50"/>
    <w:rsid w:val="003F4D77"/>
    <w:rsid w:val="003F7754"/>
    <w:rsid w:val="003F7D40"/>
    <w:rsid w:val="00400032"/>
    <w:rsid w:val="00400B5B"/>
    <w:rsid w:val="004056ED"/>
    <w:rsid w:val="00405A00"/>
    <w:rsid w:val="00405E11"/>
    <w:rsid w:val="00410246"/>
    <w:rsid w:val="00412FA3"/>
    <w:rsid w:val="00413396"/>
    <w:rsid w:val="004179DE"/>
    <w:rsid w:val="004179F4"/>
    <w:rsid w:val="00420870"/>
    <w:rsid w:val="00422D5B"/>
    <w:rsid w:val="004268F6"/>
    <w:rsid w:val="00427742"/>
    <w:rsid w:val="00427C10"/>
    <w:rsid w:val="0043100E"/>
    <w:rsid w:val="0043130A"/>
    <w:rsid w:val="00432422"/>
    <w:rsid w:val="00432D0C"/>
    <w:rsid w:val="00433584"/>
    <w:rsid w:val="00436205"/>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21F"/>
    <w:rsid w:val="0047358D"/>
    <w:rsid w:val="00475AF2"/>
    <w:rsid w:val="004800F9"/>
    <w:rsid w:val="00481327"/>
    <w:rsid w:val="00482982"/>
    <w:rsid w:val="00483475"/>
    <w:rsid w:val="00486B38"/>
    <w:rsid w:val="004907B8"/>
    <w:rsid w:val="0049134A"/>
    <w:rsid w:val="00491694"/>
    <w:rsid w:val="004918A5"/>
    <w:rsid w:val="0049345F"/>
    <w:rsid w:val="00493584"/>
    <w:rsid w:val="004A191D"/>
    <w:rsid w:val="004A58CB"/>
    <w:rsid w:val="004A705B"/>
    <w:rsid w:val="004B1795"/>
    <w:rsid w:val="004B2A97"/>
    <w:rsid w:val="004B4F59"/>
    <w:rsid w:val="004B5087"/>
    <w:rsid w:val="004B56DD"/>
    <w:rsid w:val="004B5B0C"/>
    <w:rsid w:val="004C020F"/>
    <w:rsid w:val="004C1A26"/>
    <w:rsid w:val="004C1AFD"/>
    <w:rsid w:val="004C49D2"/>
    <w:rsid w:val="004C558B"/>
    <w:rsid w:val="004C7A0E"/>
    <w:rsid w:val="004D0231"/>
    <w:rsid w:val="004D492F"/>
    <w:rsid w:val="004D526B"/>
    <w:rsid w:val="004D564C"/>
    <w:rsid w:val="004D5C7F"/>
    <w:rsid w:val="004E2E8D"/>
    <w:rsid w:val="004E59E1"/>
    <w:rsid w:val="004E6B86"/>
    <w:rsid w:val="004E70A7"/>
    <w:rsid w:val="004F098F"/>
    <w:rsid w:val="004F0C44"/>
    <w:rsid w:val="004F1F88"/>
    <w:rsid w:val="004F304C"/>
    <w:rsid w:val="004F585C"/>
    <w:rsid w:val="004F5F1B"/>
    <w:rsid w:val="004F67DF"/>
    <w:rsid w:val="005006EF"/>
    <w:rsid w:val="00502374"/>
    <w:rsid w:val="005026E7"/>
    <w:rsid w:val="005037C5"/>
    <w:rsid w:val="005046D4"/>
    <w:rsid w:val="005060A1"/>
    <w:rsid w:val="00506F1D"/>
    <w:rsid w:val="00507009"/>
    <w:rsid w:val="0051005B"/>
    <w:rsid w:val="00514A1C"/>
    <w:rsid w:val="005156F3"/>
    <w:rsid w:val="00515B9E"/>
    <w:rsid w:val="00516072"/>
    <w:rsid w:val="00517DFF"/>
    <w:rsid w:val="00521AB4"/>
    <w:rsid w:val="0052718A"/>
    <w:rsid w:val="00527517"/>
    <w:rsid w:val="00530649"/>
    <w:rsid w:val="0053070D"/>
    <w:rsid w:val="00531404"/>
    <w:rsid w:val="00531FC8"/>
    <w:rsid w:val="005332EC"/>
    <w:rsid w:val="00534418"/>
    <w:rsid w:val="00534E8D"/>
    <w:rsid w:val="005353AB"/>
    <w:rsid w:val="00535E98"/>
    <w:rsid w:val="005377A2"/>
    <w:rsid w:val="00537DAA"/>
    <w:rsid w:val="00540310"/>
    <w:rsid w:val="00540DCD"/>
    <w:rsid w:val="00542E6A"/>
    <w:rsid w:val="005450C6"/>
    <w:rsid w:val="00553AA3"/>
    <w:rsid w:val="005542A6"/>
    <w:rsid w:val="00554DE2"/>
    <w:rsid w:val="00554F08"/>
    <w:rsid w:val="00555391"/>
    <w:rsid w:val="00555F05"/>
    <w:rsid w:val="005560BC"/>
    <w:rsid w:val="005573BE"/>
    <w:rsid w:val="00562633"/>
    <w:rsid w:val="00572700"/>
    <w:rsid w:val="005739B0"/>
    <w:rsid w:val="00576D97"/>
    <w:rsid w:val="00580468"/>
    <w:rsid w:val="00582231"/>
    <w:rsid w:val="00583F9F"/>
    <w:rsid w:val="0058435B"/>
    <w:rsid w:val="0058603B"/>
    <w:rsid w:val="00586B7F"/>
    <w:rsid w:val="00587093"/>
    <w:rsid w:val="00587C30"/>
    <w:rsid w:val="0059431B"/>
    <w:rsid w:val="005A38C3"/>
    <w:rsid w:val="005A39CC"/>
    <w:rsid w:val="005A44ED"/>
    <w:rsid w:val="005A6055"/>
    <w:rsid w:val="005A6EF3"/>
    <w:rsid w:val="005B0D8F"/>
    <w:rsid w:val="005B2E1A"/>
    <w:rsid w:val="005B4730"/>
    <w:rsid w:val="005B505C"/>
    <w:rsid w:val="005C0006"/>
    <w:rsid w:val="005C138A"/>
    <w:rsid w:val="005C4634"/>
    <w:rsid w:val="005D01D9"/>
    <w:rsid w:val="005D2C3C"/>
    <w:rsid w:val="005D6DDE"/>
    <w:rsid w:val="005E05D7"/>
    <w:rsid w:val="005E12A5"/>
    <w:rsid w:val="005E3735"/>
    <w:rsid w:val="005E41E7"/>
    <w:rsid w:val="005E450F"/>
    <w:rsid w:val="005F0C0D"/>
    <w:rsid w:val="005F126D"/>
    <w:rsid w:val="005F2B04"/>
    <w:rsid w:val="005F3D9B"/>
    <w:rsid w:val="005F5FD1"/>
    <w:rsid w:val="0060432A"/>
    <w:rsid w:val="00605497"/>
    <w:rsid w:val="0060730F"/>
    <w:rsid w:val="006135BC"/>
    <w:rsid w:val="0061419B"/>
    <w:rsid w:val="006161B7"/>
    <w:rsid w:val="00617FD6"/>
    <w:rsid w:val="00620D47"/>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08F2"/>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711FB"/>
    <w:rsid w:val="00672D31"/>
    <w:rsid w:val="00674572"/>
    <w:rsid w:val="006766C8"/>
    <w:rsid w:val="006806C9"/>
    <w:rsid w:val="006849F5"/>
    <w:rsid w:val="00687763"/>
    <w:rsid w:val="0069161F"/>
    <w:rsid w:val="00692B0D"/>
    <w:rsid w:val="00692E1D"/>
    <w:rsid w:val="00693C78"/>
    <w:rsid w:val="00693E0E"/>
    <w:rsid w:val="00693FB6"/>
    <w:rsid w:val="0069517E"/>
    <w:rsid w:val="00695BB7"/>
    <w:rsid w:val="00697088"/>
    <w:rsid w:val="00697BB7"/>
    <w:rsid w:val="006A1AE3"/>
    <w:rsid w:val="006A73C1"/>
    <w:rsid w:val="006B0099"/>
    <w:rsid w:val="006B042F"/>
    <w:rsid w:val="006B4929"/>
    <w:rsid w:val="006B6062"/>
    <w:rsid w:val="006B61F9"/>
    <w:rsid w:val="006B653F"/>
    <w:rsid w:val="006B7823"/>
    <w:rsid w:val="006C0F3B"/>
    <w:rsid w:val="006C30E1"/>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27B"/>
    <w:rsid w:val="00710D2A"/>
    <w:rsid w:val="00711F59"/>
    <w:rsid w:val="00715433"/>
    <w:rsid w:val="0072417C"/>
    <w:rsid w:val="00724502"/>
    <w:rsid w:val="00724E19"/>
    <w:rsid w:val="00725E39"/>
    <w:rsid w:val="00731150"/>
    <w:rsid w:val="007319F1"/>
    <w:rsid w:val="00732C66"/>
    <w:rsid w:val="00734450"/>
    <w:rsid w:val="00734E33"/>
    <w:rsid w:val="00737B70"/>
    <w:rsid w:val="00741006"/>
    <w:rsid w:val="00745F67"/>
    <w:rsid w:val="00745FEE"/>
    <w:rsid w:val="00747903"/>
    <w:rsid w:val="0075039E"/>
    <w:rsid w:val="00750B0F"/>
    <w:rsid w:val="00752D9D"/>
    <w:rsid w:val="00754784"/>
    <w:rsid w:val="00756245"/>
    <w:rsid w:val="007579A0"/>
    <w:rsid w:val="00757C6E"/>
    <w:rsid w:val="00762BDA"/>
    <w:rsid w:val="00765346"/>
    <w:rsid w:val="007666F9"/>
    <w:rsid w:val="00767C0B"/>
    <w:rsid w:val="00770284"/>
    <w:rsid w:val="007736F1"/>
    <w:rsid w:val="00774AE2"/>
    <w:rsid w:val="00777387"/>
    <w:rsid w:val="00777543"/>
    <w:rsid w:val="007805FD"/>
    <w:rsid w:val="007830B3"/>
    <w:rsid w:val="00783474"/>
    <w:rsid w:val="007839BC"/>
    <w:rsid w:val="00784422"/>
    <w:rsid w:val="00784CE4"/>
    <w:rsid w:val="00785341"/>
    <w:rsid w:val="007860DC"/>
    <w:rsid w:val="0079000A"/>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5EA5"/>
    <w:rsid w:val="007A66D8"/>
    <w:rsid w:val="007B076D"/>
    <w:rsid w:val="007B2596"/>
    <w:rsid w:val="007B2CB6"/>
    <w:rsid w:val="007B3B54"/>
    <w:rsid w:val="007B3FA0"/>
    <w:rsid w:val="007B4BC6"/>
    <w:rsid w:val="007C01F1"/>
    <w:rsid w:val="007C0F2C"/>
    <w:rsid w:val="007C2029"/>
    <w:rsid w:val="007C2BCC"/>
    <w:rsid w:val="007C35B2"/>
    <w:rsid w:val="007C4EF0"/>
    <w:rsid w:val="007C79AF"/>
    <w:rsid w:val="007D099D"/>
    <w:rsid w:val="007D0D7E"/>
    <w:rsid w:val="007D39BA"/>
    <w:rsid w:val="007D521D"/>
    <w:rsid w:val="007D63E9"/>
    <w:rsid w:val="007D7BA1"/>
    <w:rsid w:val="007D7C0B"/>
    <w:rsid w:val="007E2664"/>
    <w:rsid w:val="007E3ABF"/>
    <w:rsid w:val="007E44C5"/>
    <w:rsid w:val="007E5BFA"/>
    <w:rsid w:val="007E6689"/>
    <w:rsid w:val="007E731C"/>
    <w:rsid w:val="007F0A03"/>
    <w:rsid w:val="007F255A"/>
    <w:rsid w:val="007F2F05"/>
    <w:rsid w:val="007F517A"/>
    <w:rsid w:val="007F63CB"/>
    <w:rsid w:val="007F7EAD"/>
    <w:rsid w:val="008038DE"/>
    <w:rsid w:val="00804137"/>
    <w:rsid w:val="008042B2"/>
    <w:rsid w:val="00810040"/>
    <w:rsid w:val="00810A3A"/>
    <w:rsid w:val="00810B2F"/>
    <w:rsid w:val="00810E3F"/>
    <w:rsid w:val="0081257D"/>
    <w:rsid w:val="0081292B"/>
    <w:rsid w:val="00812B6D"/>
    <w:rsid w:val="00813AC1"/>
    <w:rsid w:val="00814D2F"/>
    <w:rsid w:val="008164C8"/>
    <w:rsid w:val="0082007B"/>
    <w:rsid w:val="008201D2"/>
    <w:rsid w:val="0082023A"/>
    <w:rsid w:val="008215B8"/>
    <w:rsid w:val="00821A7A"/>
    <w:rsid w:val="0082310C"/>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A2D"/>
    <w:rsid w:val="00845678"/>
    <w:rsid w:val="00845811"/>
    <w:rsid w:val="00846994"/>
    <w:rsid w:val="00846C48"/>
    <w:rsid w:val="00847023"/>
    <w:rsid w:val="0084741A"/>
    <w:rsid w:val="00850451"/>
    <w:rsid w:val="00852042"/>
    <w:rsid w:val="008534C9"/>
    <w:rsid w:val="008547A5"/>
    <w:rsid w:val="0085599D"/>
    <w:rsid w:val="00855FF4"/>
    <w:rsid w:val="00857F69"/>
    <w:rsid w:val="00861813"/>
    <w:rsid w:val="00863340"/>
    <w:rsid w:val="00864AA5"/>
    <w:rsid w:val="0086587D"/>
    <w:rsid w:val="00870547"/>
    <w:rsid w:val="00870D1A"/>
    <w:rsid w:val="0087510C"/>
    <w:rsid w:val="00880C36"/>
    <w:rsid w:val="00881B32"/>
    <w:rsid w:val="00883DA1"/>
    <w:rsid w:val="00890442"/>
    <w:rsid w:val="008938F6"/>
    <w:rsid w:val="00893E73"/>
    <w:rsid w:val="008968D2"/>
    <w:rsid w:val="0089738E"/>
    <w:rsid w:val="008A05B8"/>
    <w:rsid w:val="008A0753"/>
    <w:rsid w:val="008A7B89"/>
    <w:rsid w:val="008B4465"/>
    <w:rsid w:val="008B50FF"/>
    <w:rsid w:val="008B5FDB"/>
    <w:rsid w:val="008B6B16"/>
    <w:rsid w:val="008C2F07"/>
    <w:rsid w:val="008C3F78"/>
    <w:rsid w:val="008C50F4"/>
    <w:rsid w:val="008C5649"/>
    <w:rsid w:val="008D5F65"/>
    <w:rsid w:val="008D632E"/>
    <w:rsid w:val="008E0148"/>
    <w:rsid w:val="008E44A2"/>
    <w:rsid w:val="008E697D"/>
    <w:rsid w:val="008F1A6E"/>
    <w:rsid w:val="008F6857"/>
    <w:rsid w:val="008F6991"/>
    <w:rsid w:val="0090267E"/>
    <w:rsid w:val="009030FB"/>
    <w:rsid w:val="00903263"/>
    <w:rsid w:val="009032AB"/>
    <w:rsid w:val="009038AD"/>
    <w:rsid w:val="00906989"/>
    <w:rsid w:val="00906A21"/>
    <w:rsid w:val="009079C3"/>
    <w:rsid w:val="00910462"/>
    <w:rsid w:val="00915AB1"/>
    <w:rsid w:val="00917532"/>
    <w:rsid w:val="00917600"/>
    <w:rsid w:val="009202D1"/>
    <w:rsid w:val="00920E7B"/>
    <w:rsid w:val="009235BA"/>
    <w:rsid w:val="00923F28"/>
    <w:rsid w:val="00924023"/>
    <w:rsid w:val="00924CE2"/>
    <w:rsid w:val="00925B9F"/>
    <w:rsid w:val="009275AC"/>
    <w:rsid w:val="009309EB"/>
    <w:rsid w:val="00931AED"/>
    <w:rsid w:val="00932431"/>
    <w:rsid w:val="00937644"/>
    <w:rsid w:val="009428E7"/>
    <w:rsid w:val="00943042"/>
    <w:rsid w:val="00945766"/>
    <w:rsid w:val="009476A3"/>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BF4"/>
    <w:rsid w:val="009864BB"/>
    <w:rsid w:val="0098773B"/>
    <w:rsid w:val="00987B16"/>
    <w:rsid w:val="00990AB2"/>
    <w:rsid w:val="00991486"/>
    <w:rsid w:val="00991C57"/>
    <w:rsid w:val="00992E99"/>
    <w:rsid w:val="009934C5"/>
    <w:rsid w:val="009945B8"/>
    <w:rsid w:val="00994C0F"/>
    <w:rsid w:val="009A0027"/>
    <w:rsid w:val="009A33ED"/>
    <w:rsid w:val="009A6B0C"/>
    <w:rsid w:val="009A7205"/>
    <w:rsid w:val="009B118C"/>
    <w:rsid w:val="009B22D7"/>
    <w:rsid w:val="009B2A92"/>
    <w:rsid w:val="009B4270"/>
    <w:rsid w:val="009B72ED"/>
    <w:rsid w:val="009B735C"/>
    <w:rsid w:val="009C16F3"/>
    <w:rsid w:val="009C30E0"/>
    <w:rsid w:val="009C5659"/>
    <w:rsid w:val="009C6DEB"/>
    <w:rsid w:val="009C7542"/>
    <w:rsid w:val="009D022D"/>
    <w:rsid w:val="009D27A6"/>
    <w:rsid w:val="009D4EF6"/>
    <w:rsid w:val="009D593B"/>
    <w:rsid w:val="009D6504"/>
    <w:rsid w:val="009E1204"/>
    <w:rsid w:val="009E12D7"/>
    <w:rsid w:val="009E159A"/>
    <w:rsid w:val="009E242E"/>
    <w:rsid w:val="009E4BD1"/>
    <w:rsid w:val="009E661A"/>
    <w:rsid w:val="009E6A34"/>
    <w:rsid w:val="009E6C0C"/>
    <w:rsid w:val="009E7BFE"/>
    <w:rsid w:val="009F0513"/>
    <w:rsid w:val="009F1276"/>
    <w:rsid w:val="009F15E6"/>
    <w:rsid w:val="009F5710"/>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70C8"/>
    <w:rsid w:val="00A43390"/>
    <w:rsid w:val="00A4727A"/>
    <w:rsid w:val="00A513CA"/>
    <w:rsid w:val="00A5160D"/>
    <w:rsid w:val="00A523F9"/>
    <w:rsid w:val="00A549E0"/>
    <w:rsid w:val="00A55B57"/>
    <w:rsid w:val="00A5727C"/>
    <w:rsid w:val="00A6048E"/>
    <w:rsid w:val="00A63203"/>
    <w:rsid w:val="00A648A4"/>
    <w:rsid w:val="00A65338"/>
    <w:rsid w:val="00A67B6A"/>
    <w:rsid w:val="00A7043C"/>
    <w:rsid w:val="00A70CFD"/>
    <w:rsid w:val="00A72A0B"/>
    <w:rsid w:val="00A72CAB"/>
    <w:rsid w:val="00A73151"/>
    <w:rsid w:val="00A77110"/>
    <w:rsid w:val="00A77DBB"/>
    <w:rsid w:val="00A77F80"/>
    <w:rsid w:val="00A81E42"/>
    <w:rsid w:val="00A82F8D"/>
    <w:rsid w:val="00A83620"/>
    <w:rsid w:val="00A840D5"/>
    <w:rsid w:val="00A8481B"/>
    <w:rsid w:val="00A864FE"/>
    <w:rsid w:val="00A86F41"/>
    <w:rsid w:val="00A8776B"/>
    <w:rsid w:val="00A87D04"/>
    <w:rsid w:val="00A900CF"/>
    <w:rsid w:val="00A950C5"/>
    <w:rsid w:val="00A955A3"/>
    <w:rsid w:val="00A95777"/>
    <w:rsid w:val="00A97749"/>
    <w:rsid w:val="00AA0305"/>
    <w:rsid w:val="00AA16DE"/>
    <w:rsid w:val="00AA1BF0"/>
    <w:rsid w:val="00AA1D25"/>
    <w:rsid w:val="00AA370A"/>
    <w:rsid w:val="00AA4189"/>
    <w:rsid w:val="00AA51C5"/>
    <w:rsid w:val="00AA5462"/>
    <w:rsid w:val="00AA6C4E"/>
    <w:rsid w:val="00AB0DB6"/>
    <w:rsid w:val="00AB1F29"/>
    <w:rsid w:val="00AB2B1A"/>
    <w:rsid w:val="00AB397F"/>
    <w:rsid w:val="00AB54FD"/>
    <w:rsid w:val="00AB5832"/>
    <w:rsid w:val="00AB7489"/>
    <w:rsid w:val="00AC0DD6"/>
    <w:rsid w:val="00AC19C6"/>
    <w:rsid w:val="00AC3BAA"/>
    <w:rsid w:val="00AC5008"/>
    <w:rsid w:val="00AC51F2"/>
    <w:rsid w:val="00AC674E"/>
    <w:rsid w:val="00AC6CE0"/>
    <w:rsid w:val="00AD104F"/>
    <w:rsid w:val="00AD3269"/>
    <w:rsid w:val="00AD3936"/>
    <w:rsid w:val="00AD4425"/>
    <w:rsid w:val="00AD64BC"/>
    <w:rsid w:val="00AD6822"/>
    <w:rsid w:val="00AE0B4B"/>
    <w:rsid w:val="00AE0EAC"/>
    <w:rsid w:val="00AE4552"/>
    <w:rsid w:val="00AE5066"/>
    <w:rsid w:val="00AE5E24"/>
    <w:rsid w:val="00AE61B7"/>
    <w:rsid w:val="00AE6CBA"/>
    <w:rsid w:val="00AE79AD"/>
    <w:rsid w:val="00AF162A"/>
    <w:rsid w:val="00AF2549"/>
    <w:rsid w:val="00AF35E4"/>
    <w:rsid w:val="00AF5CDE"/>
    <w:rsid w:val="00AF6A09"/>
    <w:rsid w:val="00B032F8"/>
    <w:rsid w:val="00B07B64"/>
    <w:rsid w:val="00B11A57"/>
    <w:rsid w:val="00B13AD1"/>
    <w:rsid w:val="00B13C8A"/>
    <w:rsid w:val="00B14D9F"/>
    <w:rsid w:val="00B1533C"/>
    <w:rsid w:val="00B162F5"/>
    <w:rsid w:val="00B17E83"/>
    <w:rsid w:val="00B211C3"/>
    <w:rsid w:val="00B2262C"/>
    <w:rsid w:val="00B248D6"/>
    <w:rsid w:val="00B25597"/>
    <w:rsid w:val="00B25658"/>
    <w:rsid w:val="00B267B9"/>
    <w:rsid w:val="00B32AAA"/>
    <w:rsid w:val="00B33E09"/>
    <w:rsid w:val="00B3594E"/>
    <w:rsid w:val="00B408C0"/>
    <w:rsid w:val="00B40930"/>
    <w:rsid w:val="00B40D37"/>
    <w:rsid w:val="00B41A9A"/>
    <w:rsid w:val="00B4248B"/>
    <w:rsid w:val="00B4663A"/>
    <w:rsid w:val="00B50708"/>
    <w:rsid w:val="00B50C68"/>
    <w:rsid w:val="00B50E00"/>
    <w:rsid w:val="00B51293"/>
    <w:rsid w:val="00B51666"/>
    <w:rsid w:val="00B52B1E"/>
    <w:rsid w:val="00B55481"/>
    <w:rsid w:val="00B56C32"/>
    <w:rsid w:val="00B56D61"/>
    <w:rsid w:val="00B57ACF"/>
    <w:rsid w:val="00B61E4D"/>
    <w:rsid w:val="00B62845"/>
    <w:rsid w:val="00B64BB1"/>
    <w:rsid w:val="00B70EFB"/>
    <w:rsid w:val="00B7276F"/>
    <w:rsid w:val="00B73166"/>
    <w:rsid w:val="00B73D56"/>
    <w:rsid w:val="00B74379"/>
    <w:rsid w:val="00B75648"/>
    <w:rsid w:val="00B8426C"/>
    <w:rsid w:val="00B84642"/>
    <w:rsid w:val="00B85104"/>
    <w:rsid w:val="00B86462"/>
    <w:rsid w:val="00B866A4"/>
    <w:rsid w:val="00B87C51"/>
    <w:rsid w:val="00B9193F"/>
    <w:rsid w:val="00B91B8D"/>
    <w:rsid w:val="00B93597"/>
    <w:rsid w:val="00B94E90"/>
    <w:rsid w:val="00B96545"/>
    <w:rsid w:val="00BA5458"/>
    <w:rsid w:val="00BA569A"/>
    <w:rsid w:val="00BA64D3"/>
    <w:rsid w:val="00BA7CAD"/>
    <w:rsid w:val="00BB0A82"/>
    <w:rsid w:val="00BB7C94"/>
    <w:rsid w:val="00BC0A9D"/>
    <w:rsid w:val="00BC33E2"/>
    <w:rsid w:val="00BC52BE"/>
    <w:rsid w:val="00BC54D5"/>
    <w:rsid w:val="00BD02BB"/>
    <w:rsid w:val="00BD0F53"/>
    <w:rsid w:val="00BD1DD2"/>
    <w:rsid w:val="00BD3D8C"/>
    <w:rsid w:val="00BD460D"/>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5BE"/>
    <w:rsid w:val="00C10939"/>
    <w:rsid w:val="00C109F4"/>
    <w:rsid w:val="00C10EA6"/>
    <w:rsid w:val="00C1133D"/>
    <w:rsid w:val="00C13488"/>
    <w:rsid w:val="00C13948"/>
    <w:rsid w:val="00C143E5"/>
    <w:rsid w:val="00C16414"/>
    <w:rsid w:val="00C255EE"/>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886"/>
    <w:rsid w:val="00C43E88"/>
    <w:rsid w:val="00C4465F"/>
    <w:rsid w:val="00C449FA"/>
    <w:rsid w:val="00C501F6"/>
    <w:rsid w:val="00C516AD"/>
    <w:rsid w:val="00C53106"/>
    <w:rsid w:val="00C5384F"/>
    <w:rsid w:val="00C53D75"/>
    <w:rsid w:val="00C56964"/>
    <w:rsid w:val="00C656D5"/>
    <w:rsid w:val="00C67103"/>
    <w:rsid w:val="00C703F3"/>
    <w:rsid w:val="00C71BB9"/>
    <w:rsid w:val="00C736FB"/>
    <w:rsid w:val="00C74DEE"/>
    <w:rsid w:val="00C7762C"/>
    <w:rsid w:val="00C826E2"/>
    <w:rsid w:val="00C82A12"/>
    <w:rsid w:val="00C945FA"/>
    <w:rsid w:val="00C94613"/>
    <w:rsid w:val="00C94C28"/>
    <w:rsid w:val="00C95F30"/>
    <w:rsid w:val="00CA15AA"/>
    <w:rsid w:val="00CA2B59"/>
    <w:rsid w:val="00CA569B"/>
    <w:rsid w:val="00CA6376"/>
    <w:rsid w:val="00CA71A3"/>
    <w:rsid w:val="00CB0247"/>
    <w:rsid w:val="00CB0985"/>
    <w:rsid w:val="00CB0A64"/>
    <w:rsid w:val="00CB3440"/>
    <w:rsid w:val="00CB3FC2"/>
    <w:rsid w:val="00CB4084"/>
    <w:rsid w:val="00CB5188"/>
    <w:rsid w:val="00CB616A"/>
    <w:rsid w:val="00CB66F6"/>
    <w:rsid w:val="00CB67C8"/>
    <w:rsid w:val="00CB7479"/>
    <w:rsid w:val="00CC1692"/>
    <w:rsid w:val="00CC7068"/>
    <w:rsid w:val="00CC7AC4"/>
    <w:rsid w:val="00CD138B"/>
    <w:rsid w:val="00CD223F"/>
    <w:rsid w:val="00CD3E31"/>
    <w:rsid w:val="00CD617D"/>
    <w:rsid w:val="00CD6C0B"/>
    <w:rsid w:val="00CD7117"/>
    <w:rsid w:val="00CD74A3"/>
    <w:rsid w:val="00CE0527"/>
    <w:rsid w:val="00CE1668"/>
    <w:rsid w:val="00CE1DEE"/>
    <w:rsid w:val="00CE2631"/>
    <w:rsid w:val="00CE27C5"/>
    <w:rsid w:val="00CE30D0"/>
    <w:rsid w:val="00CE50A6"/>
    <w:rsid w:val="00CE5B23"/>
    <w:rsid w:val="00CF1D94"/>
    <w:rsid w:val="00CF573B"/>
    <w:rsid w:val="00CF65CE"/>
    <w:rsid w:val="00CF70AD"/>
    <w:rsid w:val="00CF7729"/>
    <w:rsid w:val="00CF7C93"/>
    <w:rsid w:val="00D00059"/>
    <w:rsid w:val="00D00576"/>
    <w:rsid w:val="00D009CE"/>
    <w:rsid w:val="00D02F34"/>
    <w:rsid w:val="00D041A3"/>
    <w:rsid w:val="00D0487F"/>
    <w:rsid w:val="00D04AAB"/>
    <w:rsid w:val="00D05BA6"/>
    <w:rsid w:val="00D07558"/>
    <w:rsid w:val="00D107FA"/>
    <w:rsid w:val="00D11555"/>
    <w:rsid w:val="00D115B5"/>
    <w:rsid w:val="00D12275"/>
    <w:rsid w:val="00D12766"/>
    <w:rsid w:val="00D12AB6"/>
    <w:rsid w:val="00D154E5"/>
    <w:rsid w:val="00D20529"/>
    <w:rsid w:val="00D20E4E"/>
    <w:rsid w:val="00D20FF4"/>
    <w:rsid w:val="00D210A2"/>
    <w:rsid w:val="00D212D8"/>
    <w:rsid w:val="00D21AFB"/>
    <w:rsid w:val="00D22B0E"/>
    <w:rsid w:val="00D22C26"/>
    <w:rsid w:val="00D24D2C"/>
    <w:rsid w:val="00D27163"/>
    <w:rsid w:val="00D271E8"/>
    <w:rsid w:val="00D34B3F"/>
    <w:rsid w:val="00D35881"/>
    <w:rsid w:val="00D36916"/>
    <w:rsid w:val="00D426A5"/>
    <w:rsid w:val="00D442BD"/>
    <w:rsid w:val="00D44A23"/>
    <w:rsid w:val="00D4659D"/>
    <w:rsid w:val="00D479AF"/>
    <w:rsid w:val="00D47F67"/>
    <w:rsid w:val="00D512BD"/>
    <w:rsid w:val="00D55399"/>
    <w:rsid w:val="00D55859"/>
    <w:rsid w:val="00D55F05"/>
    <w:rsid w:val="00D564E9"/>
    <w:rsid w:val="00D606B2"/>
    <w:rsid w:val="00D60FCD"/>
    <w:rsid w:val="00D71E21"/>
    <w:rsid w:val="00D72CD1"/>
    <w:rsid w:val="00D736C3"/>
    <w:rsid w:val="00D73C93"/>
    <w:rsid w:val="00D76573"/>
    <w:rsid w:val="00D805F0"/>
    <w:rsid w:val="00D81427"/>
    <w:rsid w:val="00D83214"/>
    <w:rsid w:val="00D83E21"/>
    <w:rsid w:val="00D8737F"/>
    <w:rsid w:val="00D901A0"/>
    <w:rsid w:val="00D902ED"/>
    <w:rsid w:val="00D920E7"/>
    <w:rsid w:val="00D92E2F"/>
    <w:rsid w:val="00D93B58"/>
    <w:rsid w:val="00D9438B"/>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91E"/>
    <w:rsid w:val="00DC2E43"/>
    <w:rsid w:val="00DC34AC"/>
    <w:rsid w:val="00DC43EA"/>
    <w:rsid w:val="00DC55A3"/>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557E"/>
    <w:rsid w:val="00E1023A"/>
    <w:rsid w:val="00E14995"/>
    <w:rsid w:val="00E1642A"/>
    <w:rsid w:val="00E166B0"/>
    <w:rsid w:val="00E179CD"/>
    <w:rsid w:val="00E20341"/>
    <w:rsid w:val="00E20769"/>
    <w:rsid w:val="00E20F2C"/>
    <w:rsid w:val="00E218E6"/>
    <w:rsid w:val="00E21F92"/>
    <w:rsid w:val="00E23250"/>
    <w:rsid w:val="00E23E8D"/>
    <w:rsid w:val="00E246E3"/>
    <w:rsid w:val="00E252F3"/>
    <w:rsid w:val="00E253EB"/>
    <w:rsid w:val="00E30E9F"/>
    <w:rsid w:val="00E311A3"/>
    <w:rsid w:val="00E37AB4"/>
    <w:rsid w:val="00E37F98"/>
    <w:rsid w:val="00E409BA"/>
    <w:rsid w:val="00E41CDE"/>
    <w:rsid w:val="00E462E7"/>
    <w:rsid w:val="00E46559"/>
    <w:rsid w:val="00E5022C"/>
    <w:rsid w:val="00E62175"/>
    <w:rsid w:val="00E65675"/>
    <w:rsid w:val="00E6670C"/>
    <w:rsid w:val="00E7246D"/>
    <w:rsid w:val="00E7437E"/>
    <w:rsid w:val="00E744B2"/>
    <w:rsid w:val="00E776E8"/>
    <w:rsid w:val="00E80835"/>
    <w:rsid w:val="00E826C5"/>
    <w:rsid w:val="00E83AD7"/>
    <w:rsid w:val="00E869D8"/>
    <w:rsid w:val="00E86AD5"/>
    <w:rsid w:val="00E8720A"/>
    <w:rsid w:val="00E90274"/>
    <w:rsid w:val="00E92C1F"/>
    <w:rsid w:val="00E94DA1"/>
    <w:rsid w:val="00E95D4B"/>
    <w:rsid w:val="00E96E3C"/>
    <w:rsid w:val="00EA02AF"/>
    <w:rsid w:val="00EA20DE"/>
    <w:rsid w:val="00EA3187"/>
    <w:rsid w:val="00EA3C1F"/>
    <w:rsid w:val="00EA4241"/>
    <w:rsid w:val="00EA5176"/>
    <w:rsid w:val="00EA5325"/>
    <w:rsid w:val="00EA6728"/>
    <w:rsid w:val="00EA688A"/>
    <w:rsid w:val="00EA6D0E"/>
    <w:rsid w:val="00EA6E89"/>
    <w:rsid w:val="00EA76B8"/>
    <w:rsid w:val="00EB0D3C"/>
    <w:rsid w:val="00EB0FC5"/>
    <w:rsid w:val="00EB11FE"/>
    <w:rsid w:val="00EB14E3"/>
    <w:rsid w:val="00EB199F"/>
    <w:rsid w:val="00EB4F0F"/>
    <w:rsid w:val="00EC23F7"/>
    <w:rsid w:val="00EC3D88"/>
    <w:rsid w:val="00EC4684"/>
    <w:rsid w:val="00EC4BD8"/>
    <w:rsid w:val="00EC63EB"/>
    <w:rsid w:val="00EC722C"/>
    <w:rsid w:val="00ED23A9"/>
    <w:rsid w:val="00ED25EB"/>
    <w:rsid w:val="00ED3684"/>
    <w:rsid w:val="00ED412F"/>
    <w:rsid w:val="00ED5BD1"/>
    <w:rsid w:val="00ED6466"/>
    <w:rsid w:val="00EE1992"/>
    <w:rsid w:val="00EE20B3"/>
    <w:rsid w:val="00EE3CD8"/>
    <w:rsid w:val="00EE403C"/>
    <w:rsid w:val="00EE60CA"/>
    <w:rsid w:val="00EF0186"/>
    <w:rsid w:val="00EF0B43"/>
    <w:rsid w:val="00EF0E3C"/>
    <w:rsid w:val="00EF36B2"/>
    <w:rsid w:val="00EF3CB9"/>
    <w:rsid w:val="00EF5800"/>
    <w:rsid w:val="00EF5887"/>
    <w:rsid w:val="00EF77F9"/>
    <w:rsid w:val="00F03473"/>
    <w:rsid w:val="00F05B18"/>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8FE"/>
    <w:rsid w:val="00F33AD4"/>
    <w:rsid w:val="00F37796"/>
    <w:rsid w:val="00F41837"/>
    <w:rsid w:val="00F41D75"/>
    <w:rsid w:val="00F4459C"/>
    <w:rsid w:val="00F44A54"/>
    <w:rsid w:val="00F44E34"/>
    <w:rsid w:val="00F508C7"/>
    <w:rsid w:val="00F50AB3"/>
    <w:rsid w:val="00F5139D"/>
    <w:rsid w:val="00F5498A"/>
    <w:rsid w:val="00F55314"/>
    <w:rsid w:val="00F55977"/>
    <w:rsid w:val="00F62F43"/>
    <w:rsid w:val="00F63BED"/>
    <w:rsid w:val="00F63DAC"/>
    <w:rsid w:val="00F64A42"/>
    <w:rsid w:val="00F6677F"/>
    <w:rsid w:val="00F66DA3"/>
    <w:rsid w:val="00F67C40"/>
    <w:rsid w:val="00F71B07"/>
    <w:rsid w:val="00F7454F"/>
    <w:rsid w:val="00F745ED"/>
    <w:rsid w:val="00F74C18"/>
    <w:rsid w:val="00F77511"/>
    <w:rsid w:val="00F77988"/>
    <w:rsid w:val="00F77F48"/>
    <w:rsid w:val="00F80940"/>
    <w:rsid w:val="00F82FD3"/>
    <w:rsid w:val="00F83D68"/>
    <w:rsid w:val="00F846BB"/>
    <w:rsid w:val="00F86CC1"/>
    <w:rsid w:val="00F86EFE"/>
    <w:rsid w:val="00F873D3"/>
    <w:rsid w:val="00F932CC"/>
    <w:rsid w:val="00F9397B"/>
    <w:rsid w:val="00F95719"/>
    <w:rsid w:val="00F96858"/>
    <w:rsid w:val="00FA0FD5"/>
    <w:rsid w:val="00FA694B"/>
    <w:rsid w:val="00FA6DD0"/>
    <w:rsid w:val="00FB2B33"/>
    <w:rsid w:val="00FB30F1"/>
    <w:rsid w:val="00FB331B"/>
    <w:rsid w:val="00FB3580"/>
    <w:rsid w:val="00FB37FF"/>
    <w:rsid w:val="00FB3AD8"/>
    <w:rsid w:val="00FB53E7"/>
    <w:rsid w:val="00FB5BAF"/>
    <w:rsid w:val="00FB62D6"/>
    <w:rsid w:val="00FB69DD"/>
    <w:rsid w:val="00FD2A8A"/>
    <w:rsid w:val="00FD4D57"/>
    <w:rsid w:val="00FD501C"/>
    <w:rsid w:val="00FD5301"/>
    <w:rsid w:val="00FE2265"/>
    <w:rsid w:val="00FE44AC"/>
    <w:rsid w:val="00FE4973"/>
    <w:rsid w:val="00FE4B5F"/>
    <w:rsid w:val="00FE5A2C"/>
    <w:rsid w:val="00FE6FA7"/>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3F86FF-C544-4188-A9E0-2694C212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paragraph" w:styleId="Heading2">
    <w:name w:val="heading 2"/>
    <w:basedOn w:val="Normal"/>
    <w:next w:val="Normal"/>
    <w:link w:val="Heading2Char"/>
    <w:unhideWhenUsed/>
    <w:qFormat/>
    <w:rsid w:val="003C14F1"/>
    <w:pPr>
      <w:keepNext/>
      <w:spacing w:before="240" w:after="60"/>
      <w:jc w:val="both"/>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character" w:customStyle="1" w:styleId="Heading2Char">
    <w:name w:val="Heading 2 Char"/>
    <w:basedOn w:val="DefaultParagraphFont"/>
    <w:link w:val="Heading2"/>
    <w:rsid w:val="003C14F1"/>
    <w:rPr>
      <w:rFonts w:ascii="Cambria"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noteikumu projekts</Kategorija>
    <DKP xmlns="2e5bb04e-596e-45bd-9003-43ca78b1ba16">5</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A809EA1-AD10-4A7C-856E-79D05C11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2526</Words>
  <Characters>1441</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2008.gada 25.marta noteikumos Nr.196 „Noteikumi par pašvaldību aizņēmumiem un galvojumiem””sākotnējās ietekmes novērtējuma ziņojums (anotācija)</vt:lpstr>
      <vt:lpstr>Likumprojekta „Grozījumi Gada pārskatu likumā"</vt:lpstr>
    </vt:vector>
  </TitlesOfParts>
  <Manager>I. Runkovska;FM PFDUFD Finansēšanas nod. vadītāja</Manager>
  <Company>FM</Company>
  <LinksUpToDate>false</LinksUpToDate>
  <CharactersWithSpaces>3960</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25.marta noteikumos Nr.196 „Noteikumi par pašvaldību aizņēmumiem un galvojumiem””sākotnējās ietekmes novērtējuma ziņojums (anotācija)</dc:title>
  <dc:subject>Anotācija</dc:subject>
  <dc:creator>Linda.Ticmane@fm.gov.lv;FM PFDUFD Pašvaldību finansiālās darbības uzraudzības un analīzes nodaļas vadītājas vietniece</dc:creator>
  <dc:description>67095420
Linda.Ticmane@fm.gov.lv</dc:description>
  <cp:lastModifiedBy>Finanšu ministrija</cp:lastModifiedBy>
  <cp:revision>8</cp:revision>
  <cp:lastPrinted>2016-03-16T12:55:00Z</cp:lastPrinted>
  <dcterms:created xsi:type="dcterms:W3CDTF">2016-03-16T12:54:00Z</dcterms:created>
  <dcterms:modified xsi:type="dcterms:W3CDTF">2016-04-13T09:57:00Z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