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165" w:rsidRPr="007C0998" w:rsidRDefault="00957165" w:rsidP="00C438B9">
      <w:pPr>
        <w:pStyle w:val="naisc"/>
        <w:spacing w:before="0" w:after="0"/>
        <w:rPr>
          <w:b/>
          <w:bCs/>
          <w:sz w:val="24"/>
          <w:szCs w:val="24"/>
        </w:rPr>
      </w:pPr>
      <w:r w:rsidRPr="007C0998">
        <w:rPr>
          <w:b/>
          <w:bCs/>
          <w:sz w:val="24"/>
          <w:szCs w:val="24"/>
        </w:rPr>
        <w:t xml:space="preserve">Ministru kabineta </w:t>
      </w:r>
      <w:r w:rsidR="00B922A1" w:rsidRPr="007C0998">
        <w:rPr>
          <w:b/>
          <w:bCs/>
          <w:sz w:val="24"/>
          <w:szCs w:val="24"/>
        </w:rPr>
        <w:t>noteikumu</w:t>
      </w:r>
      <w:r w:rsidRPr="007C0998">
        <w:rPr>
          <w:b/>
          <w:bCs/>
          <w:sz w:val="24"/>
          <w:szCs w:val="24"/>
        </w:rPr>
        <w:t xml:space="preserve"> projekta </w:t>
      </w:r>
    </w:p>
    <w:p w:rsidR="005868A4" w:rsidRPr="007C0998" w:rsidRDefault="00957165" w:rsidP="00F3343F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C0998">
        <w:rPr>
          <w:rFonts w:ascii="Times New Roman" w:hAnsi="Times New Roman"/>
          <w:b/>
          <w:bCs/>
          <w:sz w:val="24"/>
          <w:szCs w:val="24"/>
        </w:rPr>
        <w:t>„</w:t>
      </w:r>
      <w:r w:rsidR="009818ED" w:rsidRPr="007C0998">
        <w:rPr>
          <w:rFonts w:ascii="Times New Roman" w:hAnsi="Times New Roman"/>
          <w:b/>
          <w:bCs/>
          <w:sz w:val="24"/>
          <w:szCs w:val="24"/>
        </w:rPr>
        <w:t>Profesionālo kvalifikāciju saraksts, kuras iegūstot kārtojami centralizētie profesionālās kvalifikācijas eksāmeni</w:t>
      </w:r>
      <w:r w:rsidR="00F3343F" w:rsidRPr="007C0998">
        <w:rPr>
          <w:rFonts w:ascii="Times New Roman" w:hAnsi="Times New Roman"/>
          <w:b/>
          <w:bCs/>
          <w:sz w:val="24"/>
          <w:szCs w:val="24"/>
        </w:rPr>
        <w:t>”</w:t>
      </w:r>
    </w:p>
    <w:p w:rsidR="005868A4" w:rsidRPr="007C0998" w:rsidRDefault="00957165" w:rsidP="00F3343F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 w:rsidRPr="007C0998">
        <w:rPr>
          <w:rFonts w:ascii="Times New Roman" w:hAnsi="Times New Roman"/>
          <w:b/>
          <w:sz w:val="24"/>
          <w:szCs w:val="24"/>
        </w:rPr>
        <w:t>sākotnējās ietekmes novērtējuma ziņojums</w:t>
      </w:r>
    </w:p>
    <w:p w:rsidR="00957165" w:rsidRPr="007C0998" w:rsidRDefault="00957165" w:rsidP="00F3343F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 w:rsidRPr="007C0998">
        <w:rPr>
          <w:rFonts w:ascii="Times New Roman" w:hAnsi="Times New Roman"/>
          <w:b/>
          <w:sz w:val="24"/>
          <w:szCs w:val="24"/>
        </w:rPr>
        <w:t>(anotācija)</w:t>
      </w:r>
    </w:p>
    <w:p w:rsidR="00957165" w:rsidRPr="007C0998" w:rsidRDefault="00957165" w:rsidP="00957165">
      <w:pPr>
        <w:pStyle w:val="naisc"/>
        <w:spacing w:before="0" w:after="0"/>
        <w:rPr>
          <w:b/>
          <w:bCs/>
          <w:sz w:val="24"/>
          <w:szCs w:val="24"/>
        </w:rPr>
      </w:pPr>
    </w:p>
    <w:p w:rsidR="00F44C86" w:rsidRPr="007C0998" w:rsidRDefault="00F44C86" w:rsidP="00F44C86"/>
    <w:tbl>
      <w:tblPr>
        <w:tblStyle w:val="TableGrid"/>
        <w:tblW w:w="9640" w:type="dxa"/>
        <w:tblLook w:val="04A0" w:firstRow="1" w:lastRow="0" w:firstColumn="1" w:lastColumn="0" w:noHBand="0" w:noVBand="1"/>
      </w:tblPr>
      <w:tblGrid>
        <w:gridCol w:w="552"/>
        <w:gridCol w:w="3271"/>
        <w:gridCol w:w="5817"/>
      </w:tblGrid>
      <w:tr w:rsidR="009D1F13" w:rsidRPr="007C0998" w:rsidTr="00C81364">
        <w:tc>
          <w:tcPr>
            <w:tcW w:w="9640" w:type="dxa"/>
            <w:gridSpan w:val="3"/>
          </w:tcPr>
          <w:p w:rsidR="00F44C86" w:rsidRPr="007C0998" w:rsidRDefault="00F44C86" w:rsidP="00234BCE">
            <w:pPr>
              <w:spacing w:before="68" w:after="68"/>
              <w:jc w:val="center"/>
            </w:pPr>
            <w:r w:rsidRPr="007C0998">
              <w:rPr>
                <w:b/>
                <w:bCs/>
              </w:rPr>
              <w:t> I. Tiesību akta projekta izstrādes nepieciešamība</w:t>
            </w:r>
          </w:p>
        </w:tc>
      </w:tr>
      <w:tr w:rsidR="009D1F13" w:rsidRPr="007C0998" w:rsidTr="00C81364">
        <w:trPr>
          <w:trHeight w:val="630"/>
        </w:trPr>
        <w:tc>
          <w:tcPr>
            <w:tcW w:w="552" w:type="dxa"/>
          </w:tcPr>
          <w:p w:rsidR="00F44C86" w:rsidRPr="007C0998" w:rsidRDefault="00F44C86" w:rsidP="00234BCE">
            <w:pPr>
              <w:spacing w:before="68" w:after="68"/>
            </w:pPr>
            <w:r w:rsidRPr="007C0998">
              <w:t> 1.</w:t>
            </w:r>
          </w:p>
        </w:tc>
        <w:tc>
          <w:tcPr>
            <w:tcW w:w="3271" w:type="dxa"/>
          </w:tcPr>
          <w:p w:rsidR="00F44C86" w:rsidRPr="007C0998" w:rsidRDefault="00F44C86" w:rsidP="00234BCE">
            <w:pPr>
              <w:spacing w:before="68" w:after="68"/>
            </w:pPr>
            <w:r w:rsidRPr="007C0998">
              <w:t>Pamatojums</w:t>
            </w:r>
          </w:p>
        </w:tc>
        <w:tc>
          <w:tcPr>
            <w:tcW w:w="5817" w:type="dxa"/>
          </w:tcPr>
          <w:p w:rsidR="00F44C86" w:rsidRPr="007C0998" w:rsidRDefault="00F44C86" w:rsidP="00A71A1F">
            <w:pPr>
              <w:ind w:left="132"/>
              <w:jc w:val="both"/>
            </w:pPr>
            <w:r w:rsidRPr="007C0998">
              <w:t xml:space="preserve">Ministru kabineta </w:t>
            </w:r>
            <w:r w:rsidR="00F77CD5" w:rsidRPr="007C0998">
              <w:t>noteikumu</w:t>
            </w:r>
            <w:r w:rsidRPr="007C0998">
              <w:t xml:space="preserve"> projekts </w:t>
            </w:r>
            <w:r w:rsidR="005868A4" w:rsidRPr="007C0998">
              <w:rPr>
                <w:bCs/>
              </w:rPr>
              <w:t xml:space="preserve">„Profesionālo kvalifikāciju saraksts, kuras iegūstot kārtojami centralizētie profesionālās kvalifikācijas eksāmeni” </w:t>
            </w:r>
            <w:r w:rsidRPr="007C0998">
              <w:t xml:space="preserve">(turpmāk – </w:t>
            </w:r>
            <w:r w:rsidR="00A46086" w:rsidRPr="007C0998">
              <w:t>Projekts</w:t>
            </w:r>
            <w:r w:rsidRPr="007C0998">
              <w:t>) izstrādāts saskaņā</w:t>
            </w:r>
            <w:r w:rsidR="00FC0005" w:rsidRPr="007C0998">
              <w:t xml:space="preserve"> </w:t>
            </w:r>
            <w:r w:rsidR="004D1AF5" w:rsidRPr="007C0998">
              <w:t>ar</w:t>
            </w:r>
            <w:r w:rsidR="00906F01" w:rsidRPr="007C0998">
              <w:t xml:space="preserve"> </w:t>
            </w:r>
            <w:r w:rsidR="005D1593" w:rsidRPr="007C0998">
              <w:t>Profesionālās izglītības</w:t>
            </w:r>
            <w:r w:rsidR="00F3343F" w:rsidRPr="007C0998">
              <w:t xml:space="preserve"> likuma </w:t>
            </w:r>
            <w:r w:rsidR="005D1593" w:rsidRPr="007C0998">
              <w:t>29.</w:t>
            </w:r>
            <w:r w:rsidR="00A71A1F" w:rsidRPr="007C0998">
              <w:t> </w:t>
            </w:r>
            <w:r w:rsidR="005D1593" w:rsidRPr="007C0998">
              <w:t>p</w:t>
            </w:r>
            <w:r w:rsidR="004B076E" w:rsidRPr="007C0998">
              <w:t xml:space="preserve">anta </w:t>
            </w:r>
            <w:r w:rsidR="00A71A1F" w:rsidRPr="007C0998">
              <w:t xml:space="preserve">trešo </w:t>
            </w:r>
            <w:r w:rsidR="004505F7" w:rsidRPr="007C0998">
              <w:t>daļu</w:t>
            </w:r>
            <w:r w:rsidR="006E630B" w:rsidRPr="007C0998">
              <w:t>,</w:t>
            </w:r>
            <w:r w:rsidR="004B076E" w:rsidRPr="007C0998">
              <w:t xml:space="preserve"> kas nosaka, ka </w:t>
            </w:r>
            <w:r w:rsidR="005D1593" w:rsidRPr="007C0998">
              <w:t xml:space="preserve">Ministru kabinets </w:t>
            </w:r>
            <w:r w:rsidR="00D05EB6" w:rsidRPr="007C0998">
              <w:t xml:space="preserve">apstiprina </w:t>
            </w:r>
            <w:r w:rsidR="00D05EB6" w:rsidRPr="007C0998">
              <w:rPr>
                <w:bCs/>
              </w:rPr>
              <w:t>profesionālo kvalifikāciju sarakstu, kuras iegūstot kārtojami centralizētie profesionālās kvalifikācijas eksāmeni</w:t>
            </w:r>
            <w:r w:rsidR="004D1AF5" w:rsidRPr="007C0998">
              <w:t xml:space="preserve"> </w:t>
            </w:r>
            <w:r w:rsidR="00BA1ED1" w:rsidRPr="007C0998">
              <w:t>(turpmāk – centralizētais eksāmens)</w:t>
            </w:r>
            <w:r w:rsidR="00F3343F" w:rsidRPr="007C0998">
              <w:t>.</w:t>
            </w:r>
          </w:p>
        </w:tc>
      </w:tr>
      <w:tr w:rsidR="009D1F13" w:rsidRPr="007C0998" w:rsidTr="00C81364">
        <w:trPr>
          <w:trHeight w:val="472"/>
        </w:trPr>
        <w:tc>
          <w:tcPr>
            <w:tcW w:w="552" w:type="dxa"/>
          </w:tcPr>
          <w:p w:rsidR="00F44C86" w:rsidRPr="007C0998" w:rsidRDefault="00F44C86" w:rsidP="00234BCE">
            <w:pPr>
              <w:spacing w:before="68" w:after="68"/>
            </w:pPr>
            <w:r w:rsidRPr="007C0998">
              <w:t> 2.</w:t>
            </w:r>
          </w:p>
        </w:tc>
        <w:tc>
          <w:tcPr>
            <w:tcW w:w="3271" w:type="dxa"/>
          </w:tcPr>
          <w:p w:rsidR="00F44C86" w:rsidRPr="007C0998" w:rsidRDefault="00F44C86" w:rsidP="00234BCE">
            <w:pPr>
              <w:spacing w:before="68" w:after="68"/>
            </w:pPr>
            <w:r w:rsidRPr="007C0998">
              <w:t>Pašreizējā situācija un problēmas</w:t>
            </w:r>
            <w:r w:rsidR="00166EDB" w:rsidRPr="007C0998">
              <w:t>, kuru risināšanai tiesību akta projekts izstrādāts, tiesiskā regulējuma mērķis un būtība</w:t>
            </w:r>
          </w:p>
        </w:tc>
        <w:tc>
          <w:tcPr>
            <w:tcW w:w="5817" w:type="dxa"/>
          </w:tcPr>
          <w:p w:rsidR="004364F7" w:rsidRPr="007C0998" w:rsidRDefault="00B57C14" w:rsidP="00987FC6">
            <w:pPr>
              <w:ind w:left="132"/>
              <w:jc w:val="both"/>
            </w:pPr>
            <w:r w:rsidRPr="007C0998">
              <w:t xml:space="preserve">Ministru kabineta </w:t>
            </w:r>
            <w:proofErr w:type="gramStart"/>
            <w:r w:rsidR="004364F7" w:rsidRPr="007C0998">
              <w:t>2013.gada</w:t>
            </w:r>
            <w:proofErr w:type="gramEnd"/>
            <w:r w:rsidR="004364F7" w:rsidRPr="007C0998">
              <w:t xml:space="preserve"> 10.decembra noteikum</w:t>
            </w:r>
            <w:r w:rsidR="00166EDB" w:rsidRPr="007C0998">
              <w:t>os</w:t>
            </w:r>
            <w:r w:rsidR="004364F7" w:rsidRPr="007C0998">
              <w:t xml:space="preserve">  Nr.1412 </w:t>
            </w:r>
            <w:r w:rsidR="004364F7" w:rsidRPr="007C0998">
              <w:rPr>
                <w:bCs/>
              </w:rPr>
              <w:t>„Profesionālo kvalifikāciju saraksts, kuras iegūstot kārtojami centralizētie profesionālās kvalifikācijas eksāmeni”</w:t>
            </w:r>
            <w:r w:rsidR="00BA1ED1" w:rsidRPr="007C0998">
              <w:rPr>
                <w:bCs/>
              </w:rPr>
              <w:t xml:space="preserve"> (turpmāk – MK noteikumi Nr.</w:t>
            </w:r>
            <w:r w:rsidR="00110BD9" w:rsidRPr="007C0998">
              <w:rPr>
                <w:bCs/>
              </w:rPr>
              <w:t>1412</w:t>
            </w:r>
            <w:r w:rsidR="00BA1ED1" w:rsidRPr="007C0998">
              <w:rPr>
                <w:bCs/>
              </w:rPr>
              <w:t>)</w:t>
            </w:r>
            <w:r w:rsidRPr="007C0998">
              <w:rPr>
                <w:bCs/>
              </w:rPr>
              <w:t>, sarakstā  iekļautas tās p</w:t>
            </w:r>
            <w:r w:rsidRPr="007C0998">
              <w:t xml:space="preserve">rofesionālās kvalifikācijas, kuru izglītības programmas īstenoja un profesionālās kvalifikācijas eksāmenus </w:t>
            </w:r>
            <w:r w:rsidR="00BA1ED1" w:rsidRPr="007C0998">
              <w:t>(turpmāk –</w:t>
            </w:r>
            <w:r w:rsidR="00166EDB" w:rsidRPr="007C0998">
              <w:t xml:space="preserve"> </w:t>
            </w:r>
            <w:r w:rsidR="00BA1ED1" w:rsidRPr="007C0998">
              <w:t>eksāmens)</w:t>
            </w:r>
            <w:r w:rsidR="00946B73" w:rsidRPr="007C0998">
              <w:t xml:space="preserve"> arodizglītības un profesionālās vidējās izglītības programmās</w:t>
            </w:r>
            <w:r w:rsidR="00BA1ED1" w:rsidRPr="007C0998">
              <w:t xml:space="preserve"> </w:t>
            </w:r>
            <w:r w:rsidRPr="007C0998">
              <w:t>organizēja vairāk kā viena pr</w:t>
            </w:r>
            <w:r w:rsidR="004364F7" w:rsidRPr="007C0998">
              <w:t>ofesionālās izglītības iestāde.</w:t>
            </w:r>
          </w:p>
          <w:p w:rsidR="00980A6B" w:rsidRPr="007C0998" w:rsidRDefault="00B57C14" w:rsidP="00987FC6">
            <w:pPr>
              <w:ind w:left="132"/>
              <w:jc w:val="both"/>
              <w:rPr>
                <w:i/>
              </w:rPr>
            </w:pPr>
            <w:r w:rsidRPr="007C0998">
              <w:t xml:space="preserve">Ir identificētas </w:t>
            </w:r>
            <w:r w:rsidR="004364F7" w:rsidRPr="007C0998">
              <w:t xml:space="preserve">tās </w:t>
            </w:r>
            <w:r w:rsidRPr="007C0998">
              <w:t xml:space="preserve">profesionālās kvalifikācijas, kurās </w:t>
            </w:r>
            <w:r w:rsidR="004364F7" w:rsidRPr="007C0998">
              <w:t>turpmākajos mācību gados (</w:t>
            </w:r>
            <w:r w:rsidRPr="007C0998">
              <w:t>201</w:t>
            </w:r>
            <w:r w:rsidR="004364F7" w:rsidRPr="007C0998">
              <w:t>6</w:t>
            </w:r>
            <w:r w:rsidRPr="007C0998">
              <w:t>./201</w:t>
            </w:r>
            <w:r w:rsidR="004364F7" w:rsidRPr="007C0998">
              <w:t>7</w:t>
            </w:r>
            <w:r w:rsidR="00110BD9" w:rsidRPr="007C0998">
              <w:t>.</w:t>
            </w:r>
            <w:r w:rsidRPr="007C0998">
              <w:t>mācību gadā</w:t>
            </w:r>
            <w:r w:rsidR="004364F7" w:rsidRPr="007C0998">
              <w:t xml:space="preserve"> un 2017./2018.mācību gadā)</w:t>
            </w:r>
            <w:r w:rsidRPr="007C0998">
              <w:t xml:space="preserve"> eksāmeni tiks organizēti </w:t>
            </w:r>
            <w:r w:rsidR="004364F7" w:rsidRPr="007C0998">
              <w:t>vairākās (</w:t>
            </w:r>
            <w:r w:rsidR="004364F7" w:rsidRPr="007C0998">
              <w:rPr>
                <w:i/>
              </w:rPr>
              <w:t>divās vai vairāk)</w:t>
            </w:r>
            <w:r w:rsidR="004C5C7C" w:rsidRPr="007C0998">
              <w:t xml:space="preserve"> </w:t>
            </w:r>
            <w:r w:rsidRPr="007C0998">
              <w:t>profesionālās izglītības iestādēs</w:t>
            </w:r>
            <w:r w:rsidR="004364F7" w:rsidRPr="007C0998">
              <w:t>, bet kuras n</w:t>
            </w:r>
            <w:r w:rsidR="00110BD9" w:rsidRPr="007C0998">
              <w:t>av</w:t>
            </w:r>
            <w:r w:rsidR="004364F7" w:rsidRPr="007C0998">
              <w:t xml:space="preserve"> iekļautas</w:t>
            </w:r>
            <w:r w:rsidR="00110BD9" w:rsidRPr="007C0998">
              <w:t xml:space="preserve"> MK noteikumos Nr.1412</w:t>
            </w:r>
            <w:r w:rsidR="00D878B1" w:rsidRPr="007C0998">
              <w:t>. Tās ir šādas profesionālās kvalifikācijas: “Datorizētās ciparu vadības (CNC) metālapstrādes darbgaldu iestatītājs”, “Drēbnieks”, “Ekotūrisma speciālists”,</w:t>
            </w:r>
            <w:r w:rsidR="009D1F13" w:rsidRPr="007C0998">
              <w:t xml:space="preserve"> </w:t>
            </w:r>
            <w:r w:rsidR="00D878B1" w:rsidRPr="007C0998">
              <w:t xml:space="preserve">“Finanšu darbinieks”, “Inženierkomunikāciju tehniķis”, “Manikīra un pedikīra speciālists”, “Mašīnbūves tehniķis”, “Restorānu pakalpojumu speciālists”, “SPA speciālists”, “Tūristu grupas pavadonis”, “Vizuālā tēla stilists”. </w:t>
            </w:r>
            <w:r w:rsidRPr="007C0998">
              <w:t xml:space="preserve">Lai nodrošinātu </w:t>
            </w:r>
            <w:r w:rsidR="004364F7" w:rsidRPr="007C0998">
              <w:t>š</w:t>
            </w:r>
            <w:r w:rsidR="00BA1ED1" w:rsidRPr="007C0998">
              <w:t>iem</w:t>
            </w:r>
            <w:r w:rsidR="004364F7" w:rsidRPr="007C0998">
              <w:t xml:space="preserve"> eksāmeniem</w:t>
            </w:r>
            <w:r w:rsidR="00BA1ED1" w:rsidRPr="007C0998">
              <w:t xml:space="preserve"> vienotu eksāmena</w:t>
            </w:r>
            <w:r w:rsidR="00D878B1" w:rsidRPr="007C0998">
              <w:t xml:space="preserve"> </w:t>
            </w:r>
            <w:r w:rsidR="00BA1ED1" w:rsidRPr="007C0998">
              <w:t xml:space="preserve">programmu, saturu un vērtēšanas kritērijus, nepieciešams šos dokumentus izstrādāt centralizēti un arī centralizēti noteikt eksāmena teorētiskās daļas norises datumu un laiku. </w:t>
            </w:r>
            <w:r w:rsidR="00110BD9" w:rsidRPr="007C0998">
              <w:t xml:space="preserve">Tātad, </w:t>
            </w:r>
            <w:r w:rsidR="004C5C7C" w:rsidRPr="007C0998">
              <w:t xml:space="preserve">nepieciešams šīs profesionālās kvalifikācijas </w:t>
            </w:r>
            <w:r w:rsidR="00110BD9" w:rsidRPr="007C0998">
              <w:t>iekļaut centralizēto eksāmenu sarakstā</w:t>
            </w:r>
            <w:r w:rsidR="004C5C7C" w:rsidRPr="007C0998">
              <w:t>.</w:t>
            </w:r>
          </w:p>
          <w:p w:rsidR="00BA1ED1" w:rsidRPr="007C0998" w:rsidRDefault="00D878B1" w:rsidP="009D1F13">
            <w:pPr>
              <w:ind w:left="132"/>
              <w:jc w:val="both"/>
              <w:rPr>
                <w:i/>
              </w:rPr>
            </w:pPr>
            <w:r w:rsidRPr="007C0998">
              <w:t>Savukārt, v</w:t>
            </w:r>
            <w:r w:rsidR="00110BD9" w:rsidRPr="007C0998">
              <w:t xml:space="preserve">airākām profesionālajām kvalifikācijām, kuras iekļautas </w:t>
            </w:r>
            <w:r w:rsidR="00110BD9" w:rsidRPr="007C0998">
              <w:rPr>
                <w:bCs/>
              </w:rPr>
              <w:t xml:space="preserve">MK noteikumos Nr.1412 vairs nav nozīmes organizēt centralizētos eksāmenus, jo tās vairs </w:t>
            </w:r>
            <w:r w:rsidR="00110BD9" w:rsidRPr="007C0998">
              <w:rPr>
                <w:bCs/>
                <w:u w:val="single"/>
              </w:rPr>
              <w:t xml:space="preserve">neapgūst </w:t>
            </w:r>
            <w:r w:rsidRPr="007C0998">
              <w:rPr>
                <w:bCs/>
                <w:u w:val="single"/>
              </w:rPr>
              <w:t>vispār vai apgūst tikai vienā</w:t>
            </w:r>
            <w:r w:rsidR="00110BD9" w:rsidRPr="007C0998">
              <w:rPr>
                <w:bCs/>
                <w:u w:val="single"/>
              </w:rPr>
              <w:t xml:space="preserve"> izglītības iestādē</w:t>
            </w:r>
            <w:r w:rsidRPr="007C0998">
              <w:rPr>
                <w:bCs/>
              </w:rPr>
              <w:t xml:space="preserve">. </w:t>
            </w:r>
            <w:r w:rsidRPr="007C0998">
              <w:lastRenderedPageBreak/>
              <w:t>Tās ir šādas profesionālās kvalifikācijas: “Apdares darbu strādnieks”, “Aprūpētājs”, “</w:t>
            </w:r>
            <w:proofErr w:type="spellStart"/>
            <w:r w:rsidRPr="007C0998">
              <w:t>Būvtehniķis</w:t>
            </w:r>
            <w:proofErr w:type="spellEnd"/>
            <w:r w:rsidRPr="007C0998">
              <w:t xml:space="preserve">”, “Ciparu programmas vadības darbgaldu iestatītājs”, “Dzelzceļa transporta automātikas, telemehānikas </w:t>
            </w:r>
            <w:r w:rsidRPr="007C0998">
              <w:rPr>
                <w:bCs/>
              </w:rPr>
              <w:t>un komunikāciju tehniķis”, “Elektromontieris”,</w:t>
            </w:r>
            <w:r w:rsidR="00ED2155" w:rsidRPr="007C0998">
              <w:rPr>
                <w:bCs/>
              </w:rPr>
              <w:t xml:space="preserve"> “Ēku inženiertīklu tehniķis”,</w:t>
            </w:r>
            <w:r w:rsidRPr="007C0998">
              <w:rPr>
                <w:bCs/>
              </w:rPr>
              <w:t xml:space="preserve"> “</w:t>
            </w:r>
            <w:proofErr w:type="spellStart"/>
            <w:r w:rsidRPr="007C0998">
              <w:rPr>
                <w:bCs/>
              </w:rPr>
              <w:t>Gāzmetinātājs</w:t>
            </w:r>
            <w:proofErr w:type="spellEnd"/>
            <w:r w:rsidRPr="007C0998">
              <w:rPr>
                <w:bCs/>
              </w:rPr>
              <w:t xml:space="preserve"> (OAW)”, “Lauku tūrisma speciālists”, “Rūpniecības </w:t>
            </w:r>
            <w:proofErr w:type="spellStart"/>
            <w:r w:rsidRPr="007C0998">
              <w:rPr>
                <w:bCs/>
              </w:rPr>
              <w:t>komercdarbinieks</w:t>
            </w:r>
            <w:proofErr w:type="spellEnd"/>
            <w:r w:rsidRPr="007C0998">
              <w:rPr>
                <w:bCs/>
              </w:rPr>
              <w:t xml:space="preserve">”, “Sanitārtehnisko iekārtu montētājs”, “Sardzes stūrmanis uz kuģiem, mazākiem par 500 BT, piekrastes kuģošanā”, “Sekretārs”, “Tūrisma pakalpojumu </w:t>
            </w:r>
            <w:proofErr w:type="spellStart"/>
            <w:r w:rsidRPr="007C0998">
              <w:rPr>
                <w:bCs/>
              </w:rPr>
              <w:t>komercdarbinieks</w:t>
            </w:r>
            <w:proofErr w:type="spellEnd"/>
            <w:r w:rsidRPr="007C0998">
              <w:rPr>
                <w:bCs/>
              </w:rPr>
              <w:t>”,</w:t>
            </w:r>
            <w:r w:rsidR="009D1F13" w:rsidRPr="007C0998">
              <w:rPr>
                <w:bCs/>
              </w:rPr>
              <w:t xml:space="preserve"> </w:t>
            </w:r>
            <w:r w:rsidRPr="007C0998">
              <w:rPr>
                <w:bCs/>
              </w:rPr>
              <w:t>“Virpotājs”.</w:t>
            </w:r>
          </w:p>
        </w:tc>
      </w:tr>
      <w:tr w:rsidR="009D1F13" w:rsidRPr="007C0998" w:rsidTr="00C81364">
        <w:trPr>
          <w:trHeight w:val="476"/>
        </w:trPr>
        <w:tc>
          <w:tcPr>
            <w:tcW w:w="552" w:type="dxa"/>
          </w:tcPr>
          <w:p w:rsidR="00F44C86" w:rsidRPr="007C0998" w:rsidRDefault="00F44C86" w:rsidP="00166EDB">
            <w:pPr>
              <w:spacing w:before="68" w:after="68"/>
            </w:pPr>
            <w:r w:rsidRPr="007C0998">
              <w:lastRenderedPageBreak/>
              <w:t> </w:t>
            </w:r>
            <w:r w:rsidR="00166EDB" w:rsidRPr="007C0998">
              <w:t>3</w:t>
            </w:r>
            <w:r w:rsidRPr="007C0998">
              <w:t>.</w:t>
            </w:r>
          </w:p>
        </w:tc>
        <w:tc>
          <w:tcPr>
            <w:tcW w:w="3271" w:type="dxa"/>
          </w:tcPr>
          <w:p w:rsidR="00F44C86" w:rsidRPr="007C0998" w:rsidRDefault="00F44C86" w:rsidP="00234BCE">
            <w:pPr>
              <w:spacing w:before="68" w:after="68"/>
            </w:pPr>
            <w:r w:rsidRPr="007C0998">
              <w:t>Projekta izstrādē iesaistītās institūcijas</w:t>
            </w:r>
          </w:p>
        </w:tc>
        <w:tc>
          <w:tcPr>
            <w:tcW w:w="5817" w:type="dxa"/>
          </w:tcPr>
          <w:p w:rsidR="00F44C86" w:rsidRPr="007C0998" w:rsidRDefault="009D0B21" w:rsidP="005F63F9">
            <w:pPr>
              <w:tabs>
                <w:tab w:val="left" w:pos="0"/>
              </w:tabs>
              <w:spacing w:before="68" w:after="68"/>
            </w:pPr>
            <w:r w:rsidRPr="007C0998">
              <w:t>Nav attiecināms.</w:t>
            </w:r>
          </w:p>
        </w:tc>
      </w:tr>
      <w:tr w:rsidR="009D1F13" w:rsidRPr="007C0998" w:rsidTr="00C81364">
        <w:tc>
          <w:tcPr>
            <w:tcW w:w="552" w:type="dxa"/>
          </w:tcPr>
          <w:p w:rsidR="00F44C86" w:rsidRPr="007C0998" w:rsidRDefault="00F44C86" w:rsidP="00166EDB">
            <w:pPr>
              <w:spacing w:before="68" w:after="68"/>
            </w:pPr>
            <w:r w:rsidRPr="007C0998">
              <w:t> </w:t>
            </w:r>
            <w:r w:rsidR="00166EDB" w:rsidRPr="007C0998">
              <w:t>4</w:t>
            </w:r>
            <w:r w:rsidRPr="007C0998">
              <w:t>.</w:t>
            </w:r>
          </w:p>
        </w:tc>
        <w:tc>
          <w:tcPr>
            <w:tcW w:w="3271" w:type="dxa"/>
          </w:tcPr>
          <w:p w:rsidR="00F44C86" w:rsidRPr="007C0998" w:rsidRDefault="00F44C86" w:rsidP="00234BCE">
            <w:pPr>
              <w:spacing w:before="68" w:after="68"/>
            </w:pPr>
            <w:r w:rsidRPr="007C0998">
              <w:t>Cita informācija</w:t>
            </w:r>
          </w:p>
        </w:tc>
        <w:tc>
          <w:tcPr>
            <w:tcW w:w="5817" w:type="dxa"/>
          </w:tcPr>
          <w:p w:rsidR="00F44C86" w:rsidRPr="007C0998" w:rsidRDefault="00166EDB" w:rsidP="00234BCE">
            <w:pPr>
              <w:spacing w:before="68" w:after="68"/>
            </w:pPr>
            <w:r w:rsidRPr="007C0998">
              <w:t>Nav</w:t>
            </w:r>
            <w:r w:rsidR="009D0B21" w:rsidRPr="007C0998">
              <w:t>.</w:t>
            </w:r>
          </w:p>
        </w:tc>
      </w:tr>
    </w:tbl>
    <w:p w:rsidR="00493245" w:rsidRPr="007C0998" w:rsidRDefault="00493245" w:rsidP="00F44C86">
      <w:pPr>
        <w:jc w:val="center"/>
      </w:pPr>
    </w:p>
    <w:tbl>
      <w:tblPr>
        <w:tblStyle w:val="TableGrid"/>
        <w:tblpPr w:leftFromText="180" w:rightFromText="180" w:vertAnchor="text" w:horzAnchor="margin" w:tblpY="89"/>
        <w:tblW w:w="9606" w:type="dxa"/>
        <w:tblLook w:val="0000" w:firstRow="0" w:lastRow="0" w:firstColumn="0" w:lastColumn="0" w:noHBand="0" w:noVBand="0"/>
      </w:tblPr>
      <w:tblGrid>
        <w:gridCol w:w="396"/>
        <w:gridCol w:w="3219"/>
        <w:gridCol w:w="5991"/>
      </w:tblGrid>
      <w:tr w:rsidR="00C03102" w:rsidRPr="007C0998" w:rsidTr="00C81364">
        <w:tc>
          <w:tcPr>
            <w:tcW w:w="9606" w:type="dxa"/>
            <w:gridSpan w:val="3"/>
          </w:tcPr>
          <w:p w:rsidR="00442F97" w:rsidRPr="007C0998" w:rsidRDefault="00C03102" w:rsidP="00C81364">
            <w:pPr>
              <w:pStyle w:val="naisnod"/>
            </w:pPr>
            <w:r w:rsidRPr="007C0998">
              <w:t>II</w:t>
            </w:r>
            <w:r w:rsidR="00AE3CB8" w:rsidRPr="007C0998">
              <w:t>.</w:t>
            </w:r>
            <w:r w:rsidRPr="007C0998">
              <w:t xml:space="preserve"> Tiesību akta projekta ietekme uz sabiedrību</w:t>
            </w:r>
            <w:r w:rsidR="00AE3CB8" w:rsidRPr="007C0998">
              <w:t xml:space="preserve">, </w:t>
            </w:r>
          </w:p>
          <w:p w:rsidR="00C03102" w:rsidRPr="007C0998" w:rsidRDefault="00AE3CB8" w:rsidP="00C81364">
            <w:pPr>
              <w:pStyle w:val="naisnod"/>
            </w:pPr>
            <w:r w:rsidRPr="007C0998">
              <w:t>tautsaimniecības attīstību un administratīvo</w:t>
            </w:r>
            <w:r w:rsidR="00DA1D32" w:rsidRPr="007C0998">
              <w:t xml:space="preserve"> slogu</w:t>
            </w:r>
          </w:p>
        </w:tc>
      </w:tr>
      <w:tr w:rsidR="00C03102" w:rsidRPr="007C0998" w:rsidTr="00C81364">
        <w:trPr>
          <w:trHeight w:val="467"/>
        </w:trPr>
        <w:tc>
          <w:tcPr>
            <w:tcW w:w="396" w:type="dxa"/>
          </w:tcPr>
          <w:p w:rsidR="00C03102" w:rsidRPr="007C0998" w:rsidRDefault="00C03102" w:rsidP="00C81364">
            <w:pPr>
              <w:pStyle w:val="naiskr"/>
              <w:spacing w:after="0"/>
              <w:ind w:left="181" w:hanging="181"/>
              <w:jc w:val="center"/>
            </w:pPr>
            <w:r w:rsidRPr="007C0998">
              <w:t>1.</w:t>
            </w:r>
          </w:p>
        </w:tc>
        <w:tc>
          <w:tcPr>
            <w:tcW w:w="3219" w:type="dxa"/>
          </w:tcPr>
          <w:p w:rsidR="00C03102" w:rsidRPr="007C0998" w:rsidRDefault="00DA1D32" w:rsidP="00C81364">
            <w:pPr>
              <w:pStyle w:val="naiskr"/>
              <w:spacing w:after="0"/>
              <w:ind w:left="170"/>
            </w:pPr>
            <w:r w:rsidRPr="007C0998">
              <w:t>Sabiedrības mērķgrupas, kuras tiesiskais regulējums ietekmē vai varētu ietekmēt</w:t>
            </w:r>
          </w:p>
        </w:tc>
        <w:tc>
          <w:tcPr>
            <w:tcW w:w="5991" w:type="dxa"/>
          </w:tcPr>
          <w:p w:rsidR="00C03102" w:rsidRPr="007C0998" w:rsidRDefault="00FF37AC" w:rsidP="00C81364">
            <w:pPr>
              <w:pStyle w:val="naiskr"/>
              <w:jc w:val="both"/>
              <w:rPr>
                <w:i/>
                <w:highlight w:val="yellow"/>
              </w:rPr>
            </w:pPr>
            <w:r w:rsidRPr="007C0998">
              <w:rPr>
                <w:iCs/>
              </w:rPr>
              <w:t>87</w:t>
            </w:r>
            <w:r w:rsidR="006B1924" w:rsidRPr="007C0998">
              <w:rPr>
                <w:iCs/>
              </w:rPr>
              <w:t xml:space="preserve"> </w:t>
            </w:r>
            <w:r w:rsidR="00C03102" w:rsidRPr="007C0998">
              <w:rPr>
                <w:iCs/>
              </w:rPr>
              <w:t>profesionālās izglītības iestādes</w:t>
            </w:r>
            <w:r w:rsidR="006B1924" w:rsidRPr="007C0998">
              <w:rPr>
                <w:iCs/>
              </w:rPr>
              <w:t xml:space="preserve"> un aptuveni </w:t>
            </w:r>
            <w:r w:rsidRPr="007C0998">
              <w:rPr>
                <w:iCs/>
              </w:rPr>
              <w:t>10</w:t>
            </w:r>
            <w:r w:rsidR="006B1924" w:rsidRPr="007C0998">
              <w:rPr>
                <w:iCs/>
              </w:rPr>
              <w:t>000 izglītojamie</w:t>
            </w:r>
            <w:r w:rsidR="00C03102" w:rsidRPr="007C0998">
              <w:rPr>
                <w:iCs/>
              </w:rPr>
              <w:t>.</w:t>
            </w:r>
          </w:p>
        </w:tc>
      </w:tr>
      <w:tr w:rsidR="00C03102" w:rsidRPr="007C0998" w:rsidTr="00C81364">
        <w:trPr>
          <w:trHeight w:val="523"/>
        </w:trPr>
        <w:tc>
          <w:tcPr>
            <w:tcW w:w="396" w:type="dxa"/>
          </w:tcPr>
          <w:p w:rsidR="00C03102" w:rsidRPr="007C0998" w:rsidRDefault="00C03102" w:rsidP="00C81364">
            <w:pPr>
              <w:pStyle w:val="naiskr"/>
              <w:jc w:val="center"/>
            </w:pPr>
            <w:r w:rsidRPr="007C0998">
              <w:t>2.</w:t>
            </w:r>
          </w:p>
        </w:tc>
        <w:tc>
          <w:tcPr>
            <w:tcW w:w="3219" w:type="dxa"/>
          </w:tcPr>
          <w:p w:rsidR="00C03102" w:rsidRPr="007C0998" w:rsidRDefault="00DA1D32" w:rsidP="00C81364">
            <w:pPr>
              <w:pStyle w:val="naiskr"/>
              <w:ind w:left="170"/>
            </w:pPr>
            <w:r w:rsidRPr="007C0998">
              <w:t>Tiesiskā regulējuma ietekme uz tautsaimniecību un administratīvo slogu</w:t>
            </w:r>
          </w:p>
        </w:tc>
        <w:tc>
          <w:tcPr>
            <w:tcW w:w="5991" w:type="dxa"/>
          </w:tcPr>
          <w:p w:rsidR="00C03102" w:rsidRPr="007C0998" w:rsidRDefault="009D0B21" w:rsidP="00C81364">
            <w:pPr>
              <w:pStyle w:val="naiskr"/>
              <w:jc w:val="both"/>
              <w:rPr>
                <w:i/>
              </w:rPr>
            </w:pPr>
            <w:r w:rsidRPr="007C0998">
              <w:t>Nav attiecināms.</w:t>
            </w:r>
          </w:p>
        </w:tc>
      </w:tr>
      <w:tr w:rsidR="00C03102" w:rsidRPr="007C0998" w:rsidTr="00C81364">
        <w:trPr>
          <w:trHeight w:val="517"/>
        </w:trPr>
        <w:tc>
          <w:tcPr>
            <w:tcW w:w="396" w:type="dxa"/>
          </w:tcPr>
          <w:p w:rsidR="00C03102" w:rsidRPr="007C0998" w:rsidRDefault="00C03102" w:rsidP="00C81364">
            <w:pPr>
              <w:pStyle w:val="naiskr"/>
              <w:jc w:val="center"/>
            </w:pPr>
            <w:r w:rsidRPr="007C0998">
              <w:t>3.</w:t>
            </w:r>
          </w:p>
        </w:tc>
        <w:tc>
          <w:tcPr>
            <w:tcW w:w="3219" w:type="dxa"/>
          </w:tcPr>
          <w:p w:rsidR="00C03102" w:rsidRPr="007C0998" w:rsidRDefault="00DA1D32" w:rsidP="00C81364">
            <w:pPr>
              <w:pStyle w:val="naiskr"/>
              <w:ind w:left="170"/>
            </w:pPr>
            <w:r w:rsidRPr="007C0998">
              <w:t>Administratīvo izmaksu monetārs novērtējums</w:t>
            </w:r>
          </w:p>
        </w:tc>
        <w:tc>
          <w:tcPr>
            <w:tcW w:w="5991" w:type="dxa"/>
          </w:tcPr>
          <w:p w:rsidR="00C03102" w:rsidRPr="007C0998" w:rsidRDefault="009D0B21" w:rsidP="00C81364">
            <w:pPr>
              <w:pStyle w:val="naiskr"/>
              <w:jc w:val="both"/>
              <w:rPr>
                <w:i/>
              </w:rPr>
            </w:pPr>
            <w:r w:rsidRPr="007C0998">
              <w:t>Nav attiecināms.</w:t>
            </w:r>
          </w:p>
        </w:tc>
      </w:tr>
      <w:tr w:rsidR="00C03102" w:rsidRPr="007C0998" w:rsidTr="00C81364">
        <w:tc>
          <w:tcPr>
            <w:tcW w:w="396" w:type="dxa"/>
          </w:tcPr>
          <w:p w:rsidR="00C03102" w:rsidRPr="007C0998" w:rsidRDefault="00DA1D32" w:rsidP="00C81364">
            <w:pPr>
              <w:pStyle w:val="naiskr"/>
              <w:jc w:val="center"/>
            </w:pPr>
            <w:r w:rsidRPr="007C0998">
              <w:t>4</w:t>
            </w:r>
            <w:r w:rsidR="00C03102" w:rsidRPr="007C0998">
              <w:t>.</w:t>
            </w:r>
          </w:p>
        </w:tc>
        <w:tc>
          <w:tcPr>
            <w:tcW w:w="3219" w:type="dxa"/>
          </w:tcPr>
          <w:p w:rsidR="00C03102" w:rsidRPr="007C0998" w:rsidRDefault="00C03102" w:rsidP="00C81364">
            <w:pPr>
              <w:pStyle w:val="naiskr"/>
              <w:ind w:left="170"/>
            </w:pPr>
            <w:r w:rsidRPr="007C0998">
              <w:t>Cita informācija.</w:t>
            </w:r>
          </w:p>
        </w:tc>
        <w:tc>
          <w:tcPr>
            <w:tcW w:w="5991" w:type="dxa"/>
          </w:tcPr>
          <w:p w:rsidR="00C03102" w:rsidRPr="007C0998" w:rsidRDefault="00C03102" w:rsidP="00C81364">
            <w:pPr>
              <w:pStyle w:val="naiskr"/>
              <w:jc w:val="both"/>
              <w:rPr>
                <w:i/>
              </w:rPr>
            </w:pPr>
            <w:r w:rsidRPr="007C0998">
              <w:rPr>
                <w:iCs/>
              </w:rPr>
              <w:t>Nav</w:t>
            </w:r>
            <w:r w:rsidR="009D0B21" w:rsidRPr="007C0998">
              <w:rPr>
                <w:iCs/>
              </w:rPr>
              <w:t>.</w:t>
            </w:r>
          </w:p>
        </w:tc>
      </w:tr>
    </w:tbl>
    <w:p w:rsidR="00C03102" w:rsidRPr="007C0998" w:rsidRDefault="00C03102" w:rsidP="00F44C86">
      <w:pPr>
        <w:jc w:val="center"/>
      </w:pPr>
    </w:p>
    <w:p w:rsidR="006071ED" w:rsidRPr="007C0998" w:rsidRDefault="00C03102" w:rsidP="009D0B21">
      <w:r w:rsidRPr="007C0998">
        <w:t xml:space="preserve">Anotācijas </w:t>
      </w:r>
      <w:r w:rsidR="00F44C86" w:rsidRPr="007C0998">
        <w:t>III</w:t>
      </w:r>
      <w:r w:rsidR="00A71A1F" w:rsidRPr="007C0998">
        <w:t>.</w:t>
      </w:r>
      <w:r w:rsidR="00531591" w:rsidRPr="007C0998">
        <w:t>, IV</w:t>
      </w:r>
      <w:r w:rsidR="00A71A1F" w:rsidRPr="007C0998">
        <w:t>.</w:t>
      </w:r>
      <w:r w:rsidR="00531591" w:rsidRPr="007C0998">
        <w:t xml:space="preserve"> un V</w:t>
      </w:r>
      <w:r w:rsidR="00A71A1F" w:rsidRPr="007C0998">
        <w:t>.</w:t>
      </w:r>
      <w:r w:rsidR="00531591" w:rsidRPr="007C0998">
        <w:t xml:space="preserve"> </w:t>
      </w:r>
      <w:r w:rsidR="006071ED" w:rsidRPr="007C0998">
        <w:t xml:space="preserve">sadaļa – </w:t>
      </w:r>
      <w:r w:rsidR="00633834" w:rsidRPr="007C0998">
        <w:t>projekts šīs jomas neskar.</w:t>
      </w:r>
    </w:p>
    <w:tbl>
      <w:tblPr>
        <w:tblStyle w:val="TableGrid"/>
        <w:tblpPr w:leftFromText="180" w:rightFromText="180" w:vertAnchor="text" w:horzAnchor="margin" w:tblpX="108" w:tblpY="411"/>
        <w:tblW w:w="9464" w:type="dxa"/>
        <w:tblLook w:val="0000" w:firstRow="0" w:lastRow="0" w:firstColumn="0" w:lastColumn="0" w:noHBand="0" w:noVBand="0"/>
      </w:tblPr>
      <w:tblGrid>
        <w:gridCol w:w="574"/>
        <w:gridCol w:w="2880"/>
        <w:gridCol w:w="6010"/>
      </w:tblGrid>
      <w:tr w:rsidR="006071ED" w:rsidRPr="007C0998" w:rsidTr="002B4FB0">
        <w:tc>
          <w:tcPr>
            <w:tcW w:w="9464" w:type="dxa"/>
            <w:gridSpan w:val="3"/>
          </w:tcPr>
          <w:p w:rsidR="006071ED" w:rsidRPr="007C0998" w:rsidRDefault="006071ED" w:rsidP="002B4FB0">
            <w:pPr>
              <w:pStyle w:val="naisnod"/>
            </w:pPr>
            <w:r w:rsidRPr="007C0998">
              <w:t>   V</w:t>
            </w:r>
            <w:r w:rsidR="00531591" w:rsidRPr="007C0998">
              <w:t>I.</w:t>
            </w:r>
            <w:r w:rsidRPr="007C0998">
              <w:t xml:space="preserve"> </w:t>
            </w:r>
            <w:r w:rsidR="00531591" w:rsidRPr="007C0998">
              <w:t>Sabiedrības līdzdalība un komunikācijas aktivitātes</w:t>
            </w:r>
          </w:p>
        </w:tc>
      </w:tr>
      <w:tr w:rsidR="006071ED" w:rsidRPr="007C0998" w:rsidTr="002B4FB0">
        <w:trPr>
          <w:trHeight w:val="650"/>
        </w:trPr>
        <w:tc>
          <w:tcPr>
            <w:tcW w:w="574" w:type="dxa"/>
          </w:tcPr>
          <w:p w:rsidR="006071ED" w:rsidRPr="007C0998" w:rsidRDefault="006071ED" w:rsidP="002B4FB0">
            <w:pPr>
              <w:pStyle w:val="naiskr"/>
              <w:spacing w:before="0"/>
              <w:ind w:left="181" w:hanging="181"/>
              <w:jc w:val="center"/>
            </w:pPr>
            <w:r w:rsidRPr="007C0998">
              <w:t>1.</w:t>
            </w:r>
          </w:p>
        </w:tc>
        <w:tc>
          <w:tcPr>
            <w:tcW w:w="2880" w:type="dxa"/>
          </w:tcPr>
          <w:p w:rsidR="006071ED" w:rsidRPr="007C0998" w:rsidRDefault="00531591" w:rsidP="002B4FB0">
            <w:pPr>
              <w:pStyle w:val="naiskr"/>
              <w:spacing w:before="0" w:after="0"/>
              <w:ind w:left="180" w:hanging="10"/>
            </w:pPr>
            <w:r w:rsidRPr="007C0998">
              <w:t>Plānotās sabiedrības līdzdalības un komunikācijas aktivitātes saistībā ar projektu</w:t>
            </w:r>
          </w:p>
        </w:tc>
        <w:tc>
          <w:tcPr>
            <w:tcW w:w="6010" w:type="dxa"/>
          </w:tcPr>
          <w:p w:rsidR="007C0B53" w:rsidRPr="007C0998" w:rsidRDefault="005D5528" w:rsidP="005D5528">
            <w:pPr>
              <w:pStyle w:val="naiskr"/>
              <w:spacing w:before="0" w:after="0"/>
              <w:jc w:val="both"/>
            </w:pPr>
            <w:r w:rsidRPr="007C0998">
              <w:t xml:space="preserve">Projekta izstrādes laikā </w:t>
            </w:r>
            <w:r w:rsidR="007C0B53" w:rsidRPr="007C0998">
              <w:t>aptaujāt profesionālās izglītības iestādes par plānotajiem eksāmeniem 2016./2017.mācību gadā un 2017./2018.mācību gadā, lai precizētu no VIIS izgūto informāciju.</w:t>
            </w:r>
          </w:p>
          <w:p w:rsidR="007C0B53" w:rsidRPr="007C0998" w:rsidRDefault="007C0B53" w:rsidP="005D5528">
            <w:pPr>
              <w:pStyle w:val="naiskr"/>
              <w:spacing w:before="0" w:after="0"/>
              <w:jc w:val="both"/>
            </w:pPr>
            <w:r w:rsidRPr="007C0998">
              <w:t xml:space="preserve">Pēc Projekta izstrādes </w:t>
            </w:r>
            <w:r w:rsidR="005D5528" w:rsidRPr="007C0998">
              <w:t xml:space="preserve">iepazīstināt ar </w:t>
            </w:r>
            <w:r w:rsidRPr="007C0998">
              <w:t>to</w:t>
            </w:r>
            <w:r w:rsidR="005D5528" w:rsidRPr="007C0998">
              <w:t xml:space="preserve"> profesionālās izglītības iestādes, kurām </w:t>
            </w:r>
            <w:r w:rsidRPr="007C0998">
              <w:t>Projekts</w:t>
            </w:r>
            <w:r w:rsidR="005D5528" w:rsidRPr="007C0998">
              <w:t xml:space="preserve"> varētu būt saistošs, ievietojot P</w:t>
            </w:r>
            <w:r w:rsidRPr="007C0998">
              <w:t>rojekta materiālus</w:t>
            </w:r>
            <w:r w:rsidR="005D5528" w:rsidRPr="007C0998">
              <w:t xml:space="preserve"> </w:t>
            </w:r>
            <w:r w:rsidR="00F0483E" w:rsidRPr="007C0998">
              <w:t xml:space="preserve">Valsts izglītības satura centra </w:t>
            </w:r>
            <w:r w:rsidR="005D5528" w:rsidRPr="007C0998">
              <w:t>elektroniskajā saziņas vidē Reģistrētajiem lietotājiem.</w:t>
            </w:r>
          </w:p>
          <w:p w:rsidR="00531591" w:rsidRPr="007C0998" w:rsidRDefault="007C0B53" w:rsidP="007C0B53">
            <w:pPr>
              <w:pStyle w:val="naiskr"/>
              <w:spacing w:before="0" w:after="0"/>
              <w:jc w:val="both"/>
              <w:rPr>
                <w:i/>
              </w:rPr>
            </w:pPr>
            <w:r w:rsidRPr="007C0998">
              <w:t xml:space="preserve">Pēc noteikumu stāšanās spēkā informēt profesionālās izglītības iestādes ar noteikumu saturu, publicējot tos Valsts izglītības satura centra </w:t>
            </w:r>
            <w:proofErr w:type="gramStart"/>
            <w:r w:rsidRPr="007C0998">
              <w:t>mājas lapā</w:t>
            </w:r>
            <w:proofErr w:type="gramEnd"/>
            <w:r w:rsidRPr="007C0998">
              <w:t>.</w:t>
            </w:r>
          </w:p>
        </w:tc>
      </w:tr>
      <w:tr w:rsidR="006071ED" w:rsidRPr="007C0998" w:rsidTr="002B4FB0">
        <w:trPr>
          <w:trHeight w:val="333"/>
        </w:trPr>
        <w:tc>
          <w:tcPr>
            <w:tcW w:w="574" w:type="dxa"/>
          </w:tcPr>
          <w:p w:rsidR="006071ED" w:rsidRPr="007C0998" w:rsidRDefault="006071ED" w:rsidP="002B4FB0">
            <w:pPr>
              <w:pStyle w:val="naiskr"/>
              <w:spacing w:before="0"/>
              <w:ind w:left="181" w:hanging="181"/>
              <w:jc w:val="center"/>
            </w:pPr>
            <w:r w:rsidRPr="007C0998">
              <w:t>2.</w:t>
            </w:r>
          </w:p>
        </w:tc>
        <w:tc>
          <w:tcPr>
            <w:tcW w:w="2880" w:type="dxa"/>
          </w:tcPr>
          <w:p w:rsidR="006071ED" w:rsidRPr="007C0998" w:rsidRDefault="00531591" w:rsidP="002B4FB0">
            <w:pPr>
              <w:pStyle w:val="naiskr"/>
              <w:spacing w:before="0" w:after="0"/>
              <w:ind w:left="180" w:hanging="10"/>
            </w:pPr>
            <w:r w:rsidRPr="007C0998">
              <w:t>Sabiedrības līdzdalība projekta izstrādē</w:t>
            </w:r>
          </w:p>
        </w:tc>
        <w:tc>
          <w:tcPr>
            <w:tcW w:w="6010" w:type="dxa"/>
          </w:tcPr>
          <w:p w:rsidR="006071ED" w:rsidRPr="007C0998" w:rsidRDefault="0035277C" w:rsidP="0035277C">
            <w:pPr>
              <w:pStyle w:val="naiskr"/>
              <w:spacing w:before="0" w:after="0"/>
              <w:jc w:val="both"/>
              <w:rPr>
                <w:i/>
              </w:rPr>
            </w:pPr>
            <w:r w:rsidRPr="007C0998">
              <w:t>Lai noskaidrotu, profesionālās kvalifikācijas, kurās</w:t>
            </w:r>
            <w:proofErr w:type="gramStart"/>
            <w:r w:rsidRPr="007C0998">
              <w:t xml:space="preserve">  </w:t>
            </w:r>
            <w:proofErr w:type="gramEnd"/>
            <w:r w:rsidRPr="007C0998">
              <w:t>eksāmeni tiks organizēti vairākās (</w:t>
            </w:r>
            <w:r w:rsidRPr="007C0998">
              <w:rPr>
                <w:i/>
              </w:rPr>
              <w:t>divās vai vairāk)</w:t>
            </w:r>
            <w:r w:rsidRPr="007C0998">
              <w:t xml:space="preserve"> profesionālās izglītības iestādēs 2016./2017.mācību gadā un </w:t>
            </w:r>
            <w:r w:rsidRPr="007C0998">
              <w:lastRenderedPageBreak/>
              <w:t>2017./2018.mācību gadā, tika aptaujātas profesionālās izglītības iestādes, kuras īsteno arodizglītības un profesionālās vidējās izglītības programmas.</w:t>
            </w:r>
          </w:p>
        </w:tc>
      </w:tr>
      <w:tr w:rsidR="00531591" w:rsidRPr="007C0998" w:rsidTr="002B4FB0">
        <w:trPr>
          <w:trHeight w:val="333"/>
        </w:trPr>
        <w:tc>
          <w:tcPr>
            <w:tcW w:w="574" w:type="dxa"/>
          </w:tcPr>
          <w:p w:rsidR="00531591" w:rsidRPr="007C0998" w:rsidRDefault="00531591" w:rsidP="002B4FB0">
            <w:pPr>
              <w:pStyle w:val="naiskr"/>
              <w:spacing w:before="0"/>
              <w:ind w:left="181" w:hanging="181"/>
              <w:jc w:val="center"/>
            </w:pPr>
            <w:r w:rsidRPr="007C0998">
              <w:lastRenderedPageBreak/>
              <w:t>3.</w:t>
            </w:r>
          </w:p>
        </w:tc>
        <w:tc>
          <w:tcPr>
            <w:tcW w:w="2880" w:type="dxa"/>
          </w:tcPr>
          <w:p w:rsidR="00531591" w:rsidRPr="007C0998" w:rsidRDefault="00531591" w:rsidP="002B4FB0">
            <w:pPr>
              <w:pStyle w:val="naiskr"/>
              <w:spacing w:before="0" w:after="0"/>
              <w:ind w:left="180" w:hanging="10"/>
            </w:pPr>
            <w:r w:rsidRPr="007C0998">
              <w:t>Sabiedrības līdzdalības rezultāti</w:t>
            </w:r>
          </w:p>
        </w:tc>
        <w:tc>
          <w:tcPr>
            <w:tcW w:w="6010" w:type="dxa"/>
          </w:tcPr>
          <w:p w:rsidR="00531591" w:rsidRPr="007C0998" w:rsidRDefault="00707BD0" w:rsidP="005F63F9">
            <w:pPr>
              <w:pStyle w:val="naiskr"/>
              <w:spacing w:before="0" w:after="0"/>
              <w:jc w:val="both"/>
            </w:pPr>
            <w:r w:rsidRPr="007C0998">
              <w:t>Aptaujātās p</w:t>
            </w:r>
            <w:r w:rsidR="005D5528" w:rsidRPr="007C0998">
              <w:t>rofesionālās izglītības iestā</w:t>
            </w:r>
            <w:r w:rsidRPr="007C0998">
              <w:t>des piedalījušās informācijas sniegšanā par</w:t>
            </w:r>
            <w:proofErr w:type="gramStart"/>
            <w:r w:rsidRPr="007C0998">
              <w:t xml:space="preserve">  </w:t>
            </w:r>
            <w:proofErr w:type="gramEnd"/>
            <w:r w:rsidRPr="007C0998">
              <w:t>profesionālajām kvalifikācijām, kurās</w:t>
            </w:r>
            <w:r w:rsidR="005F63F9" w:rsidRPr="007C0998">
              <w:t xml:space="preserve"> </w:t>
            </w:r>
            <w:r w:rsidRPr="007C0998">
              <w:t>tiks</w:t>
            </w:r>
            <w:r w:rsidR="005F63F9" w:rsidRPr="007C0998">
              <w:t xml:space="preserve"> </w:t>
            </w:r>
            <w:r w:rsidRPr="007C0998">
              <w:t>organizēti</w:t>
            </w:r>
            <w:r w:rsidR="005F63F9" w:rsidRPr="007C0998">
              <w:t xml:space="preserve"> </w:t>
            </w:r>
            <w:r w:rsidRPr="007C0998">
              <w:t>eksāmeni</w:t>
            </w:r>
            <w:r w:rsidR="005F63F9" w:rsidRPr="007C0998">
              <w:t xml:space="preserve"> </w:t>
            </w:r>
            <w:r w:rsidR="00611EC5" w:rsidRPr="007C0998">
              <w:t>arodizglītības un profesionālās</w:t>
            </w:r>
            <w:r w:rsidR="005F63F9" w:rsidRPr="007C0998">
              <w:t xml:space="preserve"> </w:t>
            </w:r>
            <w:r w:rsidR="00611EC5" w:rsidRPr="007C0998">
              <w:t>vidējās</w:t>
            </w:r>
            <w:r w:rsidR="005F63F9" w:rsidRPr="007C0998">
              <w:t xml:space="preserve"> </w:t>
            </w:r>
            <w:r w:rsidR="00611EC5" w:rsidRPr="007C0998">
              <w:t>izglītības</w:t>
            </w:r>
            <w:r w:rsidR="005F63F9" w:rsidRPr="007C0998">
              <w:t xml:space="preserve"> </w:t>
            </w:r>
            <w:r w:rsidR="00611EC5" w:rsidRPr="007C0998">
              <w:t xml:space="preserve">programmās </w:t>
            </w:r>
            <w:r w:rsidRPr="007C0998">
              <w:t>2016./2017.mācību gadā</w:t>
            </w:r>
            <w:r w:rsidR="00651F70" w:rsidRPr="007C0998">
              <w:t xml:space="preserve"> un 2017./2018.mācību gadā</w:t>
            </w:r>
            <w:r w:rsidRPr="007C0998">
              <w:t xml:space="preserve">. </w:t>
            </w:r>
            <w:r w:rsidR="008839F0" w:rsidRPr="007C0998">
              <w:t>Saskaņā ar aptaujas rezultātiem izveidots profesionālo kvalifikāciju</w:t>
            </w:r>
            <w:r w:rsidR="005F63F9" w:rsidRPr="007C0998">
              <w:t xml:space="preserve"> </w:t>
            </w:r>
            <w:r w:rsidR="008839F0" w:rsidRPr="007C0998">
              <w:t>saraksts</w:t>
            </w:r>
            <w:r w:rsidR="00377F68" w:rsidRPr="007C0998">
              <w:t>,</w:t>
            </w:r>
            <w:r w:rsidR="008839F0" w:rsidRPr="007C0998">
              <w:t xml:space="preserve"> kuros kārtojami centralizētie eksāmeni.</w:t>
            </w:r>
          </w:p>
        </w:tc>
      </w:tr>
      <w:tr w:rsidR="00531591" w:rsidRPr="007C0998" w:rsidTr="002B4FB0">
        <w:trPr>
          <w:trHeight w:val="333"/>
        </w:trPr>
        <w:tc>
          <w:tcPr>
            <w:tcW w:w="574" w:type="dxa"/>
          </w:tcPr>
          <w:p w:rsidR="00531591" w:rsidRPr="007C0998" w:rsidRDefault="00531591" w:rsidP="002B4FB0">
            <w:pPr>
              <w:pStyle w:val="naiskr"/>
              <w:spacing w:before="0"/>
              <w:ind w:left="181" w:hanging="181"/>
              <w:jc w:val="center"/>
            </w:pPr>
            <w:r w:rsidRPr="007C0998">
              <w:t>4.</w:t>
            </w:r>
          </w:p>
        </w:tc>
        <w:tc>
          <w:tcPr>
            <w:tcW w:w="2880" w:type="dxa"/>
          </w:tcPr>
          <w:p w:rsidR="00531591" w:rsidRPr="007C0998" w:rsidRDefault="00531591" w:rsidP="002B4FB0">
            <w:pPr>
              <w:pStyle w:val="naiskr"/>
              <w:spacing w:before="0" w:after="0"/>
              <w:ind w:left="180" w:hanging="10"/>
            </w:pPr>
            <w:r w:rsidRPr="007C0998">
              <w:t>Cita informācija</w:t>
            </w:r>
          </w:p>
        </w:tc>
        <w:tc>
          <w:tcPr>
            <w:tcW w:w="6010" w:type="dxa"/>
          </w:tcPr>
          <w:p w:rsidR="00531591" w:rsidRPr="007C0998" w:rsidRDefault="009E326D" w:rsidP="002B4FB0">
            <w:pPr>
              <w:pStyle w:val="naiskr"/>
              <w:spacing w:before="0" w:after="0"/>
              <w:jc w:val="both"/>
            </w:pPr>
            <w:r w:rsidRPr="007C0998">
              <w:t>Nav</w:t>
            </w:r>
            <w:r w:rsidR="00867C68" w:rsidRPr="007C0998">
              <w:t>.</w:t>
            </w:r>
          </w:p>
        </w:tc>
      </w:tr>
    </w:tbl>
    <w:p w:rsidR="006071ED" w:rsidRPr="007C0998" w:rsidRDefault="006071ED" w:rsidP="00F44C86">
      <w:pPr>
        <w:jc w:val="center"/>
      </w:pPr>
    </w:p>
    <w:p w:rsidR="00493245" w:rsidRPr="007C0998" w:rsidRDefault="00493245" w:rsidP="00F44C86">
      <w:pPr>
        <w:jc w:val="center"/>
      </w:pPr>
    </w:p>
    <w:tbl>
      <w:tblPr>
        <w:tblStyle w:val="TableGrid"/>
        <w:tblW w:w="9498" w:type="dxa"/>
        <w:tblInd w:w="108" w:type="dxa"/>
        <w:tblLook w:val="04A0" w:firstRow="1" w:lastRow="0" w:firstColumn="1" w:lastColumn="0" w:noHBand="0" w:noVBand="1"/>
      </w:tblPr>
      <w:tblGrid>
        <w:gridCol w:w="456"/>
        <w:gridCol w:w="3082"/>
        <w:gridCol w:w="5960"/>
      </w:tblGrid>
      <w:tr w:rsidR="00F44C86" w:rsidRPr="007C0998" w:rsidTr="002B4FB0">
        <w:tc>
          <w:tcPr>
            <w:tcW w:w="9498" w:type="dxa"/>
            <w:gridSpan w:val="3"/>
          </w:tcPr>
          <w:p w:rsidR="00F44C86" w:rsidRPr="007C0998" w:rsidRDefault="00F44C86" w:rsidP="00234BCE">
            <w:pPr>
              <w:spacing w:before="68" w:after="68"/>
              <w:jc w:val="center"/>
              <w:rPr>
                <w:b/>
              </w:rPr>
            </w:pPr>
            <w:r w:rsidRPr="007C0998">
              <w:rPr>
                <w:b/>
              </w:rPr>
              <w:t>VII. Tiesību akta projekta izpildes nodrošināšana un tās ietekme uz institūcijām</w:t>
            </w:r>
          </w:p>
        </w:tc>
      </w:tr>
      <w:tr w:rsidR="00F44C86" w:rsidRPr="007C0998" w:rsidTr="002B4FB0">
        <w:trPr>
          <w:trHeight w:val="630"/>
        </w:trPr>
        <w:tc>
          <w:tcPr>
            <w:tcW w:w="348" w:type="dxa"/>
          </w:tcPr>
          <w:p w:rsidR="00F44C86" w:rsidRPr="007C0998" w:rsidRDefault="00F44C86" w:rsidP="00234BCE">
            <w:pPr>
              <w:spacing w:before="68" w:after="68"/>
            </w:pPr>
            <w:r w:rsidRPr="007C0998">
              <w:t> 1.</w:t>
            </w:r>
          </w:p>
        </w:tc>
        <w:tc>
          <w:tcPr>
            <w:tcW w:w="3107" w:type="dxa"/>
          </w:tcPr>
          <w:p w:rsidR="00F44C86" w:rsidRPr="007C0998" w:rsidRDefault="00F44C86" w:rsidP="00234BCE">
            <w:pPr>
              <w:spacing w:before="68" w:after="68"/>
            </w:pPr>
            <w:r w:rsidRPr="007C0998">
              <w:t>Projekta izpildē iesaistītās institūcijas</w:t>
            </w:r>
          </w:p>
        </w:tc>
        <w:tc>
          <w:tcPr>
            <w:tcW w:w="6043" w:type="dxa"/>
          </w:tcPr>
          <w:p w:rsidR="00F44C86" w:rsidRPr="007C0998" w:rsidRDefault="001227DB" w:rsidP="00377F68">
            <w:pPr>
              <w:jc w:val="both"/>
            </w:pPr>
            <w:r w:rsidRPr="007C0998">
              <w:t xml:space="preserve"> </w:t>
            </w:r>
            <w:r w:rsidR="00F77CD5" w:rsidRPr="007C0998">
              <w:rPr>
                <w:iCs/>
              </w:rPr>
              <w:t>Noteikumu</w:t>
            </w:r>
            <w:r w:rsidR="00F44C86" w:rsidRPr="007C0998">
              <w:t xml:space="preserve"> projekta izpildi nodrošinās </w:t>
            </w:r>
            <w:r w:rsidR="007C0B53" w:rsidRPr="007C0998">
              <w:t xml:space="preserve">Valsts izglītības satura centrs un </w:t>
            </w:r>
            <w:r w:rsidR="000570E3" w:rsidRPr="007C0998">
              <w:t xml:space="preserve">profesionālās izglītības iestādes, kuras </w:t>
            </w:r>
            <w:r w:rsidR="007C0B53" w:rsidRPr="007C0998">
              <w:t xml:space="preserve">īstenos Projekta </w:t>
            </w:r>
            <w:r w:rsidR="00377F68" w:rsidRPr="007C0998">
              <w:t>2</w:t>
            </w:r>
            <w:r w:rsidR="007C0B53" w:rsidRPr="007C0998">
              <w:t>.punktā</w:t>
            </w:r>
            <w:r w:rsidR="000570E3" w:rsidRPr="007C0998">
              <w:t xml:space="preserve"> minētās </w:t>
            </w:r>
            <w:r w:rsidR="007C0B53" w:rsidRPr="007C0998">
              <w:t xml:space="preserve">arodizglītības vai </w:t>
            </w:r>
            <w:r w:rsidR="000570E3" w:rsidRPr="007C0998">
              <w:t>profesionālās izglītības programmas</w:t>
            </w:r>
            <w:r w:rsidR="00822FF0" w:rsidRPr="007C0998">
              <w:t>.</w:t>
            </w:r>
          </w:p>
        </w:tc>
      </w:tr>
      <w:tr w:rsidR="00F44C86" w:rsidRPr="007C0998" w:rsidTr="002B4FB0">
        <w:trPr>
          <w:trHeight w:val="472"/>
        </w:trPr>
        <w:tc>
          <w:tcPr>
            <w:tcW w:w="348" w:type="dxa"/>
          </w:tcPr>
          <w:p w:rsidR="00F44C86" w:rsidRPr="007C0998" w:rsidRDefault="00F44C86" w:rsidP="00234BCE">
            <w:pPr>
              <w:spacing w:before="68" w:after="68"/>
            </w:pPr>
            <w:r w:rsidRPr="007C0998">
              <w:t> 2.</w:t>
            </w:r>
          </w:p>
        </w:tc>
        <w:tc>
          <w:tcPr>
            <w:tcW w:w="3107" w:type="dxa"/>
          </w:tcPr>
          <w:p w:rsidR="000570E3" w:rsidRPr="007C0998" w:rsidRDefault="000570E3" w:rsidP="000570E3">
            <w:r w:rsidRPr="007C0998">
              <w:t xml:space="preserve">Projekta izpildes ietekme uz pārvaldes funkcijām un institucionālo struktūru. </w:t>
            </w:r>
          </w:p>
          <w:p w:rsidR="00F44C86" w:rsidRPr="007C0998" w:rsidRDefault="000570E3" w:rsidP="000570E3">
            <w:pPr>
              <w:pStyle w:val="tvhtml"/>
            </w:pPr>
            <w:r w:rsidRPr="007C0998">
              <w:t>Jaunu institūciju izveide, esošu institūciju likvidācija vai reorganizācija, to ietekme uz institūcijas cilvēkresursiem</w:t>
            </w:r>
          </w:p>
        </w:tc>
        <w:tc>
          <w:tcPr>
            <w:tcW w:w="6043" w:type="dxa"/>
          </w:tcPr>
          <w:p w:rsidR="005F63F9" w:rsidRPr="007C0998" w:rsidRDefault="000570E3" w:rsidP="00234BCE">
            <w:pPr>
              <w:pStyle w:val="BodyText"/>
              <w:jc w:val="both"/>
              <w:rPr>
                <w:iCs/>
                <w:sz w:val="24"/>
              </w:rPr>
            </w:pPr>
            <w:r w:rsidRPr="007C0998">
              <w:rPr>
                <w:iCs/>
                <w:sz w:val="24"/>
              </w:rPr>
              <w:t xml:space="preserve">Projekta </w:t>
            </w:r>
            <w:r w:rsidR="00CE2DDD" w:rsidRPr="007C0998">
              <w:rPr>
                <w:iCs/>
                <w:sz w:val="24"/>
              </w:rPr>
              <w:t>izpilde</w:t>
            </w:r>
            <w:r w:rsidRPr="007C0998">
              <w:rPr>
                <w:iCs/>
                <w:sz w:val="24"/>
              </w:rPr>
              <w:t xml:space="preserve"> </w:t>
            </w:r>
            <w:r w:rsidR="00611EC5" w:rsidRPr="007C0998">
              <w:rPr>
                <w:iCs/>
                <w:sz w:val="24"/>
              </w:rPr>
              <w:t>īstenojama</w:t>
            </w:r>
            <w:r w:rsidRPr="007C0998">
              <w:rPr>
                <w:iCs/>
                <w:sz w:val="24"/>
              </w:rPr>
              <w:t xml:space="preserve"> e</w:t>
            </w:r>
            <w:r w:rsidR="00CE2DDD" w:rsidRPr="007C0998">
              <w:rPr>
                <w:iCs/>
                <w:sz w:val="24"/>
              </w:rPr>
              <w:t xml:space="preserve">sošo </w:t>
            </w:r>
            <w:r w:rsidR="0060770A" w:rsidRPr="007C0998">
              <w:rPr>
                <w:iCs/>
                <w:sz w:val="24"/>
              </w:rPr>
              <w:t>finanšu un cilvēk</w:t>
            </w:r>
            <w:r w:rsidR="00CE2DDD" w:rsidRPr="007C0998">
              <w:rPr>
                <w:iCs/>
                <w:sz w:val="24"/>
              </w:rPr>
              <w:t>resursu ietvaros.</w:t>
            </w:r>
          </w:p>
          <w:p w:rsidR="00F44C86" w:rsidRPr="007C0998" w:rsidRDefault="00CE2DDD" w:rsidP="00234BCE">
            <w:pPr>
              <w:pStyle w:val="BodyText"/>
              <w:jc w:val="both"/>
              <w:rPr>
                <w:iCs/>
                <w:sz w:val="24"/>
              </w:rPr>
            </w:pPr>
            <w:r w:rsidRPr="007C0998">
              <w:rPr>
                <w:iCs/>
                <w:sz w:val="24"/>
              </w:rPr>
              <w:t xml:space="preserve">Projekta izpildei nav </w:t>
            </w:r>
            <w:r w:rsidR="000570E3" w:rsidRPr="007C0998">
              <w:rPr>
                <w:iCs/>
                <w:sz w:val="24"/>
              </w:rPr>
              <w:t>nepieciešams izveidot jaunas institūcijas vai iestādes</w:t>
            </w:r>
            <w:r w:rsidR="009E326D" w:rsidRPr="007C0998">
              <w:rPr>
                <w:iCs/>
                <w:sz w:val="24"/>
              </w:rPr>
              <w:t>.</w:t>
            </w:r>
            <w:r w:rsidR="000570E3" w:rsidRPr="007C0998">
              <w:rPr>
                <w:iCs/>
                <w:sz w:val="24"/>
              </w:rPr>
              <w:t xml:space="preserve"> </w:t>
            </w:r>
          </w:p>
          <w:p w:rsidR="00F44C86" w:rsidRPr="007C0998" w:rsidRDefault="00F44C86" w:rsidP="00234BCE">
            <w:pPr>
              <w:pStyle w:val="BodyText"/>
              <w:jc w:val="both"/>
              <w:rPr>
                <w:sz w:val="24"/>
              </w:rPr>
            </w:pPr>
          </w:p>
        </w:tc>
      </w:tr>
      <w:tr w:rsidR="00F44C86" w:rsidRPr="007C0998" w:rsidTr="002B4FB0">
        <w:trPr>
          <w:trHeight w:val="386"/>
        </w:trPr>
        <w:tc>
          <w:tcPr>
            <w:tcW w:w="348" w:type="dxa"/>
          </w:tcPr>
          <w:p w:rsidR="00F44C86" w:rsidRPr="007C0998" w:rsidRDefault="00F44C86" w:rsidP="000570E3">
            <w:pPr>
              <w:spacing w:before="68" w:after="68"/>
            </w:pPr>
            <w:r w:rsidRPr="007C0998">
              <w:t> </w:t>
            </w:r>
            <w:r w:rsidR="000570E3" w:rsidRPr="007C0998">
              <w:t>3</w:t>
            </w:r>
            <w:r w:rsidR="0011433F" w:rsidRPr="007C0998">
              <w:t>.</w:t>
            </w:r>
          </w:p>
        </w:tc>
        <w:tc>
          <w:tcPr>
            <w:tcW w:w="3107" w:type="dxa"/>
          </w:tcPr>
          <w:p w:rsidR="00F44C86" w:rsidRPr="007C0998" w:rsidRDefault="00F44C86" w:rsidP="00F44C86">
            <w:pPr>
              <w:spacing w:before="68" w:after="68"/>
            </w:pPr>
            <w:r w:rsidRPr="007C0998">
              <w:t>Cita informācija</w:t>
            </w:r>
          </w:p>
        </w:tc>
        <w:tc>
          <w:tcPr>
            <w:tcW w:w="6043" w:type="dxa"/>
          </w:tcPr>
          <w:p w:rsidR="00F44C86" w:rsidRPr="007C0998" w:rsidRDefault="0029112A" w:rsidP="00C923E8">
            <w:pPr>
              <w:jc w:val="both"/>
            </w:pPr>
            <w:r w:rsidRPr="007C0998">
              <w:t>Tiesību akta darbība paredzēta tuvākajiem diviem mācību gadiem</w:t>
            </w:r>
            <w:r w:rsidR="00C923E8" w:rsidRPr="007C0998">
              <w:t>.</w:t>
            </w:r>
          </w:p>
        </w:tc>
      </w:tr>
    </w:tbl>
    <w:p w:rsidR="00F44C86" w:rsidRPr="007C0998" w:rsidRDefault="00F44C86" w:rsidP="00F44C86">
      <w:pPr>
        <w:tabs>
          <w:tab w:val="left" w:pos="5040"/>
          <w:tab w:val="left" w:pos="6840"/>
        </w:tabs>
        <w:ind w:firstLine="720"/>
        <w:jc w:val="both"/>
      </w:pPr>
    </w:p>
    <w:p w:rsidR="009605C4" w:rsidRPr="007C0998" w:rsidRDefault="009605C4" w:rsidP="00F44C86">
      <w:pPr>
        <w:tabs>
          <w:tab w:val="left" w:pos="5040"/>
          <w:tab w:val="left" w:pos="6840"/>
        </w:tabs>
        <w:ind w:firstLine="720"/>
        <w:jc w:val="both"/>
      </w:pPr>
      <w:bookmarkStart w:id="0" w:name="_GoBack"/>
      <w:bookmarkEnd w:id="0"/>
    </w:p>
    <w:p w:rsidR="00D600F5" w:rsidRPr="007C0998" w:rsidRDefault="00D600F5" w:rsidP="000A02D6">
      <w:pPr>
        <w:tabs>
          <w:tab w:val="left" w:pos="3790"/>
        </w:tabs>
        <w:ind w:firstLine="720"/>
        <w:jc w:val="both"/>
      </w:pPr>
    </w:p>
    <w:p w:rsidR="009A3A5A" w:rsidRPr="007C0998" w:rsidRDefault="009A3A5A" w:rsidP="00F44C86">
      <w:pPr>
        <w:tabs>
          <w:tab w:val="left" w:pos="5040"/>
          <w:tab w:val="left" w:pos="6840"/>
        </w:tabs>
        <w:ind w:firstLine="720"/>
        <w:jc w:val="both"/>
      </w:pPr>
    </w:p>
    <w:p w:rsidR="00F44C86" w:rsidRPr="007C0998" w:rsidRDefault="00F44C86" w:rsidP="009D0B21">
      <w:pPr>
        <w:tabs>
          <w:tab w:val="left" w:pos="5040"/>
          <w:tab w:val="left" w:pos="6840"/>
        </w:tabs>
        <w:jc w:val="both"/>
      </w:pPr>
      <w:r w:rsidRPr="007C0998">
        <w:t>Izglītības un zinātnes ministr</w:t>
      </w:r>
      <w:r w:rsidR="009D0B21" w:rsidRPr="007C0998">
        <w:t>s</w:t>
      </w:r>
      <w:r w:rsidRPr="007C0998">
        <w:tab/>
      </w:r>
      <w:r w:rsidRPr="007C0998">
        <w:tab/>
      </w:r>
      <w:r w:rsidRPr="007C0998">
        <w:tab/>
      </w:r>
      <w:proofErr w:type="gramStart"/>
      <w:r w:rsidR="007C0998">
        <w:t xml:space="preserve">    </w:t>
      </w:r>
      <w:proofErr w:type="gramEnd"/>
      <w:r w:rsidR="009D0B21" w:rsidRPr="007C0998">
        <w:t>Kārlis Šadurskis</w:t>
      </w:r>
    </w:p>
    <w:p w:rsidR="00F44C86" w:rsidRPr="007C0998" w:rsidRDefault="00F44C86" w:rsidP="00F44C86"/>
    <w:p w:rsidR="0035717B" w:rsidRPr="007C0998" w:rsidRDefault="0035717B" w:rsidP="0035717B">
      <w:pPr>
        <w:tabs>
          <w:tab w:val="left" w:pos="5040"/>
          <w:tab w:val="left" w:pos="6840"/>
        </w:tabs>
        <w:jc w:val="both"/>
      </w:pPr>
      <w:r w:rsidRPr="007C0998">
        <w:t>Vīzē:</w:t>
      </w:r>
    </w:p>
    <w:p w:rsidR="0035717B" w:rsidRPr="007C0998" w:rsidRDefault="0035717B" w:rsidP="0035717B">
      <w:pPr>
        <w:tabs>
          <w:tab w:val="left" w:pos="5040"/>
          <w:tab w:val="left" w:pos="6840"/>
        </w:tabs>
        <w:jc w:val="both"/>
      </w:pPr>
      <w:r w:rsidRPr="007C0998">
        <w:t>Valsts sekretāre</w:t>
      </w:r>
      <w:r w:rsidR="007C0998" w:rsidRPr="007C0998">
        <w:tab/>
      </w:r>
      <w:r w:rsidR="007C0998" w:rsidRPr="007C0998">
        <w:tab/>
      </w:r>
      <w:r w:rsidR="007C0998" w:rsidRPr="007C0998">
        <w:tab/>
      </w:r>
      <w:r w:rsidR="007C0998" w:rsidRPr="007C0998">
        <w:tab/>
      </w:r>
      <w:r w:rsidRPr="007C0998">
        <w:t>Līga Lejiņa</w:t>
      </w:r>
    </w:p>
    <w:p w:rsidR="009605C4" w:rsidRPr="007C0998" w:rsidRDefault="009605C4" w:rsidP="00F44C86">
      <w:pPr>
        <w:jc w:val="both"/>
      </w:pPr>
    </w:p>
    <w:p w:rsidR="00101DDE" w:rsidRPr="007C0998" w:rsidRDefault="00101DDE" w:rsidP="00F44C86">
      <w:pPr>
        <w:jc w:val="both"/>
      </w:pPr>
    </w:p>
    <w:p w:rsidR="00101DDE" w:rsidRPr="007C0998" w:rsidRDefault="00101DDE" w:rsidP="00F44C86">
      <w:pPr>
        <w:jc w:val="both"/>
      </w:pPr>
    </w:p>
    <w:p w:rsidR="009D0B21" w:rsidRPr="007C0998" w:rsidRDefault="009D0B21" w:rsidP="00F44C86">
      <w:pPr>
        <w:jc w:val="both"/>
      </w:pPr>
    </w:p>
    <w:p w:rsidR="009D0B21" w:rsidRPr="007C0998" w:rsidRDefault="009D0B21" w:rsidP="00F44C86">
      <w:pPr>
        <w:jc w:val="both"/>
      </w:pPr>
    </w:p>
    <w:p w:rsidR="009605C4" w:rsidRPr="007C0998" w:rsidRDefault="009605C4" w:rsidP="00F44C86">
      <w:pPr>
        <w:jc w:val="both"/>
      </w:pPr>
    </w:p>
    <w:p w:rsidR="00F44C86" w:rsidRPr="007C0998" w:rsidRDefault="00A71A1F" w:rsidP="009D0B21">
      <w:pPr>
        <w:rPr>
          <w:sz w:val="16"/>
          <w:szCs w:val="16"/>
        </w:rPr>
      </w:pPr>
      <w:r w:rsidRPr="007C0998">
        <w:rPr>
          <w:sz w:val="16"/>
          <w:szCs w:val="16"/>
        </w:rPr>
        <w:t>04</w:t>
      </w:r>
      <w:r w:rsidR="007416EF" w:rsidRPr="007C0998">
        <w:rPr>
          <w:sz w:val="16"/>
          <w:szCs w:val="16"/>
        </w:rPr>
        <w:t>.</w:t>
      </w:r>
      <w:r w:rsidR="006B2121" w:rsidRPr="007C0998">
        <w:rPr>
          <w:sz w:val="16"/>
          <w:szCs w:val="16"/>
        </w:rPr>
        <w:t>0</w:t>
      </w:r>
      <w:r w:rsidRPr="007C0998">
        <w:rPr>
          <w:sz w:val="16"/>
          <w:szCs w:val="16"/>
        </w:rPr>
        <w:t>4</w:t>
      </w:r>
      <w:r w:rsidR="00066911" w:rsidRPr="007C0998">
        <w:rPr>
          <w:sz w:val="16"/>
          <w:szCs w:val="16"/>
        </w:rPr>
        <w:t>.201</w:t>
      </w:r>
      <w:r w:rsidR="006B2121" w:rsidRPr="007C0998">
        <w:rPr>
          <w:sz w:val="16"/>
          <w:szCs w:val="16"/>
        </w:rPr>
        <w:t>6</w:t>
      </w:r>
      <w:r w:rsidR="0018083A" w:rsidRPr="007C0998">
        <w:rPr>
          <w:sz w:val="16"/>
          <w:szCs w:val="16"/>
        </w:rPr>
        <w:t>.</w:t>
      </w:r>
      <w:r w:rsidR="00066911" w:rsidRPr="007C0998">
        <w:rPr>
          <w:sz w:val="16"/>
          <w:szCs w:val="16"/>
        </w:rPr>
        <w:t xml:space="preserve"> </w:t>
      </w:r>
      <w:r w:rsidR="00CB540A" w:rsidRPr="007C0998">
        <w:rPr>
          <w:sz w:val="16"/>
          <w:szCs w:val="16"/>
        </w:rPr>
        <w:t>1</w:t>
      </w:r>
      <w:r w:rsidRPr="007C0998">
        <w:rPr>
          <w:sz w:val="16"/>
          <w:szCs w:val="16"/>
        </w:rPr>
        <w:t>0:26</w:t>
      </w:r>
    </w:p>
    <w:p w:rsidR="00F44C86" w:rsidRPr="007C0998" w:rsidRDefault="00A71A1F" w:rsidP="009D0B21">
      <w:pPr>
        <w:tabs>
          <w:tab w:val="left" w:pos="3855"/>
        </w:tabs>
        <w:rPr>
          <w:sz w:val="16"/>
          <w:szCs w:val="16"/>
        </w:rPr>
      </w:pPr>
      <w:r w:rsidRPr="007C0998">
        <w:rPr>
          <w:sz w:val="16"/>
          <w:szCs w:val="16"/>
        </w:rPr>
        <w:t>660</w:t>
      </w:r>
      <w:r w:rsidR="00F44C86" w:rsidRPr="007C0998">
        <w:rPr>
          <w:sz w:val="16"/>
          <w:szCs w:val="16"/>
        </w:rPr>
        <w:tab/>
      </w:r>
    </w:p>
    <w:p w:rsidR="00F44C86" w:rsidRPr="007C0998" w:rsidRDefault="00D34B5E" w:rsidP="009D0B21">
      <w:pPr>
        <w:rPr>
          <w:sz w:val="16"/>
          <w:szCs w:val="16"/>
        </w:rPr>
      </w:pPr>
      <w:r w:rsidRPr="007C0998">
        <w:rPr>
          <w:sz w:val="16"/>
          <w:szCs w:val="16"/>
        </w:rPr>
        <w:t>R.Ančup</w:t>
      </w:r>
      <w:r w:rsidR="00A67680" w:rsidRPr="007C0998">
        <w:rPr>
          <w:sz w:val="16"/>
          <w:szCs w:val="16"/>
        </w:rPr>
        <w:t>āne</w:t>
      </w:r>
    </w:p>
    <w:p w:rsidR="003256FF" w:rsidRPr="007C0998" w:rsidRDefault="00051724" w:rsidP="009D0B21">
      <w:pPr>
        <w:rPr>
          <w:sz w:val="16"/>
          <w:szCs w:val="16"/>
        </w:rPr>
      </w:pPr>
      <w:r w:rsidRPr="007C0998">
        <w:rPr>
          <w:sz w:val="16"/>
          <w:szCs w:val="16"/>
        </w:rPr>
        <w:t>67350812</w:t>
      </w:r>
      <w:r w:rsidR="00F44C86" w:rsidRPr="007C0998">
        <w:rPr>
          <w:sz w:val="16"/>
          <w:szCs w:val="16"/>
        </w:rPr>
        <w:t xml:space="preserve">, </w:t>
      </w:r>
      <w:hyperlink r:id="rId9" w:history="1">
        <w:r w:rsidR="003256FF" w:rsidRPr="007C0998">
          <w:rPr>
            <w:rStyle w:val="Hyperlink"/>
            <w:sz w:val="16"/>
            <w:szCs w:val="16"/>
          </w:rPr>
          <w:t>ruta.ancupane@visc.gov.lv</w:t>
        </w:r>
      </w:hyperlink>
    </w:p>
    <w:sectPr w:rsidR="003256FF" w:rsidRPr="007C0998" w:rsidSect="004F244B">
      <w:headerReference w:type="default" r:id="rId10"/>
      <w:footerReference w:type="default" r:id="rId11"/>
      <w:footerReference w:type="first" r:id="rId12"/>
      <w:pgSz w:w="11906" w:h="16838"/>
      <w:pgMar w:top="851" w:right="1134" w:bottom="1134" w:left="1701" w:header="709" w:footer="7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7B8" w:rsidRDefault="009557B8" w:rsidP="00F44C86">
      <w:r>
        <w:separator/>
      </w:r>
    </w:p>
  </w:endnote>
  <w:endnote w:type="continuationSeparator" w:id="0">
    <w:p w:rsidR="009557B8" w:rsidRDefault="009557B8" w:rsidP="00F44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26D" w:rsidRPr="00A46086" w:rsidRDefault="00A46086" w:rsidP="00A46086">
    <w:pPr>
      <w:pStyle w:val="naisc"/>
      <w:spacing w:before="0" w:after="0"/>
      <w:jc w:val="both"/>
      <w:rPr>
        <w:sz w:val="20"/>
        <w:szCs w:val="20"/>
      </w:rPr>
    </w:pPr>
    <w:r w:rsidRPr="00F3343F">
      <w:rPr>
        <w:sz w:val="20"/>
        <w:szCs w:val="20"/>
      </w:rPr>
      <w:t>IZMAnot_</w:t>
    </w:r>
    <w:r w:rsidR="00A71A1F">
      <w:rPr>
        <w:sz w:val="20"/>
        <w:szCs w:val="20"/>
      </w:rPr>
      <w:t>0404</w:t>
    </w:r>
    <w:r w:rsidR="009D0B21">
      <w:rPr>
        <w:sz w:val="20"/>
        <w:szCs w:val="20"/>
      </w:rPr>
      <w:t>16</w:t>
    </w:r>
    <w:r>
      <w:rPr>
        <w:sz w:val="20"/>
        <w:szCs w:val="20"/>
      </w:rPr>
      <w:t>_CPKE</w:t>
    </w:r>
    <w:r w:rsidRPr="00F3343F">
      <w:rPr>
        <w:sz w:val="20"/>
        <w:szCs w:val="20"/>
      </w:rPr>
      <w:t xml:space="preserve">; </w:t>
    </w:r>
    <w:r w:rsidRPr="00F3343F">
      <w:rPr>
        <w:bCs/>
        <w:sz w:val="20"/>
        <w:szCs w:val="20"/>
      </w:rPr>
      <w:t xml:space="preserve">Ministru kabineta </w:t>
    </w:r>
    <w:r>
      <w:rPr>
        <w:bCs/>
        <w:sz w:val="20"/>
        <w:szCs w:val="20"/>
      </w:rPr>
      <w:t>noteikumu</w:t>
    </w:r>
    <w:r w:rsidRPr="00F3343F">
      <w:rPr>
        <w:bCs/>
        <w:sz w:val="20"/>
        <w:szCs w:val="20"/>
      </w:rPr>
      <w:t xml:space="preserve"> projekta </w:t>
    </w:r>
    <w:r w:rsidRPr="00A46086">
      <w:rPr>
        <w:bCs/>
        <w:sz w:val="20"/>
        <w:szCs w:val="20"/>
      </w:rPr>
      <w:t xml:space="preserve">„Profesionālo kvalifikāciju saraksts, kuras iegūstot kārtojami centralizētie profesionālās kvalifikācijas eksāmeni” </w:t>
    </w:r>
    <w:r w:rsidRPr="00F3343F">
      <w:rPr>
        <w:sz w:val="20"/>
        <w:szCs w:val="20"/>
      </w:rPr>
      <w:t>sākotnējās ietekmes n</w:t>
    </w:r>
    <w:r>
      <w:rPr>
        <w:sz w:val="20"/>
        <w:szCs w:val="20"/>
      </w:rPr>
      <w:t>ovērtējuma ziņojums (anotācija)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26D" w:rsidRPr="00F3343F" w:rsidRDefault="00D3726D" w:rsidP="00F3343F">
    <w:pPr>
      <w:pStyle w:val="naisc"/>
      <w:spacing w:before="0" w:after="0"/>
      <w:jc w:val="both"/>
      <w:rPr>
        <w:sz w:val="20"/>
        <w:szCs w:val="20"/>
      </w:rPr>
    </w:pPr>
    <w:r w:rsidRPr="00F3343F">
      <w:rPr>
        <w:sz w:val="20"/>
        <w:szCs w:val="20"/>
      </w:rPr>
      <w:t>IZMAnot_</w:t>
    </w:r>
    <w:r w:rsidR="007C0998">
      <w:rPr>
        <w:sz w:val="20"/>
        <w:szCs w:val="20"/>
      </w:rPr>
      <w:t>0404</w:t>
    </w:r>
    <w:r w:rsidR="009D0B21">
      <w:rPr>
        <w:sz w:val="20"/>
        <w:szCs w:val="20"/>
      </w:rPr>
      <w:t>16</w:t>
    </w:r>
    <w:r>
      <w:rPr>
        <w:sz w:val="20"/>
        <w:szCs w:val="20"/>
      </w:rPr>
      <w:t>_CPKE</w:t>
    </w:r>
    <w:r w:rsidRPr="00F3343F">
      <w:rPr>
        <w:sz w:val="20"/>
        <w:szCs w:val="20"/>
      </w:rPr>
      <w:t xml:space="preserve">; </w:t>
    </w:r>
    <w:r w:rsidRPr="00F3343F">
      <w:rPr>
        <w:bCs/>
        <w:sz w:val="20"/>
        <w:szCs w:val="20"/>
      </w:rPr>
      <w:t xml:space="preserve">Ministru kabineta </w:t>
    </w:r>
    <w:r w:rsidR="00A46086">
      <w:rPr>
        <w:bCs/>
        <w:sz w:val="20"/>
        <w:szCs w:val="20"/>
      </w:rPr>
      <w:t>noteikumu</w:t>
    </w:r>
    <w:r w:rsidRPr="00F3343F">
      <w:rPr>
        <w:bCs/>
        <w:sz w:val="20"/>
        <w:szCs w:val="20"/>
      </w:rPr>
      <w:t xml:space="preserve"> projekta </w:t>
    </w:r>
    <w:r w:rsidR="00A46086" w:rsidRPr="00A46086">
      <w:rPr>
        <w:bCs/>
        <w:sz w:val="20"/>
        <w:szCs w:val="20"/>
      </w:rPr>
      <w:t xml:space="preserve">„Profesionālo kvalifikāciju saraksts, kuras iegūstot kārtojami centralizētie profesionālās kvalifikācijas eksāmeni” </w:t>
    </w:r>
    <w:r w:rsidRPr="00F3343F">
      <w:rPr>
        <w:sz w:val="20"/>
        <w:szCs w:val="20"/>
      </w:rPr>
      <w:t>sākotnējās ietekmes n</w:t>
    </w:r>
    <w:r>
      <w:rPr>
        <w:sz w:val="20"/>
        <w:szCs w:val="20"/>
      </w:rPr>
      <w:t>ovērtējuma ziņojums (anotācija)</w:t>
    </w:r>
  </w:p>
  <w:p w:rsidR="00D3726D" w:rsidRPr="00F3343F" w:rsidRDefault="00D3726D" w:rsidP="00F3343F">
    <w:pPr>
      <w:pStyle w:val="naisc"/>
      <w:spacing w:before="0" w:after="0"/>
      <w:jc w:val="both"/>
      <w:rPr>
        <w:b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7B8" w:rsidRDefault="009557B8" w:rsidP="00F44C86">
      <w:r>
        <w:separator/>
      </w:r>
    </w:p>
  </w:footnote>
  <w:footnote w:type="continuationSeparator" w:id="0">
    <w:p w:rsidR="009557B8" w:rsidRDefault="009557B8" w:rsidP="00F44C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26D" w:rsidRDefault="00D3726D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C0998">
      <w:rPr>
        <w:noProof/>
      </w:rPr>
      <w:t>2</w:t>
    </w:r>
    <w:r>
      <w:fldChar w:fldCharType="end"/>
    </w:r>
  </w:p>
  <w:p w:rsidR="00D3726D" w:rsidRDefault="00D372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E75D5"/>
    <w:multiLevelType w:val="hybridMultilevel"/>
    <w:tmpl w:val="0B42665C"/>
    <w:lvl w:ilvl="0" w:tplc="5C243AD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766A35"/>
    <w:multiLevelType w:val="hybridMultilevel"/>
    <w:tmpl w:val="F872BDBC"/>
    <w:lvl w:ilvl="0" w:tplc="779052F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C86"/>
    <w:rsid w:val="00001838"/>
    <w:rsid w:val="000111F4"/>
    <w:rsid w:val="000148DD"/>
    <w:rsid w:val="000317C1"/>
    <w:rsid w:val="00034457"/>
    <w:rsid w:val="00034D1C"/>
    <w:rsid w:val="00046D09"/>
    <w:rsid w:val="00051724"/>
    <w:rsid w:val="000570E3"/>
    <w:rsid w:val="000606F1"/>
    <w:rsid w:val="00063904"/>
    <w:rsid w:val="00066911"/>
    <w:rsid w:val="00074CAF"/>
    <w:rsid w:val="00092674"/>
    <w:rsid w:val="00096DB3"/>
    <w:rsid w:val="000A02D6"/>
    <w:rsid w:val="000A2BB5"/>
    <w:rsid w:val="000A7341"/>
    <w:rsid w:val="000B365B"/>
    <w:rsid w:val="000B4AAE"/>
    <w:rsid w:val="000D033C"/>
    <w:rsid w:val="000D0C87"/>
    <w:rsid w:val="000E59D1"/>
    <w:rsid w:val="000F37E9"/>
    <w:rsid w:val="000F6757"/>
    <w:rsid w:val="000F6C9E"/>
    <w:rsid w:val="00101DDE"/>
    <w:rsid w:val="0010678C"/>
    <w:rsid w:val="00110BD9"/>
    <w:rsid w:val="0011433F"/>
    <w:rsid w:val="001227DB"/>
    <w:rsid w:val="0012295F"/>
    <w:rsid w:val="00142635"/>
    <w:rsid w:val="0015374E"/>
    <w:rsid w:val="00156ECE"/>
    <w:rsid w:val="00166EDB"/>
    <w:rsid w:val="00174597"/>
    <w:rsid w:val="0018083A"/>
    <w:rsid w:val="00192A90"/>
    <w:rsid w:val="001935B2"/>
    <w:rsid w:val="001953EF"/>
    <w:rsid w:val="001A2A88"/>
    <w:rsid w:val="001C6018"/>
    <w:rsid w:val="001C791F"/>
    <w:rsid w:val="001D09A3"/>
    <w:rsid w:val="001E0B42"/>
    <w:rsid w:val="00205F8F"/>
    <w:rsid w:val="00216BEF"/>
    <w:rsid w:val="002241EB"/>
    <w:rsid w:val="00234BCE"/>
    <w:rsid w:val="00236E10"/>
    <w:rsid w:val="002463CF"/>
    <w:rsid w:val="002603E3"/>
    <w:rsid w:val="00263307"/>
    <w:rsid w:val="00271925"/>
    <w:rsid w:val="00275935"/>
    <w:rsid w:val="00277222"/>
    <w:rsid w:val="0029112A"/>
    <w:rsid w:val="00293E9A"/>
    <w:rsid w:val="002972EE"/>
    <w:rsid w:val="00297B2E"/>
    <w:rsid w:val="002B425F"/>
    <w:rsid w:val="002B4FB0"/>
    <w:rsid w:val="002D0460"/>
    <w:rsid w:val="002D4818"/>
    <w:rsid w:val="002E3AB1"/>
    <w:rsid w:val="002E4F5A"/>
    <w:rsid w:val="002F4960"/>
    <w:rsid w:val="002F7635"/>
    <w:rsid w:val="0030399E"/>
    <w:rsid w:val="00304EF9"/>
    <w:rsid w:val="0031493B"/>
    <w:rsid w:val="003160BB"/>
    <w:rsid w:val="003256FF"/>
    <w:rsid w:val="00326872"/>
    <w:rsid w:val="00331B1F"/>
    <w:rsid w:val="00337D17"/>
    <w:rsid w:val="00340BF7"/>
    <w:rsid w:val="0035277C"/>
    <w:rsid w:val="0035717B"/>
    <w:rsid w:val="00375876"/>
    <w:rsid w:val="003771A8"/>
    <w:rsid w:val="00377F68"/>
    <w:rsid w:val="00380671"/>
    <w:rsid w:val="00383113"/>
    <w:rsid w:val="00393780"/>
    <w:rsid w:val="003A57C4"/>
    <w:rsid w:val="003B1FB0"/>
    <w:rsid w:val="003B4853"/>
    <w:rsid w:val="003C619C"/>
    <w:rsid w:val="00401BB0"/>
    <w:rsid w:val="004105CE"/>
    <w:rsid w:val="00415DB4"/>
    <w:rsid w:val="0041685E"/>
    <w:rsid w:val="004259D6"/>
    <w:rsid w:val="00425A81"/>
    <w:rsid w:val="004364F7"/>
    <w:rsid w:val="00442F97"/>
    <w:rsid w:val="00443C3F"/>
    <w:rsid w:val="004505F7"/>
    <w:rsid w:val="0045136D"/>
    <w:rsid w:val="00470AC2"/>
    <w:rsid w:val="00477EC4"/>
    <w:rsid w:val="00493245"/>
    <w:rsid w:val="00496E85"/>
    <w:rsid w:val="004B076E"/>
    <w:rsid w:val="004B10B1"/>
    <w:rsid w:val="004B3709"/>
    <w:rsid w:val="004B453A"/>
    <w:rsid w:val="004C43C1"/>
    <w:rsid w:val="004C5C7C"/>
    <w:rsid w:val="004C6EF0"/>
    <w:rsid w:val="004C7DE2"/>
    <w:rsid w:val="004D1AF5"/>
    <w:rsid w:val="004D308E"/>
    <w:rsid w:val="004D716A"/>
    <w:rsid w:val="004E6919"/>
    <w:rsid w:val="004F244B"/>
    <w:rsid w:val="00516936"/>
    <w:rsid w:val="00516DE3"/>
    <w:rsid w:val="005177C4"/>
    <w:rsid w:val="00527513"/>
    <w:rsid w:val="00527954"/>
    <w:rsid w:val="00531591"/>
    <w:rsid w:val="00543EE6"/>
    <w:rsid w:val="005510B9"/>
    <w:rsid w:val="0055542C"/>
    <w:rsid w:val="00560CAB"/>
    <w:rsid w:val="00573727"/>
    <w:rsid w:val="00580835"/>
    <w:rsid w:val="005810C5"/>
    <w:rsid w:val="00581452"/>
    <w:rsid w:val="005868A4"/>
    <w:rsid w:val="00593713"/>
    <w:rsid w:val="005B3F46"/>
    <w:rsid w:val="005C035C"/>
    <w:rsid w:val="005C58CE"/>
    <w:rsid w:val="005D1593"/>
    <w:rsid w:val="005D2FA8"/>
    <w:rsid w:val="005D5528"/>
    <w:rsid w:val="005E1B66"/>
    <w:rsid w:val="005F63F9"/>
    <w:rsid w:val="00604A1D"/>
    <w:rsid w:val="0060507D"/>
    <w:rsid w:val="006071ED"/>
    <w:rsid w:val="00607475"/>
    <w:rsid w:val="0060770A"/>
    <w:rsid w:val="00611EC5"/>
    <w:rsid w:val="0061471F"/>
    <w:rsid w:val="00633834"/>
    <w:rsid w:val="006371E9"/>
    <w:rsid w:val="0064206B"/>
    <w:rsid w:val="00651F70"/>
    <w:rsid w:val="00662C98"/>
    <w:rsid w:val="00666A1B"/>
    <w:rsid w:val="00674D83"/>
    <w:rsid w:val="00677E6C"/>
    <w:rsid w:val="006875ED"/>
    <w:rsid w:val="006B053B"/>
    <w:rsid w:val="006B154B"/>
    <w:rsid w:val="006B1924"/>
    <w:rsid w:val="006B2121"/>
    <w:rsid w:val="006C3A85"/>
    <w:rsid w:val="006D0BE7"/>
    <w:rsid w:val="006D3AE8"/>
    <w:rsid w:val="006E2ADB"/>
    <w:rsid w:val="006E630B"/>
    <w:rsid w:val="006E65BF"/>
    <w:rsid w:val="006F56D8"/>
    <w:rsid w:val="00702913"/>
    <w:rsid w:val="00707BD0"/>
    <w:rsid w:val="00720C0E"/>
    <w:rsid w:val="0073548D"/>
    <w:rsid w:val="007416EF"/>
    <w:rsid w:val="0074370A"/>
    <w:rsid w:val="00751F16"/>
    <w:rsid w:val="00767F1E"/>
    <w:rsid w:val="00773DC4"/>
    <w:rsid w:val="00785123"/>
    <w:rsid w:val="007958FC"/>
    <w:rsid w:val="007A35D1"/>
    <w:rsid w:val="007B354A"/>
    <w:rsid w:val="007B740E"/>
    <w:rsid w:val="007C0998"/>
    <w:rsid w:val="007C0B53"/>
    <w:rsid w:val="007C1DCE"/>
    <w:rsid w:val="007C2089"/>
    <w:rsid w:val="007D19C7"/>
    <w:rsid w:val="008069E9"/>
    <w:rsid w:val="008118B1"/>
    <w:rsid w:val="00822FF0"/>
    <w:rsid w:val="0083233B"/>
    <w:rsid w:val="0083277D"/>
    <w:rsid w:val="008336DD"/>
    <w:rsid w:val="008429F2"/>
    <w:rsid w:val="0084784F"/>
    <w:rsid w:val="00867C68"/>
    <w:rsid w:val="008839F0"/>
    <w:rsid w:val="008B0C3B"/>
    <w:rsid w:val="008D2C19"/>
    <w:rsid w:val="008D303B"/>
    <w:rsid w:val="008D34F8"/>
    <w:rsid w:val="008D55FC"/>
    <w:rsid w:val="008E2A0A"/>
    <w:rsid w:val="008F23CF"/>
    <w:rsid w:val="008F3803"/>
    <w:rsid w:val="00906F01"/>
    <w:rsid w:val="00911244"/>
    <w:rsid w:val="0091246C"/>
    <w:rsid w:val="00946B73"/>
    <w:rsid w:val="00953B4B"/>
    <w:rsid w:val="009557B8"/>
    <w:rsid w:val="00957165"/>
    <w:rsid w:val="009605C4"/>
    <w:rsid w:val="0097580F"/>
    <w:rsid w:val="0097785B"/>
    <w:rsid w:val="0097793B"/>
    <w:rsid w:val="00980A6B"/>
    <w:rsid w:val="009818ED"/>
    <w:rsid w:val="0098250D"/>
    <w:rsid w:val="0098301F"/>
    <w:rsid w:val="00987FC6"/>
    <w:rsid w:val="00994B83"/>
    <w:rsid w:val="009A17E8"/>
    <w:rsid w:val="009A3A5A"/>
    <w:rsid w:val="009A7B59"/>
    <w:rsid w:val="009B63EF"/>
    <w:rsid w:val="009D0B21"/>
    <w:rsid w:val="009D1F13"/>
    <w:rsid w:val="009E326D"/>
    <w:rsid w:val="009E39FA"/>
    <w:rsid w:val="00A01258"/>
    <w:rsid w:val="00A0774A"/>
    <w:rsid w:val="00A17B7C"/>
    <w:rsid w:val="00A3146D"/>
    <w:rsid w:val="00A437CD"/>
    <w:rsid w:val="00A46086"/>
    <w:rsid w:val="00A461A5"/>
    <w:rsid w:val="00A67680"/>
    <w:rsid w:val="00A71A1F"/>
    <w:rsid w:val="00A84D2E"/>
    <w:rsid w:val="00A97673"/>
    <w:rsid w:val="00AA0897"/>
    <w:rsid w:val="00AA0D7B"/>
    <w:rsid w:val="00AA6A7A"/>
    <w:rsid w:val="00AB61F9"/>
    <w:rsid w:val="00AE0FE6"/>
    <w:rsid w:val="00AE3CB8"/>
    <w:rsid w:val="00AF2810"/>
    <w:rsid w:val="00B02441"/>
    <w:rsid w:val="00B02993"/>
    <w:rsid w:val="00B03DDE"/>
    <w:rsid w:val="00B0586D"/>
    <w:rsid w:val="00B110B0"/>
    <w:rsid w:val="00B161B9"/>
    <w:rsid w:val="00B241F5"/>
    <w:rsid w:val="00B3195E"/>
    <w:rsid w:val="00B34671"/>
    <w:rsid w:val="00B403AA"/>
    <w:rsid w:val="00B457E6"/>
    <w:rsid w:val="00B46349"/>
    <w:rsid w:val="00B5471F"/>
    <w:rsid w:val="00B57C14"/>
    <w:rsid w:val="00B65C63"/>
    <w:rsid w:val="00B71313"/>
    <w:rsid w:val="00B74D5F"/>
    <w:rsid w:val="00B7545C"/>
    <w:rsid w:val="00B83D0D"/>
    <w:rsid w:val="00B922A1"/>
    <w:rsid w:val="00BA1ED1"/>
    <w:rsid w:val="00BB3B7A"/>
    <w:rsid w:val="00BD1AE5"/>
    <w:rsid w:val="00BE2CA8"/>
    <w:rsid w:val="00BE4318"/>
    <w:rsid w:val="00BF16D6"/>
    <w:rsid w:val="00BF2822"/>
    <w:rsid w:val="00BF7812"/>
    <w:rsid w:val="00C03102"/>
    <w:rsid w:val="00C122B3"/>
    <w:rsid w:val="00C40A77"/>
    <w:rsid w:val="00C438B9"/>
    <w:rsid w:val="00C43C69"/>
    <w:rsid w:val="00C464D9"/>
    <w:rsid w:val="00C60955"/>
    <w:rsid w:val="00C6250B"/>
    <w:rsid w:val="00C653E0"/>
    <w:rsid w:val="00C81364"/>
    <w:rsid w:val="00C82CB2"/>
    <w:rsid w:val="00C85179"/>
    <w:rsid w:val="00C85FDA"/>
    <w:rsid w:val="00C923E8"/>
    <w:rsid w:val="00CB540A"/>
    <w:rsid w:val="00CB6B06"/>
    <w:rsid w:val="00CC1D73"/>
    <w:rsid w:val="00CD2491"/>
    <w:rsid w:val="00CD33A7"/>
    <w:rsid w:val="00CE2C74"/>
    <w:rsid w:val="00CE2DDD"/>
    <w:rsid w:val="00CF04A1"/>
    <w:rsid w:val="00CF196C"/>
    <w:rsid w:val="00CF6108"/>
    <w:rsid w:val="00D05EB6"/>
    <w:rsid w:val="00D229BC"/>
    <w:rsid w:val="00D3039E"/>
    <w:rsid w:val="00D309E4"/>
    <w:rsid w:val="00D34B5E"/>
    <w:rsid w:val="00D364E5"/>
    <w:rsid w:val="00D3726D"/>
    <w:rsid w:val="00D46FB9"/>
    <w:rsid w:val="00D571FB"/>
    <w:rsid w:val="00D600F5"/>
    <w:rsid w:val="00D60135"/>
    <w:rsid w:val="00D67A80"/>
    <w:rsid w:val="00D74B3B"/>
    <w:rsid w:val="00D7574C"/>
    <w:rsid w:val="00D76BC5"/>
    <w:rsid w:val="00D807BE"/>
    <w:rsid w:val="00D840B3"/>
    <w:rsid w:val="00D840D0"/>
    <w:rsid w:val="00D8432A"/>
    <w:rsid w:val="00D878B1"/>
    <w:rsid w:val="00D93202"/>
    <w:rsid w:val="00D95B2E"/>
    <w:rsid w:val="00DA06B5"/>
    <w:rsid w:val="00DA1D32"/>
    <w:rsid w:val="00DA2488"/>
    <w:rsid w:val="00DA3D9A"/>
    <w:rsid w:val="00DA4C62"/>
    <w:rsid w:val="00DB7868"/>
    <w:rsid w:val="00DD56B0"/>
    <w:rsid w:val="00DE7293"/>
    <w:rsid w:val="00DE7DEF"/>
    <w:rsid w:val="00DF548D"/>
    <w:rsid w:val="00E05EFE"/>
    <w:rsid w:val="00E27A1D"/>
    <w:rsid w:val="00E309A1"/>
    <w:rsid w:val="00E45604"/>
    <w:rsid w:val="00E565AD"/>
    <w:rsid w:val="00E57943"/>
    <w:rsid w:val="00EA54FE"/>
    <w:rsid w:val="00EA5A4D"/>
    <w:rsid w:val="00EB6DAE"/>
    <w:rsid w:val="00EC0E3A"/>
    <w:rsid w:val="00EC2D39"/>
    <w:rsid w:val="00EC427D"/>
    <w:rsid w:val="00ED0A4E"/>
    <w:rsid w:val="00ED2155"/>
    <w:rsid w:val="00EE3E64"/>
    <w:rsid w:val="00EE403C"/>
    <w:rsid w:val="00F0483E"/>
    <w:rsid w:val="00F27AAB"/>
    <w:rsid w:val="00F30E98"/>
    <w:rsid w:val="00F32E5A"/>
    <w:rsid w:val="00F3343F"/>
    <w:rsid w:val="00F44C86"/>
    <w:rsid w:val="00F5302B"/>
    <w:rsid w:val="00F53BDA"/>
    <w:rsid w:val="00F66790"/>
    <w:rsid w:val="00F66B3F"/>
    <w:rsid w:val="00F77CD5"/>
    <w:rsid w:val="00F86E11"/>
    <w:rsid w:val="00F96E07"/>
    <w:rsid w:val="00FA52FC"/>
    <w:rsid w:val="00FB2796"/>
    <w:rsid w:val="00FB709D"/>
    <w:rsid w:val="00FC0005"/>
    <w:rsid w:val="00FC5F2D"/>
    <w:rsid w:val="00FE2C70"/>
    <w:rsid w:val="00FE3F6A"/>
    <w:rsid w:val="00FF351B"/>
    <w:rsid w:val="00FF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C8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F44C86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F44C86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F44C86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">
    <w:name w:val="Body Text"/>
    <w:basedOn w:val="Normal"/>
    <w:link w:val="BodyTextChar"/>
    <w:unhideWhenUsed/>
    <w:rsid w:val="00F44C86"/>
    <w:rPr>
      <w:sz w:val="28"/>
      <w:lang w:eastAsia="en-US"/>
    </w:rPr>
  </w:style>
  <w:style w:type="character" w:customStyle="1" w:styleId="BodyTextChar">
    <w:name w:val="Body Text Char"/>
    <w:link w:val="BodyText"/>
    <w:rsid w:val="00F44C86"/>
    <w:rPr>
      <w:rFonts w:ascii="Times New Roman" w:eastAsia="Times New Roman" w:hAnsi="Times New Roman" w:cs="Times New Roman"/>
      <w:sz w:val="28"/>
      <w:szCs w:val="24"/>
    </w:rPr>
  </w:style>
  <w:style w:type="paragraph" w:customStyle="1" w:styleId="naiskr">
    <w:name w:val="naiskr"/>
    <w:basedOn w:val="Normal"/>
    <w:rsid w:val="00F44C86"/>
    <w:pPr>
      <w:spacing w:before="75" w:after="75"/>
    </w:pPr>
  </w:style>
  <w:style w:type="paragraph" w:customStyle="1" w:styleId="naisnod">
    <w:name w:val="naisnod"/>
    <w:basedOn w:val="Normal"/>
    <w:rsid w:val="00F44C86"/>
    <w:pPr>
      <w:spacing w:before="150" w:after="150"/>
      <w:jc w:val="center"/>
    </w:pPr>
    <w:rPr>
      <w:b/>
      <w:bCs/>
    </w:rPr>
  </w:style>
  <w:style w:type="paragraph" w:customStyle="1" w:styleId="naisc">
    <w:name w:val="naisc"/>
    <w:basedOn w:val="Normal"/>
    <w:rsid w:val="00F44C86"/>
    <w:pPr>
      <w:spacing w:before="450" w:after="300"/>
      <w:jc w:val="center"/>
    </w:pPr>
    <w:rPr>
      <w:sz w:val="26"/>
      <w:szCs w:val="26"/>
    </w:rPr>
  </w:style>
  <w:style w:type="paragraph" w:customStyle="1" w:styleId="StyleRight">
    <w:name w:val="Style Right"/>
    <w:basedOn w:val="Normal"/>
    <w:rsid w:val="00F44C86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FootnoteText">
    <w:name w:val="footnote text"/>
    <w:basedOn w:val="Normal"/>
    <w:link w:val="FootnoteTextChar"/>
    <w:semiHidden/>
    <w:rsid w:val="00F44C86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F44C86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nhideWhenUsed/>
    <w:rsid w:val="00F44C86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F44C86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Indent">
    <w:name w:val="Body Text Indent"/>
    <w:basedOn w:val="Normal"/>
    <w:link w:val="BodyTextIndentChar"/>
    <w:uiPriority w:val="99"/>
    <w:unhideWhenUsed/>
    <w:rsid w:val="00FC0005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rsid w:val="00FC0005"/>
    <w:rPr>
      <w:rFonts w:ascii="Times New Roman" w:eastAsia="Times New Roman" w:hAnsi="Times New Roman"/>
      <w:sz w:val="24"/>
      <w:szCs w:val="24"/>
    </w:rPr>
  </w:style>
  <w:style w:type="paragraph" w:customStyle="1" w:styleId="RakstzRakstz">
    <w:name w:val="Rakstz. Rakstz."/>
    <w:basedOn w:val="Normal"/>
    <w:rsid w:val="00FC0005"/>
    <w:pPr>
      <w:spacing w:before="40"/>
    </w:pPr>
    <w:rPr>
      <w:sz w:val="28"/>
      <w:szCs w:val="28"/>
      <w:lang w:eastAsia="en-US"/>
    </w:rPr>
  </w:style>
  <w:style w:type="paragraph" w:styleId="NormalWeb">
    <w:name w:val="Normal (Web)"/>
    <w:basedOn w:val="Normal"/>
    <w:uiPriority w:val="99"/>
    <w:unhideWhenUsed/>
    <w:rsid w:val="00C438B9"/>
    <w:pPr>
      <w:spacing w:before="100" w:beforeAutospacing="1" w:after="100" w:afterAutospacing="1"/>
    </w:pPr>
    <w:rPr>
      <w:rFonts w:ascii="Verdana" w:hAnsi="Verdana"/>
      <w:sz w:val="15"/>
      <w:szCs w:val="15"/>
    </w:rPr>
  </w:style>
  <w:style w:type="character" w:styleId="Strong">
    <w:name w:val="Strong"/>
    <w:uiPriority w:val="22"/>
    <w:qFormat/>
    <w:rsid w:val="00C438B9"/>
    <w:rPr>
      <w:b/>
      <w:bCs/>
    </w:rPr>
  </w:style>
  <w:style w:type="paragraph" w:styleId="BalloonText">
    <w:name w:val="Balloon Text"/>
    <w:basedOn w:val="Normal"/>
    <w:semiHidden/>
    <w:rsid w:val="006B192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256FF"/>
    <w:rPr>
      <w:color w:val="0000FF"/>
      <w:u w:val="single"/>
    </w:rPr>
  </w:style>
  <w:style w:type="paragraph" w:customStyle="1" w:styleId="tvhtml">
    <w:name w:val="tv_html"/>
    <w:basedOn w:val="Normal"/>
    <w:rsid w:val="000570E3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C81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C8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F44C86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F44C86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F44C86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">
    <w:name w:val="Body Text"/>
    <w:basedOn w:val="Normal"/>
    <w:link w:val="BodyTextChar"/>
    <w:unhideWhenUsed/>
    <w:rsid w:val="00F44C86"/>
    <w:rPr>
      <w:sz w:val="28"/>
      <w:lang w:eastAsia="en-US"/>
    </w:rPr>
  </w:style>
  <w:style w:type="character" w:customStyle="1" w:styleId="BodyTextChar">
    <w:name w:val="Body Text Char"/>
    <w:link w:val="BodyText"/>
    <w:rsid w:val="00F44C86"/>
    <w:rPr>
      <w:rFonts w:ascii="Times New Roman" w:eastAsia="Times New Roman" w:hAnsi="Times New Roman" w:cs="Times New Roman"/>
      <w:sz w:val="28"/>
      <w:szCs w:val="24"/>
    </w:rPr>
  </w:style>
  <w:style w:type="paragraph" w:customStyle="1" w:styleId="naiskr">
    <w:name w:val="naiskr"/>
    <w:basedOn w:val="Normal"/>
    <w:rsid w:val="00F44C86"/>
    <w:pPr>
      <w:spacing w:before="75" w:after="75"/>
    </w:pPr>
  </w:style>
  <w:style w:type="paragraph" w:customStyle="1" w:styleId="naisnod">
    <w:name w:val="naisnod"/>
    <w:basedOn w:val="Normal"/>
    <w:rsid w:val="00F44C86"/>
    <w:pPr>
      <w:spacing w:before="150" w:after="150"/>
      <w:jc w:val="center"/>
    </w:pPr>
    <w:rPr>
      <w:b/>
      <w:bCs/>
    </w:rPr>
  </w:style>
  <w:style w:type="paragraph" w:customStyle="1" w:styleId="naisc">
    <w:name w:val="naisc"/>
    <w:basedOn w:val="Normal"/>
    <w:rsid w:val="00F44C86"/>
    <w:pPr>
      <w:spacing w:before="450" w:after="300"/>
      <w:jc w:val="center"/>
    </w:pPr>
    <w:rPr>
      <w:sz w:val="26"/>
      <w:szCs w:val="26"/>
    </w:rPr>
  </w:style>
  <w:style w:type="paragraph" w:customStyle="1" w:styleId="StyleRight">
    <w:name w:val="Style Right"/>
    <w:basedOn w:val="Normal"/>
    <w:rsid w:val="00F44C86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FootnoteText">
    <w:name w:val="footnote text"/>
    <w:basedOn w:val="Normal"/>
    <w:link w:val="FootnoteTextChar"/>
    <w:semiHidden/>
    <w:rsid w:val="00F44C86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F44C86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nhideWhenUsed/>
    <w:rsid w:val="00F44C86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F44C86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Indent">
    <w:name w:val="Body Text Indent"/>
    <w:basedOn w:val="Normal"/>
    <w:link w:val="BodyTextIndentChar"/>
    <w:uiPriority w:val="99"/>
    <w:unhideWhenUsed/>
    <w:rsid w:val="00FC0005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rsid w:val="00FC0005"/>
    <w:rPr>
      <w:rFonts w:ascii="Times New Roman" w:eastAsia="Times New Roman" w:hAnsi="Times New Roman"/>
      <w:sz w:val="24"/>
      <w:szCs w:val="24"/>
    </w:rPr>
  </w:style>
  <w:style w:type="paragraph" w:customStyle="1" w:styleId="RakstzRakstz">
    <w:name w:val="Rakstz. Rakstz."/>
    <w:basedOn w:val="Normal"/>
    <w:rsid w:val="00FC0005"/>
    <w:pPr>
      <w:spacing w:before="40"/>
    </w:pPr>
    <w:rPr>
      <w:sz w:val="28"/>
      <w:szCs w:val="28"/>
      <w:lang w:eastAsia="en-US"/>
    </w:rPr>
  </w:style>
  <w:style w:type="paragraph" w:styleId="NormalWeb">
    <w:name w:val="Normal (Web)"/>
    <w:basedOn w:val="Normal"/>
    <w:uiPriority w:val="99"/>
    <w:unhideWhenUsed/>
    <w:rsid w:val="00C438B9"/>
    <w:pPr>
      <w:spacing w:before="100" w:beforeAutospacing="1" w:after="100" w:afterAutospacing="1"/>
    </w:pPr>
    <w:rPr>
      <w:rFonts w:ascii="Verdana" w:hAnsi="Verdana"/>
      <w:sz w:val="15"/>
      <w:szCs w:val="15"/>
    </w:rPr>
  </w:style>
  <w:style w:type="character" w:styleId="Strong">
    <w:name w:val="Strong"/>
    <w:uiPriority w:val="22"/>
    <w:qFormat/>
    <w:rsid w:val="00C438B9"/>
    <w:rPr>
      <w:b/>
      <w:bCs/>
    </w:rPr>
  </w:style>
  <w:style w:type="paragraph" w:styleId="BalloonText">
    <w:name w:val="Balloon Text"/>
    <w:basedOn w:val="Normal"/>
    <w:semiHidden/>
    <w:rsid w:val="006B192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256FF"/>
    <w:rPr>
      <w:color w:val="0000FF"/>
      <w:u w:val="single"/>
    </w:rPr>
  </w:style>
  <w:style w:type="paragraph" w:customStyle="1" w:styleId="tvhtml">
    <w:name w:val="tv_html"/>
    <w:basedOn w:val="Normal"/>
    <w:rsid w:val="000570E3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C81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1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6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9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0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47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44426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815356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uta.ancupane@visc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CE14E-A91B-4BD6-AF11-4013A8BFA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3929</Words>
  <Characters>2240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„Profesionālo kvalifikāciju saraksts, kuras iegūstot kārtojami centralizētie profesionālās kvalifikācijas eksāmeni” sākotnējās ietekmes novērtējuma ziņojums (anotācija)</vt:lpstr>
    </vt:vector>
  </TitlesOfParts>
  <Manager>Valsts izglītības satura centrs</Manager>
  <Company>Izglītības un zinātnes ministrija</Company>
  <LinksUpToDate>false</LinksUpToDate>
  <CharactersWithSpaces>6157</CharactersWithSpaces>
  <SharedDoc>false</SharedDoc>
  <HLinks>
    <vt:vector size="6" baseType="variant">
      <vt:variant>
        <vt:i4>4784245</vt:i4>
      </vt:variant>
      <vt:variant>
        <vt:i4>0</vt:i4>
      </vt:variant>
      <vt:variant>
        <vt:i4>0</vt:i4>
      </vt:variant>
      <vt:variant>
        <vt:i4>5</vt:i4>
      </vt:variant>
      <vt:variant>
        <vt:lpwstr>mailto:ruta.ancupane@visc.gov.lv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„Profesionālo kvalifikāciju saraksts, kuras iegūstot kārtojami centralizētie profesionālās kvalifikācijas eksāmeni” sākotnējās ietekmes novērtējuma ziņojums (anotācija)</dc:title>
  <dc:subject>Anotācija</dc:subject>
  <dc:creator>R.Ančupāne</dc:creator>
  <dc:description>67350812_x000d_
 ruta.ancupane@visc.gov.lv</dc:description>
  <cp:lastModifiedBy>Ivars Zemļanskis</cp:lastModifiedBy>
  <cp:revision>4</cp:revision>
  <cp:lastPrinted>2016-01-27T12:33:00Z</cp:lastPrinted>
  <dcterms:created xsi:type="dcterms:W3CDTF">2016-04-04T07:19:00Z</dcterms:created>
  <dcterms:modified xsi:type="dcterms:W3CDTF">2016-04-04T07:30:00Z</dcterms:modified>
</cp:coreProperties>
</file>