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CA" w:rsidRDefault="00DF49CA" w:rsidP="00DF49CA">
      <w:pPr>
        <w:jc w:val="center"/>
        <w:rPr>
          <w:rFonts w:asciiTheme="majorBidi" w:eastAsia="Times New Roman" w:hAnsiTheme="majorBidi" w:cstheme="majorBidi"/>
          <w:b/>
          <w:bCs/>
          <w:color w:val="000000"/>
          <w:sz w:val="24"/>
          <w:szCs w:val="24"/>
          <w:lang w:val="en-GB" w:eastAsia="en-GB"/>
        </w:rPr>
      </w:pP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r>
      <w:r>
        <w:rPr>
          <w:rFonts w:asciiTheme="majorBidi" w:eastAsia="Times New Roman" w:hAnsiTheme="majorBidi" w:cstheme="majorBidi"/>
          <w:b/>
          <w:bCs/>
          <w:color w:val="000000"/>
          <w:sz w:val="24"/>
          <w:szCs w:val="24"/>
          <w:lang w:val="en-GB" w:eastAsia="en-GB"/>
        </w:rPr>
        <w:tab/>
        <w:t>Pielikums Nr.1</w:t>
      </w:r>
    </w:p>
    <w:p w:rsidR="00DF49CA" w:rsidRDefault="00DF49CA" w:rsidP="00DF49CA">
      <w:pPr>
        <w:jc w:val="center"/>
        <w:rPr>
          <w:rFonts w:asciiTheme="majorBidi" w:eastAsia="Times New Roman" w:hAnsiTheme="majorBidi" w:cstheme="majorBidi"/>
          <w:b/>
          <w:bCs/>
          <w:color w:val="000000"/>
          <w:sz w:val="24"/>
          <w:szCs w:val="24"/>
          <w:lang w:val="en-GB" w:eastAsia="en-GB"/>
        </w:rPr>
      </w:pPr>
    </w:p>
    <w:p w:rsidR="00DF49CA" w:rsidRPr="005D0A69" w:rsidRDefault="00DF49CA" w:rsidP="00DF49CA">
      <w:pPr>
        <w:jc w:val="center"/>
        <w:rPr>
          <w:rFonts w:asciiTheme="majorBidi" w:hAnsiTheme="majorBidi" w:cstheme="majorBidi"/>
          <w:b/>
          <w:bCs/>
          <w:color w:val="000000"/>
          <w:sz w:val="24"/>
          <w:szCs w:val="24"/>
          <w:lang w:val="lv-LV"/>
        </w:rPr>
      </w:pPr>
      <w:r w:rsidRPr="00402D1A">
        <w:rPr>
          <w:rFonts w:asciiTheme="majorBidi" w:eastAsia="Times New Roman" w:hAnsiTheme="majorBidi" w:cstheme="majorBidi"/>
          <w:b/>
          <w:bCs/>
          <w:color w:val="000000"/>
          <w:sz w:val="24"/>
          <w:szCs w:val="24"/>
          <w:lang w:val="en-GB" w:eastAsia="en-GB"/>
        </w:rPr>
        <w:t>Brīvās darba vietas NVA uzskatē uz 18.01.2016.</w:t>
      </w:r>
    </w:p>
    <w:tbl>
      <w:tblPr>
        <w:tblW w:w="8640" w:type="dxa"/>
        <w:tblInd w:w="-5" w:type="dxa"/>
        <w:tblLook w:val="04A0" w:firstRow="1" w:lastRow="0" w:firstColumn="1" w:lastColumn="0" w:noHBand="0" w:noVBand="1"/>
      </w:tblPr>
      <w:tblGrid>
        <w:gridCol w:w="777"/>
        <w:gridCol w:w="6782"/>
        <w:gridCol w:w="1081"/>
      </w:tblGrid>
      <w:tr w:rsidR="00DF49CA" w:rsidRPr="00402D1A" w:rsidTr="007A3B7B">
        <w:trPr>
          <w:trHeight w:val="900"/>
        </w:trPr>
        <w:tc>
          <w:tcPr>
            <w:tcW w:w="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 </w:t>
            </w:r>
          </w:p>
        </w:tc>
        <w:tc>
          <w:tcPr>
            <w:tcW w:w="6782" w:type="dxa"/>
            <w:tcBorders>
              <w:top w:val="single" w:sz="4" w:space="0" w:color="auto"/>
              <w:left w:val="nil"/>
              <w:bottom w:val="single" w:sz="4" w:space="0" w:color="auto"/>
              <w:right w:val="single" w:sz="4" w:space="0" w:color="auto"/>
            </w:tcBorders>
            <w:shd w:val="clear" w:color="auto" w:fill="auto"/>
            <w:vAlign w:val="bottom"/>
            <w:hideMark/>
          </w:tcPr>
          <w:p w:rsidR="00DF49CA" w:rsidRPr="00402D1A" w:rsidRDefault="00DF49CA" w:rsidP="007A3B7B">
            <w:pPr>
              <w:spacing w:after="0" w:line="240" w:lineRule="auto"/>
              <w:jc w:val="center"/>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Profesijas kods un nosaukums</w:t>
            </w:r>
          </w:p>
        </w:tc>
        <w:tc>
          <w:tcPr>
            <w:tcW w:w="1081" w:type="dxa"/>
            <w:tcBorders>
              <w:top w:val="single" w:sz="4" w:space="0" w:color="auto"/>
              <w:left w:val="nil"/>
              <w:bottom w:val="single" w:sz="4" w:space="0" w:color="auto"/>
              <w:right w:val="single" w:sz="4" w:space="0" w:color="auto"/>
            </w:tcBorders>
            <w:shd w:val="clear" w:color="auto" w:fill="auto"/>
            <w:vAlign w:val="bottom"/>
            <w:hideMark/>
          </w:tcPr>
          <w:p w:rsidR="00DF49CA" w:rsidRPr="00402D1A" w:rsidRDefault="00DF49CA" w:rsidP="007A3B7B">
            <w:pPr>
              <w:spacing w:after="0" w:line="240" w:lineRule="auto"/>
              <w:jc w:val="center"/>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Atlikušais vietu skaits kopā</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833203 KRAVAS AUTOMOBIĻA VADĪTĀJS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590</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721403 KUĢU REMONTATSLĒDZNIEKS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366</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721201 GĀZMETINĀTĀJS (OAW)</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181</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512002 PAVĀRS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129</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931301 BŪVSTRĀDNIEKS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128</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6</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522301 MAZUMTIRDZNIECĪBAS VEIKALA PĀRDEVĒJS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102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751102 ZIVJU APSTRĀDĀTĀJS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251205 PROGRAMMĒTĀJS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94</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713201 TRANSPORTLĪDZEKĻU KRĀSOTĀJS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88</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10</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332202 TIRDZNIECĪBAS AĢENTS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83</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11</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523003 VEIKALA KASIERIS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12</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721206 LOKMETINĀTĀJS METINĀŠANĀ AR MEHANIZĒTO IEKĀRTU INERTĀS GĀZES VIDĒ (MIG)</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13</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753101 ŠUVĒJS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14</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833205 VILCĒJAUTOMOBIĻA VADĪTĀJS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67</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15</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711909 CAURUĻVADU MONTĒTĀJS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64</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16</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721407 KUĢU CAURUĻU ATSLĒDZNIEKS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60</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17</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911201 APKOPĒJS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56</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18</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721205 LOKMETINĀTĀJS METINĀŠANĀ AR MEHANIZĒTO IEKĀRTU AKTĪVĀS GĀZES VIDĒ (MAG)</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53</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19</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721402 KUĢUBŪVES ATSLĒDZNIEKS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53</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20</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833202 BĪSTAMU KRAVU PĀRVADĀŠANAS TRANSPORTLĪDZEKĻU VADĪTĀJS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50</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21</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721212 METĀLMATERIĀLU METINĀTĀJS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50</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22</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413201 INFORMĀCIJAS IEVADĪŠANAS OPERATORS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23</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332209 PĀRDOŠANAS SPECIĀLISTS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24</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933402 TIRDZNIECĪBAS ZĀLES DARBINIEKS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39</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25</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721204 ROKAS LOKMETINĀTĀJS (MMA)</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39</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26</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741101 ELEKTRIĶIS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37</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27</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333935 REKLĀMAS SPECIĀLISTS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36</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28</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723301 MEHĀNIĶIS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29</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932909 PALĪGSTRĀDNIEKS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30</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432108 NOLIKTAVAS DARBINIEKS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32</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31</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711401 BETONĒTĀJS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30</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32</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322101 MĀSA (MEDICĪNAS MĀSA)</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29</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33</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541405 APSARDZES DARBINIEKS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29</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34</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932908 CEHA STRĀDNIEKS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28</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35</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721207 LOKMETINĀTĀJS METINĀŠANĀ AR VOLFRAMA ELEKTRODU INERTĀS GĀZES VIDĒ (TIG)</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27</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lastRenderedPageBreak/>
              <w:t>36</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522303 PĀRDEVĒJS KONSULTANTS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26</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37</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752201 GALDNIEKS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38</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252302 VECĀKAIS DATORTĪKLA ADMINISTRATORS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25</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39</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816005 GAĻAS APSTRĀDES IEKĀRTU OPERATORS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24</w:t>
            </w:r>
          </w:p>
        </w:tc>
      </w:tr>
      <w:tr w:rsidR="00DF49CA" w:rsidRPr="00402D1A" w:rsidTr="007A3B7B">
        <w:trPr>
          <w:trHeight w:val="300"/>
        </w:trPr>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40</w:t>
            </w:r>
          </w:p>
        </w:tc>
        <w:tc>
          <w:tcPr>
            <w:tcW w:w="6782"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221101 ĀRSTS</w:t>
            </w:r>
          </w:p>
        </w:tc>
        <w:tc>
          <w:tcPr>
            <w:tcW w:w="1081" w:type="dxa"/>
            <w:tcBorders>
              <w:top w:val="nil"/>
              <w:left w:val="nil"/>
              <w:bottom w:val="single" w:sz="4" w:space="0" w:color="auto"/>
              <w:right w:val="single" w:sz="4" w:space="0" w:color="auto"/>
            </w:tcBorders>
            <w:shd w:val="clear" w:color="auto" w:fill="auto"/>
            <w:noWrap/>
            <w:vAlign w:val="bottom"/>
            <w:hideMark/>
          </w:tcPr>
          <w:p w:rsidR="00DF49CA" w:rsidRPr="00402D1A" w:rsidRDefault="00DF49CA" w:rsidP="007A3B7B">
            <w:pPr>
              <w:spacing w:after="0" w:line="240" w:lineRule="auto"/>
              <w:jc w:val="right"/>
              <w:rPr>
                <w:rFonts w:asciiTheme="majorBidi" w:eastAsia="Times New Roman" w:hAnsiTheme="majorBidi" w:cstheme="majorBidi"/>
                <w:color w:val="000000"/>
                <w:sz w:val="20"/>
                <w:szCs w:val="20"/>
                <w:lang w:val="en-GB" w:eastAsia="en-GB"/>
              </w:rPr>
            </w:pPr>
            <w:r w:rsidRPr="00402D1A">
              <w:rPr>
                <w:rFonts w:asciiTheme="majorBidi" w:eastAsia="Times New Roman" w:hAnsiTheme="majorBidi" w:cstheme="majorBidi"/>
                <w:color w:val="000000"/>
                <w:sz w:val="20"/>
                <w:szCs w:val="20"/>
                <w:lang w:val="en-GB" w:eastAsia="en-GB"/>
              </w:rPr>
              <w:t>23</w:t>
            </w:r>
          </w:p>
        </w:tc>
      </w:tr>
    </w:tbl>
    <w:p w:rsidR="00DF49CA" w:rsidRDefault="00DF49CA" w:rsidP="00DF49CA">
      <w:pPr>
        <w:rPr>
          <w:rFonts w:asciiTheme="majorBidi" w:hAnsiTheme="majorBidi" w:cstheme="majorBidi"/>
          <w:bCs/>
          <w:color w:val="000000"/>
          <w:sz w:val="20"/>
          <w:szCs w:val="20"/>
          <w:lang w:val="lv-LV"/>
        </w:rPr>
      </w:pPr>
    </w:p>
    <w:p w:rsidR="00DF49CA" w:rsidRDefault="00DF49CA" w:rsidP="00DF49CA">
      <w:pPr>
        <w:rPr>
          <w:rFonts w:asciiTheme="majorBidi" w:hAnsiTheme="majorBidi" w:cstheme="majorBidi"/>
          <w:bCs/>
          <w:color w:val="000000"/>
          <w:sz w:val="20"/>
          <w:szCs w:val="20"/>
          <w:lang w:val="lv-LV"/>
        </w:rPr>
      </w:pPr>
    </w:p>
    <w:p w:rsidR="00DF49CA" w:rsidRDefault="00DF49CA" w:rsidP="00DF49CA">
      <w:pPr>
        <w:rPr>
          <w:rFonts w:asciiTheme="majorBidi" w:hAnsiTheme="majorBidi" w:cstheme="majorBidi"/>
          <w:bCs/>
          <w:color w:val="000000"/>
          <w:sz w:val="20"/>
          <w:szCs w:val="20"/>
          <w:lang w:val="lv-LV"/>
        </w:rPr>
      </w:pPr>
      <w:r>
        <w:rPr>
          <w:rFonts w:asciiTheme="majorBidi" w:hAnsiTheme="majorBidi" w:cstheme="majorBidi"/>
          <w:bCs/>
          <w:color w:val="000000"/>
          <w:sz w:val="20"/>
          <w:szCs w:val="20"/>
          <w:lang w:val="lv-LV"/>
        </w:rPr>
        <w:br w:type="page"/>
      </w:r>
    </w:p>
    <w:p w:rsidR="00DF49CA" w:rsidRPr="008162F9" w:rsidRDefault="00DF49CA" w:rsidP="00DF49CA">
      <w:pPr>
        <w:jc w:val="right"/>
        <w:rPr>
          <w:rFonts w:asciiTheme="majorBidi" w:hAnsiTheme="majorBidi" w:cstheme="majorBidi"/>
          <w:b/>
          <w:bCs/>
          <w:color w:val="000000"/>
          <w:sz w:val="24"/>
          <w:szCs w:val="24"/>
          <w:lang w:val="lv-LV"/>
        </w:rPr>
      </w:pPr>
      <w:r w:rsidRPr="008162F9">
        <w:rPr>
          <w:rFonts w:asciiTheme="majorBidi" w:hAnsiTheme="majorBidi" w:cstheme="majorBidi"/>
          <w:b/>
          <w:bCs/>
          <w:color w:val="000000"/>
          <w:sz w:val="24"/>
          <w:szCs w:val="24"/>
          <w:lang w:val="lv-LV"/>
        </w:rPr>
        <w:lastRenderedPageBreak/>
        <w:t>Pielikums Nr.2</w:t>
      </w:r>
    </w:p>
    <w:p w:rsidR="00DF49CA" w:rsidRPr="00A943C3" w:rsidRDefault="00DF49CA" w:rsidP="00DF49CA">
      <w:pPr>
        <w:rPr>
          <w:rFonts w:asciiTheme="majorBidi" w:hAnsiTheme="majorBidi" w:cstheme="majorBidi"/>
          <w:bCs/>
          <w:color w:val="000000"/>
          <w:sz w:val="24"/>
          <w:szCs w:val="24"/>
          <w:lang w:val="lv-LV"/>
        </w:rPr>
      </w:pPr>
      <w:r w:rsidRPr="00B45017">
        <w:rPr>
          <w:rFonts w:asciiTheme="majorBidi" w:eastAsia="Times New Roman" w:hAnsiTheme="majorBidi" w:cstheme="majorBidi"/>
          <w:b/>
          <w:bCs/>
          <w:color w:val="000000"/>
          <w:sz w:val="24"/>
          <w:szCs w:val="24"/>
          <w:lang w:val="lv-LV" w:eastAsia="en-GB"/>
        </w:rPr>
        <w:t>TSG11-16. 15 GADU UN VECĀKI LATVIJAS NODARBINĀTIE IEDZĪVOTĀJI PA STATISTISKAJIEM REĢIONIEM, REPUBLIKAS PILSĒTĀM UN NOVADIEM PĒC PROFESIJAS/AMATA PAMATDARBĀ, DZIMUMA UN PA VECUMA GRUPĀM 2011.GADA 1.MARTĀ</w:t>
      </w:r>
    </w:p>
    <w:tbl>
      <w:tblPr>
        <w:tblW w:w="9784" w:type="dxa"/>
        <w:tblInd w:w="-8" w:type="dxa"/>
        <w:tblLook w:val="04A0" w:firstRow="1" w:lastRow="0" w:firstColumn="1" w:lastColumn="0" w:noHBand="0" w:noVBand="1"/>
      </w:tblPr>
      <w:tblGrid>
        <w:gridCol w:w="4395"/>
        <w:gridCol w:w="936"/>
        <w:gridCol w:w="1190"/>
        <w:gridCol w:w="936"/>
        <w:gridCol w:w="1051"/>
        <w:gridCol w:w="1276"/>
      </w:tblGrid>
      <w:tr w:rsidR="00DF49CA" w:rsidRPr="00A82E88" w:rsidTr="007A3B7B">
        <w:trPr>
          <w:trHeight w:val="6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rPr>
                <w:rFonts w:asciiTheme="majorBidi" w:eastAsia="Times New Roman" w:hAnsiTheme="majorBidi" w:cstheme="majorBidi"/>
                <w:sz w:val="20"/>
                <w:szCs w:val="20"/>
                <w:lang w:val="lv-LV" w:eastAsia="en-GB"/>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40–44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45–49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50–54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49CA" w:rsidRPr="00A82E88" w:rsidRDefault="00DF49CA" w:rsidP="007A3B7B">
            <w:pPr>
              <w:spacing w:after="0" w:line="240" w:lineRule="auto"/>
              <w:jc w:val="center"/>
              <w:rPr>
                <w:rFonts w:asciiTheme="majorBidi" w:eastAsia="Times New Roman" w:hAnsiTheme="majorBidi" w:cstheme="majorBidi"/>
                <w:b/>
                <w:bCs/>
                <w:color w:val="000000"/>
                <w:lang w:val="lv-LV" w:eastAsia="en-GB"/>
              </w:rPr>
            </w:pPr>
            <w:r>
              <w:rPr>
                <w:rFonts w:asciiTheme="majorBidi" w:eastAsia="Times New Roman" w:hAnsiTheme="majorBidi" w:cstheme="majorBidi"/>
                <w:b/>
                <w:bCs/>
                <w:color w:val="000000"/>
                <w:lang w:val="lv-LV" w:eastAsia="en-GB"/>
              </w:rPr>
              <w:t>40-59</w:t>
            </w:r>
            <w:r w:rsidRPr="00A82E88">
              <w:rPr>
                <w:rFonts w:asciiTheme="majorBidi" w:eastAsia="Times New Roman" w:hAnsiTheme="majorBidi" w:cstheme="majorBidi"/>
                <w:b/>
                <w:bCs/>
                <w:color w:val="000000"/>
                <w:lang w:val="lv-LV" w:eastAsia="en-GB"/>
              </w:rPr>
              <w:t xml:space="preserve"> </w:t>
            </w:r>
            <w:r w:rsidRPr="00A82E88">
              <w:rPr>
                <w:rFonts w:asciiTheme="majorBidi" w:eastAsia="Times New Roman" w:hAnsiTheme="majorBidi" w:cstheme="majorBidi"/>
                <w:b/>
                <w:bCs/>
                <w:color w:val="000000"/>
                <w:lang w:val="lv-LV" w:eastAsia="en-GB"/>
              </w:rPr>
              <w:br/>
              <w:t>2011.gadā</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Visas profesijas/amati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101389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103784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103394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82447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391014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14716</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13908</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12990</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9266</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50880</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(11) Likumdevēji, amatpersonas un vadītāji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5111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4826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4252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17066</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 Administratīvie vadītāji un komercdirektori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2981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2642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2532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9848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 Ražošanas un specializēto pakalpojumu jomas vadītāji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4874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4865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4820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18348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 Viesmīlības, ēdināšanas, tirdzniecības un citu pakalpojumu jomas vadītāji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1750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1575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1386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5618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18094</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18272</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18355</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14846</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69567</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(21) Zinātnes un inženierzinātņu jomas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1967</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2462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2792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9844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(22) Veselības aprūpes jomas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2080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2566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2534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9085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(23) Izglītības jomas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6420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6268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6209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5002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23899</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(24) Komercdarbības un pārvaldes (administrācijas)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4508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4281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4287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16415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(25) Informācijas un komunikācijas tehnoloģiju jomas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527</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438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366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1629</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(26) Juridisko, sociālo un kultūras lietu vecākie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2592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2257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2167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8695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12782</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11808</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10964</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8441</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43995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(31) Zinātnes un inženierzinātņu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2098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2227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2568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9014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(32) Veselības aprūpes jomas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2072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2189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2040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7977</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(33) Komercdarbības un pārvaldes (administrācijas)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6990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5762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4792</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3449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20993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(34) Juridisko, sociālo un kultūras lietu un tām radniecīgu lietu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1191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1196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1229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4550</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(35) Informācijas tehnoloģiju jomas speciālisti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431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434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1461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4597</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4795</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4929</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3960</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18281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(41) Iestāžu kalpotāji un kancelejas tehnikas operatori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591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566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574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2158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(42) Klientu apkalpotāji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1400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1368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1169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4837</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(43) Uzskaites un materiālo vērtību reģistrēšanas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2057</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2299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2476</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8841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(44) Citi kalpotāji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549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562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710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2445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15747</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15136</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14341</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11462</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56686</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(51) Individuālo pakalpojumu jomas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4119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3834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3528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2844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14325</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(52) 'Tirdzniecības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7233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6976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6419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25040</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lastRenderedPageBreak/>
              <w:t>(53) Individuālās aprūpes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1436</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1707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2073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1985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7201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(54) Apsardzes pakalpojumu jomas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2959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2619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2321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2221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10120</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6.pamatgrupa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1321</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1478</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1607</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1241</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5647</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(61) Kvalificēti tirgus lauksaimniecības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969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1082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1218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4252</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(62) Kvalificēti tirgus mežsaimniecības, zivsaimniecības un medību saimniecības darbinieki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864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(63) Personiskā patēriņa lauksaimnieki, zvejnieki, mednieki un vācēji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99</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174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531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12960</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13710</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14084</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11309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52063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(71) Būvnieki un tiem radniecīgu profesiju strādnieki (izņemot elektriķus)</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3093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3107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2908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11318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(72) Metālapstrādes, mašīnbūves un tām radniecīgu jomu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3314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3544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4008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14213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(73) Amatnieki un iespieddarbu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478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457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430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1693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(74) Elektrisko un elektronisko iekārtu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1340</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1538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1819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1804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6501</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(75) Pārtikas produktu pārstrādes un kokapstrādes strādnieki, apģērbu izgatavošanas un citi amatnieki un tiem radniecīgu profesiju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4735</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5064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4919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18338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11913</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13860</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13646</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9879</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49298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(81) Rūpniecisko iekārtu operatori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2794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2985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3129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11543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(82) Montieri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381</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388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1386</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(83) Pašgājēju mašīnu un iekārtu vadītāji un celšanas iekārtu un mašīnu operatori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8738</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10487</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10178</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6966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36369</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9.pamatgrupa</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8869</w:t>
            </w:r>
          </w:p>
        </w:tc>
        <w:tc>
          <w:tcPr>
            <w:tcW w:w="119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10643</w:t>
            </w:r>
          </w:p>
        </w:tc>
        <w:tc>
          <w:tcPr>
            <w:tcW w:w="9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12436</w:t>
            </w:r>
          </w:p>
        </w:tc>
        <w:tc>
          <w:tcPr>
            <w:tcW w:w="10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12026</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F49CA" w:rsidRPr="00A82E88" w:rsidRDefault="00DF49CA" w:rsidP="007A3B7B">
            <w:pPr>
              <w:spacing w:after="0" w:line="240" w:lineRule="auto"/>
              <w:jc w:val="right"/>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43974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(91) Apkopēji un palīgi mājas darbos</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2434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3279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4231</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4554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14498</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(92) Lauksaimniecības, mežsaimniecības un zivsaimniecības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1404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1510</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1387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895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5196</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(93) Raktuvju, būvniecības, ražošanas un transporta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2514</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2563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2647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9864</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(94) Pārtikas produktu sagatavošanas palīgstrādnieki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453</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494</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569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2043</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(95) Ielu strādnieki un ielu pārdevēji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36</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140</w:t>
            </w:r>
          </w:p>
        </w:tc>
      </w:tr>
      <w:tr w:rsidR="00DF49CA" w:rsidRPr="00A82E88" w:rsidTr="007A3B7B">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rPr>
                <w:rFonts w:asciiTheme="majorBidi" w:eastAsia="Times New Roman" w:hAnsiTheme="majorBidi" w:cstheme="majorBidi"/>
                <w:b/>
                <w:bCs/>
                <w:color w:val="000000"/>
                <w:lang w:val="lv-LV" w:eastAsia="en-GB"/>
              </w:rPr>
            </w:pPr>
            <w:r w:rsidRPr="00A82E88">
              <w:rPr>
                <w:rFonts w:asciiTheme="majorBidi" w:eastAsia="Times New Roman" w:hAnsiTheme="majorBidi" w:cstheme="majorBidi"/>
                <w:b/>
                <w:bCs/>
                <w:color w:val="000000"/>
                <w:lang w:val="lv-LV" w:eastAsia="en-GB"/>
              </w:rPr>
              <w:t>(96) Atkritumu savācēji un citu vienkāršo profesiju strādnieki</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2032</w:t>
            </w:r>
          </w:p>
        </w:tc>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2761</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3563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3877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9CA" w:rsidRPr="00A82E88" w:rsidRDefault="00DF49CA" w:rsidP="007A3B7B">
            <w:pPr>
              <w:spacing w:after="0" w:line="240" w:lineRule="auto"/>
              <w:jc w:val="right"/>
              <w:rPr>
                <w:rFonts w:asciiTheme="majorBidi" w:eastAsia="Times New Roman" w:hAnsiTheme="majorBidi" w:cstheme="majorBidi"/>
                <w:color w:val="000000"/>
                <w:lang w:val="lv-LV" w:eastAsia="en-GB"/>
              </w:rPr>
            </w:pPr>
            <w:r w:rsidRPr="00A82E88">
              <w:rPr>
                <w:rFonts w:asciiTheme="majorBidi" w:eastAsia="Times New Roman" w:hAnsiTheme="majorBidi" w:cstheme="majorBidi"/>
                <w:color w:val="000000"/>
                <w:lang w:val="lv-LV" w:eastAsia="en-GB"/>
              </w:rPr>
              <w:t>12233</w:t>
            </w:r>
          </w:p>
        </w:tc>
      </w:tr>
    </w:tbl>
    <w:p w:rsidR="00934BBB" w:rsidRDefault="00DF49CA">
      <w:pPr>
        <w:rPr>
          <w:rFonts w:asciiTheme="majorBidi" w:hAnsiTheme="majorBidi" w:cstheme="majorBidi"/>
          <w:bCs/>
          <w:color w:val="000000"/>
          <w:sz w:val="20"/>
          <w:szCs w:val="20"/>
          <w:lang w:val="lv-LV"/>
        </w:rPr>
      </w:pPr>
      <w:r>
        <w:rPr>
          <w:rFonts w:asciiTheme="majorBidi" w:hAnsiTheme="majorBidi" w:cstheme="majorBidi"/>
          <w:bCs/>
          <w:color w:val="000000"/>
          <w:sz w:val="20"/>
          <w:szCs w:val="20"/>
          <w:lang w:val="lv-LV"/>
        </w:rPr>
        <w:t>Datu avots:CSP</w:t>
      </w: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Cs/>
          <w:color w:val="000000"/>
          <w:sz w:val="20"/>
          <w:szCs w:val="20"/>
          <w:lang w:val="lv-LV"/>
        </w:rPr>
      </w:pPr>
    </w:p>
    <w:p w:rsidR="004850DC" w:rsidRDefault="004850DC">
      <w:pPr>
        <w:rPr>
          <w:rFonts w:asciiTheme="majorBidi" w:hAnsiTheme="majorBidi" w:cstheme="majorBidi"/>
          <w:b/>
          <w:bCs/>
          <w:color w:val="000000"/>
          <w:sz w:val="24"/>
          <w:szCs w:val="24"/>
          <w:lang w:val="lv-LV"/>
        </w:rPr>
      </w:pPr>
      <w:r>
        <w:rPr>
          <w:rFonts w:asciiTheme="majorBidi" w:hAnsiTheme="majorBidi" w:cstheme="majorBidi"/>
          <w:bCs/>
          <w:color w:val="000000"/>
          <w:sz w:val="20"/>
          <w:szCs w:val="20"/>
          <w:lang w:val="lv-LV"/>
        </w:rPr>
        <w:lastRenderedPageBreak/>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Pr>
          <w:rFonts w:asciiTheme="majorBidi" w:hAnsiTheme="majorBidi" w:cstheme="majorBidi"/>
          <w:bCs/>
          <w:color w:val="000000"/>
          <w:sz w:val="20"/>
          <w:szCs w:val="20"/>
          <w:lang w:val="lv-LV"/>
        </w:rPr>
        <w:tab/>
      </w:r>
      <w:r w:rsidRPr="004850DC">
        <w:rPr>
          <w:rFonts w:asciiTheme="majorBidi" w:hAnsiTheme="majorBidi" w:cstheme="majorBidi"/>
          <w:b/>
          <w:bCs/>
          <w:color w:val="000000"/>
          <w:sz w:val="24"/>
          <w:szCs w:val="24"/>
          <w:lang w:val="lv-LV"/>
        </w:rPr>
        <w:t>Pielikums Nr.3</w:t>
      </w:r>
    </w:p>
    <w:p w:rsidR="004850DC" w:rsidRDefault="004850DC">
      <w:pPr>
        <w:rPr>
          <w:rFonts w:asciiTheme="majorBidi" w:hAnsiTheme="majorBidi" w:cstheme="majorBidi"/>
          <w:b/>
          <w:bCs/>
          <w:color w:val="000000"/>
          <w:sz w:val="24"/>
          <w:szCs w:val="24"/>
          <w:lang w:val="lv-LV"/>
        </w:rPr>
      </w:pPr>
    </w:p>
    <w:p w:rsidR="004850DC" w:rsidRPr="004850DC" w:rsidRDefault="004850DC" w:rsidP="004850DC">
      <w:pPr>
        <w:jc w:val="both"/>
        <w:rPr>
          <w:rFonts w:ascii="Times New Roman" w:hAnsi="Times New Roman"/>
          <w:b/>
          <w:sz w:val="28"/>
          <w:szCs w:val="28"/>
          <w:lang w:val="lv-LV"/>
        </w:rPr>
      </w:pPr>
      <w:r w:rsidRPr="004850DC">
        <w:rPr>
          <w:rFonts w:ascii="Times New Roman" w:hAnsi="Times New Roman"/>
          <w:b/>
          <w:sz w:val="28"/>
          <w:szCs w:val="28"/>
          <w:lang w:val="lv-LV"/>
        </w:rPr>
        <w:t xml:space="preserve">Informācija IZM par ārpus formālās izglītības sistēmas apgūtās profesionālās kompetences novērtēšanu procesu laika posmā no 2011.gada līdz 2015.gadam. </w:t>
      </w:r>
    </w:p>
    <w:p w:rsidR="004850DC" w:rsidRPr="004850DC" w:rsidRDefault="004850DC" w:rsidP="004850DC">
      <w:pPr>
        <w:spacing w:after="0" w:line="240" w:lineRule="auto"/>
        <w:jc w:val="both"/>
        <w:rPr>
          <w:rFonts w:ascii="Times New Roman" w:hAnsi="Times New Roman"/>
          <w:sz w:val="24"/>
          <w:szCs w:val="24"/>
          <w:lang w:val="lv-LV"/>
        </w:rPr>
      </w:pPr>
    </w:p>
    <w:p w:rsidR="004850DC" w:rsidRPr="004850DC" w:rsidRDefault="004850DC" w:rsidP="004850DC">
      <w:pPr>
        <w:spacing w:after="0" w:line="240" w:lineRule="auto"/>
        <w:jc w:val="both"/>
        <w:rPr>
          <w:rFonts w:ascii="Times New Roman" w:hAnsi="Times New Roman"/>
          <w:sz w:val="24"/>
          <w:szCs w:val="24"/>
          <w:shd w:val="clear" w:color="auto" w:fill="FFFFFF"/>
          <w:lang w:val="lv-LV" w:eastAsia="lv-LV"/>
        </w:rPr>
      </w:pPr>
      <w:r w:rsidRPr="004850DC">
        <w:rPr>
          <w:rFonts w:ascii="Times New Roman" w:hAnsi="Times New Roman"/>
          <w:sz w:val="24"/>
          <w:szCs w:val="24"/>
          <w:lang w:val="lv-LV" w:eastAsia="lv-LV"/>
        </w:rPr>
        <w:t xml:space="preserve">Izglītības kvalitātes valsts dienesta (turpmāk – kvalitātes dienests) funkcija ir </w:t>
      </w:r>
      <w:r w:rsidRPr="004850DC">
        <w:rPr>
          <w:rFonts w:ascii="Times New Roman" w:hAnsi="Times New Roman"/>
          <w:sz w:val="24"/>
          <w:szCs w:val="24"/>
          <w:shd w:val="clear" w:color="auto" w:fill="FFFFFF"/>
          <w:lang w:val="lv-LV" w:eastAsia="lv-LV"/>
        </w:rPr>
        <w:t xml:space="preserve">nodrošināt un koordinēt ārpus formālās izglītības sistēmas apgūtās profesionālās kompetences novērtēšanu </w:t>
      </w:r>
      <w:r w:rsidRPr="004850DC">
        <w:rPr>
          <w:rFonts w:ascii="Times New Roman" w:hAnsi="Times New Roman"/>
          <w:sz w:val="24"/>
          <w:szCs w:val="24"/>
          <w:lang w:val="lv-LV" w:eastAsia="lv-LV"/>
        </w:rPr>
        <w:t>(turpmāk – profesionālās kompetences novērtēšana)</w:t>
      </w:r>
      <w:r w:rsidRPr="004850DC">
        <w:rPr>
          <w:rFonts w:ascii="Times New Roman" w:hAnsi="Times New Roman"/>
          <w:sz w:val="24"/>
          <w:szCs w:val="24"/>
          <w:shd w:val="clear" w:color="auto" w:fill="FFFFFF"/>
          <w:lang w:val="lv-LV" w:eastAsia="lv-LV"/>
        </w:rPr>
        <w:t>. Atbilstoši normatīvajos aktos noteiktajam kvalitātes dienests:</w:t>
      </w:r>
    </w:p>
    <w:p w:rsidR="004850DC" w:rsidRPr="004850DC" w:rsidRDefault="004850DC" w:rsidP="004850DC">
      <w:pPr>
        <w:spacing w:after="0" w:line="240" w:lineRule="auto"/>
        <w:jc w:val="both"/>
        <w:rPr>
          <w:rFonts w:ascii="Times New Roman" w:hAnsi="Times New Roman"/>
          <w:sz w:val="24"/>
          <w:szCs w:val="24"/>
          <w:shd w:val="clear" w:color="auto" w:fill="FFFFFF"/>
          <w:lang w:val="lv-LV" w:eastAsia="lv-LV"/>
        </w:rPr>
      </w:pPr>
    </w:p>
    <w:p w:rsidR="004850DC" w:rsidRPr="004850DC" w:rsidRDefault="004850DC" w:rsidP="004850DC">
      <w:pPr>
        <w:numPr>
          <w:ilvl w:val="0"/>
          <w:numId w:val="1"/>
        </w:numPr>
        <w:spacing w:after="200" w:line="240" w:lineRule="auto"/>
        <w:ind w:left="357" w:hanging="357"/>
        <w:rPr>
          <w:rFonts w:ascii="Times New Roman" w:hAnsi="Times New Roman"/>
          <w:sz w:val="24"/>
          <w:szCs w:val="24"/>
          <w:shd w:val="clear" w:color="auto" w:fill="FFFFFF"/>
          <w:lang w:val="lv-LV" w:eastAsia="lv-LV"/>
        </w:rPr>
      </w:pPr>
      <w:r w:rsidRPr="004850DC">
        <w:rPr>
          <w:rFonts w:ascii="Times New Roman" w:hAnsi="Times New Roman"/>
          <w:sz w:val="24"/>
          <w:szCs w:val="24"/>
          <w:shd w:val="clear" w:color="auto" w:fill="FFFFFF"/>
          <w:lang w:val="lv-LV" w:eastAsia="lv-LV"/>
        </w:rPr>
        <w:t xml:space="preserve">deleģē akreditētai izglītības iestādei vai akreditētam eksaminācijas centram tiesības novērtēt ārpus formālās izglītības </w:t>
      </w:r>
      <w:r w:rsidRPr="004850DC">
        <w:rPr>
          <w:rFonts w:ascii="Times New Roman" w:hAnsi="Times New Roman"/>
          <w:sz w:val="24"/>
          <w:szCs w:val="24"/>
          <w:lang w:val="lv-LV"/>
        </w:rPr>
        <w:t>sistēmas</w:t>
      </w:r>
      <w:r w:rsidRPr="004850DC">
        <w:rPr>
          <w:rFonts w:ascii="Times New Roman" w:hAnsi="Times New Roman"/>
          <w:sz w:val="24"/>
          <w:szCs w:val="24"/>
          <w:shd w:val="clear" w:color="auto" w:fill="FFFFFF"/>
          <w:lang w:val="lv-LV" w:eastAsia="lv-LV"/>
        </w:rPr>
        <w:t xml:space="preserve"> apgūto profesionālo kompetenci līgumā noteiktajā kvalifikācijā;</w:t>
      </w:r>
    </w:p>
    <w:p w:rsidR="004850DC" w:rsidRPr="004850DC" w:rsidRDefault="004850DC" w:rsidP="004850DC">
      <w:pPr>
        <w:numPr>
          <w:ilvl w:val="0"/>
          <w:numId w:val="1"/>
        </w:numPr>
        <w:spacing w:after="200" w:line="240" w:lineRule="auto"/>
        <w:ind w:left="357" w:hanging="357"/>
        <w:jc w:val="both"/>
        <w:rPr>
          <w:rFonts w:ascii="Times New Roman" w:hAnsi="Times New Roman"/>
          <w:sz w:val="24"/>
          <w:szCs w:val="24"/>
          <w:shd w:val="clear" w:color="auto" w:fill="FFFFFF"/>
          <w:lang w:val="lv-LV" w:eastAsia="lv-LV"/>
        </w:rPr>
      </w:pPr>
      <w:r w:rsidRPr="004850DC">
        <w:rPr>
          <w:rFonts w:ascii="Times New Roman" w:hAnsi="Times New Roman"/>
          <w:sz w:val="24"/>
          <w:szCs w:val="24"/>
          <w:shd w:val="clear" w:color="auto" w:fill="FFFFFF"/>
          <w:lang w:val="lv-LV" w:eastAsia="lv-LV"/>
        </w:rPr>
        <w:t>publisko un uztur kvalitātes dienesta tīmekļa vietnē profesionālās kompetences novērtēšanas institūciju un profesionālo kvalifikāciju sarakstu, kurās attiecīgā profesionālās kompetences novērtēšanas institūcija novērtē profesionālo kompetenci;</w:t>
      </w:r>
    </w:p>
    <w:p w:rsidR="004850DC" w:rsidRPr="004850DC" w:rsidRDefault="004850DC" w:rsidP="004850DC">
      <w:pPr>
        <w:numPr>
          <w:ilvl w:val="0"/>
          <w:numId w:val="1"/>
        </w:numPr>
        <w:spacing w:after="200" w:line="240" w:lineRule="auto"/>
        <w:ind w:left="357" w:hanging="357"/>
        <w:jc w:val="both"/>
        <w:rPr>
          <w:rFonts w:ascii="Times New Roman" w:hAnsi="Times New Roman"/>
          <w:sz w:val="24"/>
          <w:szCs w:val="24"/>
          <w:shd w:val="clear" w:color="auto" w:fill="FFFFFF"/>
          <w:lang w:val="lv-LV" w:eastAsia="lv-LV"/>
        </w:rPr>
      </w:pPr>
      <w:r w:rsidRPr="004850DC">
        <w:rPr>
          <w:rFonts w:ascii="Times New Roman" w:hAnsi="Times New Roman"/>
          <w:sz w:val="24"/>
          <w:szCs w:val="24"/>
          <w:shd w:val="clear" w:color="auto" w:fill="FFFFFF"/>
          <w:lang w:val="lv-LV"/>
        </w:rPr>
        <w:t>veido un uztur datubāzi par personām, kuras saņēmušas valsts atzītu profesionālo kvalifikāciju apliecinošu dokumentu.</w:t>
      </w:r>
    </w:p>
    <w:p w:rsidR="004850DC" w:rsidRPr="004850DC" w:rsidRDefault="004850DC" w:rsidP="004850DC">
      <w:pPr>
        <w:spacing w:after="0" w:line="240" w:lineRule="auto"/>
        <w:jc w:val="both"/>
        <w:rPr>
          <w:rFonts w:ascii="Times New Roman" w:hAnsi="Times New Roman"/>
          <w:sz w:val="24"/>
          <w:szCs w:val="24"/>
          <w:lang w:val="lv-LV" w:eastAsia="lv-LV"/>
        </w:rPr>
      </w:pPr>
    </w:p>
    <w:p w:rsidR="004850DC" w:rsidRPr="004850DC" w:rsidRDefault="004850DC" w:rsidP="004850DC">
      <w:pPr>
        <w:spacing w:after="0" w:line="240" w:lineRule="auto"/>
        <w:ind w:firstLine="720"/>
        <w:jc w:val="both"/>
        <w:rPr>
          <w:rFonts w:ascii="Times New Roman" w:eastAsia="Times New Roman" w:hAnsi="Times New Roman"/>
          <w:bCs/>
          <w:sz w:val="24"/>
          <w:szCs w:val="24"/>
          <w:lang w:val="lv-LV" w:eastAsia="lv-LV"/>
        </w:rPr>
      </w:pPr>
    </w:p>
    <w:p w:rsidR="004850DC" w:rsidRPr="004850DC" w:rsidRDefault="004850DC" w:rsidP="004850DC">
      <w:pPr>
        <w:spacing w:after="0" w:line="240" w:lineRule="auto"/>
        <w:jc w:val="both"/>
        <w:rPr>
          <w:rFonts w:ascii="Times New Roman" w:eastAsia="Times New Roman" w:hAnsi="Times New Roman"/>
          <w:b/>
          <w:bCs/>
          <w:sz w:val="24"/>
          <w:szCs w:val="24"/>
          <w:lang w:val="lv-LV" w:eastAsia="lv-LV"/>
        </w:rPr>
      </w:pPr>
      <w:r w:rsidRPr="004850DC">
        <w:rPr>
          <w:rFonts w:ascii="Times New Roman" w:eastAsia="Times New Roman" w:hAnsi="Times New Roman"/>
          <w:b/>
          <w:bCs/>
          <w:sz w:val="24"/>
          <w:szCs w:val="24"/>
          <w:lang w:val="lv-LV" w:eastAsia="lv-LV"/>
        </w:rPr>
        <w:t xml:space="preserve">Profesionālās kompetences novērtēšanas nodrošināšanai: </w:t>
      </w:r>
    </w:p>
    <w:p w:rsidR="004850DC" w:rsidRPr="004850DC" w:rsidRDefault="004850DC" w:rsidP="004850DC">
      <w:pPr>
        <w:spacing w:after="0" w:line="240" w:lineRule="auto"/>
        <w:ind w:firstLine="720"/>
        <w:jc w:val="both"/>
        <w:rPr>
          <w:rFonts w:ascii="Times New Roman" w:hAnsi="Times New Roman"/>
          <w:bCs/>
          <w:sz w:val="24"/>
          <w:szCs w:val="24"/>
          <w:lang w:val="lv-LV"/>
        </w:rPr>
      </w:pP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u w:val="single"/>
          <w:lang w:val="lv-LV"/>
        </w:rPr>
        <w:t>2011.gadā</w:t>
      </w:r>
      <w:r w:rsidRPr="004850DC">
        <w:rPr>
          <w:rFonts w:ascii="Times New Roman" w:hAnsi="Times New Roman"/>
          <w:sz w:val="24"/>
          <w:szCs w:val="24"/>
          <w:lang w:val="lv-LV"/>
        </w:rPr>
        <w:t xml:space="preserve"> </w:t>
      </w:r>
      <w:r w:rsidRPr="004850DC">
        <w:rPr>
          <w:rFonts w:ascii="Times New Roman" w:hAnsi="Times New Roman"/>
          <w:sz w:val="24"/>
          <w:szCs w:val="24"/>
          <w:lang w:val="lv-LV" w:eastAsia="lv-LV"/>
        </w:rPr>
        <w:t>tika</w:t>
      </w:r>
      <w:r w:rsidRPr="004850DC">
        <w:rPr>
          <w:rFonts w:ascii="Times New Roman" w:hAnsi="Times New Roman"/>
          <w:sz w:val="24"/>
          <w:szCs w:val="24"/>
          <w:lang w:val="lv-LV"/>
        </w:rPr>
        <w:t xml:space="preserve"> noslēgti 208 deleģēšanas līgumi ar 19 profesionālās izglītības iestādēm, </w:t>
      </w:r>
      <w:r w:rsidRPr="004850DC">
        <w:rPr>
          <w:rFonts w:ascii="Times New Roman" w:hAnsi="Times New Roman"/>
          <w:sz w:val="24"/>
          <w:szCs w:val="24"/>
          <w:u w:val="single"/>
          <w:lang w:val="lv-LV"/>
        </w:rPr>
        <w:t>2012.gadā</w:t>
      </w:r>
      <w:r w:rsidRPr="004850DC">
        <w:rPr>
          <w:rFonts w:ascii="Times New Roman" w:hAnsi="Times New Roman"/>
          <w:sz w:val="24"/>
          <w:szCs w:val="24"/>
          <w:lang w:val="lv-LV"/>
        </w:rPr>
        <w:t xml:space="preserve"> </w:t>
      </w:r>
      <w:r w:rsidRPr="004850DC">
        <w:rPr>
          <w:rFonts w:ascii="Times New Roman" w:hAnsi="Times New Roman"/>
          <w:sz w:val="24"/>
          <w:szCs w:val="24"/>
          <w:lang w:val="lv-LV" w:eastAsia="lv-LV"/>
        </w:rPr>
        <w:t xml:space="preserve">- </w:t>
      </w:r>
      <w:r w:rsidRPr="004850DC">
        <w:rPr>
          <w:rFonts w:ascii="Times New Roman" w:hAnsi="Times New Roman"/>
          <w:sz w:val="24"/>
          <w:szCs w:val="24"/>
          <w:lang w:val="lv-LV"/>
        </w:rPr>
        <w:t xml:space="preserve">117 deleģēšanas līgumi ar 19 profesionālās izglītības iestādēm, </w:t>
      </w:r>
      <w:r w:rsidRPr="004850DC">
        <w:rPr>
          <w:rFonts w:ascii="Times New Roman" w:hAnsi="Times New Roman"/>
          <w:sz w:val="24"/>
          <w:szCs w:val="24"/>
          <w:u w:val="single"/>
          <w:lang w:val="lv-LV"/>
        </w:rPr>
        <w:t>2013.gadā</w:t>
      </w:r>
      <w:r w:rsidRPr="004850DC">
        <w:rPr>
          <w:rFonts w:ascii="Times New Roman" w:hAnsi="Times New Roman"/>
          <w:sz w:val="24"/>
          <w:szCs w:val="24"/>
          <w:lang w:val="lv-LV"/>
        </w:rPr>
        <w:t xml:space="preserve"> </w:t>
      </w:r>
      <w:r w:rsidRPr="004850DC">
        <w:rPr>
          <w:rFonts w:ascii="Times New Roman" w:hAnsi="Times New Roman"/>
          <w:sz w:val="24"/>
          <w:szCs w:val="24"/>
          <w:lang w:val="lv-LV" w:eastAsia="lv-LV"/>
        </w:rPr>
        <w:t xml:space="preserve">- </w:t>
      </w:r>
      <w:r w:rsidRPr="004850DC">
        <w:rPr>
          <w:rFonts w:ascii="Times New Roman" w:hAnsi="Times New Roman"/>
          <w:sz w:val="24"/>
          <w:szCs w:val="24"/>
          <w:lang w:val="lv-LV"/>
        </w:rPr>
        <w:t xml:space="preserve">84 deleģēšanas līgumi ar 20 izglītības iestādēm, </w:t>
      </w:r>
      <w:r w:rsidRPr="004850DC">
        <w:rPr>
          <w:rFonts w:ascii="Times New Roman" w:hAnsi="Times New Roman"/>
          <w:sz w:val="24"/>
          <w:szCs w:val="24"/>
          <w:u w:val="single"/>
          <w:lang w:val="lv-LV" w:eastAsia="lv-LV"/>
        </w:rPr>
        <w:t>2014.gadā</w:t>
      </w:r>
      <w:r w:rsidRPr="004850DC">
        <w:rPr>
          <w:rFonts w:ascii="Times New Roman" w:hAnsi="Times New Roman"/>
          <w:sz w:val="24"/>
          <w:szCs w:val="24"/>
          <w:lang w:val="lv-LV" w:eastAsia="lv-LV"/>
        </w:rPr>
        <w:t xml:space="preserve"> - </w:t>
      </w:r>
      <w:r w:rsidRPr="004850DC">
        <w:rPr>
          <w:rFonts w:ascii="Times New Roman" w:hAnsi="Times New Roman"/>
          <w:bCs/>
          <w:sz w:val="24"/>
          <w:szCs w:val="24"/>
          <w:lang w:val="lv-LV" w:eastAsia="lv-LV"/>
        </w:rPr>
        <w:t>152</w:t>
      </w:r>
      <w:r w:rsidRPr="004850DC">
        <w:rPr>
          <w:rFonts w:ascii="Times New Roman" w:hAnsi="Times New Roman"/>
          <w:sz w:val="24"/>
          <w:szCs w:val="24"/>
          <w:lang w:val="lv-LV" w:eastAsia="lv-LV"/>
        </w:rPr>
        <w:t xml:space="preserve"> deleģēšanas līgumi ar </w:t>
      </w:r>
      <w:r w:rsidRPr="004850DC">
        <w:rPr>
          <w:rFonts w:ascii="Times New Roman" w:hAnsi="Times New Roman"/>
          <w:bCs/>
          <w:sz w:val="24"/>
          <w:szCs w:val="24"/>
          <w:lang w:val="lv-LV" w:eastAsia="lv-LV"/>
        </w:rPr>
        <w:t>21</w:t>
      </w:r>
      <w:r w:rsidRPr="004850DC">
        <w:rPr>
          <w:rFonts w:ascii="Times New Roman" w:hAnsi="Times New Roman"/>
          <w:sz w:val="24"/>
          <w:szCs w:val="24"/>
          <w:lang w:val="lv-LV" w:eastAsia="lv-LV"/>
        </w:rPr>
        <w:t xml:space="preserve"> izglītības iestādi un </w:t>
      </w:r>
      <w:r w:rsidRPr="004850DC">
        <w:rPr>
          <w:rFonts w:ascii="Times New Roman" w:hAnsi="Times New Roman"/>
          <w:sz w:val="24"/>
          <w:szCs w:val="24"/>
          <w:u w:val="single"/>
          <w:lang w:val="lv-LV"/>
        </w:rPr>
        <w:t>2015.gadā</w:t>
      </w:r>
      <w:r w:rsidRPr="004850DC">
        <w:rPr>
          <w:rFonts w:ascii="Times New Roman" w:hAnsi="Times New Roman"/>
          <w:sz w:val="24"/>
          <w:szCs w:val="24"/>
          <w:lang w:val="lv-LV"/>
        </w:rPr>
        <w:t xml:space="preserve"> tika noslēgti 177 deleģēšanas līgumi ar 25 izglītības iestādēm. 2015. gadā profesionālās kompetences novērtēšana iespējama jau 159 profesionālajās kvalifikācijās.</w:t>
      </w:r>
    </w:p>
    <w:p w:rsidR="004850DC" w:rsidRPr="004850DC" w:rsidRDefault="004850DC" w:rsidP="004850DC">
      <w:pPr>
        <w:spacing w:after="0" w:line="240" w:lineRule="auto"/>
        <w:jc w:val="both"/>
        <w:rPr>
          <w:rFonts w:ascii="Times New Roman" w:hAnsi="Times New Roman"/>
          <w:sz w:val="24"/>
          <w:szCs w:val="24"/>
          <w:lang w:val="lv-LV"/>
        </w:rPr>
      </w:pPr>
      <w:r w:rsidRPr="004850DC">
        <w:rPr>
          <w:rFonts w:ascii="Times New Roman" w:hAnsi="Times New Roman"/>
          <w:sz w:val="24"/>
          <w:szCs w:val="24"/>
          <w:lang w:val="lv-LV"/>
        </w:rPr>
        <w:t xml:space="preserve">Izglītības iestāžu, kas saņēmušas kvalitātes dienesta deleģējumu veikt profesionālās kompetences novērtēšanu un izglītības iestāžu, kas organizē profesionālās kompetences novērtēšanu skaits piecu gadu periodā bija atšķirīgs (skatīt </w:t>
      </w:r>
      <w:r w:rsidRPr="004850DC">
        <w:rPr>
          <w:rFonts w:ascii="Times New Roman" w:hAnsi="Times New Roman"/>
          <w:i/>
          <w:sz w:val="24"/>
          <w:szCs w:val="24"/>
          <w:lang w:val="lv-LV"/>
        </w:rPr>
        <w:t>1.attēlu</w:t>
      </w:r>
      <w:r w:rsidRPr="004850DC">
        <w:rPr>
          <w:rFonts w:ascii="Times New Roman" w:hAnsi="Times New Roman"/>
          <w:sz w:val="24"/>
          <w:szCs w:val="24"/>
          <w:lang w:val="lv-LV"/>
        </w:rPr>
        <w:t xml:space="preserve">). </w:t>
      </w:r>
    </w:p>
    <w:p w:rsidR="004850DC" w:rsidRPr="004850DC" w:rsidRDefault="004850DC" w:rsidP="004850DC">
      <w:pPr>
        <w:spacing w:after="0" w:line="240" w:lineRule="auto"/>
        <w:ind w:firstLine="720"/>
        <w:jc w:val="both"/>
        <w:rPr>
          <w:rFonts w:ascii="Times New Roman" w:hAnsi="Times New Roman"/>
          <w:sz w:val="24"/>
          <w:szCs w:val="24"/>
          <w:lang w:val="lv-LV"/>
        </w:rPr>
      </w:pPr>
    </w:p>
    <w:p w:rsidR="004850DC" w:rsidRPr="004850DC" w:rsidRDefault="004850DC" w:rsidP="004850DC">
      <w:pPr>
        <w:spacing w:after="0" w:line="240" w:lineRule="auto"/>
        <w:ind w:firstLine="720"/>
        <w:jc w:val="both"/>
        <w:rPr>
          <w:rFonts w:ascii="Times New Roman" w:hAnsi="Times New Roman"/>
          <w:sz w:val="24"/>
          <w:szCs w:val="24"/>
          <w:lang w:val="lv-LV"/>
        </w:rPr>
      </w:pPr>
      <w:r w:rsidRPr="004850DC">
        <w:rPr>
          <w:noProof/>
          <w:lang w:val="lv-LV" w:eastAsia="lv-LV"/>
        </w:rPr>
        <w:lastRenderedPageBreak/>
        <w:drawing>
          <wp:inline distT="0" distB="0" distL="0" distR="0" wp14:anchorId="2A113AA1" wp14:editId="7202FC4A">
            <wp:extent cx="4922520" cy="206502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850DC" w:rsidRPr="004850DC" w:rsidRDefault="004850DC" w:rsidP="004850DC">
      <w:pPr>
        <w:spacing w:after="0" w:line="240" w:lineRule="auto"/>
        <w:ind w:firstLine="720"/>
        <w:jc w:val="both"/>
        <w:rPr>
          <w:rFonts w:ascii="Times New Roman" w:hAnsi="Times New Roman"/>
          <w:sz w:val="24"/>
          <w:szCs w:val="24"/>
          <w:lang w:val="lv-LV"/>
        </w:rPr>
      </w:pPr>
    </w:p>
    <w:p w:rsidR="004850DC" w:rsidRPr="004850DC" w:rsidRDefault="004850DC" w:rsidP="004850DC">
      <w:pPr>
        <w:spacing w:after="0" w:line="240" w:lineRule="auto"/>
        <w:ind w:firstLine="720"/>
        <w:jc w:val="right"/>
        <w:rPr>
          <w:rFonts w:ascii="Times New Roman" w:eastAsia="Times New Roman" w:hAnsi="Times New Roman"/>
          <w:i/>
          <w:sz w:val="20"/>
          <w:szCs w:val="24"/>
          <w:lang w:val="lv-LV"/>
        </w:rPr>
      </w:pPr>
      <w:r w:rsidRPr="004850DC">
        <w:rPr>
          <w:rFonts w:ascii="Times New Roman" w:eastAsia="Times New Roman" w:hAnsi="Times New Roman"/>
          <w:i/>
          <w:sz w:val="20"/>
          <w:szCs w:val="24"/>
          <w:lang w:val="lv-LV"/>
        </w:rPr>
        <w:t>1.attēls. Izglītības iestāžu, kas saņēmušas deleģējumu un organizē profesionālās kompetences novērtēšanu, skaitliskais salīdzinājums no 2011.gada līdz 2015.gadam</w:t>
      </w:r>
    </w:p>
    <w:p w:rsidR="004850DC" w:rsidRPr="004850DC" w:rsidRDefault="004850DC" w:rsidP="004850DC">
      <w:pPr>
        <w:spacing w:after="0" w:line="240" w:lineRule="auto"/>
        <w:ind w:firstLine="720"/>
        <w:jc w:val="both"/>
        <w:rPr>
          <w:rFonts w:ascii="Times New Roman" w:hAnsi="Times New Roman"/>
          <w:sz w:val="24"/>
          <w:szCs w:val="24"/>
          <w:lang w:val="lv-LV"/>
        </w:rPr>
      </w:pPr>
    </w:p>
    <w:p w:rsidR="004850DC" w:rsidRPr="004850DC" w:rsidRDefault="004850DC" w:rsidP="004850DC">
      <w:pPr>
        <w:spacing w:after="0" w:line="240" w:lineRule="auto"/>
        <w:jc w:val="both"/>
        <w:rPr>
          <w:rFonts w:ascii="Times New Roman" w:hAnsi="Times New Roman"/>
          <w:bCs/>
          <w:sz w:val="24"/>
          <w:szCs w:val="24"/>
          <w:lang w:val="lv-LV"/>
        </w:rPr>
      </w:pPr>
      <w:r w:rsidRPr="004850DC">
        <w:rPr>
          <w:rFonts w:ascii="Times New Roman" w:hAnsi="Times New Roman"/>
          <w:bCs/>
          <w:sz w:val="24"/>
          <w:szCs w:val="24"/>
          <w:lang w:val="lv-LV"/>
        </w:rPr>
        <w:t>Nepieciešamību uzsākt profesionālās kompetences novērtēšanas pakalpojumu akreditētā izglītības iestādē nosaka ārējie faktori:</w:t>
      </w:r>
    </w:p>
    <w:p w:rsidR="004850DC" w:rsidRPr="004850DC" w:rsidRDefault="004850DC" w:rsidP="004850DC">
      <w:pPr>
        <w:spacing w:after="0" w:line="240" w:lineRule="auto"/>
        <w:ind w:left="993" w:hanging="273"/>
        <w:jc w:val="both"/>
        <w:rPr>
          <w:rFonts w:ascii="Times New Roman" w:hAnsi="Times New Roman"/>
          <w:bCs/>
          <w:sz w:val="24"/>
          <w:szCs w:val="24"/>
          <w:lang w:val="lv-LV"/>
        </w:rPr>
      </w:pPr>
      <w:r w:rsidRPr="004850DC">
        <w:rPr>
          <w:rFonts w:ascii="Times New Roman" w:hAnsi="Times New Roman"/>
          <w:bCs/>
          <w:sz w:val="24"/>
          <w:szCs w:val="24"/>
          <w:lang w:val="lv-LV"/>
        </w:rPr>
        <w:t>1) normatīvo aktu prasības izglītības iestādei nodrošināt profesionālās kompetences novērtēšanas pakalpojumu;</w:t>
      </w:r>
    </w:p>
    <w:p w:rsidR="004850DC" w:rsidRPr="004850DC" w:rsidRDefault="004850DC" w:rsidP="004850DC">
      <w:pPr>
        <w:spacing w:after="0" w:line="240" w:lineRule="auto"/>
        <w:ind w:left="993" w:hanging="273"/>
        <w:jc w:val="both"/>
        <w:rPr>
          <w:rFonts w:ascii="Times New Roman" w:hAnsi="Times New Roman"/>
          <w:bCs/>
          <w:sz w:val="24"/>
          <w:szCs w:val="24"/>
          <w:lang w:val="lv-LV"/>
        </w:rPr>
      </w:pPr>
      <w:r w:rsidRPr="004850DC">
        <w:rPr>
          <w:rFonts w:ascii="Times New Roman" w:hAnsi="Times New Roman"/>
          <w:bCs/>
          <w:sz w:val="24"/>
          <w:szCs w:val="24"/>
          <w:lang w:val="lv-LV"/>
        </w:rPr>
        <w:t>2) izglītības iestādes pašiniciatīva jauna pakalpojuma ieviešanā;</w:t>
      </w:r>
    </w:p>
    <w:p w:rsidR="004850DC" w:rsidRPr="004850DC" w:rsidRDefault="004850DC" w:rsidP="004850DC">
      <w:pPr>
        <w:spacing w:after="0" w:line="240" w:lineRule="auto"/>
        <w:ind w:left="993" w:hanging="273"/>
        <w:jc w:val="both"/>
        <w:rPr>
          <w:rFonts w:ascii="Times New Roman" w:hAnsi="Times New Roman"/>
          <w:bCs/>
          <w:sz w:val="24"/>
          <w:szCs w:val="24"/>
          <w:lang w:val="lv-LV"/>
        </w:rPr>
      </w:pPr>
      <w:r w:rsidRPr="004850DC">
        <w:rPr>
          <w:rFonts w:ascii="Times New Roman" w:hAnsi="Times New Roman"/>
          <w:bCs/>
          <w:sz w:val="24"/>
          <w:szCs w:val="24"/>
          <w:lang w:val="lv-LV"/>
        </w:rPr>
        <w:t>3) pretendentu ieinteresētība pakalpojuma saņemšanā;</w:t>
      </w:r>
    </w:p>
    <w:p w:rsidR="004850DC" w:rsidRPr="004850DC" w:rsidRDefault="004850DC" w:rsidP="004850DC">
      <w:pPr>
        <w:spacing w:after="0" w:line="240" w:lineRule="auto"/>
        <w:ind w:left="993" w:hanging="273"/>
        <w:jc w:val="both"/>
        <w:rPr>
          <w:rFonts w:ascii="Times New Roman" w:hAnsi="Times New Roman"/>
          <w:bCs/>
          <w:sz w:val="24"/>
          <w:szCs w:val="24"/>
          <w:lang w:val="lv-LV"/>
        </w:rPr>
      </w:pPr>
      <w:r w:rsidRPr="004850DC">
        <w:rPr>
          <w:rFonts w:ascii="Times New Roman" w:hAnsi="Times New Roman"/>
          <w:bCs/>
          <w:sz w:val="24"/>
          <w:szCs w:val="24"/>
          <w:lang w:val="lv-LV"/>
        </w:rPr>
        <w:t>4) darba devēju iniciatīva nodarbināto personu kvalifikācijas paaugstināšanai un profesionālās kompetences novērtēšanai;</w:t>
      </w:r>
    </w:p>
    <w:p w:rsidR="004850DC" w:rsidRPr="004850DC" w:rsidRDefault="004850DC" w:rsidP="004850DC">
      <w:pPr>
        <w:spacing w:after="0" w:line="240" w:lineRule="auto"/>
        <w:ind w:left="993" w:hanging="273"/>
        <w:jc w:val="both"/>
        <w:rPr>
          <w:rFonts w:ascii="Times New Roman" w:hAnsi="Times New Roman"/>
          <w:bCs/>
          <w:sz w:val="24"/>
          <w:szCs w:val="24"/>
          <w:lang w:val="lv-LV"/>
        </w:rPr>
      </w:pPr>
      <w:r w:rsidRPr="004850DC">
        <w:rPr>
          <w:rFonts w:ascii="Times New Roman" w:hAnsi="Times New Roman"/>
          <w:bCs/>
          <w:sz w:val="24"/>
          <w:szCs w:val="24"/>
          <w:lang w:val="lv-LV"/>
        </w:rPr>
        <w:t>5) attīstības iespējas izglītības iestādei, dažādojot savu piedāvājumu.</w:t>
      </w:r>
    </w:p>
    <w:p w:rsidR="004850DC" w:rsidRPr="004850DC" w:rsidRDefault="004850DC" w:rsidP="004850DC">
      <w:pPr>
        <w:spacing w:before="120" w:after="120" w:line="240" w:lineRule="auto"/>
        <w:jc w:val="both"/>
        <w:rPr>
          <w:rFonts w:ascii="Times New Roman" w:hAnsi="Times New Roman"/>
          <w:bCs/>
          <w:sz w:val="24"/>
          <w:szCs w:val="24"/>
          <w:lang w:val="lv-LV"/>
        </w:rPr>
      </w:pPr>
      <w:r w:rsidRPr="004850DC">
        <w:rPr>
          <w:rFonts w:ascii="Times New Roman" w:hAnsi="Times New Roman"/>
          <w:sz w:val="24"/>
          <w:szCs w:val="24"/>
          <w:lang w:val="lv-LV"/>
        </w:rPr>
        <w:t xml:space="preserve">Ieviešot profesionālās kompetences novērtēšanas pakalpojumu 2011.gadā informācija par profesionālās kompetences novērtēšanas iespējām sabiedrībā bija minimāla. Bija nepieciešams veikt atsevišķu procedūru, piemēram, deleģēšanas īstenošanas kvalitātes kontroli un procesu sakārtošanu, ņemot vērā visu iesaistīto pušu tiesības un pienākumus. </w:t>
      </w:r>
    </w:p>
    <w:p w:rsidR="004850DC" w:rsidRPr="004850DC" w:rsidRDefault="004850DC" w:rsidP="004850DC">
      <w:pPr>
        <w:spacing w:before="120" w:after="120" w:line="240" w:lineRule="auto"/>
        <w:jc w:val="both"/>
        <w:rPr>
          <w:rFonts w:ascii="Times New Roman" w:eastAsia="Times New Roman" w:hAnsi="Times New Roman"/>
          <w:bCs/>
          <w:sz w:val="24"/>
          <w:szCs w:val="24"/>
          <w:lang w:val="lv-LV" w:eastAsia="lv-LV"/>
        </w:rPr>
      </w:pPr>
      <w:r w:rsidRPr="004850DC">
        <w:rPr>
          <w:rFonts w:ascii="Times New Roman" w:hAnsi="Times New Roman"/>
          <w:sz w:val="24"/>
          <w:szCs w:val="24"/>
          <w:lang w:val="lv-LV"/>
        </w:rPr>
        <w:t xml:space="preserve">Sākot ar 2012.gadu </w:t>
      </w:r>
      <w:r w:rsidRPr="004850DC">
        <w:rPr>
          <w:rFonts w:ascii="Times New Roman" w:hAnsi="Times New Roman"/>
          <w:bCs/>
          <w:sz w:val="24"/>
          <w:szCs w:val="24"/>
          <w:lang w:val="lv-LV"/>
        </w:rPr>
        <w:t xml:space="preserve">profesionālās kompetences novērtēšanas deleģējumu saņēma 35-40 izglītības iestādes, bet tā īstenošanu nodrošināja vien 15-20 izglītības iestādes. Skaitliskās atšķirības starp izglītības iestādēm, kas saņēmušas deleģējumu un tām, kas organizē profesionālās kompetences novērtēšanu ir saistītas, galvenokārt, ar </w:t>
      </w:r>
      <w:r w:rsidRPr="004850DC">
        <w:rPr>
          <w:rFonts w:ascii="Times New Roman" w:hAnsi="Times New Roman"/>
          <w:sz w:val="24"/>
          <w:szCs w:val="24"/>
          <w:lang w:val="lv-LV"/>
        </w:rPr>
        <w:t xml:space="preserve">pašu izglītības iestāžu aktivitāti pretendentu piesaistē, kā arī pretendentu motivāciju profesionālās kompetences novērtēšanai konkrētās profesionālajās kvalifikācijās. </w:t>
      </w:r>
      <w:r w:rsidRPr="004850DC">
        <w:rPr>
          <w:rFonts w:ascii="Times New Roman" w:hAnsi="Times New Roman"/>
          <w:sz w:val="24"/>
          <w:szCs w:val="24"/>
          <w:lang w:val="lv-LV" w:eastAsia="lv-LV"/>
        </w:rPr>
        <w:t xml:space="preserve">2015.gadā deleģējumu saņēmušo izglītības iestāžu skaita pieaugums </w:t>
      </w:r>
      <w:r w:rsidRPr="004850DC">
        <w:rPr>
          <w:rFonts w:ascii="Times New Roman" w:hAnsi="Times New Roman"/>
          <w:i/>
          <w:sz w:val="24"/>
          <w:szCs w:val="24"/>
          <w:lang w:val="lv-LV" w:eastAsia="lv-LV"/>
        </w:rPr>
        <w:t>(sk. 1.attēlu)</w:t>
      </w:r>
      <w:r w:rsidRPr="004850DC">
        <w:rPr>
          <w:rFonts w:ascii="Times New Roman" w:hAnsi="Times New Roman"/>
          <w:sz w:val="24"/>
          <w:szCs w:val="24"/>
          <w:lang w:val="lv-LV" w:eastAsia="lv-LV"/>
        </w:rPr>
        <w:t xml:space="preserve"> daļēji saistīts ar profesionālās izglītības kompetences centra statusa ieguves nosacījumiem izglītības iestādēm mākslas, mūzikas vai dejas jomā.</w:t>
      </w:r>
      <w:r w:rsidRPr="004850DC">
        <w:rPr>
          <w:rStyle w:val="FootnoteReference"/>
          <w:rFonts w:ascii="Times New Roman" w:hAnsi="Times New Roman"/>
          <w:sz w:val="24"/>
          <w:szCs w:val="24"/>
          <w:lang w:val="lv-LV" w:eastAsia="lv-LV"/>
        </w:rPr>
        <w:footnoteReference w:id="1"/>
      </w:r>
      <w:r w:rsidRPr="004850DC">
        <w:rPr>
          <w:rFonts w:ascii="Times New Roman" w:hAnsi="Times New Roman"/>
          <w:sz w:val="24"/>
          <w:szCs w:val="24"/>
          <w:lang w:val="lv-LV" w:eastAsia="lv-LV"/>
        </w:rPr>
        <w:t xml:space="preserve"> </w:t>
      </w:r>
    </w:p>
    <w:p w:rsidR="004850DC" w:rsidRPr="004850DC" w:rsidRDefault="004850DC" w:rsidP="004850DC">
      <w:pPr>
        <w:spacing w:line="240" w:lineRule="auto"/>
        <w:jc w:val="both"/>
        <w:rPr>
          <w:rFonts w:ascii="Times New Roman" w:hAnsi="Times New Roman"/>
          <w:b/>
          <w:sz w:val="24"/>
          <w:szCs w:val="24"/>
          <w:lang w:val="lv-LV"/>
        </w:rPr>
      </w:pPr>
      <w:r w:rsidRPr="004850DC">
        <w:rPr>
          <w:rFonts w:ascii="Times New Roman" w:hAnsi="Times New Roman"/>
          <w:b/>
          <w:sz w:val="24"/>
          <w:szCs w:val="24"/>
          <w:shd w:val="clear" w:color="auto" w:fill="FFFFFF"/>
          <w:lang w:val="lv-LV" w:eastAsia="lv-LV"/>
        </w:rPr>
        <w:t xml:space="preserve">Profesionālās kompetences novērtēšanas ceļā iegūto profesionālās kvalifikācijas apliecību skaits: </w:t>
      </w: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t xml:space="preserve">2011.gadā izsniegtas 35 profesionālās kvalifikācijas apliecības (profesionālās kvalifikācijas apliecību ieguvušas 35 personas); </w:t>
      </w: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lastRenderedPageBreak/>
        <w:t>2012.gadā izsniegta 401 profesionālās kvalifikācijas apliecība (profesionālās kvalifikācijas apliecību ieguvušas 400 personas, 1 persona ieguvusi 2 profesionālās kvalifikācijas);</w:t>
      </w: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t xml:space="preserve">2013.gadā izsniegtas 833 profesionālās kvalifikācijas apliecības (profesionālās kvalifikācijas apliecību ieguvušas 826 personas, 7 personas ieguvušas 2 profesionālās kvalifikācijas); </w:t>
      </w:r>
    </w:p>
    <w:p w:rsidR="004850DC" w:rsidRPr="004850DC" w:rsidRDefault="004850DC" w:rsidP="004850DC">
      <w:pPr>
        <w:spacing w:line="240" w:lineRule="auto"/>
        <w:jc w:val="both"/>
        <w:rPr>
          <w:rFonts w:ascii="Times New Roman" w:hAnsi="Times New Roman"/>
          <w:sz w:val="24"/>
          <w:szCs w:val="24"/>
          <w:lang w:val="lv-LV" w:eastAsia="lv-LV"/>
        </w:rPr>
      </w:pPr>
      <w:r w:rsidRPr="004850DC">
        <w:rPr>
          <w:rFonts w:ascii="Times New Roman" w:hAnsi="Times New Roman"/>
          <w:sz w:val="24"/>
          <w:szCs w:val="24"/>
          <w:lang w:val="lv-LV" w:eastAsia="lv-LV"/>
        </w:rPr>
        <w:t xml:space="preserve">2014.gadā izsniegtas 643 profesionālās kvalifikācijas apliecības </w:t>
      </w:r>
      <w:r w:rsidRPr="004850DC">
        <w:rPr>
          <w:rFonts w:ascii="Times New Roman" w:hAnsi="Times New Roman"/>
          <w:sz w:val="24"/>
          <w:szCs w:val="24"/>
          <w:lang w:val="lv-LV"/>
        </w:rPr>
        <w:t>(profesionālās kvalifikācijas apliecību ieguvusi 831 persona, 12 personas ieguvušas 2 profesionālās kvalifikācijas)</w:t>
      </w:r>
      <w:r w:rsidRPr="004850DC">
        <w:rPr>
          <w:rFonts w:ascii="Times New Roman" w:hAnsi="Times New Roman"/>
          <w:sz w:val="24"/>
          <w:szCs w:val="24"/>
          <w:lang w:val="lv-LV" w:eastAsia="lv-LV"/>
        </w:rPr>
        <w:t xml:space="preserve">; </w:t>
      </w: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t>2015.gadā izsniegtas 939 profesionālās kvalifikācijas apliecības (profesionālās kvalifikācijas apliecību ieguvušas 932 personas, 7 personas ieguvušas 2 profesionālās kvalifikācijas).</w:t>
      </w:r>
    </w:p>
    <w:p w:rsidR="004850DC" w:rsidRPr="004850DC" w:rsidRDefault="004850DC" w:rsidP="004850DC">
      <w:pPr>
        <w:jc w:val="right"/>
        <w:rPr>
          <w:rFonts w:ascii="Times New Roman" w:hAnsi="Times New Roman"/>
          <w:i/>
          <w:sz w:val="20"/>
          <w:szCs w:val="20"/>
          <w:lang w:val="lv-LV"/>
        </w:rPr>
      </w:pPr>
      <w:r w:rsidRPr="004850DC">
        <w:rPr>
          <w:rFonts w:ascii="Times New Roman" w:hAnsi="Times New Roman"/>
          <w:i/>
          <w:noProof/>
          <w:sz w:val="20"/>
          <w:szCs w:val="20"/>
          <w:lang w:val="lv-LV" w:eastAsia="lv-LV"/>
        </w:rPr>
        <w:drawing>
          <wp:inline distT="0" distB="0" distL="0" distR="0" wp14:anchorId="77959FDC" wp14:editId="4222BA3A">
            <wp:extent cx="5265420" cy="267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2674620"/>
                    </a:xfrm>
                    <a:prstGeom prst="rect">
                      <a:avLst/>
                    </a:prstGeom>
                    <a:noFill/>
                    <a:ln>
                      <a:noFill/>
                    </a:ln>
                  </pic:spPr>
                </pic:pic>
              </a:graphicData>
            </a:graphic>
          </wp:inline>
        </w:drawing>
      </w:r>
    </w:p>
    <w:p w:rsidR="004850DC" w:rsidRPr="004850DC" w:rsidRDefault="004850DC" w:rsidP="004850DC">
      <w:pPr>
        <w:jc w:val="right"/>
        <w:rPr>
          <w:rFonts w:ascii="Times New Roman" w:hAnsi="Times New Roman"/>
          <w:i/>
          <w:sz w:val="20"/>
          <w:szCs w:val="20"/>
          <w:lang w:val="lv-LV"/>
        </w:rPr>
      </w:pPr>
      <w:r w:rsidRPr="004850DC">
        <w:rPr>
          <w:rFonts w:ascii="Times New Roman" w:hAnsi="Times New Roman"/>
          <w:i/>
          <w:sz w:val="20"/>
          <w:szCs w:val="20"/>
          <w:lang w:val="lv-LV"/>
        </w:rPr>
        <w:t>2.attēls. Valsts un pašvaldības izglītības iestāžu un privāto izglītības iestāžu izsniegto  profesionālās kvalifikācijas apliecību skaita dinamika 2011.-2015.gadā.</w:t>
      </w:r>
    </w:p>
    <w:p w:rsidR="004850DC" w:rsidRPr="004850DC" w:rsidRDefault="004850DC" w:rsidP="004850DC">
      <w:pPr>
        <w:spacing w:before="120" w:after="120" w:line="240" w:lineRule="auto"/>
        <w:jc w:val="both"/>
        <w:rPr>
          <w:rFonts w:ascii="Times New Roman" w:hAnsi="Times New Roman"/>
          <w:sz w:val="24"/>
          <w:szCs w:val="24"/>
          <w:u w:val="single"/>
          <w:lang w:val="lv-LV"/>
        </w:rPr>
      </w:pPr>
      <w:r w:rsidRPr="004850DC">
        <w:rPr>
          <w:rFonts w:ascii="Times New Roman" w:hAnsi="Times New Roman"/>
          <w:sz w:val="24"/>
          <w:szCs w:val="24"/>
          <w:lang w:val="lv-LV"/>
        </w:rPr>
        <w:t xml:space="preserve">Ņemot vērā izglītības iestāžu piedāvājumu, sākot ar 2012.gadu profesionālās kompetences novērtēšana ir iespējama vairāk kā 100 profesionālajās kvalifikācijās. Līdz 2015.gadam pretendenti ir izmantojuši iespēju novērtēt savu profesionālo kompetenci vien 49 profesionālajās kvalifikācijās (sk. 1.tabulu). Analizējot </w:t>
      </w:r>
      <w:r w:rsidRPr="004850DC">
        <w:rPr>
          <w:rFonts w:ascii="Times New Roman" w:hAnsi="Times New Roman"/>
          <w:sz w:val="24"/>
          <w:szCs w:val="24"/>
          <w:lang w:val="lv-LV" w:eastAsia="lv-LV"/>
        </w:rPr>
        <w:t>iegūto profesionālo kvalifikāciju statistiku</w:t>
      </w:r>
      <w:r w:rsidRPr="004850DC">
        <w:rPr>
          <w:rFonts w:ascii="Times New Roman" w:hAnsi="Times New Roman"/>
          <w:sz w:val="24"/>
          <w:szCs w:val="24"/>
          <w:lang w:val="lv-LV"/>
        </w:rPr>
        <w:t xml:space="preserve">, izglītības iestāžu sniegto informāciju par pretendentu izvēli profesionālās kompetences novērtēšanai konkrētās profesijās un pretendentu anketēšanā apkopotos datus varam secināt, ka sabiedrības pieprasījumu konkrētas profesionālās kvalifikācijas iegūšanai nosaka: </w:t>
      </w:r>
      <w:r w:rsidRPr="004850DC">
        <w:rPr>
          <w:rFonts w:ascii="Times New Roman" w:hAnsi="Times New Roman"/>
          <w:bCs/>
          <w:sz w:val="24"/>
          <w:szCs w:val="24"/>
          <w:lang w:val="lv-LV" w:eastAsia="lv-LV"/>
        </w:rPr>
        <w:t>1) normatīvo aktu prasības attiecībā uz nozarē strādājošiem;</w:t>
      </w:r>
      <w:r w:rsidRPr="004850DC">
        <w:rPr>
          <w:rFonts w:ascii="Times New Roman" w:hAnsi="Times New Roman"/>
          <w:sz w:val="24"/>
          <w:szCs w:val="24"/>
          <w:lang w:val="lv-LV" w:eastAsia="lv-LV"/>
        </w:rPr>
        <w:t xml:space="preserve"> </w:t>
      </w:r>
      <w:r w:rsidRPr="004850DC">
        <w:rPr>
          <w:rFonts w:ascii="Times New Roman" w:hAnsi="Times New Roman"/>
          <w:bCs/>
          <w:sz w:val="24"/>
          <w:szCs w:val="24"/>
          <w:lang w:val="lv-LV" w:eastAsia="lv-LV"/>
        </w:rPr>
        <w:t>2) darba devēju iniciatīva kvalificētu speciālistu nodarbinātībā;</w:t>
      </w:r>
      <w:r w:rsidRPr="004850DC">
        <w:rPr>
          <w:rFonts w:ascii="Times New Roman" w:hAnsi="Times New Roman"/>
          <w:sz w:val="24"/>
          <w:szCs w:val="24"/>
          <w:lang w:val="lv-LV" w:eastAsia="lv-LV"/>
        </w:rPr>
        <w:t xml:space="preserve"> </w:t>
      </w:r>
      <w:r w:rsidRPr="004850DC">
        <w:rPr>
          <w:rFonts w:ascii="Times New Roman" w:hAnsi="Times New Roman"/>
          <w:bCs/>
          <w:sz w:val="24"/>
          <w:szCs w:val="24"/>
          <w:lang w:val="lv-LV" w:eastAsia="lv-LV"/>
        </w:rPr>
        <w:t xml:space="preserve">3) valsts institūcijās strādājošu darbinieku atbilstība profesionālās kvalifikācijas prasībām; 4) personu interese par darba tirgū pieprasītām profesijām. </w:t>
      </w:r>
    </w:p>
    <w:p w:rsidR="004850DC" w:rsidRPr="004850DC" w:rsidRDefault="004850DC" w:rsidP="004850DC">
      <w:pPr>
        <w:spacing w:before="120" w:after="120" w:line="240" w:lineRule="auto"/>
        <w:jc w:val="both"/>
        <w:rPr>
          <w:rFonts w:ascii="Times New Roman" w:hAnsi="Times New Roman"/>
          <w:sz w:val="24"/>
          <w:szCs w:val="24"/>
          <w:lang w:val="lv-LV"/>
        </w:rPr>
      </w:pPr>
      <w:r w:rsidRPr="004850DC">
        <w:rPr>
          <w:rFonts w:ascii="Times New Roman" w:hAnsi="Times New Roman"/>
          <w:sz w:val="24"/>
          <w:szCs w:val="24"/>
          <w:lang w:val="lv-LV"/>
        </w:rPr>
        <w:t>Profesionālās kompetences novērtēšanas ceļā iegūtās profesionālās kvalifikācijas pēc to skaita var iedalīt trīs grupās:</w:t>
      </w:r>
    </w:p>
    <w:p w:rsidR="004850DC" w:rsidRPr="004850DC" w:rsidRDefault="004850DC" w:rsidP="004850DC">
      <w:pPr>
        <w:numPr>
          <w:ilvl w:val="0"/>
          <w:numId w:val="2"/>
        </w:numPr>
        <w:spacing w:after="0" w:line="240" w:lineRule="auto"/>
        <w:jc w:val="both"/>
        <w:rPr>
          <w:rFonts w:ascii="Times New Roman" w:hAnsi="Times New Roman"/>
          <w:sz w:val="24"/>
          <w:szCs w:val="24"/>
          <w:lang w:val="lv-LV" w:eastAsia="lv-LV"/>
        </w:rPr>
      </w:pPr>
      <w:r w:rsidRPr="004850DC">
        <w:rPr>
          <w:rFonts w:ascii="Times New Roman" w:hAnsi="Times New Roman"/>
          <w:sz w:val="24"/>
          <w:szCs w:val="24"/>
          <w:lang w:val="lv-LV"/>
        </w:rPr>
        <w:t xml:space="preserve">profesionālās kvalifikācijas, kurās profesionālās kompetences novērtējušas 100-500 personas. Šajā grupā ir 7 profesionālās kvalifikācijas: </w:t>
      </w:r>
      <w:r w:rsidRPr="004850DC">
        <w:rPr>
          <w:rFonts w:ascii="Times New Roman" w:hAnsi="Times New Roman"/>
          <w:bCs/>
          <w:i/>
          <w:sz w:val="24"/>
          <w:szCs w:val="24"/>
          <w:lang w:val="lv-LV" w:eastAsia="lv-LV"/>
        </w:rPr>
        <w:t>aprūpētājs, metinātājs (tā skaitā gāzmetinātājs, MMA, MAG, MIG, TIG), namu pārzinis, auklis, valsts robežsardzes inspektors, u</w:t>
      </w:r>
      <w:r w:rsidRPr="004850DC">
        <w:rPr>
          <w:rFonts w:ascii="Times New Roman" w:hAnsi="Times New Roman"/>
          <w:i/>
          <w:sz w:val="24"/>
          <w:szCs w:val="24"/>
          <w:lang w:val="lv-LV"/>
        </w:rPr>
        <w:t xml:space="preserve">gunsdzēsības un </w:t>
      </w:r>
      <w:r w:rsidRPr="004850DC">
        <w:rPr>
          <w:rFonts w:ascii="Times New Roman" w:hAnsi="Times New Roman"/>
          <w:i/>
          <w:sz w:val="24"/>
          <w:szCs w:val="24"/>
          <w:lang w:val="lv-LV"/>
        </w:rPr>
        <w:lastRenderedPageBreak/>
        <w:t>glābšanas dienesta ugunsdzēsējs glābējs, automehāniķis</w:t>
      </w:r>
      <w:r w:rsidRPr="004850DC">
        <w:rPr>
          <w:rFonts w:ascii="Times New Roman" w:hAnsi="Times New Roman"/>
          <w:sz w:val="24"/>
          <w:szCs w:val="24"/>
          <w:lang w:val="lv-LV"/>
        </w:rPr>
        <w:t>, kas ir 76% no kopējā iegūto profesionālās kvalifikācijas apliecību skaita;</w:t>
      </w:r>
    </w:p>
    <w:p w:rsidR="004850DC" w:rsidRPr="004850DC" w:rsidRDefault="004850DC" w:rsidP="004850DC">
      <w:pPr>
        <w:numPr>
          <w:ilvl w:val="0"/>
          <w:numId w:val="2"/>
        </w:numPr>
        <w:spacing w:after="0" w:line="240" w:lineRule="auto"/>
        <w:jc w:val="both"/>
        <w:rPr>
          <w:rFonts w:ascii="Times New Roman" w:hAnsi="Times New Roman"/>
          <w:sz w:val="24"/>
          <w:szCs w:val="24"/>
          <w:lang w:val="lv-LV" w:eastAsia="lv-LV"/>
        </w:rPr>
      </w:pPr>
      <w:r w:rsidRPr="004850DC">
        <w:rPr>
          <w:rFonts w:ascii="Times New Roman" w:hAnsi="Times New Roman"/>
          <w:sz w:val="24"/>
          <w:szCs w:val="24"/>
          <w:lang w:val="lv-LV"/>
        </w:rPr>
        <w:t xml:space="preserve">profesionālās kvalifikācijas, kurās profesionālās kompetences novērtējušas 10-100 personas. Šajā grupā ir 16 profesionālās kvalifikācijas: </w:t>
      </w:r>
      <w:r w:rsidRPr="004850DC">
        <w:rPr>
          <w:rFonts w:ascii="Times New Roman" w:hAnsi="Times New Roman"/>
          <w:i/>
          <w:sz w:val="24"/>
          <w:szCs w:val="24"/>
          <w:lang w:val="lv-LV"/>
        </w:rPr>
        <w:t>pavārs, sanitārtehnisko iekārtu montētājs, autoatslēdznieks, elektriķis, lietvedis, apdares darbu tehniķis, frizieris, grāmatvedis, elektrotehniķis, ēku celtnieks, lauku īpašuma apsaimniekotājs, apdares darbu strādnieks, ceļojumu konsultants, ēdināšanas pakalpojumu speciālists</w:t>
      </w:r>
      <w:r w:rsidRPr="004850DC">
        <w:rPr>
          <w:rFonts w:ascii="Times New Roman" w:hAnsi="Times New Roman"/>
          <w:sz w:val="24"/>
          <w:szCs w:val="24"/>
          <w:lang w:val="lv-LV"/>
        </w:rPr>
        <w:t>, kas ir 20% no kopējā iegūto profesionālās kvalifikācijas apliecību skaita;</w:t>
      </w:r>
    </w:p>
    <w:p w:rsidR="004850DC" w:rsidRPr="004850DC" w:rsidRDefault="004850DC" w:rsidP="004850DC">
      <w:pPr>
        <w:numPr>
          <w:ilvl w:val="0"/>
          <w:numId w:val="2"/>
        </w:numPr>
        <w:spacing w:after="200" w:line="276" w:lineRule="auto"/>
        <w:jc w:val="both"/>
        <w:rPr>
          <w:rFonts w:ascii="Times New Roman" w:hAnsi="Times New Roman"/>
          <w:bCs/>
          <w:sz w:val="24"/>
          <w:szCs w:val="24"/>
          <w:lang w:val="lv-LV" w:eastAsia="lv-LV"/>
        </w:rPr>
      </w:pPr>
      <w:r w:rsidRPr="004850DC">
        <w:rPr>
          <w:rFonts w:ascii="Times New Roman" w:hAnsi="Times New Roman"/>
          <w:sz w:val="24"/>
          <w:szCs w:val="24"/>
          <w:lang w:val="lv-LV"/>
        </w:rPr>
        <w:t xml:space="preserve"> profesionālās kvalifikācijas, kurās profesionālās kompetences novērtējušas 1-10 personas. Šajā grupā ir 26 profesionālās kvalifikācijas: </w:t>
      </w:r>
      <w:r w:rsidRPr="004850DC">
        <w:rPr>
          <w:rFonts w:ascii="Times New Roman" w:hAnsi="Times New Roman"/>
          <w:i/>
          <w:sz w:val="24"/>
          <w:szCs w:val="24"/>
          <w:lang w:val="lv-LV"/>
        </w:rPr>
        <w:t>elektromontieris, k</w:t>
      </w:r>
      <w:r w:rsidRPr="004850DC">
        <w:rPr>
          <w:rFonts w:ascii="Times New Roman" w:hAnsi="Times New Roman"/>
          <w:bCs/>
          <w:i/>
          <w:sz w:val="24"/>
          <w:szCs w:val="24"/>
          <w:lang w:val="lv-LV" w:eastAsia="lv-LV"/>
        </w:rPr>
        <w:t>lientu apkalpošanas speciālists, konditors, datorizētās ciparu vadības (CNC) metālapstrādes darbgaldu iestatītājs, mēbeļu galdnieks, šuvējs, bārmenis, būvizstrādājumu galdnieks, būvtehniķis, datorsistēmu tehniķis, dārznieks, drēbnieks, Dzelzceļa transporta automātikas, telemehānikas un komunikāciju tehniķis, ekotūrisma speciālists, fotogrāfs, galdnieks, lauksaimniecības tehnikas mehāniķis, maizes un miltu izstrādājumu speciālists, manikīra un pedikīra speciālists, mežsaimniecības tehniķis, modists, multimediju dizaina speciālists, mūrnieks, stila mēbeļu modelētājs, viesmīlības pakalpojumu speciālists, vizuālās reklāmas dizaina speciālists</w:t>
      </w:r>
      <w:r w:rsidRPr="004850DC">
        <w:rPr>
          <w:rFonts w:ascii="Times New Roman" w:hAnsi="Times New Roman"/>
          <w:bCs/>
          <w:sz w:val="24"/>
          <w:szCs w:val="24"/>
          <w:lang w:val="lv-LV" w:eastAsia="lv-LV"/>
        </w:rPr>
        <w:t>, kas ir 4% no kopējā iegūto profesionālās kvalifikācijas apliecību skaita.</w:t>
      </w:r>
    </w:p>
    <w:p w:rsidR="004850DC" w:rsidRPr="004850DC" w:rsidRDefault="004850DC" w:rsidP="004850DC">
      <w:pPr>
        <w:spacing w:after="0" w:line="240" w:lineRule="auto"/>
        <w:jc w:val="both"/>
        <w:rPr>
          <w:rFonts w:ascii="Times New Roman" w:hAnsi="Times New Roman"/>
          <w:sz w:val="24"/>
          <w:szCs w:val="24"/>
          <w:lang w:val="lv-LV" w:eastAsia="lv-LV"/>
        </w:rPr>
      </w:pPr>
      <w:r w:rsidRPr="004850DC">
        <w:rPr>
          <w:rFonts w:ascii="Times New Roman" w:hAnsi="Times New Roman"/>
          <w:bCs/>
          <w:sz w:val="24"/>
          <w:szCs w:val="24"/>
          <w:lang w:val="lv-LV" w:eastAsia="lv-LV"/>
        </w:rPr>
        <w:t xml:space="preserve">Pirmajā grupā ietilpstošo profesionālo kvalifikāciju profesionālās kompetences novērtēšanas nepieciešamība saistāma ar normatīvo aktu vai specifisku prasību, piemēram, sertifikācija, attiecināšanu uz personām, kuras strādā attiecīgajā nozarē. Otrās un trešās grupas profesionālās kvalifikācijas pārsvarā iegūtas pēc pašu personu motivācijas novērtēt savu profesionālo kompetenci vai arī nodarbināto personu darba devēju iniciatīvas. </w:t>
      </w:r>
    </w:p>
    <w:p w:rsidR="004850DC" w:rsidRPr="004850DC" w:rsidRDefault="004850DC" w:rsidP="004850DC">
      <w:pPr>
        <w:spacing w:after="0" w:line="240" w:lineRule="auto"/>
        <w:ind w:firstLine="720"/>
        <w:jc w:val="both"/>
        <w:rPr>
          <w:rFonts w:ascii="Times New Roman" w:hAnsi="Times New Roman"/>
          <w:lang w:val="lv-LV"/>
        </w:rPr>
      </w:pPr>
    </w:p>
    <w:p w:rsidR="004850DC" w:rsidRPr="004850DC" w:rsidRDefault="004850DC" w:rsidP="004850DC">
      <w:pPr>
        <w:spacing w:after="0" w:line="240" w:lineRule="auto"/>
        <w:ind w:firstLine="720"/>
        <w:jc w:val="both"/>
        <w:rPr>
          <w:rFonts w:ascii="Times New Roman" w:hAnsi="Times New Roman"/>
          <w:lang w:val="lv-LV"/>
        </w:rPr>
      </w:pPr>
    </w:p>
    <w:p w:rsidR="004850DC" w:rsidRPr="004850DC" w:rsidRDefault="004850DC" w:rsidP="004850DC">
      <w:pPr>
        <w:spacing w:after="0" w:line="240" w:lineRule="auto"/>
        <w:ind w:firstLine="720"/>
        <w:jc w:val="right"/>
        <w:rPr>
          <w:rFonts w:ascii="Times New Roman" w:hAnsi="Times New Roman"/>
          <w:i/>
          <w:lang w:val="lv-LV"/>
        </w:rPr>
      </w:pPr>
      <w:r w:rsidRPr="004850DC">
        <w:rPr>
          <w:rFonts w:ascii="Times New Roman" w:hAnsi="Times New Roman"/>
          <w:i/>
          <w:lang w:val="lv-LV"/>
        </w:rPr>
        <w:t>1.tabula. Ārpus formālās izglītības sistēmas apgūtās profesionālās kompetences novērtēšanas ceļā iegūtās profesionālās kvalifikācijas 2011.-2015.gadā.</w:t>
      </w:r>
    </w:p>
    <w:p w:rsidR="004850DC" w:rsidRPr="004850DC" w:rsidRDefault="004850DC" w:rsidP="004850DC">
      <w:pPr>
        <w:spacing w:after="0" w:line="240" w:lineRule="auto"/>
        <w:jc w:val="both"/>
        <w:rPr>
          <w:lang w:val="lv-LV"/>
        </w:rPr>
      </w:pPr>
    </w:p>
    <w:p w:rsidR="004850DC" w:rsidRPr="004850DC" w:rsidRDefault="004850DC" w:rsidP="004850DC">
      <w:pPr>
        <w:spacing w:after="0" w:line="240" w:lineRule="auto"/>
        <w:ind w:firstLine="720"/>
        <w:jc w:val="both"/>
        <w:rPr>
          <w:rFonts w:ascii="Times New Roman" w:hAnsi="Times New Roman"/>
          <w:sz w:val="24"/>
          <w:szCs w:val="24"/>
          <w:lang w:val="lv-LV" w:eastAsia="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056"/>
        <w:gridCol w:w="1056"/>
        <w:gridCol w:w="1056"/>
        <w:gridCol w:w="1056"/>
        <w:gridCol w:w="1056"/>
        <w:gridCol w:w="660"/>
      </w:tblGrid>
      <w:tr w:rsidR="004850DC" w:rsidRPr="004850DC" w:rsidTr="003070AA">
        <w:trPr>
          <w:trHeight w:val="288"/>
        </w:trPr>
        <w:tc>
          <w:tcPr>
            <w:tcW w:w="3168" w:type="dxa"/>
            <w:vMerge w:val="restart"/>
          </w:tcPr>
          <w:p w:rsidR="004850DC" w:rsidRPr="004850DC" w:rsidRDefault="004850DC" w:rsidP="003070AA">
            <w:pPr>
              <w:spacing w:after="0" w:line="240" w:lineRule="auto"/>
              <w:jc w:val="center"/>
              <w:rPr>
                <w:rFonts w:ascii="Times New Roman" w:hAnsi="Times New Roman"/>
                <w:bCs/>
                <w:sz w:val="20"/>
                <w:szCs w:val="20"/>
                <w:lang w:val="lv-LV" w:eastAsia="lv-LV"/>
              </w:rPr>
            </w:pPr>
            <w:r w:rsidRPr="004850DC">
              <w:rPr>
                <w:rFonts w:ascii="Times New Roman" w:hAnsi="Times New Roman"/>
                <w:bCs/>
                <w:sz w:val="20"/>
                <w:szCs w:val="20"/>
                <w:lang w:val="lv-LV" w:eastAsia="lv-LV"/>
              </w:rPr>
              <w:t>Profesionālā kvalifikācija (profesionālās kvalifikācijas līmenis)</w:t>
            </w:r>
          </w:p>
        </w:tc>
        <w:tc>
          <w:tcPr>
            <w:tcW w:w="5280" w:type="dxa"/>
            <w:gridSpan w:val="5"/>
          </w:tcPr>
          <w:p w:rsidR="004850DC" w:rsidRPr="004850DC" w:rsidRDefault="004850DC" w:rsidP="003070AA">
            <w:pPr>
              <w:spacing w:after="0" w:line="240" w:lineRule="auto"/>
              <w:jc w:val="center"/>
              <w:rPr>
                <w:rFonts w:ascii="Times New Roman" w:hAnsi="Times New Roman"/>
                <w:bCs/>
                <w:sz w:val="20"/>
                <w:szCs w:val="20"/>
                <w:lang w:val="lv-LV" w:eastAsia="lv-LV"/>
              </w:rPr>
            </w:pPr>
            <w:r w:rsidRPr="004850DC">
              <w:rPr>
                <w:rFonts w:ascii="Times New Roman" w:hAnsi="Times New Roman"/>
                <w:bCs/>
                <w:sz w:val="20"/>
                <w:szCs w:val="20"/>
                <w:lang w:val="lv-LV" w:eastAsia="lv-LV"/>
              </w:rPr>
              <w:t>Profesionālās kvalifikācijas apliecību ieguvušo personu skaits</w:t>
            </w:r>
          </w:p>
        </w:tc>
        <w:tc>
          <w:tcPr>
            <w:tcW w:w="660" w:type="dxa"/>
            <w:vMerge w:val="restart"/>
          </w:tcPr>
          <w:p w:rsidR="004850DC" w:rsidRPr="004850DC" w:rsidRDefault="004850DC" w:rsidP="003070AA">
            <w:pPr>
              <w:spacing w:after="0" w:line="240" w:lineRule="auto"/>
              <w:jc w:val="center"/>
              <w:rPr>
                <w:rFonts w:ascii="Times New Roman" w:hAnsi="Times New Roman"/>
                <w:bCs/>
                <w:sz w:val="20"/>
                <w:szCs w:val="20"/>
                <w:lang w:val="lv-LV" w:eastAsia="lv-LV"/>
              </w:rPr>
            </w:pPr>
            <w:r w:rsidRPr="004850DC">
              <w:rPr>
                <w:rFonts w:ascii="Times New Roman" w:hAnsi="Times New Roman"/>
                <w:bCs/>
                <w:sz w:val="20"/>
                <w:szCs w:val="20"/>
                <w:lang w:val="lv-LV" w:eastAsia="lv-LV"/>
              </w:rPr>
              <w:t>Kopā (2849)</w:t>
            </w:r>
          </w:p>
        </w:tc>
      </w:tr>
      <w:tr w:rsidR="004850DC" w:rsidRPr="004850DC" w:rsidTr="003070AA">
        <w:trPr>
          <w:trHeight w:val="288"/>
        </w:trPr>
        <w:tc>
          <w:tcPr>
            <w:tcW w:w="3168" w:type="dxa"/>
            <w:vMerge/>
          </w:tcPr>
          <w:p w:rsidR="004850DC" w:rsidRPr="004850DC" w:rsidRDefault="004850DC" w:rsidP="003070AA">
            <w:pPr>
              <w:spacing w:after="0" w:line="240" w:lineRule="auto"/>
              <w:jc w:val="center"/>
              <w:rPr>
                <w:rFonts w:ascii="Times New Roman" w:hAnsi="Times New Roman"/>
                <w:bCs/>
                <w:sz w:val="20"/>
                <w:szCs w:val="20"/>
                <w:lang w:val="lv-LV" w:eastAsia="lv-LV"/>
              </w:rPr>
            </w:pPr>
          </w:p>
        </w:tc>
        <w:tc>
          <w:tcPr>
            <w:tcW w:w="1056" w:type="dxa"/>
          </w:tcPr>
          <w:p w:rsidR="004850DC" w:rsidRPr="004850DC" w:rsidRDefault="004850DC" w:rsidP="003070AA">
            <w:pPr>
              <w:spacing w:after="0" w:line="240" w:lineRule="auto"/>
              <w:jc w:val="center"/>
              <w:rPr>
                <w:rFonts w:ascii="Times New Roman" w:hAnsi="Times New Roman"/>
                <w:b/>
                <w:bCs/>
                <w:sz w:val="20"/>
                <w:szCs w:val="20"/>
                <w:lang w:val="lv-LV" w:eastAsia="lv-LV"/>
              </w:rPr>
            </w:pPr>
            <w:r w:rsidRPr="004850DC">
              <w:rPr>
                <w:rFonts w:ascii="Times New Roman" w:hAnsi="Times New Roman"/>
                <w:b/>
                <w:bCs/>
                <w:sz w:val="20"/>
                <w:szCs w:val="20"/>
                <w:lang w:val="lv-LV" w:eastAsia="lv-LV"/>
              </w:rPr>
              <w:t>2011.gads</w:t>
            </w:r>
          </w:p>
        </w:tc>
        <w:tc>
          <w:tcPr>
            <w:tcW w:w="1056" w:type="dxa"/>
          </w:tcPr>
          <w:p w:rsidR="004850DC" w:rsidRPr="004850DC" w:rsidRDefault="004850DC" w:rsidP="003070AA">
            <w:pPr>
              <w:spacing w:after="0" w:line="240" w:lineRule="auto"/>
              <w:jc w:val="center"/>
              <w:rPr>
                <w:rFonts w:ascii="Times New Roman" w:hAnsi="Times New Roman"/>
                <w:b/>
                <w:bCs/>
                <w:sz w:val="20"/>
                <w:szCs w:val="20"/>
                <w:lang w:val="lv-LV" w:eastAsia="lv-LV"/>
              </w:rPr>
            </w:pPr>
            <w:r w:rsidRPr="004850DC">
              <w:rPr>
                <w:rFonts w:ascii="Times New Roman" w:hAnsi="Times New Roman"/>
                <w:b/>
                <w:bCs/>
                <w:sz w:val="20"/>
                <w:szCs w:val="20"/>
                <w:lang w:val="lv-LV" w:eastAsia="lv-LV"/>
              </w:rPr>
              <w:t>2012.gads</w:t>
            </w:r>
          </w:p>
        </w:tc>
        <w:tc>
          <w:tcPr>
            <w:tcW w:w="1056" w:type="dxa"/>
          </w:tcPr>
          <w:p w:rsidR="004850DC" w:rsidRPr="004850DC" w:rsidRDefault="004850DC" w:rsidP="003070AA">
            <w:pPr>
              <w:spacing w:after="0" w:line="240" w:lineRule="auto"/>
              <w:jc w:val="center"/>
              <w:rPr>
                <w:rFonts w:ascii="Times New Roman" w:hAnsi="Times New Roman"/>
                <w:b/>
                <w:bCs/>
                <w:sz w:val="20"/>
                <w:szCs w:val="20"/>
                <w:lang w:val="lv-LV" w:eastAsia="lv-LV"/>
              </w:rPr>
            </w:pPr>
            <w:r w:rsidRPr="004850DC">
              <w:rPr>
                <w:rFonts w:ascii="Times New Roman" w:hAnsi="Times New Roman"/>
                <w:b/>
                <w:bCs/>
                <w:sz w:val="20"/>
                <w:szCs w:val="20"/>
                <w:lang w:val="lv-LV" w:eastAsia="lv-LV"/>
              </w:rPr>
              <w:t>2013.gads</w:t>
            </w:r>
          </w:p>
        </w:tc>
        <w:tc>
          <w:tcPr>
            <w:tcW w:w="1056" w:type="dxa"/>
          </w:tcPr>
          <w:p w:rsidR="004850DC" w:rsidRPr="004850DC" w:rsidRDefault="004850DC" w:rsidP="003070AA">
            <w:pPr>
              <w:spacing w:after="0" w:line="240" w:lineRule="auto"/>
              <w:jc w:val="center"/>
              <w:rPr>
                <w:rFonts w:ascii="Times New Roman" w:hAnsi="Times New Roman"/>
                <w:b/>
                <w:bCs/>
                <w:sz w:val="20"/>
                <w:szCs w:val="20"/>
                <w:lang w:val="lv-LV" w:eastAsia="lv-LV"/>
              </w:rPr>
            </w:pPr>
            <w:r w:rsidRPr="004850DC">
              <w:rPr>
                <w:rFonts w:ascii="Times New Roman" w:hAnsi="Times New Roman"/>
                <w:b/>
                <w:bCs/>
                <w:sz w:val="20"/>
                <w:szCs w:val="20"/>
                <w:lang w:val="lv-LV" w:eastAsia="lv-LV"/>
              </w:rPr>
              <w:t>2014.gads</w:t>
            </w:r>
          </w:p>
        </w:tc>
        <w:tc>
          <w:tcPr>
            <w:tcW w:w="1056" w:type="dxa"/>
          </w:tcPr>
          <w:p w:rsidR="004850DC" w:rsidRPr="004850DC" w:rsidRDefault="004850DC" w:rsidP="003070AA">
            <w:pPr>
              <w:spacing w:after="0" w:line="240" w:lineRule="auto"/>
              <w:jc w:val="center"/>
              <w:rPr>
                <w:rFonts w:ascii="Times New Roman" w:hAnsi="Times New Roman"/>
                <w:b/>
                <w:bCs/>
                <w:sz w:val="20"/>
                <w:szCs w:val="20"/>
                <w:lang w:val="lv-LV" w:eastAsia="lv-LV"/>
              </w:rPr>
            </w:pPr>
            <w:r w:rsidRPr="004850DC">
              <w:rPr>
                <w:rFonts w:ascii="Times New Roman" w:hAnsi="Times New Roman"/>
                <w:b/>
                <w:bCs/>
                <w:sz w:val="20"/>
                <w:szCs w:val="20"/>
                <w:lang w:val="lv-LV" w:eastAsia="lv-LV"/>
              </w:rPr>
              <w:t>2015.gads</w:t>
            </w:r>
          </w:p>
        </w:tc>
        <w:tc>
          <w:tcPr>
            <w:tcW w:w="660" w:type="dxa"/>
            <w:vMerge/>
          </w:tcPr>
          <w:p w:rsidR="004850DC" w:rsidRPr="004850DC" w:rsidRDefault="004850DC" w:rsidP="003070AA">
            <w:pPr>
              <w:spacing w:after="0" w:line="240" w:lineRule="auto"/>
              <w:jc w:val="center"/>
              <w:rPr>
                <w:rFonts w:ascii="Times New Roman" w:hAnsi="Times New Roman"/>
                <w:bCs/>
                <w:sz w:val="20"/>
                <w:szCs w:val="20"/>
                <w:lang w:val="lv-LV" w:eastAsia="lv-LV"/>
              </w:rPr>
            </w:pP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Apdares darbu strādnieks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10</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13</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Apdares darbu 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19</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7</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Aprūpētājs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175</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146</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173</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494</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Auklis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133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96</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10</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239</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Autoatslēdznieks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9</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51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64</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Autoelektriķis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12</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Automehāniķis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26</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25</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20</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16</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135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Bārmenis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Būvizstrādājumu galdnieks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Būvtehniķis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 xml:space="preserve">1 </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Ceļojumu konsultants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lastRenderedPageBreak/>
              <w:t>Datorizētās ciparu vadības (CNC) metālapstrādes darbgaldu iestatītājs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7</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7</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Datorsistēmu 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Dārznieks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Drēbnieks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Dzelzceļa transporta automātikas, telemehānikas un komunikāciju 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Elektriķis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16</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62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Elektromontieris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Elektrotehniķis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27</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Ekotūrisma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Ēdināšanas pakalpojumu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10</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Ēku celtnieks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Fotogrāfs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Frizieris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28</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Galdnieks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Grāmatvedis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6</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23</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30</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Klientu apkalpošanas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Konditors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Lauksaimniecības tehnikas mehāniķis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5</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Lauku īpašuma apsaimniekotājs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15</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12</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27</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Lietvedis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32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15</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58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Lokomotīvju saimniecības 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14</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33</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Maizes un miltu izstrādājumu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Manikīra un pedikīra speciālists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5</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 xml:space="preserve">Metinātāji –  gāzmetinātājs, MMA, MAG, MIG, TIG (2) </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15</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98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149</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181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443</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Mežsaimniecības tehniķis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Mēbeļu galdnieks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Modists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Multimediju dizaina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Mūrnieks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Namu pārzinis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202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213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415</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Pavārs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28</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 xml:space="preserve">33 </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13</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76</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Sanitārtehnisko iekārtu montētājs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7</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 xml:space="preserve">11 </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53</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71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Stila mēbeļu modelētājs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Šuvējs (2)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6</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6</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sz w:val="20"/>
                <w:szCs w:val="20"/>
                <w:lang w:val="lv-LV"/>
              </w:rPr>
              <w:t>Ugunsdzēsības un glābšanas dienesta ugunsdzēsējs glābējs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192</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192</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Valsts robežsardzes inspektors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72</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69</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 xml:space="preserve">48 </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49</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238</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Viesmīlības pakalpojumu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4</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4</w:t>
            </w:r>
          </w:p>
        </w:tc>
      </w:tr>
      <w:tr w:rsidR="004850DC" w:rsidRPr="004850DC" w:rsidTr="003070AA">
        <w:tc>
          <w:tcPr>
            <w:tcW w:w="3168"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Vizuālās reklāmas dizaina speciālists (3)</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1</w:t>
            </w:r>
          </w:p>
        </w:tc>
        <w:tc>
          <w:tcPr>
            <w:tcW w:w="1056" w:type="dxa"/>
          </w:tcPr>
          <w:p w:rsidR="004850DC" w:rsidRPr="004850DC" w:rsidRDefault="004850DC" w:rsidP="003070AA">
            <w:pPr>
              <w:spacing w:after="0" w:line="240" w:lineRule="auto"/>
              <w:rPr>
                <w:rFonts w:ascii="Times New Roman" w:hAnsi="Times New Roman"/>
                <w:bCs/>
                <w:sz w:val="20"/>
                <w:szCs w:val="20"/>
                <w:lang w:val="lv-LV" w:eastAsia="lv-LV"/>
              </w:rPr>
            </w:pPr>
            <w:r w:rsidRPr="004850DC">
              <w:rPr>
                <w:rFonts w:ascii="Times New Roman" w:hAnsi="Times New Roman"/>
                <w:bCs/>
                <w:sz w:val="20"/>
                <w:szCs w:val="20"/>
                <w:lang w:val="lv-LV" w:eastAsia="lv-LV"/>
              </w:rPr>
              <w:t>-</w:t>
            </w:r>
          </w:p>
        </w:tc>
        <w:tc>
          <w:tcPr>
            <w:tcW w:w="660" w:type="dxa"/>
          </w:tcPr>
          <w:p w:rsidR="004850DC" w:rsidRPr="004850DC" w:rsidRDefault="004850DC" w:rsidP="003070AA">
            <w:pPr>
              <w:spacing w:after="0" w:line="240" w:lineRule="auto"/>
              <w:rPr>
                <w:rFonts w:ascii="Times New Roman" w:hAnsi="Times New Roman"/>
                <w:b/>
                <w:bCs/>
                <w:sz w:val="20"/>
                <w:szCs w:val="20"/>
                <w:lang w:val="lv-LV" w:eastAsia="lv-LV"/>
              </w:rPr>
            </w:pPr>
            <w:r w:rsidRPr="004850DC">
              <w:rPr>
                <w:rFonts w:ascii="Times New Roman" w:hAnsi="Times New Roman"/>
                <w:b/>
                <w:bCs/>
                <w:sz w:val="20"/>
                <w:szCs w:val="20"/>
                <w:lang w:val="lv-LV" w:eastAsia="lv-LV"/>
              </w:rPr>
              <w:t>1</w:t>
            </w:r>
          </w:p>
        </w:tc>
      </w:tr>
    </w:tbl>
    <w:p w:rsidR="004850DC" w:rsidRPr="004850DC" w:rsidRDefault="004850DC" w:rsidP="004850DC">
      <w:pPr>
        <w:spacing w:after="0" w:line="240" w:lineRule="auto"/>
        <w:ind w:firstLine="720"/>
        <w:jc w:val="both"/>
        <w:rPr>
          <w:rFonts w:ascii="Times New Roman" w:hAnsi="Times New Roman"/>
          <w:sz w:val="24"/>
          <w:szCs w:val="24"/>
          <w:lang w:val="lv-LV" w:eastAsia="lv-LV"/>
        </w:rPr>
      </w:pPr>
    </w:p>
    <w:p w:rsidR="004850DC" w:rsidRPr="004850DC" w:rsidRDefault="004850DC" w:rsidP="004850DC">
      <w:pPr>
        <w:spacing w:after="0" w:line="240" w:lineRule="auto"/>
        <w:ind w:firstLine="720"/>
        <w:jc w:val="both"/>
        <w:rPr>
          <w:rFonts w:ascii="Times New Roman" w:hAnsi="Times New Roman"/>
          <w:sz w:val="24"/>
          <w:szCs w:val="24"/>
          <w:lang w:val="lv-LV" w:eastAsia="lv-LV"/>
        </w:rPr>
      </w:pP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t xml:space="preserve">Salīdzinājumā ar formālo izglītību (sākotnējā profesionālā izglītība un profesionālā tālākizglītība), kurā izglītojamais apgūstot profesionālās izglītības programmu un nokārtojot profesionālās kvalifikācijas eksāmenu iegūst attiecīgu profesionālo kvalifikāciju, profesionālās kompetences novērtēšanas ceļā 2012.gadā pirmā persona </w:t>
      </w:r>
      <w:r w:rsidRPr="004850DC">
        <w:rPr>
          <w:rFonts w:ascii="Times New Roman" w:hAnsi="Times New Roman"/>
          <w:sz w:val="24"/>
          <w:szCs w:val="24"/>
          <w:lang w:val="lv-LV"/>
        </w:rPr>
        <w:lastRenderedPageBreak/>
        <w:t xml:space="preserve">izmantoja iespēju novērtēt savu profesionālo kompetenci divās kvalifikācijas, kārtojot divus eksāmenus un ieguva </w:t>
      </w:r>
      <w:r w:rsidRPr="004850DC">
        <w:rPr>
          <w:rFonts w:ascii="Times New Roman" w:hAnsi="Times New Roman"/>
          <w:i/>
          <w:sz w:val="24"/>
          <w:szCs w:val="24"/>
          <w:lang w:val="lv-LV"/>
        </w:rPr>
        <w:t>lokmetinātāja</w:t>
      </w:r>
      <w:r w:rsidRPr="004850DC">
        <w:rPr>
          <w:rFonts w:ascii="Times New Roman" w:hAnsi="Times New Roman"/>
          <w:sz w:val="24"/>
          <w:szCs w:val="24"/>
          <w:lang w:val="lv-LV"/>
        </w:rPr>
        <w:t xml:space="preserve"> profesionālo kvalifikāciju un </w:t>
      </w:r>
      <w:r w:rsidRPr="004850DC">
        <w:rPr>
          <w:rFonts w:ascii="Times New Roman" w:hAnsi="Times New Roman"/>
          <w:i/>
          <w:sz w:val="24"/>
          <w:szCs w:val="24"/>
          <w:lang w:val="lv-LV"/>
        </w:rPr>
        <w:t>automehāniķa</w:t>
      </w:r>
      <w:r w:rsidRPr="004850DC">
        <w:rPr>
          <w:rFonts w:ascii="Times New Roman" w:hAnsi="Times New Roman"/>
          <w:sz w:val="24"/>
          <w:szCs w:val="24"/>
          <w:lang w:val="lv-LV"/>
        </w:rPr>
        <w:t xml:space="preserve"> profesionālo kvalifikāciju. Līdz 2015.gadam šādu iespēju izmantojušas un divas profesionālās kvalifikācijas ieguvušas 27 personas. Pārsvarā personas savu profesionālo kompetenci novērtējušas metinātāju profesijās iegūstot, piemēram, </w:t>
      </w:r>
      <w:r w:rsidRPr="004850DC">
        <w:rPr>
          <w:rFonts w:ascii="Times New Roman" w:hAnsi="Times New Roman"/>
          <w:i/>
          <w:sz w:val="24"/>
          <w:szCs w:val="24"/>
          <w:lang w:val="lv-LV"/>
        </w:rPr>
        <w:t>lokmetinātājs metināšanā ar mehanizēto iekārtu inertās gāzes vidē (MIG)</w:t>
      </w:r>
      <w:r w:rsidRPr="004850DC">
        <w:rPr>
          <w:rFonts w:ascii="Times New Roman" w:hAnsi="Times New Roman"/>
          <w:sz w:val="24"/>
          <w:szCs w:val="24"/>
          <w:lang w:val="lv-LV"/>
        </w:rPr>
        <w:t xml:space="preserve"> un </w:t>
      </w:r>
      <w:r w:rsidRPr="004850DC">
        <w:rPr>
          <w:rFonts w:ascii="Times New Roman" w:hAnsi="Times New Roman"/>
          <w:i/>
          <w:sz w:val="24"/>
          <w:szCs w:val="24"/>
          <w:lang w:val="lv-LV"/>
        </w:rPr>
        <w:t>lokmetinātājs metināšanā ar mehanizēto iekārtu aktīvās gāze vidē (MAG)</w:t>
      </w:r>
      <w:r w:rsidRPr="004850DC">
        <w:rPr>
          <w:rFonts w:ascii="Times New Roman" w:hAnsi="Times New Roman"/>
          <w:sz w:val="24"/>
          <w:szCs w:val="24"/>
          <w:lang w:val="lv-LV"/>
        </w:rPr>
        <w:t xml:space="preserve"> profesionālo kvalifikāciju (skatīt 2</w:t>
      </w:r>
      <w:r w:rsidRPr="004850DC">
        <w:rPr>
          <w:rFonts w:ascii="Times New Roman" w:hAnsi="Times New Roman"/>
          <w:i/>
          <w:sz w:val="24"/>
          <w:szCs w:val="24"/>
          <w:lang w:val="lv-LV"/>
        </w:rPr>
        <w:t>.</w:t>
      </w:r>
      <w:r w:rsidRPr="004850DC">
        <w:rPr>
          <w:rFonts w:ascii="Times New Roman" w:hAnsi="Times New Roman"/>
          <w:sz w:val="24"/>
          <w:szCs w:val="24"/>
          <w:lang w:val="lv-LV"/>
        </w:rPr>
        <w:t xml:space="preserve">tabulu). </w:t>
      </w:r>
    </w:p>
    <w:p w:rsidR="004850DC" w:rsidRPr="004850DC" w:rsidRDefault="004850DC" w:rsidP="004850DC">
      <w:pPr>
        <w:spacing w:line="240" w:lineRule="auto"/>
        <w:jc w:val="both"/>
        <w:rPr>
          <w:rFonts w:ascii="Times New Roman" w:hAnsi="Times New Roman"/>
          <w:sz w:val="24"/>
          <w:szCs w:val="24"/>
          <w:lang w:val="lv-LV"/>
        </w:rPr>
      </w:pPr>
      <w:r w:rsidRPr="004850DC">
        <w:rPr>
          <w:rFonts w:ascii="Times New Roman" w:hAnsi="Times New Roman"/>
          <w:sz w:val="24"/>
          <w:szCs w:val="24"/>
          <w:lang w:val="lv-LV"/>
        </w:rPr>
        <w:t>2015. gada 12.novembrī kvalitātes dienests sadarbībā ar Latvijas Darba devēju konfederāciju un Valsts izglītības satura centru nozaru uzņēmumu pārstāvjiem organizēja semināru “Kā profesionālās izglītības sistēma var palīdzēt uzņēmumiem piesaistīt kvalificētus darbiniekus?”</w:t>
      </w:r>
      <w:r w:rsidRPr="004850DC">
        <w:rPr>
          <w:rStyle w:val="FootnoteReference"/>
          <w:rFonts w:ascii="Times New Roman" w:hAnsi="Times New Roman"/>
          <w:sz w:val="24"/>
          <w:szCs w:val="24"/>
          <w:lang w:val="lv-LV"/>
        </w:rPr>
        <w:footnoteReference w:id="2"/>
      </w:r>
      <w:r w:rsidRPr="004850DC">
        <w:rPr>
          <w:rFonts w:ascii="Times New Roman" w:hAnsi="Times New Roman"/>
          <w:sz w:val="24"/>
          <w:szCs w:val="24"/>
          <w:lang w:val="lv-LV"/>
        </w:rPr>
        <w:t xml:space="preserve">, kurā dalībnieki tika iepazīstināti ar </w:t>
      </w:r>
      <w:r w:rsidRPr="004850DC">
        <w:rPr>
          <w:rFonts w:ascii="Times New Roman" w:hAnsi="Times New Roman"/>
          <w:sz w:val="24"/>
          <w:szCs w:val="24"/>
          <w:lang w:val="lv-LV" w:eastAsia="lv-LV"/>
        </w:rPr>
        <w:t>ESF projekta „</w:t>
      </w:r>
      <w:r w:rsidRPr="004850DC">
        <w:rPr>
          <w:rFonts w:ascii="Times New Roman" w:hAnsi="Times New Roman"/>
          <w:i/>
          <w:sz w:val="24"/>
          <w:szCs w:val="24"/>
          <w:lang w:val="lv-LV" w:eastAsia="lv-LV"/>
        </w:rPr>
        <w:t>Nozaru kvalifikāciju sistēmas izveide un profesionālās izglītības efektivitātes un kvalitātes paaugstināšana</w:t>
      </w:r>
      <w:r w:rsidRPr="004850DC">
        <w:rPr>
          <w:rFonts w:ascii="Times New Roman" w:hAnsi="Times New Roman"/>
          <w:sz w:val="24"/>
          <w:szCs w:val="24"/>
          <w:lang w:val="lv-LV" w:eastAsia="lv-LV"/>
        </w:rPr>
        <w:t xml:space="preserve">” </w:t>
      </w:r>
      <w:r w:rsidRPr="004850DC">
        <w:rPr>
          <w:rFonts w:ascii="Times New Roman" w:hAnsi="Times New Roman"/>
          <w:sz w:val="24"/>
          <w:szCs w:val="24"/>
          <w:lang w:val="lv-LV"/>
        </w:rPr>
        <w:t>ietvaros sasniegtajiem rezultātiem modulārās profesionālās izglītības programmu izstrādē un ārpus formālās izglītības sistēmas apgūtās profesionālās kompetences novērtēšanā. Semināra diskusijās nozaru uzņēmumu pārstāvji kā pamatojumu vienas vai divu profesionālo kvalifikāciju ieguvei minēja nosacījumus uzņēmumu dalībai Eiropas struktūrfondu projektos. Tas motivē uzņēmumus sakārtot darba tiesiskās attiecības ar strādājošajiem un nodarbināt kvalificētus darbiniekus. Tādējādi, profesionālās kompetences novērtēšana ir iespēja, ko izmanto ne tikai darbinieki, bet arī darba devēji.</w:t>
      </w:r>
    </w:p>
    <w:p w:rsidR="004850DC" w:rsidRPr="004850DC" w:rsidRDefault="004850DC" w:rsidP="004850DC">
      <w:pPr>
        <w:spacing w:line="240" w:lineRule="auto"/>
        <w:jc w:val="right"/>
        <w:rPr>
          <w:rFonts w:ascii="Times New Roman" w:hAnsi="Times New Roman"/>
          <w:i/>
          <w:sz w:val="20"/>
          <w:szCs w:val="20"/>
          <w:lang w:val="lv-LV"/>
        </w:rPr>
      </w:pPr>
      <w:r w:rsidRPr="004850DC">
        <w:rPr>
          <w:rFonts w:ascii="Times New Roman" w:hAnsi="Times New Roman"/>
          <w:i/>
          <w:sz w:val="20"/>
          <w:szCs w:val="20"/>
          <w:lang w:val="lv-LV"/>
        </w:rPr>
        <w:t>2.tabula. Profesionālās kompetences novērtēšanas ceļā iegūtās divas profesionālās kvalifikācijas.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3757"/>
      </w:tblGrid>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b/>
                <w:sz w:val="20"/>
                <w:szCs w:val="20"/>
                <w:lang w:val="lv-LV"/>
              </w:rPr>
            </w:pPr>
            <w:r w:rsidRPr="004850DC">
              <w:rPr>
                <w:rFonts w:ascii="Times New Roman" w:hAnsi="Times New Roman"/>
                <w:b/>
                <w:sz w:val="20"/>
                <w:szCs w:val="20"/>
                <w:lang w:val="lv-LV"/>
              </w:rPr>
              <w:t>Pirmā profesionālā kvalifikācija</w:t>
            </w:r>
          </w:p>
        </w:tc>
        <w:tc>
          <w:tcPr>
            <w:tcW w:w="3858" w:type="dxa"/>
            <w:shd w:val="clear" w:color="auto" w:fill="auto"/>
          </w:tcPr>
          <w:p w:rsidR="004850DC" w:rsidRPr="004850DC" w:rsidRDefault="004850DC" w:rsidP="003070AA">
            <w:pPr>
              <w:spacing w:line="240" w:lineRule="auto"/>
              <w:jc w:val="both"/>
              <w:rPr>
                <w:rFonts w:ascii="Times New Roman" w:hAnsi="Times New Roman"/>
                <w:b/>
                <w:sz w:val="20"/>
                <w:szCs w:val="20"/>
                <w:lang w:val="lv-LV"/>
              </w:rPr>
            </w:pPr>
            <w:r w:rsidRPr="004850DC">
              <w:rPr>
                <w:rFonts w:ascii="Times New Roman" w:hAnsi="Times New Roman"/>
                <w:b/>
                <w:sz w:val="20"/>
                <w:szCs w:val="20"/>
                <w:lang w:val="lv-LV"/>
              </w:rPr>
              <w:t>Otrā profesionālā kvalifikācija</w:t>
            </w:r>
          </w:p>
        </w:tc>
      </w:tr>
      <w:tr w:rsidR="004850DC" w:rsidRPr="004850DC" w:rsidTr="003070AA">
        <w:trPr>
          <w:trHeight w:val="489"/>
        </w:trPr>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aktīvās gāzes vidē (MAG)</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Automehāniķis</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Autoatslēdznieks</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Autoelektriķis</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Auklis</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Aprūpētājs</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Ceļojumu konsultants</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Auklis</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inertās gāzes vidē (MIG)</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aktīvās gāze vidē (MAG)</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Rokas lokmetinātājs (MMA)</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Gāzmetinātājs</w:t>
            </w:r>
          </w:p>
        </w:tc>
      </w:tr>
      <w:tr w:rsidR="004850DC" w:rsidRPr="004850DC" w:rsidTr="003070AA">
        <w:trPr>
          <w:trHeight w:val="519"/>
        </w:trPr>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Rokas lokmetinātājs (MMA)</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aktīvās gāzes vidē (MAG)</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volframa elektrodu inertās gāzes vidē (TIG)</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inertās gāzes vidē (MIG)</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Lokmetinātājs metināšanā ar mehanizēto iekārtu inertās gāzes vidē (MIG)</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Rokas lokmetinātājs (MMA)</w:t>
            </w:r>
          </w:p>
        </w:tc>
      </w:tr>
      <w:tr w:rsidR="004850DC" w:rsidRPr="004850DC" w:rsidTr="003070AA">
        <w:tc>
          <w:tcPr>
            <w:tcW w:w="4110"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Elektriķis</w:t>
            </w:r>
          </w:p>
        </w:tc>
        <w:tc>
          <w:tcPr>
            <w:tcW w:w="3858" w:type="dxa"/>
            <w:shd w:val="clear" w:color="auto" w:fill="auto"/>
          </w:tcPr>
          <w:p w:rsidR="004850DC" w:rsidRPr="004850DC" w:rsidRDefault="004850DC" w:rsidP="003070AA">
            <w:pPr>
              <w:spacing w:line="240" w:lineRule="auto"/>
              <w:jc w:val="both"/>
              <w:rPr>
                <w:rFonts w:ascii="Times New Roman" w:hAnsi="Times New Roman"/>
                <w:sz w:val="20"/>
                <w:szCs w:val="20"/>
                <w:lang w:val="lv-LV"/>
              </w:rPr>
            </w:pPr>
            <w:r w:rsidRPr="004850DC">
              <w:rPr>
                <w:rFonts w:ascii="Times New Roman" w:hAnsi="Times New Roman"/>
                <w:sz w:val="20"/>
                <w:szCs w:val="20"/>
                <w:lang w:val="lv-LV"/>
              </w:rPr>
              <w:t>Automehāniķis</w:t>
            </w:r>
          </w:p>
        </w:tc>
      </w:tr>
    </w:tbl>
    <w:p w:rsidR="004850DC" w:rsidRPr="004850DC" w:rsidRDefault="004850DC" w:rsidP="004850DC">
      <w:pPr>
        <w:spacing w:line="240" w:lineRule="auto"/>
        <w:jc w:val="both"/>
        <w:rPr>
          <w:rFonts w:ascii="Times New Roman" w:hAnsi="Times New Roman"/>
          <w:sz w:val="24"/>
          <w:szCs w:val="24"/>
          <w:lang w:val="lv-LV"/>
        </w:rPr>
      </w:pPr>
    </w:p>
    <w:p w:rsidR="004850DC" w:rsidRPr="004850DC" w:rsidRDefault="004850DC" w:rsidP="004850DC">
      <w:pPr>
        <w:spacing w:after="0" w:line="240" w:lineRule="auto"/>
        <w:jc w:val="both"/>
        <w:rPr>
          <w:rFonts w:ascii="Times New Roman" w:hAnsi="Times New Roman"/>
          <w:sz w:val="24"/>
          <w:szCs w:val="24"/>
          <w:lang w:val="lv-LV" w:eastAsia="lv-LV"/>
        </w:rPr>
      </w:pPr>
      <w:r w:rsidRPr="004850DC">
        <w:rPr>
          <w:rFonts w:ascii="Times New Roman" w:hAnsi="Times New Roman"/>
          <w:sz w:val="24"/>
          <w:szCs w:val="24"/>
          <w:lang w:val="lv-LV" w:eastAsia="lv-LV"/>
        </w:rPr>
        <w:lastRenderedPageBreak/>
        <w:t>Viens no profesionālās kompetences novērtēšanas kvalitātes un uzticamības raksturojošiem rādītājiem ir 48 personas (vidēji 1,7% no kopējā eksaminēto personu skaita), kuras ar pirmo reizi nav sekmīgi nokārtojušas profesionālās kvalifikācijas eksāmenu. Salīdzinājumam Valsts izglītības satura centra interneta mājas lapā publiskotajā informācijā, par 2012.gada profesionālās kvalifikācijas eksāmenu rezultatīvajiem rādītājiem, profesionālās izglītības programmu noslēguma pārbaudījumos profesionālās kvalifikācijas eksāmenu nesekmīgi kārtojuši 3% eksaminēto izglītojamo.</w:t>
      </w:r>
      <w:r w:rsidRPr="004850DC">
        <w:rPr>
          <w:rStyle w:val="FootnoteReference"/>
          <w:rFonts w:ascii="Times New Roman" w:hAnsi="Times New Roman"/>
          <w:sz w:val="24"/>
          <w:szCs w:val="24"/>
          <w:lang w:val="lv-LV" w:eastAsia="lv-LV"/>
        </w:rPr>
        <w:footnoteReference w:id="3"/>
      </w:r>
      <w:r w:rsidRPr="004850DC">
        <w:rPr>
          <w:rFonts w:ascii="Times New Roman" w:hAnsi="Times New Roman"/>
          <w:sz w:val="24"/>
          <w:szCs w:val="24"/>
          <w:lang w:val="lv-LV" w:eastAsia="lv-LV"/>
        </w:rPr>
        <w:t xml:space="preserve"> </w:t>
      </w:r>
    </w:p>
    <w:p w:rsidR="004850DC" w:rsidRPr="004850DC" w:rsidRDefault="004850DC" w:rsidP="004850DC">
      <w:pPr>
        <w:rPr>
          <w:rFonts w:ascii="Times New Roman" w:hAnsi="Times New Roman"/>
          <w:b/>
          <w:sz w:val="24"/>
          <w:szCs w:val="24"/>
          <w:u w:val="single"/>
          <w:lang w:val="lv-LV"/>
        </w:rPr>
      </w:pPr>
    </w:p>
    <w:p w:rsidR="004850DC" w:rsidRPr="004850DC" w:rsidRDefault="004850DC" w:rsidP="004850DC">
      <w:pPr>
        <w:spacing w:after="0" w:line="240" w:lineRule="auto"/>
        <w:rPr>
          <w:rFonts w:ascii="Times New Roman" w:hAnsi="Times New Roman"/>
          <w:sz w:val="24"/>
          <w:szCs w:val="24"/>
          <w:lang w:val="lv-LV"/>
        </w:rPr>
      </w:pPr>
      <w:r w:rsidRPr="004850DC">
        <w:rPr>
          <w:rFonts w:ascii="Times New Roman" w:hAnsi="Times New Roman"/>
          <w:sz w:val="24"/>
          <w:szCs w:val="24"/>
          <w:lang w:val="lv-LV"/>
        </w:rPr>
        <w:t xml:space="preserve">Sagatavoja </w:t>
      </w:r>
    </w:p>
    <w:p w:rsidR="004850DC" w:rsidRPr="004850DC" w:rsidRDefault="004850DC" w:rsidP="004850DC">
      <w:pPr>
        <w:spacing w:after="0" w:line="240" w:lineRule="auto"/>
        <w:rPr>
          <w:rFonts w:ascii="Times New Roman" w:hAnsi="Times New Roman"/>
          <w:sz w:val="24"/>
          <w:szCs w:val="24"/>
          <w:lang w:val="lv-LV"/>
        </w:rPr>
      </w:pPr>
      <w:r w:rsidRPr="004850DC">
        <w:rPr>
          <w:rFonts w:ascii="Times New Roman" w:hAnsi="Times New Roman"/>
          <w:sz w:val="24"/>
          <w:szCs w:val="24"/>
          <w:lang w:val="lv-LV"/>
        </w:rPr>
        <w:t>IKVD Kvalitātes novērtēšanas departamenta</w:t>
      </w:r>
    </w:p>
    <w:p w:rsidR="004850DC" w:rsidRPr="004850DC" w:rsidRDefault="004850DC" w:rsidP="004850DC">
      <w:pPr>
        <w:spacing w:after="0" w:line="240" w:lineRule="auto"/>
        <w:rPr>
          <w:rFonts w:ascii="Times New Roman" w:hAnsi="Times New Roman"/>
          <w:sz w:val="24"/>
          <w:szCs w:val="24"/>
          <w:lang w:val="lv-LV"/>
        </w:rPr>
      </w:pPr>
      <w:r w:rsidRPr="004850DC">
        <w:rPr>
          <w:rFonts w:ascii="Times New Roman" w:hAnsi="Times New Roman"/>
          <w:sz w:val="24"/>
          <w:szCs w:val="24"/>
          <w:lang w:val="lv-LV"/>
        </w:rPr>
        <w:t>pārvaldes vecākais referents Māris Stinkulis</w:t>
      </w:r>
    </w:p>
    <w:p w:rsidR="004850DC" w:rsidRPr="004850DC" w:rsidRDefault="004850DC" w:rsidP="004850DC">
      <w:pPr>
        <w:spacing w:after="0" w:line="240" w:lineRule="auto"/>
        <w:rPr>
          <w:rFonts w:ascii="Times New Roman" w:hAnsi="Times New Roman"/>
          <w:sz w:val="24"/>
          <w:szCs w:val="24"/>
          <w:lang w:val="lv-LV"/>
        </w:rPr>
      </w:pPr>
    </w:p>
    <w:p w:rsidR="004850DC" w:rsidRPr="004850DC" w:rsidRDefault="004850DC" w:rsidP="004850DC">
      <w:pPr>
        <w:spacing w:after="0" w:line="240" w:lineRule="auto"/>
        <w:rPr>
          <w:rFonts w:ascii="Times New Roman" w:hAnsi="Times New Roman"/>
          <w:sz w:val="24"/>
          <w:szCs w:val="24"/>
          <w:lang w:val="lv-LV"/>
        </w:rPr>
      </w:pPr>
      <w:r w:rsidRPr="004850DC">
        <w:rPr>
          <w:rFonts w:ascii="Times New Roman" w:hAnsi="Times New Roman"/>
          <w:sz w:val="24"/>
          <w:szCs w:val="24"/>
          <w:lang w:val="lv-LV"/>
        </w:rPr>
        <w:t>18.01.2016.</w:t>
      </w:r>
    </w:p>
    <w:p w:rsidR="004850DC" w:rsidRPr="004850DC" w:rsidRDefault="004850DC" w:rsidP="004850DC">
      <w:pPr>
        <w:rPr>
          <w:rFonts w:ascii="Times New Roman" w:hAnsi="Times New Roman"/>
          <w:sz w:val="24"/>
          <w:szCs w:val="24"/>
          <w:lang w:val="lv-LV"/>
        </w:rPr>
      </w:pPr>
    </w:p>
    <w:p w:rsidR="004850DC" w:rsidRDefault="004850DC">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Default="0035077B">
      <w:pPr>
        <w:rPr>
          <w:b/>
          <w:sz w:val="24"/>
          <w:szCs w:val="24"/>
          <w:lang w:val="lv-LV"/>
        </w:rPr>
      </w:pPr>
    </w:p>
    <w:p w:rsidR="0035077B" w:rsidRPr="0035077B" w:rsidRDefault="0035077B" w:rsidP="0035077B">
      <w:pPr>
        <w:autoSpaceDE w:val="0"/>
        <w:autoSpaceDN w:val="0"/>
        <w:adjustRightInd w:val="0"/>
        <w:spacing w:after="0" w:line="240" w:lineRule="auto"/>
        <w:ind w:left="223"/>
        <w:jc w:val="both"/>
        <w:rPr>
          <w:rFonts w:ascii="Times New Roman" w:eastAsia="Times New Roman" w:hAnsi="Times New Roman" w:cs="Times New Roman"/>
          <w:b/>
          <w:sz w:val="24"/>
          <w:szCs w:val="24"/>
          <w:lang w:val="lv-LV"/>
        </w:rPr>
      </w:pPr>
      <w:r w:rsidRPr="0035077B">
        <w:rPr>
          <w:rFonts w:ascii="Times New Roman" w:eastAsia="Times New Roman" w:hAnsi="Times New Roman" w:cs="Times New Roman"/>
          <w:sz w:val="24"/>
          <w:szCs w:val="24"/>
          <w:lang w:val="lv-LV"/>
        </w:rPr>
        <w:lastRenderedPageBreak/>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sz w:val="24"/>
          <w:szCs w:val="24"/>
          <w:lang w:val="lv-LV"/>
        </w:rPr>
        <w:tab/>
      </w:r>
      <w:r w:rsidRPr="0035077B">
        <w:rPr>
          <w:rFonts w:ascii="Times New Roman" w:eastAsia="Times New Roman" w:hAnsi="Times New Roman" w:cs="Times New Roman"/>
          <w:b/>
          <w:sz w:val="24"/>
          <w:szCs w:val="24"/>
          <w:lang w:val="lv-LV"/>
        </w:rPr>
        <w:t xml:space="preserve">   </w:t>
      </w:r>
      <w:r>
        <w:rPr>
          <w:rFonts w:ascii="Times New Roman" w:eastAsia="Times New Roman" w:hAnsi="Times New Roman" w:cs="Times New Roman"/>
          <w:b/>
          <w:sz w:val="24"/>
          <w:szCs w:val="24"/>
          <w:lang w:val="lv-LV"/>
        </w:rPr>
        <w:t xml:space="preserve">                      </w:t>
      </w:r>
      <w:r w:rsidRPr="0035077B">
        <w:rPr>
          <w:rFonts w:ascii="Times New Roman" w:eastAsia="Times New Roman" w:hAnsi="Times New Roman" w:cs="Times New Roman"/>
          <w:b/>
          <w:sz w:val="24"/>
          <w:szCs w:val="24"/>
          <w:lang w:val="lv-LV"/>
        </w:rPr>
        <w:t xml:space="preserve"> Pielikums Nr. 4</w:t>
      </w:r>
    </w:p>
    <w:p w:rsidR="0035077B" w:rsidRPr="0035077B" w:rsidRDefault="0035077B" w:rsidP="0035077B">
      <w:pPr>
        <w:autoSpaceDE w:val="0"/>
        <w:autoSpaceDN w:val="0"/>
        <w:adjustRightInd w:val="0"/>
        <w:spacing w:after="0" w:line="240" w:lineRule="auto"/>
        <w:ind w:left="223"/>
        <w:jc w:val="both"/>
        <w:rPr>
          <w:rFonts w:ascii="Times New Roman" w:eastAsia="Times New Roman" w:hAnsi="Times New Roman" w:cs="Times New Roman"/>
          <w:sz w:val="24"/>
          <w:szCs w:val="24"/>
          <w:lang w:val="lv-LV"/>
        </w:rPr>
      </w:pPr>
    </w:p>
    <w:p w:rsidR="0035077B" w:rsidRPr="0035077B" w:rsidRDefault="0035077B" w:rsidP="0035077B">
      <w:pPr>
        <w:autoSpaceDE w:val="0"/>
        <w:autoSpaceDN w:val="0"/>
        <w:adjustRightInd w:val="0"/>
        <w:spacing w:after="0" w:line="240" w:lineRule="auto"/>
        <w:ind w:left="223"/>
        <w:jc w:val="both"/>
        <w:rPr>
          <w:rFonts w:ascii="Times New Roman" w:eastAsia="Times New Roman" w:hAnsi="Times New Roman" w:cs="Times New Roman"/>
          <w:sz w:val="24"/>
          <w:szCs w:val="24"/>
          <w:lang w:val="lv-LV"/>
        </w:rPr>
      </w:pPr>
      <w:r w:rsidRPr="0035077B">
        <w:rPr>
          <w:rFonts w:ascii="Times New Roman" w:eastAsia="Times New Roman" w:hAnsi="Times New Roman" w:cs="Times New Roman"/>
          <w:sz w:val="24"/>
          <w:szCs w:val="24"/>
          <w:lang w:val="lv-LV"/>
        </w:rPr>
        <w:t>LM pieredze un secinājumi par 2007. – 2013.gada periodu PI īstenošanā.</w:t>
      </w:r>
    </w:p>
    <w:p w:rsidR="0035077B" w:rsidRPr="0035077B" w:rsidRDefault="0035077B" w:rsidP="0035077B">
      <w:pPr>
        <w:autoSpaceDE w:val="0"/>
        <w:autoSpaceDN w:val="0"/>
        <w:adjustRightInd w:val="0"/>
        <w:spacing w:after="0" w:line="240" w:lineRule="auto"/>
        <w:ind w:left="223"/>
        <w:jc w:val="both"/>
        <w:rPr>
          <w:rFonts w:ascii="Times New Roman" w:eastAsia="Times New Roman" w:hAnsi="Times New Roman" w:cs="Times New Roman"/>
          <w:sz w:val="24"/>
          <w:szCs w:val="24"/>
          <w:lang w:val="lv-LV"/>
        </w:rPr>
      </w:pPr>
    </w:p>
    <w:p w:rsidR="0035077B" w:rsidRPr="0035077B" w:rsidRDefault="0035077B" w:rsidP="0035077B">
      <w:pPr>
        <w:spacing w:after="0" w:line="240" w:lineRule="auto"/>
        <w:ind w:left="223" w:hanging="142"/>
        <w:jc w:val="both"/>
        <w:rPr>
          <w:rFonts w:ascii="Times New Roman" w:eastAsia="Times New Roman" w:hAnsi="Times New Roman" w:cs="Times New Roman"/>
          <w:sz w:val="24"/>
          <w:szCs w:val="24"/>
          <w:lang w:val="lv-LV"/>
        </w:rPr>
      </w:pPr>
      <w:r w:rsidRPr="0035077B">
        <w:rPr>
          <w:rFonts w:ascii="Times New Roman" w:eastAsia="Times New Roman" w:hAnsi="Times New Roman" w:cs="Times New Roman"/>
          <w:sz w:val="24"/>
          <w:szCs w:val="24"/>
          <w:lang w:val="lv-LV"/>
        </w:rPr>
        <w:t>“Lai uzlabotu NVA īstenoto (bezdarbnieku, darba meklētāju un nodarbināto) mācību pasākumu kvalitāti un atbilstību darba tirgus vajadzībām, 2007.-2013. gadā</w:t>
      </w:r>
      <w:r w:rsidRPr="0035077B">
        <w:rPr>
          <w:rFonts w:ascii="Times New Roman" w:eastAsia="Times New Roman" w:hAnsi="Times New Roman" w:cs="Times New Roman"/>
          <w:b/>
          <w:sz w:val="24"/>
          <w:szCs w:val="24"/>
          <w:lang w:val="lv-LV"/>
        </w:rPr>
        <w:t xml:space="preserve"> tika veikti šādi pilnveidojumi</w:t>
      </w:r>
      <w:r w:rsidRPr="0035077B">
        <w:rPr>
          <w:rFonts w:ascii="Times New Roman" w:eastAsia="Times New Roman" w:hAnsi="Times New Roman" w:cs="Times New Roman"/>
          <w:sz w:val="24"/>
          <w:szCs w:val="24"/>
          <w:lang w:val="lv-LV"/>
        </w:rPr>
        <w:t>:</w:t>
      </w:r>
    </w:p>
    <w:p w:rsidR="0035077B" w:rsidRPr="0035077B" w:rsidRDefault="0035077B" w:rsidP="0035077B">
      <w:pPr>
        <w:numPr>
          <w:ilvl w:val="0"/>
          <w:numId w:val="3"/>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
          <w:bCs/>
          <w:sz w:val="24"/>
          <w:szCs w:val="24"/>
          <w:lang w:val="lv-LV"/>
        </w:rPr>
        <w:t>Mācību programmu atbilstība darba tirgus pieprasījumam</w:t>
      </w:r>
      <w:r w:rsidRPr="0035077B">
        <w:rPr>
          <w:rFonts w:ascii="Times New Roman" w:hAnsi="Times New Roman" w:cs="Times New Roman"/>
          <w:sz w:val="24"/>
          <w:szCs w:val="24"/>
          <w:lang w:val="lv-LV"/>
        </w:rPr>
        <w:t xml:space="preserve">. Lai noteiktu mācību prioritāros virzienus, NVA katru gadu izstrādā darba tirgus īstermiņa prognozi, prognozējot nākotnē nepieciešamās prasmes, kas atbilstu darba tirgus pieprasījumam pēc noteiktas profesijas un kvalifikācijas darbiniekiem. Mācību jomas, izglītības programmas, profesijas un sociālās un profesionālās pamatprasmes, kurās atbilstoši darba tirgus pieprasījumam un tautsaimniecības nozaru attīstības prognozēm nepieciešams veikt mācības, kā arī konkurētspējas paaugstināšanas pasākumu tematiskās jomas, ne retāk kā reizi gadā </w:t>
      </w:r>
      <w:r w:rsidRPr="0035077B">
        <w:rPr>
          <w:rFonts w:ascii="Times New Roman" w:hAnsi="Times New Roman" w:cs="Times New Roman"/>
          <w:b/>
          <w:sz w:val="24"/>
          <w:szCs w:val="24"/>
          <w:lang w:val="lv-LV"/>
        </w:rPr>
        <w:t>nosaka labklājības ministra izveidota Mācību komisija</w:t>
      </w:r>
      <w:r w:rsidRPr="0035077B">
        <w:rPr>
          <w:rFonts w:ascii="Times New Roman" w:hAnsi="Times New Roman" w:cs="Times New Roman"/>
          <w:sz w:val="24"/>
          <w:szCs w:val="24"/>
          <w:lang w:val="lv-LV"/>
        </w:rPr>
        <w:t>. Tās apstiprinātie saraksti var tikt aktualizēti, ņemot vērā darba tirgus pieprasījuma izmaiņas</w:t>
      </w:r>
      <w:r w:rsidRPr="0035077B">
        <w:rPr>
          <w:rFonts w:ascii="Times New Roman" w:hAnsi="Times New Roman" w:cs="Times New Roman"/>
          <w:sz w:val="24"/>
          <w:szCs w:val="24"/>
          <w:vertAlign w:val="superscript"/>
          <w:lang w:val="lv-LV"/>
        </w:rPr>
        <w:footnoteReference w:id="4"/>
      </w:r>
      <w:r w:rsidRPr="0035077B">
        <w:rPr>
          <w:rFonts w:ascii="Times New Roman" w:hAnsi="Times New Roman" w:cs="Times New Roman"/>
          <w:sz w:val="24"/>
          <w:szCs w:val="24"/>
          <w:lang w:val="lv-LV"/>
        </w:rPr>
        <w:t>.  Lai uzraudzītu īstenoto mācību pasākumu efektivitāti, tiek izmantoti šādi instrumenti: starptautisko un vietējo ekspertu piesaiste pētījumu veikšanai par mācību pasākumiem, uzraudzības rādītāju noteikšana, kas palīdz iegūt informāciju par dalību pabeigušajiem bezdarbniekiem un viņu gaitām darba tirgū.</w:t>
      </w:r>
    </w:p>
    <w:p w:rsidR="0035077B" w:rsidRPr="0035077B" w:rsidRDefault="0035077B" w:rsidP="0035077B">
      <w:pPr>
        <w:numPr>
          <w:ilvl w:val="0"/>
          <w:numId w:val="3"/>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
          <w:bCs/>
          <w:sz w:val="24"/>
          <w:szCs w:val="24"/>
          <w:lang w:val="lv-LV"/>
        </w:rPr>
        <w:t xml:space="preserve">Mūžizglītības atbalsta sniegšanā nodarbinātajiem ir ieviesta mācību kuponu sistēma. Tā bija viena no strukturālajām reformām, kas tika ietverta 2011. gada </w:t>
      </w:r>
      <w:r w:rsidRPr="0035077B">
        <w:rPr>
          <w:rFonts w:ascii="Times New Roman" w:hAnsi="Times New Roman" w:cs="Times New Roman"/>
          <w:sz w:val="24"/>
          <w:szCs w:val="24"/>
          <w:lang w:val="lv-LV"/>
        </w:rPr>
        <w:t xml:space="preserve">Pasaules Bankas speciālā attīstības kredīta otrās daļas nosacījumos. Atbilstoši Pasaules Bankas pētījuma atziņām, mācību kuponu sistēmas darbībā svarīgākais ir pareizi noteikti un iestrādāti stimuli mācību pakalpojumu sniedzējiem – gan privātajiem, gan publiskajiem, lai tiem būtu motivācija būt elastīgākiem un sniegt pēc iespējas kvalitatīvāku pakalpojumu. Par labu pasaules praksi tiek atzīta arī kvalitātes kritēriju noteikšana kuponu sistēmas dalībniekiem (kas var būt arī iepriekšējā perioda darbā iekārtošanās rādītāji) un to profesiju/prasmju ierobežošana, kuru ieguvei kuponus iespējams izmantot. Abas minētās pieejas tiek izmantotas arī Latvijā gan bezdarbnieku un darba meklētāju, gan nodarbināto izglītībā, Mācību komisijai (darbojas atbilstoši MK noteikumu Nr.75 22.punktam) nosakot tās programmas un prasmes, kuras ir aktuālas darba tirgum, ņemot vērā, gan darba devēju viedokli, gan darba tirgus prognozes un aktuālo situāciju. Ar Pasaules Bankas pētījumu u.c. failiem tā oriģinālvalodā ir iespējams iepazīties Labklājības ministrijas mājaslapā (skat: </w:t>
      </w:r>
      <w:hyperlink r:id="rId9" w:history="1">
        <w:r w:rsidRPr="0035077B">
          <w:rPr>
            <w:rFonts w:ascii="Times New Roman" w:hAnsi="Times New Roman" w:cs="Times New Roman"/>
            <w:color w:val="0000FF"/>
            <w:sz w:val="24"/>
            <w:szCs w:val="24"/>
            <w:u w:val="single"/>
            <w:lang w:val="lv-LV"/>
          </w:rPr>
          <w:t>http://www.lm.gov.lv/text/2524)</w:t>
        </w:r>
      </w:hyperlink>
      <w:r w:rsidRPr="0035077B">
        <w:rPr>
          <w:rFonts w:ascii="Times New Roman" w:hAnsi="Times New Roman" w:cs="Times New Roman"/>
          <w:sz w:val="24"/>
          <w:szCs w:val="24"/>
          <w:lang w:val="lv-LV"/>
        </w:rPr>
        <w:t>.</w:t>
      </w:r>
      <w:r w:rsidRPr="0035077B">
        <w:rPr>
          <w:rFonts w:ascii="Times New Roman" w:hAnsi="Times New Roman" w:cs="Times New Roman"/>
          <w:b/>
          <w:sz w:val="24"/>
          <w:szCs w:val="24"/>
          <w:lang w:val="lv-LV"/>
        </w:rPr>
        <w:t xml:space="preserve">  </w:t>
      </w:r>
      <w:r w:rsidRPr="0035077B">
        <w:rPr>
          <w:rFonts w:ascii="Times New Roman" w:hAnsi="Times New Roman" w:cs="Times New Roman"/>
          <w:sz w:val="24"/>
          <w:szCs w:val="24"/>
          <w:lang w:val="lv-LV"/>
        </w:rPr>
        <w:t>Daudzas valstis (ES dalībvalstis, Amerikas Savienotās Valstis) pāriet uz pakalpojumu kuponu sistēmu (pieprasījuma virzītu, nevis piedāvājuma virzītu izglītību), jo tā labāk un ātrāk reaģē uz darba tirgus izmaiņām, nodrošina pastāvīgu motivāciju pakalpojumu sniedzējam nodrošināt augstu kvalitāti un plašu piedāvājumu. Iepriekš minēto ir atzinuši arī Pasaules Bankas eksperti.</w:t>
      </w:r>
      <w:r w:rsidRPr="0035077B">
        <w:rPr>
          <w:rFonts w:ascii="Times New Roman" w:hAnsi="Times New Roman" w:cs="Times New Roman"/>
          <w:sz w:val="24"/>
          <w:szCs w:val="24"/>
          <w:vertAlign w:val="superscript"/>
          <w:lang w:val="lv-LV"/>
        </w:rPr>
        <w:footnoteReference w:id="5"/>
      </w:r>
      <w:r w:rsidRPr="0035077B">
        <w:rPr>
          <w:rFonts w:ascii="Times New Roman" w:hAnsi="Times New Roman" w:cs="Times New Roman"/>
          <w:sz w:val="24"/>
          <w:szCs w:val="24"/>
          <w:lang w:val="lv-LV"/>
        </w:rPr>
        <w:t xml:space="preserve"> Klients, saņemot mācību kuponu, var izvēlēties sev piemērotāko mācību </w:t>
      </w:r>
      <w:r w:rsidRPr="0035077B">
        <w:rPr>
          <w:rFonts w:ascii="Times New Roman" w:hAnsi="Times New Roman" w:cs="Times New Roman"/>
          <w:sz w:val="24"/>
          <w:szCs w:val="24"/>
          <w:lang w:val="lv-LV"/>
        </w:rPr>
        <w:lastRenderedPageBreak/>
        <w:t xml:space="preserve">veidu un izglītības iestādi – no piedāvātā mācību programmu saraksta, kuru apstiprinājusi LM Mācību komisija, kā arī no izglītības iestādēm, kuras iepirkuma rezultātā guvušas tiesības sniegt izglītību. Izvērtējot kuponu metodes ieviešanu, ir novērojami gan ieguvumi (piemēram, lielāka konkurence starp izglītības iestādēm, kas ilgtermiņā ietekmē arī pakalpojumu kvalitāti), gan nepilnības, pie kuru novēršanas jāturpina strādāt. Mācību kupons klientam tiek izsniegts reģistrēšanās secībā. Klients personīgi sazinās ar izglītības iestādēm, kas piedāvā noteiktu mācību programmu un izvēlas vienu no iestādēm, kurā vēlas mācīties. </w:t>
      </w:r>
      <w:r w:rsidRPr="0035077B">
        <w:rPr>
          <w:rFonts w:ascii="Times New Roman" w:hAnsi="Times New Roman" w:cs="Times New Roman"/>
          <w:b/>
          <w:bCs/>
          <w:sz w:val="24"/>
          <w:szCs w:val="24"/>
          <w:lang w:val="lv-LV"/>
        </w:rPr>
        <w:t>Izvēlētā izglītības iestāde ne vienmēr uzreiz ir spējīga nokomplektēt grupu mācībām</w:t>
      </w:r>
      <w:r w:rsidRPr="0035077B">
        <w:rPr>
          <w:rFonts w:ascii="Times New Roman" w:hAnsi="Times New Roman" w:cs="Times New Roman"/>
          <w:sz w:val="24"/>
          <w:szCs w:val="24"/>
          <w:lang w:val="lv-LV"/>
        </w:rPr>
        <w:t xml:space="preserve">, līdz ar to personas iesaiste konkrētajā mācību programmā var aizkavēties. Tomēr, kuponu sistēmas ieviešanas laikā konstatēts, ka, izsniedzot kuponus reģistrēto pieteikumu secībā un neatkarīgi no pieteikumu skaita uz izvēlēto programmu, </w:t>
      </w:r>
      <w:r w:rsidRPr="0035077B">
        <w:rPr>
          <w:rFonts w:ascii="Times New Roman" w:hAnsi="Times New Roman" w:cs="Times New Roman"/>
          <w:b/>
          <w:bCs/>
          <w:sz w:val="24"/>
          <w:szCs w:val="24"/>
          <w:lang w:val="lv-LV"/>
        </w:rPr>
        <w:t>klienti daudz īsākā laika periodā iesaistās mācībās, salīdzinot ar iepriekšējo gadu sistēmu</w:t>
      </w:r>
      <w:r w:rsidRPr="0035077B">
        <w:rPr>
          <w:rFonts w:ascii="Times New Roman" w:hAnsi="Times New Roman" w:cs="Times New Roman"/>
          <w:sz w:val="24"/>
          <w:szCs w:val="24"/>
          <w:lang w:val="lv-LV"/>
        </w:rPr>
        <w:t xml:space="preserve">, kurā NVA pati komplektēja mācību grupas. Pozitīvi vērtējams arī fakts, ka līdz ar kuponu metodes ieviešanu </w:t>
      </w:r>
      <w:r w:rsidRPr="0035077B">
        <w:rPr>
          <w:rFonts w:ascii="Times New Roman" w:hAnsi="Times New Roman" w:cs="Times New Roman"/>
          <w:b/>
          <w:bCs/>
          <w:sz w:val="24"/>
          <w:szCs w:val="24"/>
          <w:lang w:val="lv-LV"/>
        </w:rPr>
        <w:t>klientiem pavērušās plašākas iespējas programmu, izglītības iestāžu un mācību īstenošanas vietu izvēlē</w:t>
      </w:r>
      <w:r w:rsidRPr="0035077B">
        <w:rPr>
          <w:rFonts w:ascii="Times New Roman" w:hAnsi="Times New Roman" w:cs="Times New Roman"/>
          <w:sz w:val="24"/>
          <w:szCs w:val="24"/>
          <w:lang w:val="lv-LV"/>
        </w:rPr>
        <w:t xml:space="preserve">. </w:t>
      </w:r>
      <w:r w:rsidRPr="0035077B">
        <w:rPr>
          <w:rFonts w:ascii="Times New Roman" w:hAnsi="Times New Roman" w:cs="Times New Roman"/>
          <w:b/>
          <w:bCs/>
          <w:sz w:val="24"/>
          <w:szCs w:val="24"/>
          <w:lang w:val="lv-LV"/>
        </w:rPr>
        <w:t>Patstāvīgi izvēloties izglītības iestādi, klienti ir motivētāki</w:t>
      </w:r>
      <w:r w:rsidRPr="0035077B">
        <w:rPr>
          <w:rFonts w:ascii="Times New Roman" w:hAnsi="Times New Roman" w:cs="Times New Roman"/>
          <w:sz w:val="24"/>
          <w:szCs w:val="24"/>
          <w:lang w:val="lv-LV"/>
        </w:rPr>
        <w:t xml:space="preserve"> programmu apguvei un prasīgāki mācību kvalitātes nodrošinājumam, kā arī ticis būtiski mazināts tā sauktais „cherry picking” efekts, kad izglītības iestāde izvēlas visvieglāk izglītojamos, nevis tos, kam šādas mācības sniedz lielāku pieaugumu robežproduktivitātē. Kuponu sistēma piedāvā neierobežotu un nepārtrauktu izglītības iestāžu iespēju iesaistīties mācību īstenošanā. Jāpiebilst, ka kopējā NVA klienta apmierinātība par saņemtajiem pakalpojumiem, salīdzinot ar iepirkumu sistēmu, ir augusi. </w:t>
      </w:r>
    </w:p>
    <w:p w:rsidR="0035077B" w:rsidRPr="0035077B" w:rsidRDefault="0035077B" w:rsidP="0035077B">
      <w:pPr>
        <w:numPr>
          <w:ilvl w:val="0"/>
          <w:numId w:val="3"/>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
          <w:bCs/>
          <w:sz w:val="24"/>
          <w:szCs w:val="24"/>
          <w:lang w:val="lv-LV"/>
        </w:rPr>
        <w:t xml:space="preserve">Ir izveidots darba prasmju prognozēšanas rīks </w:t>
      </w:r>
      <w:r w:rsidRPr="0035077B">
        <w:rPr>
          <w:rFonts w:ascii="Times New Roman" w:hAnsi="Times New Roman" w:cs="Times New Roman"/>
          <w:bCs/>
          <w:sz w:val="24"/>
          <w:szCs w:val="24"/>
          <w:lang w:val="lv-LV"/>
        </w:rPr>
        <w:t xml:space="preserve">(pieejams: </w:t>
      </w:r>
      <w:hyperlink r:id="rId10" w:history="1">
        <w:r w:rsidRPr="0035077B">
          <w:rPr>
            <w:rFonts w:ascii="Times New Roman" w:hAnsi="Times New Roman" w:cs="Times New Roman"/>
            <w:color w:val="0000FF"/>
            <w:sz w:val="24"/>
            <w:szCs w:val="24"/>
            <w:u w:val="single"/>
            <w:lang w:val="lv-LV"/>
          </w:rPr>
          <w:t>http://idtps.esynergy.lv/top/setting</w:t>
        </w:r>
      </w:hyperlink>
      <w:r w:rsidRPr="0035077B">
        <w:rPr>
          <w:rFonts w:ascii="Times New Roman" w:hAnsi="Times New Roman" w:cs="Times New Roman"/>
          <w:bCs/>
          <w:sz w:val="24"/>
          <w:szCs w:val="24"/>
          <w:lang w:val="lv-LV"/>
        </w:rPr>
        <w:t>)</w:t>
      </w:r>
      <w:r w:rsidRPr="0035077B">
        <w:rPr>
          <w:rFonts w:ascii="Times New Roman" w:hAnsi="Times New Roman" w:cs="Times New Roman"/>
          <w:sz w:val="24"/>
          <w:szCs w:val="24"/>
          <w:lang w:val="lv-LV"/>
        </w:rPr>
        <w:t>, kas ļauj saņemt statistisko informāciju par turpmāko nozaru attīstību, kā arī informāciju no darba devējiem un nozaru asociācijām par darba tirgū pieprasītajām profesijām un prasmēm, kas klientiem pirms lēmuma pieņemšanas par mācību programmas izvēli palīdz izprast situāciju darba tirgū un vienlaikus tiek mazināti riski, ka apgūstamās programmas neatbilst reālajai situācijai darba tirgū;</w:t>
      </w:r>
    </w:p>
    <w:p w:rsidR="0035077B" w:rsidRPr="0035077B" w:rsidRDefault="0035077B" w:rsidP="0035077B">
      <w:pPr>
        <w:numPr>
          <w:ilvl w:val="0"/>
          <w:numId w:val="3"/>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 xml:space="preserve">Ir </w:t>
      </w:r>
      <w:r w:rsidRPr="0035077B">
        <w:rPr>
          <w:rFonts w:ascii="Times New Roman" w:hAnsi="Times New Roman" w:cs="Times New Roman"/>
          <w:b/>
          <w:bCs/>
          <w:sz w:val="24"/>
          <w:szCs w:val="24"/>
          <w:lang w:val="lv-LV"/>
        </w:rPr>
        <w:t>izveidota mācību pasākumu uzraudzības sistēma</w:t>
      </w:r>
      <w:r w:rsidRPr="0035077B">
        <w:rPr>
          <w:rFonts w:ascii="Times New Roman" w:hAnsi="Times New Roman" w:cs="Times New Roman"/>
          <w:sz w:val="24"/>
          <w:szCs w:val="24"/>
          <w:lang w:val="lv-LV"/>
        </w:rPr>
        <w:t xml:space="preserve">, kurā iespējams iegūt informāciju par klientu (bezdarbnieku, darba meklētāju un nodarbināto) vērtējumu par apgūtā mācību pasākuma kvalitāti un arī par dalībnieku darba gaitām pēc šīs programmas pabeigšanas – tādējādi tiek veicināta klientu informētība par mācību programmām ar labākiem rezultātiem, kas palīdz izdarīt apzinātāku mācību programmas un izglītības iestādes izvēli. Lai uzlabotu izglītības iestāžu sniegto apmācības pakalpojumu kvalitāti, NVA veic regulāras pārbaudes mācību īstenošanās vietās, kuru laikā tiek veikta arī mācībās iesaistīto bezdarbnieku, darba meklētāju un nodarbināto personu apmierinātības aptauja. Pārbaužu un aptaujas rezultāti tiek analizēti un izmantoti mācību procesa kvalitātes uzlabošanai. Lai atvieglotu mācību grupu komplektēšanu, ir izveidota automātiskā rezervācijas sistēma “Mācību pasākumu pieejamības informācijas nodrošināšana NVA mājaslapā”, ar kuras palīdzību ikvienam klientam ir iespēja uzzināt informāciju par programmu apguves grupu uzsākšanas datumiem, vietu skaitu grupā utt. Izglītības iestādēm ir dota iespēja aktualizēt rezervācijas sistēmā iekļauto informāciju par pieejamajām mācību programmām un izglītojamo skaitu grupās tiešsaistes režīmā (t.sk. informāciju par jau rezervētajām un brīvajām mācību vietām). NVA mājaslapā ir izveidota elektroniskā sistēma „Izglītības iestāžu meklētājs”. Izvēloties piemērotu izglītības programmu un izglītības iestādi, ir iespējams pārbaudīt, vai izvēlētās mācības ir klientam pieejamas, iegūt ziņas par izglītības programmas plānoto norises laiku, </w:t>
      </w:r>
      <w:r w:rsidRPr="0035077B">
        <w:rPr>
          <w:rFonts w:ascii="Times New Roman" w:hAnsi="Times New Roman" w:cs="Times New Roman"/>
          <w:sz w:val="24"/>
          <w:szCs w:val="24"/>
          <w:lang w:val="lv-LV"/>
        </w:rPr>
        <w:lastRenderedPageBreak/>
        <w:t xml:space="preserve">vietu un cilvēku skaitu, kas jau pieteikušies konkrētās programmas apguvei katrā īstenošanas vietā. Tāpat ikviens interesents, kurš vēlas iesaistīties NVA mācībās, mājaslapas sadaļā – „Mācību kvalitātes monitorings” var iepazīties ar mācību beidzēju sniegto informāciju par mācību kvalitāti un norisi, tādējādi ikviens interesents var izvērtēt izglītības iestādes piedāvājuma kvalitāti izvēlētajā mācību programmā un salīdzināt to ar citiem izglītības iestāžu piedāvājumiem. </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Informāciju par mācību kvalitāti un ietekmi uz personas turpmāko konkurētspēju darba tirgū var sniegt arī pati izglītotā persona. Līdz ar to gan NVA, gan LM ir svarīgs izglītoto klientu viedoklis (sūdzības, pateicības, aizpildītas aptaujas anketas), lai operatīvi pārbaudītu izglītības īstenošanu, kā arī informētu klientus par mācību kvalitāti konkrētā izglītības iestādē, t.sk., iekļaujot informāciju arī mācību novērtējuma informācijas sistēmā.</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Lai izvērtētu bezdarbnieku un darba meklētāju apmierinātību ar NVA pakalpojumiem, laika posmā no 2014. gada 1.augusta līdz 1.oktobrim tika veikta elektroniskā bezdarbnieku un darba meklētāju aptauja par apmierinātību ar NVA pakalpojumiem. Tās ietvaros tika aptaujāti 3 468 bezdarbnieki un darba meklētāji. Par visbiežāk izmantoto sazināšanās veidu ar NVA darbiniekiem, lielākā daļa respondentu (68 %) atzīmē personisko vizīti (2013. gadā tie bija 69 %). Salīdzinot 2014. gada aptaujas rezultātus ar 2013. gadā iegūtajiem, būtiski ir palielinājies to klientu skaits, kuri saziņai ar NVA izmanto e-pastu (2013. gadā tie bija - 9 %, 2014. g. – 31 %) un tālruni (2013. g. – 21 %, 2014. g. – 46 %). Attiecībā uz klientu apkalpošanas kvalitāti, 29 % aptaujāto respondentu uzskata, ka klientu apkalpošana ir ļoti laba, 47 % - laba, 20 % - apmierinoša. Tikai 5% respondentu apkalpošanas kvalitāti vērtē kā sliktu. Jāpiebilst, ka šāds jautājums 2014. gadā tika uzdots pirmoreiz. Iepriekšējos gadus respondentiem tika lūgts vērtēt darbinieku attieksmi pret klientiem. Vērtējot Aģentūras darbinieku palīdzību klientiem darba meklēšanas procesā, 48 % respondentu atzinuši to kā pietiekamu (2013. gadā – 44 %) un 19 % kā nepietiekamu (2013. gadā – 23 %). Palīdzību kā nozīmīgu vērtē 25 %, bet kā ļoti nozīmīgu – 9 % (abi rādītāji ir identiski ar 2013. gadā iegūtajiem). 2014. gadā ir pieaudzis respondentu skaits, kuru lielākais ieguvums no NVA darbinieku konsultācijām ir informācija par NVA pakalpojumiem (2013. gadā 39 %, 2014. gadā – 53 %), kā arī brīvajām darba vietām (2013. gadā – 26 %, 2014. gadā - 36%). Turpretim 18% respondentu neuzskata, ka NVA apmeklējumi ir bijuši lietderīgi. Tāpat 18 % uzskata, ka NVA sniegtās konsultācijas ir bijušas noderīgas CV sagatavošanā. Atbildot uz jautājumu, kādus NVA pakalpojumus klienti vēlētos saņemt elektroniski (bija iespēja norādīt vairākus atbilžu variantus), respondenti visbiežāk norādīja uz atbilstošu vakanču piedāvāšanu – 66 %, kam sekoja vēlme saņemt elektroniski mācību kuponu vai norīkojumu uz NVA pasākumu – 48 %.</w:t>
      </w:r>
    </w:p>
    <w:p w:rsidR="0035077B" w:rsidRPr="0035077B" w:rsidRDefault="0035077B" w:rsidP="0035077B">
      <w:pPr>
        <w:spacing w:after="0" w:line="240" w:lineRule="auto"/>
        <w:ind w:left="223" w:hanging="142"/>
        <w:jc w:val="both"/>
        <w:rPr>
          <w:rFonts w:ascii="Times New Roman" w:eastAsia="Times New Roman" w:hAnsi="Times New Roman" w:cs="Times New Roman"/>
          <w:sz w:val="24"/>
          <w:szCs w:val="24"/>
          <w:lang w:val="lv-LV"/>
        </w:rPr>
      </w:pPr>
      <w:r w:rsidRPr="0035077B">
        <w:rPr>
          <w:rFonts w:ascii="Times New Roman" w:eastAsia="Times New Roman" w:hAnsi="Times New Roman" w:cs="Times New Roman"/>
          <w:sz w:val="24"/>
          <w:szCs w:val="24"/>
          <w:lang w:val="lv-LV"/>
        </w:rPr>
        <w:t>Arī jaunajā ES fondu plānošanas periodā ir plānots turpināt uzraudzīt NVA organizēto mācību pasākumu kvalitāti un atbilstību situācijai darba tirgū. Papildus ir plānots veikt regulāras pārbaudes mācību pasākumu īstenošanas vietā, lai mazinātu riskus, kas ir saistīti ar nekvalitatīvu pakalpojumu sniegšanu.</w:t>
      </w:r>
    </w:p>
    <w:p w:rsidR="0035077B" w:rsidRPr="0035077B" w:rsidRDefault="0035077B" w:rsidP="0035077B">
      <w:pPr>
        <w:numPr>
          <w:ilvl w:val="0"/>
          <w:numId w:val="3"/>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
          <w:bCs/>
          <w:i/>
          <w:iCs/>
          <w:sz w:val="24"/>
          <w:szCs w:val="24"/>
          <w:lang w:val="lv-LV"/>
        </w:rPr>
        <w:t>Ir veikti izvērtējumi par mācību pasākumu efektivitāti</w:t>
      </w:r>
      <w:r w:rsidRPr="0035077B">
        <w:rPr>
          <w:rFonts w:ascii="Times New Roman" w:hAnsi="Times New Roman" w:cs="Times New Roman"/>
          <w:i/>
          <w:iCs/>
          <w:sz w:val="24"/>
          <w:szCs w:val="24"/>
          <w:lang w:val="lv-LV"/>
        </w:rPr>
        <w:t xml:space="preserve">. </w:t>
      </w:r>
      <w:r w:rsidRPr="0035077B">
        <w:rPr>
          <w:rFonts w:ascii="Times New Roman" w:hAnsi="Times New Roman" w:cs="Times New Roman"/>
          <w:sz w:val="24"/>
          <w:szCs w:val="24"/>
          <w:lang w:val="lv-LV"/>
        </w:rPr>
        <w:t xml:space="preserve">Izvērtējot Mūžizglītības pasākuma rezultātus, ir redzams, ka kopš pasākuma īstenošanas brīža līdz 2014. gada 31.decembrim apmācību laikā vai sešu mēnešu periodā pēc mācību pabeigšanas par bezdarbniekiem kļuva tikai 5 % no kopējā 27 983 iesaistāmo personu skaita. Līdz ar to ir iespējams secināt, ka bezdarba riskam pakļautās personas pilnveidoja savas profesionālās prasmes, iegūstot jaunas iemaņas, tādējādi turpinot </w:t>
      </w:r>
      <w:r w:rsidRPr="0035077B">
        <w:rPr>
          <w:rFonts w:ascii="Times New Roman" w:hAnsi="Times New Roman" w:cs="Times New Roman"/>
          <w:sz w:val="24"/>
          <w:szCs w:val="24"/>
          <w:lang w:val="lv-LV"/>
        </w:rPr>
        <w:lastRenderedPageBreak/>
        <w:t>uzturēties darba tirgū. Atbalstu PI visvairāk saņēma personas ar augstāko izglītību (64 % no pasākumā iesaistītajām personām), tomēr ļoti būtiska ir personu ar zemu izglītības līmeni iesaiste mūžizglītībā, jo klientiem, kuri ieguvuši augstāko izglītību, bezdarba risks ir ievērojami mazāks. Līdzīgi atbalsts iesaistei neformālās un profesionālās izglītības apguvē ir nepieciešams tiem strādājošajiem, kuriem ir darba tirgus prasībām neaktuāla iegūtā izglītība. Ņemot vērā to, ka valstī nav vienota personu iegūtās izglītības reģistra, PI pasākuma ietvaros nebija iespējams izvērtēt personu izglītības līmeni, tādejādi mērķtiecīgāk plānojot nepieciešamās aktivitātes, lai prioritāri mūžizglītībā tiktu iesaistītas personas ar zemu vai nepietiekamu izglītības līmeni. Projekta ietvaros pastāvīgi tika veikta klientu apmierinātības mērīšana. 99,5% gadījumos klienti novērtēja projekta organizētās mācības pozitīvi.</w:t>
      </w:r>
      <w:r w:rsidRPr="0035077B">
        <w:rPr>
          <w:rFonts w:ascii="Times New Roman" w:hAnsi="Times New Roman" w:cs="Times New Roman"/>
          <w:i/>
          <w:iCs/>
          <w:sz w:val="24"/>
          <w:szCs w:val="24"/>
          <w:lang w:val="lv-LV"/>
        </w:rPr>
        <w:t xml:space="preserve">  </w:t>
      </w:r>
    </w:p>
    <w:p w:rsidR="0035077B" w:rsidRPr="0035077B" w:rsidRDefault="0035077B" w:rsidP="0035077B">
      <w:pPr>
        <w:keepNext/>
        <w:spacing w:before="240" w:after="60" w:line="240" w:lineRule="auto"/>
        <w:ind w:left="223" w:hanging="142"/>
        <w:jc w:val="both"/>
        <w:outlineLvl w:val="1"/>
        <w:rPr>
          <w:rFonts w:ascii="Times New Roman" w:eastAsia="Times New Roman" w:hAnsi="Times New Roman" w:cs="Times New Roman"/>
          <w:sz w:val="24"/>
          <w:szCs w:val="24"/>
          <w:lang w:val="lv-LV"/>
        </w:rPr>
      </w:pPr>
      <w:bookmarkStart w:id="0" w:name="_Toc421002112"/>
      <w:r w:rsidRPr="0035077B">
        <w:rPr>
          <w:rFonts w:ascii="Times New Roman" w:eastAsia="Times New Roman" w:hAnsi="Times New Roman" w:cs="Times New Roman"/>
          <w:sz w:val="24"/>
          <w:szCs w:val="24"/>
          <w:lang w:val="lv-LV"/>
        </w:rPr>
        <w:t>Būtiskākie problēmjautājumi 2007.-2013. gada programmā un nepieciešamie pilnveidojumi PI programmu īstenošanā:</w:t>
      </w:r>
      <w:bookmarkEnd w:id="0"/>
    </w:p>
    <w:p w:rsidR="0035077B" w:rsidRPr="0035077B" w:rsidRDefault="0035077B" w:rsidP="0035077B">
      <w:pPr>
        <w:numPr>
          <w:ilvl w:val="0"/>
          <w:numId w:val="4"/>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 xml:space="preserve">PI pasākuma īstenošanā visai bieži </w:t>
      </w:r>
      <w:r w:rsidRPr="0035077B">
        <w:rPr>
          <w:rFonts w:ascii="Times New Roman" w:hAnsi="Times New Roman" w:cs="Times New Roman"/>
          <w:b/>
          <w:bCs/>
          <w:sz w:val="24"/>
          <w:szCs w:val="24"/>
          <w:lang w:val="lv-LV"/>
        </w:rPr>
        <w:t>klients izvēlējās savai dzīvesvietai tuvāko mācību iestādi</w:t>
      </w:r>
      <w:r w:rsidRPr="0035077B">
        <w:rPr>
          <w:rFonts w:ascii="Times New Roman" w:hAnsi="Times New Roman" w:cs="Times New Roman"/>
          <w:sz w:val="24"/>
          <w:szCs w:val="24"/>
          <w:lang w:val="lv-LV"/>
        </w:rPr>
        <w:t xml:space="preserve">. </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Lai veicinātu klientu piekļuvi mācību vietām un paplašinātu klientam sasniedzamo izglītības iestāžu skaitu (neradot papildus izmaksas), jāparedz</w:t>
      </w:r>
      <w:r w:rsidRPr="0035077B">
        <w:rPr>
          <w:rFonts w:ascii="Times New Roman" w:hAnsi="Times New Roman" w:cs="Times New Roman"/>
          <w:b/>
          <w:bCs/>
          <w:sz w:val="24"/>
          <w:szCs w:val="24"/>
          <w:lang w:val="lv-LV"/>
        </w:rPr>
        <w:t xml:space="preserve"> atbalsts reģionālajai mobilitātei</w:t>
      </w:r>
      <w:r w:rsidRPr="0035077B">
        <w:rPr>
          <w:rFonts w:ascii="Times New Roman" w:hAnsi="Times New Roman" w:cs="Times New Roman"/>
          <w:sz w:val="24"/>
          <w:szCs w:val="24"/>
          <w:lang w:val="lv-LV"/>
        </w:rPr>
        <w:t xml:space="preserve">, kas kompensētu transporta izdevumus, t.i., nodrošinātu, ka klienti var saņemt finanšu atlīdzību transporta izdevumu segšanai braucieniem no deklarētās dzīvesvietas/vai darba vietas uz mācību vietu un atpakaļ (ja mācību vieta atrodas vismaz 20 km attālumā no deklarētās dzīvesvietas, vai darba vietas). </w:t>
      </w:r>
    </w:p>
    <w:p w:rsidR="0035077B" w:rsidRPr="0035077B" w:rsidRDefault="0035077B" w:rsidP="0035077B">
      <w:pPr>
        <w:numPr>
          <w:ilvl w:val="0"/>
          <w:numId w:val="4"/>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Cs/>
          <w:iCs/>
          <w:sz w:val="24"/>
          <w:szCs w:val="24"/>
          <w:lang w:val="lv-LV"/>
        </w:rPr>
        <w:t xml:space="preserve">Ņemot vērā to, ka profesionālās pilnveides un neformālās izglītības programmu mācību īstenotājus izvēlas atbilstoši Publisko iepirkumu likumam, </w:t>
      </w:r>
      <w:r w:rsidRPr="0035077B">
        <w:rPr>
          <w:rFonts w:ascii="Times New Roman" w:hAnsi="Times New Roman" w:cs="Times New Roman"/>
          <w:bCs/>
          <w:sz w:val="24"/>
          <w:szCs w:val="24"/>
          <w:lang w:val="lv-LV"/>
        </w:rPr>
        <w:t xml:space="preserve">PI pasākuma </w:t>
      </w:r>
      <w:r w:rsidRPr="0035077B">
        <w:rPr>
          <w:rFonts w:ascii="Times New Roman" w:hAnsi="Times New Roman" w:cs="Times New Roman"/>
          <w:b/>
          <w:iCs/>
          <w:sz w:val="24"/>
          <w:szCs w:val="24"/>
          <w:lang w:val="lv-LV"/>
        </w:rPr>
        <w:t>aktivitāšu ieviešana kavējās smagnējo iepirkumu procedūru rezultātā</w:t>
      </w:r>
      <w:r w:rsidRPr="0035077B">
        <w:rPr>
          <w:rFonts w:ascii="Times New Roman" w:hAnsi="Times New Roman" w:cs="Times New Roman"/>
          <w:bCs/>
          <w:iCs/>
          <w:sz w:val="24"/>
          <w:szCs w:val="24"/>
          <w:lang w:val="lv-LV"/>
        </w:rPr>
        <w:t xml:space="preserve">, kas aizņēma līdz pat 6 mēnešiem ilgu laiku un </w:t>
      </w:r>
      <w:r w:rsidRPr="0035077B">
        <w:rPr>
          <w:rFonts w:ascii="Times New Roman" w:hAnsi="Times New Roman" w:cs="Times New Roman"/>
          <w:bCs/>
          <w:sz w:val="24"/>
          <w:szCs w:val="24"/>
          <w:lang w:val="lv-LV"/>
        </w:rPr>
        <w:t>PI pasākuma</w:t>
      </w:r>
      <w:r w:rsidRPr="0035077B">
        <w:rPr>
          <w:rFonts w:ascii="Times New Roman" w:hAnsi="Times New Roman" w:cs="Times New Roman"/>
          <w:bCs/>
          <w:iCs/>
          <w:sz w:val="24"/>
          <w:szCs w:val="24"/>
          <w:lang w:val="lv-LV"/>
        </w:rPr>
        <w:t xml:space="preserve"> īstenošanas procesu pamatā kavēja profesionālās pilnveides un neformālās izglītības programmu īstenotāju izvēle Publiskā iepirkuma likuma prasību ievērošanas dēļ. </w:t>
      </w:r>
      <w:r w:rsidRPr="0035077B">
        <w:rPr>
          <w:rFonts w:ascii="Times New Roman" w:hAnsi="Times New Roman" w:cs="Times New Roman"/>
          <w:bCs/>
          <w:sz w:val="24"/>
          <w:szCs w:val="24"/>
          <w:lang w:val="lv-LV"/>
        </w:rPr>
        <w:t>Kuponu mācību sistēma deva iespēju personai nepieciešamās izglītības apguvei brīvi izvēlēties izglītības iestādi, līdz ar to mācību procesā tika iesaistīts ļoti liels skaits dažāda līmeņa un lieluma izglītības iestādes, kas palielināja gan iepirkuma izvērtēšanas apjomu, gan apgrūtināja grupu nokomplektēšanu un sarežģīja mācību uzsākšanu.</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Cs/>
          <w:sz w:val="24"/>
          <w:szCs w:val="24"/>
          <w:lang w:val="lv-LV"/>
        </w:rPr>
        <w:t>Saskaņā ar 26.05.2015. grozījumiem MK noteikumos Nr.75 “Noteikumi par aktīvo nodarbinātības pasākumu un preventīvo bezdarba samazināšanas pasākumu organizēšanas un finansēšanas kārtību un pasākumu īstenotāju izvēles principiem” ir notikusi pāreja uz fiksētu mācību kuponu izmaksām, paredzams, ka šī punkta uzskaitītās problēmas tiks preventīvi novērstas.</w:t>
      </w:r>
      <w:r w:rsidRPr="0035077B">
        <w:rPr>
          <w:rFonts w:ascii="Times New Roman" w:hAnsi="Times New Roman" w:cs="Times New Roman"/>
          <w:sz w:val="24"/>
          <w:szCs w:val="24"/>
          <w:lang w:val="lv-LV"/>
        </w:rPr>
        <w:t xml:space="preserve"> </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sz w:val="24"/>
          <w:szCs w:val="24"/>
          <w:lang w:val="lv-LV"/>
        </w:rPr>
        <w:t>LM plāno pakāpeniski virzīties uz “samaksa par rezultātu” ieviešanu, lai gala maksājumi izglītības iestādēm būtu saistāmi ar bezdarbnieku darbā iekārtošanās rezultātiem pēc mācību pabeigšanas, kā arī kuponu sistēmu ir papildināta ar dažādiem e-vides risinājumiem, tajā skaitā darba tirgus monitoringa sistēmu, lai nodrošinātu cilvēku informētāku izvēli.</w:t>
      </w:r>
    </w:p>
    <w:p w:rsidR="0035077B" w:rsidRPr="0035077B" w:rsidRDefault="0035077B" w:rsidP="0035077B">
      <w:pPr>
        <w:numPr>
          <w:ilvl w:val="0"/>
          <w:numId w:val="4"/>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Cs/>
          <w:sz w:val="24"/>
          <w:szCs w:val="24"/>
          <w:lang w:val="lv-LV"/>
        </w:rPr>
        <w:t>PI pasākuma</w:t>
      </w:r>
      <w:r w:rsidRPr="0035077B">
        <w:rPr>
          <w:rFonts w:ascii="Times New Roman" w:hAnsi="Times New Roman" w:cs="Times New Roman"/>
          <w:b/>
          <w:bCs/>
          <w:sz w:val="24"/>
          <w:szCs w:val="24"/>
          <w:lang w:val="lv-LV"/>
        </w:rPr>
        <w:t xml:space="preserve"> īstenošanas laikā personu interese par mācībām pārsniedza Mūžizglītības pasākumā plānoto</w:t>
      </w:r>
      <w:r w:rsidRPr="0035077B">
        <w:rPr>
          <w:rFonts w:ascii="Times New Roman" w:hAnsi="Times New Roman" w:cs="Times New Roman"/>
          <w:sz w:val="24"/>
          <w:szCs w:val="24"/>
          <w:lang w:val="lv-LV"/>
        </w:rPr>
        <w:t xml:space="preserve">, līdz ar to bija nepieciešams veikt uzlabojumus personu reģistrācijas procesā. Problēmas risināšanai </w:t>
      </w:r>
      <w:r w:rsidRPr="0035077B">
        <w:rPr>
          <w:rFonts w:ascii="Times New Roman" w:hAnsi="Times New Roman" w:cs="Times New Roman"/>
          <w:b/>
          <w:bCs/>
          <w:sz w:val="24"/>
          <w:szCs w:val="24"/>
          <w:lang w:val="lv-LV"/>
        </w:rPr>
        <w:t>NVA mainīta personu reģistrācijas un kuponu izsniegšanas kārtība, izstrādājot klientu elektronisko reģistrāciju</w:t>
      </w:r>
      <w:r w:rsidRPr="0035077B">
        <w:rPr>
          <w:rFonts w:ascii="Times New Roman" w:hAnsi="Times New Roman" w:cs="Times New Roman"/>
          <w:sz w:val="24"/>
          <w:szCs w:val="24"/>
          <w:lang w:val="lv-LV"/>
        </w:rPr>
        <w:t xml:space="preserve">, mazinot administratīvo slogu. 2013. gada 26.februārī tika </w:t>
      </w:r>
      <w:r w:rsidRPr="0035077B">
        <w:rPr>
          <w:rFonts w:ascii="Times New Roman" w:hAnsi="Times New Roman" w:cs="Times New Roman"/>
          <w:b/>
          <w:bCs/>
          <w:sz w:val="24"/>
          <w:szCs w:val="24"/>
          <w:lang w:val="lv-LV"/>
        </w:rPr>
        <w:t>ieviesti ierobežojumi iesaistei mācībās personām vecumā no 25-44 gadiem</w:t>
      </w:r>
      <w:r w:rsidRPr="0035077B">
        <w:rPr>
          <w:rFonts w:ascii="Times New Roman" w:hAnsi="Times New Roman" w:cs="Times New Roman"/>
          <w:sz w:val="24"/>
          <w:szCs w:val="24"/>
          <w:lang w:val="lv-LV"/>
        </w:rPr>
        <w:t xml:space="preserve">, kā rezultātā pasākums kļuva vairāk pieejams bezdarba riskam pakļautām personām vecumā 45+ </w:t>
      </w:r>
      <w:r w:rsidRPr="0035077B">
        <w:rPr>
          <w:rFonts w:ascii="Times New Roman" w:hAnsi="Times New Roman" w:cs="Times New Roman"/>
          <w:sz w:val="24"/>
          <w:szCs w:val="24"/>
          <w:lang w:val="lv-LV"/>
        </w:rPr>
        <w:lastRenderedPageBreak/>
        <w:t xml:space="preserve">(izmaiņas dalībnieku sastāvā - 17% palielinājās dalībnieku skaits vecuma grupā 45+). </w:t>
      </w:r>
      <w:r w:rsidRPr="0035077B">
        <w:rPr>
          <w:rFonts w:ascii="Times New Roman" w:eastAsia="Calibri" w:hAnsi="Times New Roman" w:cs="Times New Roman"/>
          <w:b/>
          <w:bCs/>
          <w:sz w:val="24"/>
          <w:szCs w:val="24"/>
          <w:lang w:val="lv-LV"/>
        </w:rPr>
        <w:t>NVA identificēja trīs būtiskākos bezdarba riska faktorus</w:t>
      </w:r>
      <w:r w:rsidRPr="0035077B">
        <w:rPr>
          <w:rFonts w:ascii="Times New Roman" w:eastAsia="Calibri" w:hAnsi="Times New Roman" w:cs="Times New Roman"/>
          <w:sz w:val="24"/>
          <w:szCs w:val="24"/>
          <w:lang w:val="lv-LV"/>
        </w:rPr>
        <w:t>, kuru mazināšanai būtu nepieciešams pasākumā paredzētais atbalsts profesionālās pilnveides vai neformālās izglītības programmu apguvei: 1) personas zems izglītības līmenis; 2) darba tirgus prasībām neaktuāla (novecojusi) iegūtā izglītība; 3) personas vecums.</w:t>
      </w:r>
    </w:p>
    <w:p w:rsidR="0035077B" w:rsidRPr="0035077B" w:rsidRDefault="0035077B" w:rsidP="0035077B">
      <w:pPr>
        <w:ind w:left="223" w:hanging="142"/>
        <w:contextualSpacing/>
        <w:jc w:val="both"/>
        <w:rPr>
          <w:rFonts w:ascii="Times New Roman" w:hAnsi="Times New Roman" w:cs="Times New Roman"/>
          <w:sz w:val="24"/>
          <w:szCs w:val="24"/>
          <w:lang w:val="lv-LV"/>
        </w:rPr>
      </w:pPr>
      <w:r w:rsidRPr="009A5D2C">
        <w:rPr>
          <w:rFonts w:ascii="Times New Roman" w:eastAsia="Calibri" w:hAnsi="Times New Roman" w:cs="Times New Roman"/>
          <w:sz w:val="24"/>
          <w:szCs w:val="24"/>
          <w:lang w:val="lv-LV"/>
        </w:rPr>
        <w:t>Arī turpmāk PI programmās ietvaros jānodrošina elektroniskās reģistrācijas iespējas, kā arī mērķa grupu noteikšana un unikālo personu skaits, lai novērstu reģistrācijas un administratīvā sloga saistītās problēmas.</w:t>
      </w:r>
    </w:p>
    <w:p w:rsidR="0035077B" w:rsidRPr="0035077B" w:rsidRDefault="0035077B" w:rsidP="0035077B">
      <w:pPr>
        <w:numPr>
          <w:ilvl w:val="0"/>
          <w:numId w:val="4"/>
        </w:numPr>
        <w:spacing w:after="0" w:line="240" w:lineRule="auto"/>
        <w:ind w:left="223" w:hanging="142"/>
        <w:contextualSpacing/>
        <w:jc w:val="both"/>
        <w:rPr>
          <w:rFonts w:ascii="Times New Roman" w:hAnsi="Times New Roman" w:cs="Times New Roman"/>
          <w:sz w:val="24"/>
          <w:szCs w:val="24"/>
          <w:lang w:val="lv-LV"/>
        </w:rPr>
      </w:pPr>
      <w:r w:rsidRPr="0035077B">
        <w:rPr>
          <w:rFonts w:ascii="Times New Roman" w:hAnsi="Times New Roman" w:cs="Times New Roman"/>
          <w:b/>
          <w:bCs/>
          <w:sz w:val="24"/>
          <w:szCs w:val="24"/>
          <w:lang w:val="lv-LV"/>
        </w:rPr>
        <w:t>Mūžizglītības pasākuma</w:t>
      </w:r>
      <w:r w:rsidRPr="0035077B">
        <w:rPr>
          <w:rFonts w:ascii="Times New Roman" w:hAnsi="Times New Roman" w:cs="Times New Roman"/>
          <w:b/>
          <w:iCs/>
          <w:sz w:val="24"/>
          <w:szCs w:val="24"/>
          <w:lang w:val="lv-LV"/>
        </w:rPr>
        <w:t xml:space="preserve"> īstenošanas laikā mērķgrupas kritēriju izmaiņas ietekmēja finansējuma plānošanu</w:t>
      </w:r>
      <w:r w:rsidRPr="0035077B">
        <w:rPr>
          <w:rFonts w:ascii="Times New Roman" w:hAnsi="Times New Roman" w:cs="Times New Roman"/>
          <w:bCs/>
          <w:iCs/>
          <w:sz w:val="24"/>
          <w:szCs w:val="24"/>
          <w:lang w:val="lv-LV"/>
        </w:rPr>
        <w:t xml:space="preserve">, kas saistīts ar to, ka nebija statistikas dati par vidējām izmaksām atbilstoši jaunajiem nosacījumiem. Līdz ar to, atbilstoši </w:t>
      </w:r>
      <w:r w:rsidRPr="0035077B">
        <w:rPr>
          <w:rFonts w:ascii="Times New Roman" w:hAnsi="Times New Roman" w:cs="Times New Roman"/>
          <w:bCs/>
          <w:sz w:val="24"/>
          <w:szCs w:val="24"/>
          <w:lang w:val="lv-LV"/>
        </w:rPr>
        <w:t>Mūžizglītības pasākuma</w:t>
      </w:r>
      <w:r w:rsidRPr="0035077B">
        <w:rPr>
          <w:rFonts w:ascii="Times New Roman" w:hAnsi="Times New Roman" w:cs="Times New Roman"/>
          <w:bCs/>
          <w:iCs/>
          <w:sz w:val="24"/>
          <w:szCs w:val="24"/>
          <w:lang w:val="lv-LV"/>
        </w:rPr>
        <w:t xml:space="preserve"> plānošanas principiem, vidējās izmaksas tika plānotas lielākā apjomā, kas savukārt praksē neapstiprinājās, kā rezultātā </w:t>
      </w:r>
      <w:r w:rsidRPr="0035077B">
        <w:rPr>
          <w:rFonts w:ascii="Times New Roman" w:hAnsi="Times New Roman" w:cs="Times New Roman"/>
          <w:bCs/>
          <w:sz w:val="24"/>
          <w:szCs w:val="24"/>
          <w:lang w:val="lv-LV"/>
        </w:rPr>
        <w:t xml:space="preserve">Mūžizglītības pasākuma </w:t>
      </w:r>
      <w:r w:rsidRPr="0035077B">
        <w:rPr>
          <w:rFonts w:ascii="Times New Roman" w:hAnsi="Times New Roman" w:cs="Times New Roman"/>
          <w:bCs/>
          <w:iCs/>
          <w:sz w:val="24"/>
          <w:szCs w:val="24"/>
          <w:lang w:val="lv-LV"/>
        </w:rPr>
        <w:t xml:space="preserve">ietvaros varēja iesaistīt vairāk personu, kas ir pozitīvi, bet ietekmēja </w:t>
      </w:r>
      <w:r w:rsidRPr="0035077B">
        <w:rPr>
          <w:rFonts w:ascii="Times New Roman" w:hAnsi="Times New Roman" w:cs="Times New Roman"/>
          <w:bCs/>
          <w:sz w:val="24"/>
          <w:szCs w:val="24"/>
          <w:lang w:val="lv-LV"/>
        </w:rPr>
        <w:t>Mūžizglītības pasākuma</w:t>
      </w:r>
      <w:r w:rsidRPr="0035077B">
        <w:rPr>
          <w:rFonts w:ascii="Times New Roman" w:hAnsi="Times New Roman" w:cs="Times New Roman"/>
          <w:bCs/>
          <w:iCs/>
          <w:sz w:val="24"/>
          <w:szCs w:val="24"/>
          <w:lang w:val="lv-LV"/>
        </w:rPr>
        <w:t xml:space="preserve"> plānoto finansējuma apguvi noteiktajos termiņos.</w:t>
      </w:r>
    </w:p>
    <w:p w:rsidR="0035077B" w:rsidRPr="0035077B" w:rsidRDefault="0035077B" w:rsidP="0035077B">
      <w:pPr>
        <w:numPr>
          <w:ilvl w:val="0"/>
          <w:numId w:val="4"/>
        </w:numPr>
        <w:spacing w:after="0" w:line="240" w:lineRule="auto"/>
        <w:ind w:left="223" w:hanging="142"/>
        <w:contextualSpacing/>
        <w:jc w:val="both"/>
        <w:rPr>
          <w:rFonts w:ascii="Times New Roman" w:eastAsia="Calibri" w:hAnsi="Times New Roman" w:cs="Times New Roman"/>
          <w:sz w:val="24"/>
          <w:szCs w:val="24"/>
          <w:lang w:val="lv-LV"/>
        </w:rPr>
      </w:pPr>
      <w:r w:rsidRPr="0035077B">
        <w:rPr>
          <w:rFonts w:ascii="Times New Roman" w:hAnsi="Times New Roman" w:cs="Times New Roman"/>
          <w:bCs/>
          <w:iCs/>
          <w:sz w:val="24"/>
          <w:szCs w:val="24"/>
          <w:lang w:val="lv-LV"/>
        </w:rPr>
        <w:t>2013. gadā tika sašaurināta pasākuma mērķa grupa. Uz 2012. gadu NVA reģistrēto bezdarbnieku statistiskais portrets liecināja, ka klientiem,</w:t>
      </w:r>
      <w:r w:rsidRPr="0035077B">
        <w:rPr>
          <w:rFonts w:ascii="Times New Roman" w:eastAsia="Calibri" w:hAnsi="Times New Roman" w:cs="Times New Roman"/>
          <w:sz w:val="24"/>
          <w:szCs w:val="24"/>
          <w:lang w:val="lv-LV"/>
        </w:rPr>
        <w:t xml:space="preserve"> kuri ieguvuši augstāko izglītību, bezdarba risks ir samērā zems. Tikai 12,9 % bezdarbnieku no visu reģistrēto bezdarbnieku skaita ir ar augstāko izglītību. Analizējot atbalsta saņēmušo statistisko portretu </w:t>
      </w:r>
      <w:r w:rsidRPr="0035077B">
        <w:rPr>
          <w:rFonts w:ascii="Times New Roman" w:hAnsi="Times New Roman" w:cs="Times New Roman"/>
          <w:bCs/>
          <w:sz w:val="24"/>
          <w:szCs w:val="24"/>
          <w:lang w:val="lv-LV"/>
        </w:rPr>
        <w:t>Mūžizglītības pasākuma</w:t>
      </w:r>
      <w:r w:rsidRPr="0035077B">
        <w:rPr>
          <w:rFonts w:ascii="Times New Roman" w:eastAsia="Calibri" w:hAnsi="Times New Roman" w:cs="Times New Roman"/>
          <w:sz w:val="24"/>
          <w:szCs w:val="24"/>
          <w:lang w:val="lv-LV"/>
        </w:rPr>
        <w:t xml:space="preserve"> ietvaros, tika secināts, ka atbalstam visvairāk pieteikušās un to saņēmušas personas ar augstāko izglītību (64% no pasākumā iesaistītām nodarbinātām personām). Ņemot vērā to, ka </w:t>
      </w:r>
      <w:r w:rsidRPr="0035077B">
        <w:rPr>
          <w:rFonts w:ascii="Times New Roman" w:eastAsia="Calibri" w:hAnsi="Times New Roman" w:cs="Times New Roman"/>
          <w:b/>
          <w:bCs/>
          <w:sz w:val="24"/>
          <w:szCs w:val="24"/>
          <w:lang w:val="lv-LV"/>
        </w:rPr>
        <w:t>valstī nav vienota personu iegūtās izglītības reģistra</w:t>
      </w:r>
      <w:r w:rsidRPr="0035077B">
        <w:rPr>
          <w:rFonts w:ascii="Times New Roman" w:eastAsia="Calibri" w:hAnsi="Times New Roman" w:cs="Times New Roman"/>
          <w:sz w:val="24"/>
          <w:szCs w:val="24"/>
          <w:lang w:val="lv-LV"/>
        </w:rPr>
        <w:t xml:space="preserve">, nav iespējams objektīvi izvērtēt personu izglītības līmeni, tādējādi NVA nesaskatīja iespēju ierobežot personu ar augstāku izglītības līmeni dalību pieaugušo izglītības pasākumā. </w:t>
      </w:r>
    </w:p>
    <w:p w:rsidR="0035077B" w:rsidRPr="0035077B" w:rsidRDefault="0035077B" w:rsidP="0035077B">
      <w:pPr>
        <w:ind w:left="223" w:firstLine="497"/>
        <w:contextualSpacing/>
        <w:jc w:val="both"/>
        <w:rPr>
          <w:rFonts w:ascii="Times New Roman" w:eastAsia="Calibri" w:hAnsi="Times New Roman" w:cs="Times New Roman"/>
          <w:sz w:val="24"/>
          <w:szCs w:val="24"/>
          <w:lang w:val="lv-LV"/>
        </w:rPr>
      </w:pPr>
      <w:r w:rsidRPr="0035077B">
        <w:rPr>
          <w:rFonts w:ascii="Times New Roman" w:eastAsia="Calibri" w:hAnsi="Times New Roman" w:cs="Times New Roman"/>
          <w:sz w:val="24"/>
          <w:szCs w:val="24"/>
          <w:lang w:val="lv-LV"/>
        </w:rPr>
        <w:t xml:space="preserve">Līdz ar to turpmāk pieaugušo izglītībā </w:t>
      </w:r>
      <w:r w:rsidRPr="0035077B">
        <w:rPr>
          <w:rFonts w:ascii="Times New Roman" w:hAnsi="Times New Roman" w:cs="Times New Roman"/>
          <w:b/>
          <w:bCs/>
          <w:sz w:val="24"/>
          <w:szCs w:val="24"/>
          <w:lang w:val="lv-LV"/>
        </w:rPr>
        <w:t>nepieciešams mērķtiecīgāk iesaistīt personas ar zemu izglītības līmeni</w:t>
      </w:r>
      <w:r w:rsidRPr="0035077B">
        <w:rPr>
          <w:rFonts w:ascii="Times New Roman" w:hAnsi="Times New Roman" w:cs="Times New Roman"/>
          <w:sz w:val="24"/>
          <w:szCs w:val="24"/>
          <w:lang w:val="lv-LV"/>
        </w:rPr>
        <w:t xml:space="preserve"> (priekšnosacījums - valstī vienots personu iegūtās izglītības reģistrs).</w:t>
      </w:r>
      <w:r w:rsidRPr="0035077B">
        <w:rPr>
          <w:rFonts w:ascii="Times New Roman" w:hAnsi="Times New Roman" w:cs="Times New Roman"/>
          <w:bCs/>
          <w:sz w:val="24"/>
          <w:szCs w:val="24"/>
          <w:lang w:val="lv-LV"/>
        </w:rPr>
        <w:t xml:space="preserve">  </w:t>
      </w:r>
    </w:p>
    <w:p w:rsidR="0035077B" w:rsidRPr="0035077B" w:rsidRDefault="0035077B" w:rsidP="0035077B">
      <w:pPr>
        <w:ind w:firstLine="223"/>
        <w:jc w:val="both"/>
        <w:rPr>
          <w:lang w:val="lv-LV"/>
        </w:rPr>
      </w:pPr>
      <w:r w:rsidRPr="0035077B">
        <w:rPr>
          <w:rFonts w:ascii="Times New Roman" w:eastAsia="Times New Roman" w:hAnsi="Times New Roman" w:cs="Times New Roman"/>
          <w:sz w:val="24"/>
          <w:szCs w:val="24"/>
          <w:lang w:val="lv-LV"/>
        </w:rPr>
        <w:t xml:space="preserve">2014. gada 30. aprīlī NVA saņēma LR Tiesībsarga atzinumu par ierēdņu tiesībām uz mūžizglītību, kurā noteikts, ka arī </w:t>
      </w:r>
      <w:r w:rsidRPr="0035077B">
        <w:rPr>
          <w:rFonts w:ascii="Times New Roman" w:eastAsia="Times New Roman" w:hAnsi="Times New Roman" w:cs="Times New Roman"/>
          <w:b/>
          <w:bCs/>
          <w:sz w:val="24"/>
          <w:szCs w:val="24"/>
          <w:lang w:val="lv-LV"/>
        </w:rPr>
        <w:t>ierēdņiem būtu jābūt tiesībām piedalīties mūžizglītības pasākumos</w:t>
      </w:r>
      <w:r w:rsidRPr="0035077B">
        <w:rPr>
          <w:rFonts w:ascii="Times New Roman" w:eastAsia="Times New Roman" w:hAnsi="Times New Roman" w:cs="Times New Roman"/>
          <w:sz w:val="24"/>
          <w:szCs w:val="24"/>
          <w:lang w:val="lv-LV"/>
        </w:rPr>
        <w:t xml:space="preserve">, norādot, ka arī ierēdņi bija bezdarba riska situācijā, jo ekonomiskās krīzes laikā ierēdņu skaits tika samazināts par vidēji 29%. Līdz ar to arī ierēdņiem bija nepieciešamas konkurētspējas prasmes, lai atrastu jaunu nodarbošanos, kas nebija saistīta ar valsts pārvaldē iegūtajām prasmēm, un nekļūtu par slogu valsts sociālajam budžetam. Ņemot vērā minētos faktus, turpmāk nepieciešams izvērtēt ārējos apstākļus, kas var ietekmēt </w:t>
      </w:r>
      <w:r w:rsidRPr="0035077B">
        <w:rPr>
          <w:rFonts w:ascii="Times New Roman" w:eastAsia="Times New Roman" w:hAnsi="Times New Roman" w:cs="Times New Roman"/>
          <w:bCs/>
          <w:sz w:val="24"/>
          <w:szCs w:val="24"/>
          <w:lang w:val="lv-LV"/>
        </w:rPr>
        <w:t>Mūžizglītības pasākuma</w:t>
      </w:r>
      <w:r w:rsidRPr="0035077B">
        <w:rPr>
          <w:rFonts w:ascii="Times New Roman" w:eastAsia="Times New Roman" w:hAnsi="Times New Roman" w:cs="Times New Roman"/>
          <w:sz w:val="24"/>
          <w:szCs w:val="24"/>
          <w:lang w:val="lv-LV"/>
        </w:rPr>
        <w:t xml:space="preserve"> aktivitāšu pieejamību un sasniedzamo rezultātu, nepieciešamības gadījumā veicot izmaiņas normatīvajā regulējumā, atbilstoši aktuālajai darba tirgus situācijai.”</w:t>
      </w:r>
    </w:p>
    <w:p w:rsidR="0035077B" w:rsidRDefault="0035077B">
      <w:pPr>
        <w:rPr>
          <w:b/>
          <w:sz w:val="24"/>
          <w:szCs w:val="24"/>
          <w:lang w:val="lv-LV"/>
        </w:rPr>
      </w:pPr>
    </w:p>
    <w:p w:rsidR="009A5D2C" w:rsidRDefault="009A5D2C">
      <w:pPr>
        <w:rPr>
          <w:b/>
          <w:sz w:val="24"/>
          <w:szCs w:val="24"/>
          <w:lang w:val="lv-LV"/>
        </w:rPr>
      </w:pPr>
    </w:p>
    <w:p w:rsidR="009A5D2C" w:rsidRDefault="009A5D2C">
      <w:pPr>
        <w:rPr>
          <w:b/>
          <w:sz w:val="24"/>
          <w:szCs w:val="24"/>
          <w:lang w:val="lv-LV"/>
        </w:rPr>
      </w:pPr>
    </w:p>
    <w:p w:rsidR="009A5D2C" w:rsidRDefault="009A5D2C">
      <w:pPr>
        <w:rPr>
          <w:b/>
          <w:sz w:val="24"/>
          <w:szCs w:val="24"/>
          <w:lang w:val="lv-LV"/>
        </w:rPr>
      </w:pPr>
    </w:p>
    <w:p w:rsidR="009A5D2C" w:rsidRDefault="009A5D2C">
      <w:pPr>
        <w:rPr>
          <w:b/>
          <w:sz w:val="24"/>
          <w:szCs w:val="24"/>
          <w:lang w:val="lv-LV"/>
        </w:rPr>
      </w:pPr>
    </w:p>
    <w:p w:rsidR="009A5D2C" w:rsidRDefault="009A5D2C">
      <w:pPr>
        <w:rPr>
          <w:b/>
          <w:sz w:val="24"/>
          <w:szCs w:val="24"/>
          <w:lang w:val="lv-LV"/>
        </w:rPr>
      </w:pPr>
    </w:p>
    <w:p w:rsidR="009A5D2C" w:rsidRPr="009A5D2C" w:rsidRDefault="009A5D2C" w:rsidP="009A5D2C">
      <w:pPr>
        <w:spacing w:line="276" w:lineRule="auto"/>
        <w:ind w:right="-7"/>
        <w:jc w:val="right"/>
        <w:rPr>
          <w:rFonts w:ascii="Times New Roman" w:eastAsia="Times New Roman" w:hAnsi="Times New Roman" w:cs="Times New Roman"/>
          <w:color w:val="000000"/>
          <w:sz w:val="24"/>
          <w:szCs w:val="24"/>
          <w:lang w:val="lv-LV"/>
        </w:rPr>
      </w:pPr>
      <w:r w:rsidRPr="009A5D2C">
        <w:rPr>
          <w:rFonts w:ascii="Times New Roman" w:eastAsia="Times New Roman" w:hAnsi="Times New Roman" w:cs="Times New Roman"/>
          <w:color w:val="000000"/>
          <w:sz w:val="24"/>
          <w:szCs w:val="24"/>
          <w:lang w:val="lv-LV"/>
        </w:rPr>
        <w:lastRenderedPageBreak/>
        <w:t>Pielikums Nr.5</w:t>
      </w:r>
    </w:p>
    <w:p w:rsidR="009A5D2C" w:rsidRPr="009A5D2C" w:rsidRDefault="009A5D2C" w:rsidP="009A5D2C">
      <w:pPr>
        <w:spacing w:line="276" w:lineRule="auto"/>
        <w:ind w:right="-7"/>
        <w:rPr>
          <w:rFonts w:ascii="Times New Roman" w:eastAsia="Times New Roman" w:hAnsi="Times New Roman" w:cs="Times New Roman"/>
          <w:color w:val="000000"/>
          <w:sz w:val="24"/>
          <w:szCs w:val="24"/>
          <w:lang w:val="lv-LV"/>
        </w:rPr>
      </w:pPr>
    </w:p>
    <w:p w:rsidR="009A5D2C" w:rsidRPr="009A5D2C" w:rsidRDefault="009A5D2C" w:rsidP="009A5D2C">
      <w:pPr>
        <w:spacing w:line="276" w:lineRule="auto"/>
        <w:ind w:right="-7"/>
        <w:jc w:val="center"/>
        <w:rPr>
          <w:rFonts w:ascii="Times New Roman" w:eastAsia="Times New Roman" w:hAnsi="Times New Roman" w:cs="Times New Roman"/>
          <w:color w:val="000000"/>
          <w:sz w:val="24"/>
          <w:szCs w:val="24"/>
          <w:lang w:val="lv-LV"/>
        </w:rPr>
      </w:pPr>
      <w:r w:rsidRPr="009A5D2C">
        <w:rPr>
          <w:rFonts w:ascii="Times New Roman" w:eastAsia="Times New Roman" w:hAnsi="Times New Roman" w:cs="Times New Roman"/>
          <w:color w:val="000000"/>
          <w:sz w:val="24"/>
          <w:szCs w:val="24"/>
          <w:lang w:val="lv-LV"/>
        </w:rPr>
        <w:t>Pieaugušo nodarbināto struktūra pēc informatīvā vai karjeras pakalpojuma nepieciešamības</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673"/>
        <w:gridCol w:w="1410"/>
        <w:gridCol w:w="4705"/>
      </w:tblGrid>
      <w:tr w:rsidR="009A5D2C" w:rsidRPr="009A5D2C" w:rsidTr="0057610A">
        <w:tc>
          <w:tcPr>
            <w:tcW w:w="681" w:type="dxa"/>
            <w:shd w:val="clear" w:color="auto" w:fill="auto"/>
            <w:vAlign w:val="center"/>
          </w:tcPr>
          <w:p w:rsidR="009A5D2C" w:rsidRPr="009A5D2C" w:rsidRDefault="009A5D2C" w:rsidP="009A5D2C">
            <w:pPr>
              <w:spacing w:after="0" w:line="240" w:lineRule="auto"/>
              <w:jc w:val="center"/>
              <w:rPr>
                <w:rFonts w:ascii="Times New Roman" w:eastAsia="Times New Roman" w:hAnsi="Times New Roman" w:cs="Times New Roman"/>
                <w:b/>
                <w:szCs w:val="20"/>
                <w:lang w:val="lv-LV"/>
              </w:rPr>
            </w:pPr>
            <w:r w:rsidRPr="009A5D2C">
              <w:rPr>
                <w:rFonts w:ascii="Times New Roman" w:eastAsia="Times New Roman" w:hAnsi="Times New Roman" w:cs="Times New Roman"/>
                <w:b/>
                <w:szCs w:val="20"/>
                <w:lang w:val="lv-LV"/>
              </w:rPr>
              <w:t>N.p.k.</w:t>
            </w:r>
          </w:p>
        </w:tc>
        <w:tc>
          <w:tcPr>
            <w:tcW w:w="2673" w:type="dxa"/>
            <w:shd w:val="clear" w:color="auto" w:fill="auto"/>
            <w:vAlign w:val="center"/>
          </w:tcPr>
          <w:p w:rsidR="009A5D2C" w:rsidRPr="009A5D2C" w:rsidRDefault="009A5D2C" w:rsidP="009A5D2C">
            <w:pPr>
              <w:spacing w:after="0" w:line="240" w:lineRule="auto"/>
              <w:jc w:val="center"/>
              <w:rPr>
                <w:rFonts w:ascii="Times New Roman" w:eastAsia="Times New Roman" w:hAnsi="Times New Roman" w:cs="Times New Roman"/>
                <w:b/>
                <w:szCs w:val="20"/>
                <w:lang w:val="lv-LV"/>
              </w:rPr>
            </w:pPr>
            <w:r w:rsidRPr="009A5D2C">
              <w:rPr>
                <w:rFonts w:ascii="Times New Roman" w:eastAsia="Times New Roman" w:hAnsi="Times New Roman" w:cs="Times New Roman"/>
                <w:b/>
                <w:szCs w:val="20"/>
                <w:lang w:val="lv-LV"/>
              </w:rPr>
              <w:t>Nodarbinātā vajadzības pēc papildizglītības</w:t>
            </w:r>
          </w:p>
        </w:tc>
        <w:tc>
          <w:tcPr>
            <w:tcW w:w="1410" w:type="dxa"/>
            <w:shd w:val="clear" w:color="auto" w:fill="auto"/>
            <w:vAlign w:val="center"/>
          </w:tcPr>
          <w:p w:rsidR="009A5D2C" w:rsidRPr="009A5D2C" w:rsidRDefault="009A5D2C" w:rsidP="009A5D2C">
            <w:pPr>
              <w:spacing w:after="0" w:line="240" w:lineRule="auto"/>
              <w:jc w:val="center"/>
              <w:rPr>
                <w:rFonts w:ascii="Times New Roman" w:eastAsia="Times New Roman" w:hAnsi="Times New Roman" w:cs="Times New Roman"/>
                <w:b/>
                <w:szCs w:val="20"/>
                <w:lang w:val="lv-LV"/>
              </w:rPr>
            </w:pPr>
            <w:r w:rsidRPr="009A5D2C">
              <w:rPr>
                <w:rFonts w:ascii="Times New Roman" w:eastAsia="Times New Roman" w:hAnsi="Times New Roman" w:cs="Times New Roman"/>
                <w:b/>
                <w:szCs w:val="20"/>
                <w:lang w:val="lv-LV"/>
              </w:rPr>
              <w:t>Kas ierosina mācības</w:t>
            </w:r>
          </w:p>
        </w:tc>
        <w:tc>
          <w:tcPr>
            <w:tcW w:w="4705" w:type="dxa"/>
            <w:shd w:val="clear" w:color="auto" w:fill="auto"/>
            <w:vAlign w:val="center"/>
          </w:tcPr>
          <w:p w:rsidR="009A5D2C" w:rsidRPr="009A5D2C" w:rsidRDefault="009A5D2C" w:rsidP="009A5D2C">
            <w:pPr>
              <w:spacing w:after="0" w:line="240" w:lineRule="auto"/>
              <w:jc w:val="center"/>
              <w:rPr>
                <w:rFonts w:ascii="Times New Roman" w:eastAsia="Times New Roman" w:hAnsi="Times New Roman" w:cs="Times New Roman"/>
                <w:b/>
                <w:szCs w:val="20"/>
                <w:lang w:val="lv-LV"/>
              </w:rPr>
            </w:pPr>
            <w:r w:rsidRPr="009A5D2C">
              <w:rPr>
                <w:rFonts w:ascii="Times New Roman" w:eastAsia="Times New Roman" w:hAnsi="Times New Roman" w:cs="Times New Roman"/>
                <w:b/>
                <w:szCs w:val="20"/>
                <w:lang w:val="lv-LV"/>
              </w:rPr>
              <w:t>Kāds atbalsts nepieciešams/ rīcības soļi</w:t>
            </w:r>
          </w:p>
        </w:tc>
      </w:tr>
      <w:tr w:rsidR="009A5D2C" w:rsidRPr="009A5D2C" w:rsidTr="0057610A">
        <w:tc>
          <w:tcPr>
            <w:tcW w:w="681"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1.</w:t>
            </w:r>
          </w:p>
        </w:tc>
        <w:tc>
          <w:tcPr>
            <w:tcW w:w="2673"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Uzņēmums uzsācis ražot jaunu produktu veidus, mainījušās tehnoloģijas (iekārtas, izmantojamie materiāli, u.c.), taču ne darba devējs, ne ņēmējs nevēlas pārtraukt darba attiecības</w:t>
            </w:r>
          </w:p>
        </w:tc>
        <w:tc>
          <w:tcPr>
            <w:tcW w:w="1410"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Darba devējs</w:t>
            </w:r>
          </w:p>
        </w:tc>
        <w:tc>
          <w:tcPr>
            <w:tcW w:w="4705" w:type="dxa"/>
            <w:shd w:val="clear" w:color="auto" w:fill="auto"/>
          </w:tcPr>
          <w:p w:rsidR="009A5D2C" w:rsidRPr="009A5D2C" w:rsidRDefault="009A5D2C" w:rsidP="009A5D2C">
            <w:pPr>
              <w:numPr>
                <w:ilvl w:val="0"/>
                <w:numId w:val="5"/>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Definēt jaunās kompetences darba uzdevumu veikšanai</w:t>
            </w:r>
          </w:p>
          <w:p w:rsidR="009A5D2C" w:rsidRPr="009A5D2C" w:rsidRDefault="009A5D2C" w:rsidP="009A5D2C">
            <w:pPr>
              <w:numPr>
                <w:ilvl w:val="0"/>
                <w:numId w:val="5"/>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Noteikt kādas jaunas zināšanās un prasmes nepieciešamas, kas būtu iekļaujamas  papildizglītības saturā</w:t>
            </w:r>
          </w:p>
          <w:p w:rsidR="009A5D2C" w:rsidRPr="009A5D2C" w:rsidRDefault="009A5D2C" w:rsidP="009A5D2C">
            <w:pPr>
              <w:numPr>
                <w:ilvl w:val="0"/>
                <w:numId w:val="5"/>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Izvērtēt šīs papildizglītības programmas statusu (vai tā ir profesionālā pilnveide, vai papildizglītība, vai tas ir atsevišķs modulis kādas definētas profesijas ietvarā, vai...)</w:t>
            </w:r>
          </w:p>
          <w:p w:rsidR="009A5D2C" w:rsidRPr="009A5D2C" w:rsidRDefault="009A5D2C" w:rsidP="009A5D2C">
            <w:pPr>
              <w:numPr>
                <w:ilvl w:val="0"/>
                <w:numId w:val="5"/>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Noteikt papildizglītības apguves formu, nodrošināt vietu  un grafiku</w:t>
            </w:r>
          </w:p>
          <w:p w:rsidR="009A5D2C" w:rsidRPr="009A5D2C" w:rsidRDefault="009A5D2C" w:rsidP="009A5D2C">
            <w:pPr>
              <w:numPr>
                <w:ilvl w:val="0"/>
                <w:numId w:val="5"/>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Atrast piemērotus mācībspēkus</w:t>
            </w:r>
          </w:p>
        </w:tc>
      </w:tr>
      <w:tr w:rsidR="009A5D2C" w:rsidRPr="009A5D2C" w:rsidTr="0057610A">
        <w:tc>
          <w:tcPr>
            <w:tcW w:w="681"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2.</w:t>
            </w:r>
          </w:p>
        </w:tc>
        <w:tc>
          <w:tcPr>
            <w:tcW w:w="2673"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 xml:space="preserve">Darbinieks vēlas turpināt strādāt šajā uzņēmumā, bet ne pašreizējā amatā  </w:t>
            </w:r>
          </w:p>
        </w:tc>
        <w:tc>
          <w:tcPr>
            <w:tcW w:w="1410"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Pats darbinieks</w:t>
            </w:r>
          </w:p>
        </w:tc>
        <w:tc>
          <w:tcPr>
            <w:tcW w:w="4705" w:type="dxa"/>
            <w:shd w:val="clear" w:color="auto" w:fill="auto"/>
          </w:tcPr>
          <w:p w:rsidR="009A5D2C" w:rsidRPr="009A5D2C" w:rsidRDefault="009A5D2C" w:rsidP="009A5D2C">
            <w:pPr>
              <w:numPr>
                <w:ilvl w:val="0"/>
                <w:numId w:val="6"/>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Definēt jaunās kompetences darba uzdevumu veikšanai</w:t>
            </w:r>
          </w:p>
          <w:p w:rsidR="009A5D2C" w:rsidRPr="009A5D2C" w:rsidRDefault="009A5D2C" w:rsidP="009A5D2C">
            <w:pPr>
              <w:numPr>
                <w:ilvl w:val="0"/>
                <w:numId w:val="6"/>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Noteikt atšķirību starp nepieciešamajām kompetencēm darba uzdevumu veikšanai esošajā amatā un iecerētajā jaunajā</w:t>
            </w:r>
          </w:p>
          <w:p w:rsidR="009A5D2C" w:rsidRPr="009A5D2C" w:rsidRDefault="009A5D2C" w:rsidP="009A5D2C">
            <w:pPr>
              <w:numPr>
                <w:ilvl w:val="0"/>
                <w:numId w:val="6"/>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Novērtēt gan formālās, gan ārpus formālās izglītības iegūtās prasmes un to atbilstību iecerētajam amatam</w:t>
            </w:r>
          </w:p>
          <w:p w:rsidR="009A5D2C" w:rsidRPr="009A5D2C" w:rsidRDefault="009A5D2C" w:rsidP="009A5D2C">
            <w:pPr>
              <w:numPr>
                <w:ilvl w:val="0"/>
                <w:numId w:val="6"/>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Noteikt nepieciešamās papildizglītības saturu un apjomu atbilstoši iecerētā amata kvalifikācijas prasībām</w:t>
            </w:r>
          </w:p>
          <w:p w:rsidR="009A5D2C" w:rsidRPr="009A5D2C" w:rsidRDefault="009A5D2C" w:rsidP="009A5D2C">
            <w:pPr>
              <w:numPr>
                <w:ilvl w:val="0"/>
                <w:numId w:val="6"/>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Nodrošināt papildizglītības ieguves vietu, formu, novērtējumu un jaunās kvalifikācijas piešķiršanu</w:t>
            </w:r>
          </w:p>
        </w:tc>
      </w:tr>
      <w:tr w:rsidR="009A5D2C" w:rsidRPr="009A5D2C" w:rsidTr="0057610A">
        <w:tc>
          <w:tcPr>
            <w:tcW w:w="681"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 xml:space="preserve">3. </w:t>
            </w:r>
          </w:p>
        </w:tc>
        <w:tc>
          <w:tcPr>
            <w:tcW w:w="2673"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 xml:space="preserve">Darbinieks vēlas kardināli mainīt savu nodarbošanās veidu, bet īsti nezina kādā virzienā </w:t>
            </w:r>
          </w:p>
        </w:tc>
        <w:tc>
          <w:tcPr>
            <w:tcW w:w="1410" w:type="dxa"/>
            <w:shd w:val="clear" w:color="auto" w:fill="auto"/>
          </w:tcPr>
          <w:p w:rsidR="009A5D2C" w:rsidRPr="009A5D2C" w:rsidRDefault="009A5D2C" w:rsidP="009A5D2C">
            <w:pPr>
              <w:spacing w:after="0" w:line="240" w:lineRule="auto"/>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Pats darbinieks</w:t>
            </w:r>
          </w:p>
        </w:tc>
        <w:tc>
          <w:tcPr>
            <w:tcW w:w="4705" w:type="dxa"/>
            <w:shd w:val="clear" w:color="auto" w:fill="auto"/>
          </w:tcPr>
          <w:p w:rsidR="009A5D2C" w:rsidRPr="009A5D2C" w:rsidRDefault="009A5D2C" w:rsidP="009A5D2C">
            <w:pPr>
              <w:numPr>
                <w:ilvl w:val="0"/>
                <w:numId w:val="7"/>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Nepieciešama saruna ar kvalificētu karjeras konsultantu darbinieka interešu un spēju izvērtēšanai, esošās formālās izglītības līmeņa un satura izvērtēšanai, darba vakanču apzināšanai, tālākās rīcības plāna izstrādāšanai, lēmuma pieņemšanai un rīcībai</w:t>
            </w:r>
          </w:p>
          <w:p w:rsidR="009A5D2C" w:rsidRPr="009A5D2C" w:rsidRDefault="009A5D2C" w:rsidP="009A5D2C">
            <w:pPr>
              <w:numPr>
                <w:ilvl w:val="0"/>
                <w:numId w:val="7"/>
              </w:numPr>
              <w:spacing w:after="0" w:line="240" w:lineRule="auto"/>
              <w:ind w:left="289" w:hanging="284"/>
              <w:contextualSpacing/>
              <w:rPr>
                <w:rFonts w:ascii="Times New Roman" w:eastAsia="Times New Roman" w:hAnsi="Times New Roman" w:cs="Times New Roman"/>
                <w:sz w:val="20"/>
                <w:szCs w:val="20"/>
                <w:lang w:val="lv-LV"/>
              </w:rPr>
            </w:pPr>
            <w:r w:rsidRPr="009A5D2C">
              <w:rPr>
                <w:rFonts w:ascii="Times New Roman" w:eastAsia="Times New Roman" w:hAnsi="Times New Roman" w:cs="Times New Roman"/>
                <w:sz w:val="20"/>
                <w:szCs w:val="20"/>
                <w:lang w:val="lv-LV"/>
              </w:rPr>
              <w:t>Papildizglītības nodrošināšana jaunas kvalifikācijas ieguvei formālās izglītības sistēmā</w:t>
            </w:r>
          </w:p>
        </w:tc>
      </w:tr>
    </w:tbl>
    <w:p w:rsidR="009A5D2C" w:rsidRPr="009A5D2C" w:rsidRDefault="009A5D2C" w:rsidP="009A5D2C">
      <w:pPr>
        <w:spacing w:after="0" w:line="240" w:lineRule="auto"/>
        <w:jc w:val="both"/>
        <w:rPr>
          <w:rFonts w:ascii="Times New Roman" w:eastAsia="Times New Roman" w:hAnsi="Times New Roman" w:cs="Times New Roman"/>
          <w:i/>
          <w:sz w:val="20"/>
          <w:szCs w:val="21"/>
          <w:lang w:val="lv-LV"/>
        </w:rPr>
      </w:pPr>
      <w:r w:rsidRPr="009A5D2C">
        <w:rPr>
          <w:rFonts w:ascii="Times New Roman" w:eastAsia="Times New Roman" w:hAnsi="Times New Roman" w:cs="Times New Roman"/>
          <w:i/>
          <w:sz w:val="20"/>
          <w:szCs w:val="21"/>
          <w:lang w:val="lv-LV"/>
        </w:rPr>
        <w:t>Piezīme: par atbalstu sniedzošā personāla kvalifikāciju: Pirmajos 2 gadījumos personālam galvenokārt ir nepieciešamas formālās zināšanas par nozaru kvalifikāciju struktūru, par izglītības procesa, mācību rezultātu novērtēšanas organizēšanu. Abos gadījumos ir obligāta darba devēja iesaiste. Tikai 3.gadījumā būs vajadzīgs kvalificēta karjeras konsultanta atbalsts.</w:t>
      </w:r>
    </w:p>
    <w:p w:rsidR="009A5D2C" w:rsidRPr="009A5D2C" w:rsidRDefault="009A5D2C" w:rsidP="009A5D2C">
      <w:pPr>
        <w:spacing w:after="0" w:line="240" w:lineRule="auto"/>
        <w:jc w:val="both"/>
        <w:rPr>
          <w:rFonts w:ascii="Times New Roman" w:eastAsia="Times New Roman" w:hAnsi="Times New Roman" w:cs="Times New Roman"/>
          <w:i/>
          <w:sz w:val="21"/>
          <w:szCs w:val="21"/>
          <w:lang w:val="lv-LV"/>
        </w:rPr>
      </w:pPr>
    </w:p>
    <w:p w:rsidR="009A5D2C" w:rsidRPr="009A5D2C" w:rsidRDefault="009A5D2C" w:rsidP="009A5D2C">
      <w:pPr>
        <w:spacing w:after="0" w:line="240" w:lineRule="auto"/>
        <w:ind w:firstLine="720"/>
        <w:jc w:val="both"/>
        <w:rPr>
          <w:rFonts w:ascii="Times New Roman" w:eastAsia="Times New Roman" w:hAnsi="Times New Roman" w:cs="Times New Roman"/>
          <w:sz w:val="24"/>
          <w:szCs w:val="21"/>
          <w:lang w:val="lv-LV"/>
        </w:rPr>
      </w:pPr>
      <w:r w:rsidRPr="009A5D2C">
        <w:rPr>
          <w:rFonts w:ascii="Times New Roman" w:eastAsia="Times New Roman" w:hAnsi="Times New Roman" w:cs="Times New Roman"/>
          <w:sz w:val="24"/>
          <w:szCs w:val="21"/>
          <w:lang w:val="lv-LV"/>
        </w:rPr>
        <w:t>Karjeras konsultāciju atbalsta pakalpojums pieejams gan NVA 28 filiālēs visā Latvijā, gan karjeras konsultantu atbalsts tiks stiprināts izglītības iestādēs (ES fondu specifiskā atbalsta mērķa 8.3.5 “Uzlabot pieeju karjeras atbalstam izglītojamajiem vispārējās un profesionālās izglītības iestādēs” ietvaros). NVA piedāvā individuālas un grupas karjeras konsultācijas, kas ir bezmaksas un pieejamas ikvienam Latvijas iedzīvotājam.</w:t>
      </w:r>
    </w:p>
    <w:p w:rsidR="009A5D2C" w:rsidRPr="009A5D2C" w:rsidRDefault="009A5D2C" w:rsidP="009A5D2C">
      <w:pPr>
        <w:spacing w:line="276" w:lineRule="auto"/>
        <w:rPr>
          <w:rFonts w:ascii="Calibri" w:eastAsia="Times New Roman" w:hAnsi="Calibri" w:cs="Times New Roman"/>
          <w:sz w:val="21"/>
          <w:szCs w:val="21"/>
          <w:lang w:val="lv-LV"/>
        </w:rPr>
      </w:pPr>
    </w:p>
    <w:p w:rsidR="009A5D2C" w:rsidRPr="004850DC" w:rsidRDefault="009A5D2C">
      <w:pPr>
        <w:rPr>
          <w:b/>
          <w:sz w:val="24"/>
          <w:szCs w:val="24"/>
          <w:lang w:val="lv-LV"/>
        </w:rPr>
      </w:pPr>
    </w:p>
    <w:sectPr w:rsidR="009A5D2C" w:rsidRPr="004850D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53D" w:rsidRDefault="00A9253D" w:rsidP="004850DC">
      <w:pPr>
        <w:spacing w:after="0" w:line="240" w:lineRule="auto"/>
      </w:pPr>
      <w:r>
        <w:separator/>
      </w:r>
    </w:p>
  </w:endnote>
  <w:endnote w:type="continuationSeparator" w:id="0">
    <w:p w:rsidR="00A9253D" w:rsidRDefault="00A9253D" w:rsidP="0048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82" w:rsidRDefault="00E33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57" w:rsidRDefault="00A81657">
    <w:pPr>
      <w:pStyle w:val="Footer"/>
    </w:pPr>
    <w:r>
      <w:rPr>
        <w:noProof/>
        <w:lang w:val="lv-LV" w:eastAsia="lv-LV"/>
      </w:rPr>
      <mc:AlternateContent>
        <mc:Choice Requires="wpg">
          <w:drawing>
            <wp:anchor distT="0" distB="0" distL="114300" distR="114300" simplePos="0" relativeHeight="251659264" behindDoc="0" locked="0" layoutInCell="1" allowOverlap="1" wp14:anchorId="375C2A9B" wp14:editId="65DB5805">
              <wp:simplePos x="0" y="0"/>
              <wp:positionH relativeFrom="page">
                <wp:align>left</wp:align>
              </wp:positionH>
              <wp:positionV relativeFrom="bottomMargin">
                <wp:align>center</wp:align>
              </wp:positionV>
              <wp:extent cx="7400925" cy="574040"/>
              <wp:effectExtent l="0" t="0" r="0" b="0"/>
              <wp:wrapNone/>
              <wp:docPr id="155" name="Group 155"/>
              <wp:cNvGraphicFramePr/>
              <a:graphic xmlns:a="http://schemas.openxmlformats.org/drawingml/2006/main">
                <a:graphicData uri="http://schemas.microsoft.com/office/word/2010/wordprocessingGroup">
                  <wpg:wgp>
                    <wpg:cNvGrpSpPr/>
                    <wpg:grpSpPr>
                      <a:xfrm>
                        <a:off x="0" y="0"/>
                        <a:ext cx="7400925" cy="574040"/>
                        <a:chOff x="0" y="0"/>
                        <a:chExt cx="5943600" cy="57404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1657" w:rsidRPr="00A81657" w:rsidRDefault="00E33B82" w:rsidP="00A81657">
                            <w:pPr>
                              <w:pStyle w:val="Footer"/>
                              <w:jc w:val="both"/>
                              <w:rPr>
                                <w:rFonts w:ascii="Times New Roman" w:hAnsi="Times New Roman"/>
                                <w:lang w:val="lv-LV"/>
                              </w:rPr>
                            </w:pPr>
                            <w:r w:rsidRPr="00E33B82">
                              <w:rPr>
                                <w:rFonts w:ascii="Times New Roman" w:hAnsi="Times New Roman"/>
                                <w:lang w:val="lv-LV"/>
                              </w:rPr>
                              <w:t>IZMPielikumi_01042016_pieaugplans</w:t>
                            </w:r>
                            <w:r w:rsidR="00A81657" w:rsidRPr="00A81657">
                              <w:rPr>
                                <w:rFonts w:ascii="Times New Roman" w:hAnsi="Times New Roman"/>
                                <w:lang w:val="lv-LV"/>
                              </w:rPr>
                              <w:t>; Izglītības un zinātnes ministrijas Pieaugušo izglītības pārvaldības modeļa ieviešanas plāns 2016. – 2020. gadam.</w:t>
                            </w:r>
                          </w:p>
                          <w:p w:rsidR="00A81657" w:rsidRPr="00A81657" w:rsidRDefault="00A81657">
                            <w:pPr>
                              <w:pStyle w:val="Footer"/>
                              <w:rPr>
                                <w:caps/>
                                <w:color w:val="808080" w:themeColor="background1" w:themeShade="80"/>
                                <w:sz w:val="20"/>
                                <w:szCs w:val="20"/>
                                <w:lang w:val="lv-LV"/>
                              </w:rPr>
                            </w:pPr>
                            <w:bookmarkStart w:id="1" w:name="_GoBack"/>
                            <w:bookmarkEnd w:id="1"/>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75C2A9B" id="Group 155" o:spid="_x0000_s1026" style="position:absolute;margin-left:0;margin-top:0;width:582.75pt;height:45.2pt;z-index:251659264;mso-position-horizontal:left;mso-position-horizontal-relative:page;mso-position-vertical:center;mso-position-vertical-relative:bottom-margin-area;mso-width-relative:margin" coordsize="59436,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A81657" w:rsidRPr="00A81657" w:rsidRDefault="00E33B82" w:rsidP="00A81657">
                      <w:pPr>
                        <w:pStyle w:val="Footer"/>
                        <w:jc w:val="both"/>
                        <w:rPr>
                          <w:rFonts w:ascii="Times New Roman" w:hAnsi="Times New Roman"/>
                          <w:lang w:val="lv-LV"/>
                        </w:rPr>
                      </w:pPr>
                      <w:r w:rsidRPr="00E33B82">
                        <w:rPr>
                          <w:rFonts w:ascii="Times New Roman" w:hAnsi="Times New Roman"/>
                          <w:lang w:val="lv-LV"/>
                        </w:rPr>
                        <w:t>IZMPielikumi_01042016_pieaugplans</w:t>
                      </w:r>
                      <w:r w:rsidR="00A81657" w:rsidRPr="00A81657">
                        <w:rPr>
                          <w:rFonts w:ascii="Times New Roman" w:hAnsi="Times New Roman"/>
                          <w:lang w:val="lv-LV"/>
                        </w:rPr>
                        <w:t>; Izglītības un zinātnes ministrijas Pieaugušo izglītības pārvaldības modeļa ieviešanas plāns 2016. – 2020. gadam.</w:t>
                      </w:r>
                    </w:p>
                    <w:p w:rsidR="00A81657" w:rsidRPr="00A81657" w:rsidRDefault="00A81657">
                      <w:pPr>
                        <w:pStyle w:val="Footer"/>
                        <w:rPr>
                          <w:caps/>
                          <w:color w:val="808080" w:themeColor="background1" w:themeShade="80"/>
                          <w:sz w:val="20"/>
                          <w:szCs w:val="20"/>
                          <w:lang w:val="lv-LV"/>
                        </w:rPr>
                      </w:pPr>
                      <w:bookmarkStart w:id="2" w:name="_GoBack"/>
                      <w:bookmarkEnd w:id="2"/>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82" w:rsidRDefault="00E3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53D" w:rsidRDefault="00A9253D" w:rsidP="004850DC">
      <w:pPr>
        <w:spacing w:after="0" w:line="240" w:lineRule="auto"/>
      </w:pPr>
      <w:r>
        <w:separator/>
      </w:r>
    </w:p>
  </w:footnote>
  <w:footnote w:type="continuationSeparator" w:id="0">
    <w:p w:rsidR="00A9253D" w:rsidRDefault="00A9253D" w:rsidP="004850DC">
      <w:pPr>
        <w:spacing w:after="0" w:line="240" w:lineRule="auto"/>
      </w:pPr>
      <w:r>
        <w:continuationSeparator/>
      </w:r>
    </w:p>
  </w:footnote>
  <w:footnote w:id="1">
    <w:p w:rsidR="004850DC" w:rsidRDefault="004850DC" w:rsidP="004850DC">
      <w:pPr>
        <w:pStyle w:val="FootnoteText"/>
      </w:pPr>
      <w:r>
        <w:rPr>
          <w:rStyle w:val="FootnoteReference"/>
        </w:rPr>
        <w:footnoteRef/>
      </w:r>
      <w:r>
        <w:t xml:space="preserve"> </w:t>
      </w:r>
      <w:r w:rsidRPr="006E054B">
        <w:rPr>
          <w:rFonts w:ascii="Times New Roman" w:hAnsi="Times New Roman"/>
          <w:lang w:eastAsia="lv-LV"/>
        </w:rPr>
        <w:t>Ministru kabineta 2</w:t>
      </w:r>
      <w:r>
        <w:rPr>
          <w:rFonts w:ascii="Times New Roman" w:hAnsi="Times New Roman"/>
          <w:lang w:eastAsia="lv-LV"/>
        </w:rPr>
        <w:t>015. gada 25. augusta noteikumi</w:t>
      </w:r>
      <w:r w:rsidRPr="006E054B">
        <w:rPr>
          <w:rFonts w:ascii="Times New Roman" w:hAnsi="Times New Roman"/>
          <w:lang w:eastAsia="lv-LV"/>
        </w:rPr>
        <w:t xml:space="preserve"> Nr. 495 “Kārtība, kādā piešķir un anulē profesionālās izglītības kompetences centra statusu mākslas, mūzikas vai dejas jomā”</w:t>
      </w:r>
      <w:r>
        <w:rPr>
          <w:rFonts w:ascii="Times New Roman" w:hAnsi="Times New Roman"/>
          <w:lang w:eastAsia="lv-LV"/>
        </w:rPr>
        <w:t>.</w:t>
      </w:r>
    </w:p>
  </w:footnote>
  <w:footnote w:id="2">
    <w:p w:rsidR="004850DC" w:rsidRDefault="004850DC" w:rsidP="004850DC">
      <w:pPr>
        <w:pStyle w:val="FootnoteText"/>
      </w:pPr>
      <w:r>
        <w:rPr>
          <w:rStyle w:val="FootnoteReference"/>
        </w:rPr>
        <w:footnoteRef/>
      </w:r>
      <w:r>
        <w:t xml:space="preserve"> </w:t>
      </w:r>
      <w:r w:rsidRPr="00D52111">
        <w:rPr>
          <w:rFonts w:ascii="Times New Roman" w:hAnsi="Times New Roman"/>
        </w:rPr>
        <w:t>http://www.nozaruekspertupadomes.lv/aktuali/diskusijas-par-aktualo-profesionalaja-izglitiba-ir-jaturpina-641</w:t>
      </w:r>
    </w:p>
  </w:footnote>
  <w:footnote w:id="3">
    <w:p w:rsidR="004850DC" w:rsidRDefault="004850DC" w:rsidP="004850DC">
      <w:pPr>
        <w:pStyle w:val="FootnoteText"/>
      </w:pPr>
      <w:r>
        <w:rPr>
          <w:rStyle w:val="FootnoteReference"/>
        </w:rPr>
        <w:footnoteRef/>
      </w:r>
      <w:r>
        <w:t xml:space="preserve"> </w:t>
      </w:r>
      <w:r w:rsidRPr="00D52111">
        <w:rPr>
          <w:rFonts w:ascii="Times New Roman" w:hAnsi="Times New Roman"/>
        </w:rPr>
        <w:t>http://visc.gov.lv/profizglitiba/eksameni/info_old.shtml</w:t>
      </w:r>
    </w:p>
  </w:footnote>
  <w:footnote w:id="4">
    <w:p w:rsidR="0035077B" w:rsidRPr="0043383B" w:rsidRDefault="0035077B" w:rsidP="0035077B">
      <w:pPr>
        <w:pStyle w:val="FootnoteText"/>
        <w:rPr>
          <w:szCs w:val="24"/>
        </w:rPr>
      </w:pPr>
      <w:r>
        <w:rPr>
          <w:rStyle w:val="FootnoteReference"/>
        </w:rPr>
        <w:footnoteRef/>
      </w:r>
      <w:r>
        <w:t xml:space="preserve"> </w:t>
      </w:r>
      <w:r w:rsidRPr="00BA5DC6">
        <w:rPr>
          <w:szCs w:val="24"/>
        </w:rPr>
        <w:t>(Labklājības ministrijas Informatīvais ziņojums „Par darba</w:t>
      </w:r>
      <w:r>
        <w:rPr>
          <w:szCs w:val="24"/>
        </w:rPr>
        <w:t xml:space="preserve"> tirgus īstermiņa prognozēm 2014</w:t>
      </w:r>
      <w:r w:rsidRPr="00BA5DC6">
        <w:rPr>
          <w:szCs w:val="24"/>
        </w:rPr>
        <w:t>.</w:t>
      </w:r>
      <w:r>
        <w:rPr>
          <w:szCs w:val="24"/>
        </w:rPr>
        <w:t> </w:t>
      </w:r>
      <w:r w:rsidRPr="00BA5DC6">
        <w:rPr>
          <w:szCs w:val="24"/>
        </w:rPr>
        <w:t>gadam un bezdarbnieku un darba meklētāju prioritārajiem apmācību virzieniem</w:t>
      </w:r>
      <w:r>
        <w:rPr>
          <w:szCs w:val="24"/>
        </w:rPr>
        <w:t>”</w:t>
      </w:r>
      <w:r w:rsidRPr="00583C39">
        <w:t xml:space="preserve"> http://www.lm.gov.lv/upload/darba_tirgus/darba_tirgus/lmzino_31032014.pdf</w:t>
      </w:r>
    </w:p>
  </w:footnote>
  <w:footnote w:id="5">
    <w:p w:rsidR="0035077B" w:rsidRDefault="0035077B" w:rsidP="0035077B">
      <w:pPr>
        <w:pStyle w:val="FootnoteText"/>
      </w:pPr>
      <w:r>
        <w:rPr>
          <w:rStyle w:val="FootnoteReference"/>
        </w:rPr>
        <w:footnoteRef/>
      </w:r>
      <w:r>
        <w:t xml:space="preserve"> </w:t>
      </w:r>
      <w:r w:rsidRPr="000B0AA5">
        <w:t>pētījumā “Latvija: kurš ir bezdarbnieks, ekonomiski neaktīvais vai trūcīgais? Pēckrīzes politikas izvēļu izvērtējums”.</w:t>
      </w:r>
      <w:r>
        <w:t xml:space="preserve"> P</w:t>
      </w:r>
      <w:r w:rsidRPr="000B0AA5">
        <w:t>ētījums oriģinālvalodā pieejams LM mājaslapas sadaļā - Nozares politikas – Darbs – Pētījumi</w:t>
      </w:r>
      <w:r>
        <w:t xml:space="preserve"> </w:t>
      </w:r>
      <w:hyperlink r:id="rId1" w:history="1">
        <w:r w:rsidRPr="00A339B2">
          <w:t>http://www.lm.gov.lv/upload/aktualitates/latvia_compwbs.pdf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82" w:rsidRDefault="00E33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861178"/>
      <w:docPartObj>
        <w:docPartGallery w:val="Page Numbers (Top of Page)"/>
        <w:docPartUnique/>
      </w:docPartObj>
    </w:sdtPr>
    <w:sdtEndPr>
      <w:rPr>
        <w:noProof/>
      </w:rPr>
    </w:sdtEndPr>
    <w:sdtContent>
      <w:p w:rsidR="00A40B8C" w:rsidRDefault="00A40B8C">
        <w:pPr>
          <w:pStyle w:val="Header"/>
          <w:jc w:val="center"/>
        </w:pPr>
        <w:r>
          <w:fldChar w:fldCharType="begin"/>
        </w:r>
        <w:r>
          <w:instrText xml:space="preserve"> PAGE   \* MERGEFORMAT </w:instrText>
        </w:r>
        <w:r>
          <w:fldChar w:fldCharType="separate"/>
        </w:r>
        <w:r w:rsidR="00E33B82">
          <w:rPr>
            <w:noProof/>
          </w:rPr>
          <w:t>1</w:t>
        </w:r>
        <w:r>
          <w:rPr>
            <w:noProof/>
          </w:rPr>
          <w:fldChar w:fldCharType="end"/>
        </w:r>
      </w:p>
    </w:sdtContent>
  </w:sdt>
  <w:p w:rsidR="00A40B8C" w:rsidRDefault="00A40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B82" w:rsidRDefault="00E33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51D3"/>
    <w:multiLevelType w:val="hybridMultilevel"/>
    <w:tmpl w:val="E6222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EA6D78"/>
    <w:multiLevelType w:val="hybridMultilevel"/>
    <w:tmpl w:val="7DA46A12"/>
    <w:lvl w:ilvl="0" w:tplc="80A26B22">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5C7B2895"/>
    <w:multiLevelType w:val="hybridMultilevel"/>
    <w:tmpl w:val="B0A41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834771"/>
    <w:multiLevelType w:val="hybridMultilevel"/>
    <w:tmpl w:val="B2248970"/>
    <w:lvl w:ilvl="0" w:tplc="24B6E340">
      <w:start w:val="1"/>
      <w:numFmt w:val="lowerLetter"/>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0F5650A"/>
    <w:multiLevelType w:val="hybridMultilevel"/>
    <w:tmpl w:val="7E84E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064E5E"/>
    <w:multiLevelType w:val="hybridMultilevel"/>
    <w:tmpl w:val="0614986A"/>
    <w:lvl w:ilvl="0" w:tplc="AF003BE6">
      <w:start w:val="1"/>
      <w:numFmt w:val="decimal"/>
      <w:lvlText w:val="%1)"/>
      <w:lvlJc w:val="left"/>
      <w:pPr>
        <w:ind w:left="960" w:hanging="360"/>
      </w:pPr>
      <w:rPr>
        <w:rFonts w:hint="default"/>
        <w:color w:val="auto"/>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6AC731F3"/>
    <w:multiLevelType w:val="hybridMultilevel"/>
    <w:tmpl w:val="8B12B342"/>
    <w:lvl w:ilvl="0" w:tplc="37DA193C">
      <w:start w:val="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CA"/>
    <w:rsid w:val="002F5144"/>
    <w:rsid w:val="0035077B"/>
    <w:rsid w:val="003B7732"/>
    <w:rsid w:val="004258D8"/>
    <w:rsid w:val="004850DC"/>
    <w:rsid w:val="009329DB"/>
    <w:rsid w:val="00934BBB"/>
    <w:rsid w:val="009A5D2C"/>
    <w:rsid w:val="00A40B8C"/>
    <w:rsid w:val="00A81657"/>
    <w:rsid w:val="00A9253D"/>
    <w:rsid w:val="00BD4C0E"/>
    <w:rsid w:val="00DF49CA"/>
    <w:rsid w:val="00E33B82"/>
    <w:rsid w:val="00F14277"/>
    <w:rsid w:val="00FF1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7F5E6-36BD-4322-A371-767223DD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50DC"/>
    <w:pPr>
      <w:spacing w:after="200" w:line="276" w:lineRule="auto"/>
    </w:pPr>
    <w:rPr>
      <w:rFonts w:ascii="Calibri" w:eastAsia="Calibri" w:hAnsi="Calibri" w:cs="Times New Roman"/>
      <w:sz w:val="20"/>
      <w:szCs w:val="20"/>
      <w:lang w:val="lv-LV"/>
    </w:rPr>
  </w:style>
  <w:style w:type="character" w:customStyle="1" w:styleId="FootnoteTextChar">
    <w:name w:val="Footnote Text Char"/>
    <w:basedOn w:val="DefaultParagraphFont"/>
    <w:link w:val="FootnoteText"/>
    <w:uiPriority w:val="99"/>
    <w:semiHidden/>
    <w:rsid w:val="004850DC"/>
    <w:rPr>
      <w:rFonts w:ascii="Calibri" w:eastAsia="Calibri" w:hAnsi="Calibri"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E Fußnotenzeichen,E,E FNZ,fr"/>
    <w:link w:val="CharCharCharChar"/>
    <w:uiPriority w:val="99"/>
    <w:unhideWhenUsed/>
    <w:rsid w:val="004850DC"/>
    <w:rPr>
      <w:vertAlign w:val="superscript"/>
    </w:rPr>
  </w:style>
  <w:style w:type="paragraph" w:customStyle="1" w:styleId="CharCharCharChar">
    <w:name w:val="Char Char Char Char"/>
    <w:aliases w:val="Char2"/>
    <w:basedOn w:val="Normal"/>
    <w:next w:val="Normal"/>
    <w:link w:val="FootnoteReference"/>
    <w:uiPriority w:val="99"/>
    <w:rsid w:val="0035077B"/>
    <w:pPr>
      <w:spacing w:line="240" w:lineRule="exact"/>
      <w:jc w:val="both"/>
      <w:textAlignment w:val="baseline"/>
    </w:pPr>
    <w:rPr>
      <w:vertAlign w:val="superscript"/>
      <w:lang w:val="lv-LV"/>
    </w:rPr>
  </w:style>
  <w:style w:type="paragraph" w:styleId="Header">
    <w:name w:val="header"/>
    <w:basedOn w:val="Normal"/>
    <w:link w:val="HeaderChar"/>
    <w:uiPriority w:val="99"/>
    <w:unhideWhenUsed/>
    <w:rsid w:val="00A816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1657"/>
    <w:rPr>
      <w:lang w:val="en-US"/>
    </w:rPr>
  </w:style>
  <w:style w:type="paragraph" w:styleId="Footer">
    <w:name w:val="footer"/>
    <w:basedOn w:val="Normal"/>
    <w:link w:val="FooterChar"/>
    <w:uiPriority w:val="99"/>
    <w:unhideWhenUsed/>
    <w:rsid w:val="00A816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16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dtps.esynergy.lv/top/setting" TargetMode="External"/><Relationship Id="rId4" Type="http://schemas.openxmlformats.org/officeDocument/2006/relationships/webSettings" Target="webSettings.xml"/><Relationship Id="rId9" Type="http://schemas.openxmlformats.org/officeDocument/2006/relationships/hyperlink" Target="http://www.lm.gov.lv/text/252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aktualitates/latvia_compwb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a.Senberga\AppData\Local\Microsoft\Windows\Temporary%20Internet%20Files\Content.Outlook\BRT3TUV7\tabu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[tabula.xlsx]Sheet1!$B$67</c:f>
              <c:strCache>
                <c:ptCount val="1"/>
                <c:pt idx="0">
                  <c:v>Izglītības iestādes, kas saņēmušas deleģējumu veikt profesionālās kompetences novērtēšanu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[tabula.xlsx]Sheet1!$A$68:$A$72</c:f>
              <c:strCache>
                <c:ptCount val="5"/>
                <c:pt idx="0">
                  <c:v>2011.gads</c:v>
                </c:pt>
                <c:pt idx="1">
                  <c:v>2012.gads</c:v>
                </c:pt>
                <c:pt idx="2">
                  <c:v>2013.gads</c:v>
                </c:pt>
                <c:pt idx="3">
                  <c:v>2014.gads</c:v>
                </c:pt>
                <c:pt idx="4">
                  <c:v>2015.gads</c:v>
                </c:pt>
              </c:strCache>
            </c:strRef>
          </c:cat>
          <c:val>
            <c:numRef>
              <c:f>[tabula.xlsx]Sheet1!$B$68:$B$72</c:f>
              <c:numCache>
                <c:formatCode>General</c:formatCode>
                <c:ptCount val="5"/>
                <c:pt idx="0">
                  <c:v>19</c:v>
                </c:pt>
                <c:pt idx="1">
                  <c:v>34</c:v>
                </c:pt>
                <c:pt idx="2">
                  <c:v>41</c:v>
                </c:pt>
                <c:pt idx="3">
                  <c:v>40</c:v>
                </c:pt>
                <c:pt idx="4">
                  <c:v>47</c:v>
                </c:pt>
              </c:numCache>
            </c:numRef>
          </c:val>
        </c:ser>
        <c:ser>
          <c:idx val="1"/>
          <c:order val="1"/>
          <c:tx>
            <c:strRef>
              <c:f>[tabula.xlsx]Sheet1!$C$67</c:f>
              <c:strCache>
                <c:ptCount val="1"/>
                <c:pt idx="0">
                  <c:v>Izglītības iestādes, kas organizē profesionālās kompetences novērtēšanu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[tabula.xlsx]Sheet1!$A$68:$A$72</c:f>
              <c:strCache>
                <c:ptCount val="5"/>
                <c:pt idx="0">
                  <c:v>2011.gads</c:v>
                </c:pt>
                <c:pt idx="1">
                  <c:v>2012.gads</c:v>
                </c:pt>
                <c:pt idx="2">
                  <c:v>2013.gads</c:v>
                </c:pt>
                <c:pt idx="3">
                  <c:v>2014.gads</c:v>
                </c:pt>
                <c:pt idx="4">
                  <c:v>2015.gads</c:v>
                </c:pt>
              </c:strCache>
            </c:strRef>
          </c:cat>
          <c:val>
            <c:numRef>
              <c:f>[tabula.xlsx]Sheet1!$C$68:$C$72</c:f>
              <c:numCache>
                <c:formatCode>General</c:formatCode>
                <c:ptCount val="5"/>
                <c:pt idx="0">
                  <c:v>3</c:v>
                </c:pt>
                <c:pt idx="1">
                  <c:v>15</c:v>
                </c:pt>
                <c:pt idx="2">
                  <c:v>15</c:v>
                </c:pt>
                <c:pt idx="3">
                  <c:v>20</c:v>
                </c:pt>
                <c:pt idx="4">
                  <c:v>19</c:v>
                </c:pt>
              </c:numCache>
            </c:numRef>
          </c:val>
        </c:ser>
        <c:dLbls>
          <c:showLegendKey val="0"/>
          <c:showVal val="1"/>
          <c:showCatName val="0"/>
          <c:showSerName val="0"/>
          <c:showPercent val="0"/>
          <c:showBubbleSize val="0"/>
        </c:dLbls>
        <c:gapWidth val="75"/>
        <c:axId val="219888736"/>
        <c:axId val="219891480"/>
      </c:barChart>
      <c:catAx>
        <c:axId val="219888736"/>
        <c:scaling>
          <c:orientation val="minMax"/>
        </c:scaling>
        <c:delete val="0"/>
        <c:axPos val="b"/>
        <c:numFmt formatCode="General" sourceLinked="0"/>
        <c:majorTickMark val="none"/>
        <c:minorTickMark val="none"/>
        <c:tickLblPos val="nextTo"/>
        <c:crossAx val="219891480"/>
        <c:crosses val="autoZero"/>
        <c:auto val="1"/>
        <c:lblAlgn val="ctr"/>
        <c:lblOffset val="100"/>
        <c:noMultiLvlLbl val="0"/>
      </c:catAx>
      <c:valAx>
        <c:axId val="219891480"/>
        <c:scaling>
          <c:orientation val="minMax"/>
        </c:scaling>
        <c:delete val="0"/>
        <c:axPos val="l"/>
        <c:numFmt formatCode="General" sourceLinked="1"/>
        <c:majorTickMark val="none"/>
        <c:minorTickMark val="none"/>
        <c:tickLblPos val="nextTo"/>
        <c:crossAx val="21988873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25228</Words>
  <Characters>14380</Characters>
  <Application>Microsoft Office Word</Application>
  <DocSecurity>0</DocSecurity>
  <Lines>119</Lines>
  <Paragraphs>79</Paragraphs>
  <ScaleCrop>false</ScaleCrop>
  <Company/>
  <LinksUpToDate>false</LinksUpToDate>
  <CharactersWithSpaces>39529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Bašķere</dc:creator>
  <cp:keywords/>
  <dc:description/>
  <cp:lastModifiedBy>Baiba Bašķere</cp:lastModifiedBy>
  <cp:revision>10</cp:revision>
  <dcterms:created xsi:type="dcterms:W3CDTF">2016-02-16T12:05:00Z</dcterms:created>
  <dcterms:modified xsi:type="dcterms:W3CDTF">2016-04-01T13:18:00Z</dcterms:modified>
</cp:coreProperties>
</file>