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81" w:rsidRPr="004A1FF7" w:rsidRDefault="00805F81" w:rsidP="00376606">
      <w:pPr>
        <w:pStyle w:val="Kjene"/>
        <w:jc w:val="center"/>
        <w:rPr>
          <w:b/>
          <w:sz w:val="28"/>
          <w:szCs w:val="28"/>
        </w:rPr>
      </w:pPr>
      <w:r w:rsidRPr="004A1FF7">
        <w:rPr>
          <w:b/>
          <w:sz w:val="28"/>
          <w:szCs w:val="28"/>
        </w:rPr>
        <w:t xml:space="preserve">Ministru kabineta noteikumu projekta </w:t>
      </w:r>
    </w:p>
    <w:p w:rsidR="00805F81" w:rsidRPr="004A1FF7" w:rsidRDefault="00805F81" w:rsidP="00376606">
      <w:pPr>
        <w:pStyle w:val="Kjene"/>
        <w:jc w:val="center"/>
        <w:rPr>
          <w:b/>
          <w:sz w:val="28"/>
          <w:szCs w:val="28"/>
        </w:rPr>
      </w:pPr>
      <w:r w:rsidRPr="004A1FF7">
        <w:rPr>
          <w:b/>
          <w:sz w:val="28"/>
          <w:szCs w:val="28"/>
        </w:rPr>
        <w:t>„</w:t>
      </w:r>
      <w:bookmarkStart w:id="0" w:name="OLE_LINK3"/>
      <w:bookmarkStart w:id="1" w:name="OLE_LINK4"/>
      <w:r w:rsidRPr="004A1FF7">
        <w:rPr>
          <w:b/>
          <w:sz w:val="28"/>
          <w:szCs w:val="28"/>
        </w:rPr>
        <w:t>Grozījumi Ministru kabineta 2013.g</w:t>
      </w:r>
      <w:r>
        <w:rPr>
          <w:b/>
          <w:sz w:val="28"/>
          <w:szCs w:val="28"/>
        </w:rPr>
        <w:t>ada 1.oktobra noteikumos Nr.1029</w:t>
      </w:r>
    </w:p>
    <w:p w:rsidR="009C74D2" w:rsidRDefault="00805F81" w:rsidP="00376606">
      <w:pPr>
        <w:pStyle w:val="Kjene"/>
        <w:jc w:val="center"/>
        <w:rPr>
          <w:b/>
          <w:bCs/>
          <w:sz w:val="28"/>
          <w:szCs w:val="28"/>
        </w:rPr>
      </w:pPr>
      <w:r>
        <w:rPr>
          <w:b/>
          <w:sz w:val="28"/>
          <w:szCs w:val="28"/>
        </w:rPr>
        <w:t>„Īpaši aizsargājamā kultūras pieminekļa</w:t>
      </w:r>
      <w:r w:rsidR="00E02168">
        <w:rPr>
          <w:b/>
          <w:sz w:val="28"/>
          <w:szCs w:val="28"/>
        </w:rPr>
        <w:t xml:space="preserve"> </w:t>
      </w:r>
      <w:r>
        <w:rPr>
          <w:b/>
          <w:sz w:val="28"/>
          <w:szCs w:val="28"/>
        </w:rPr>
        <w:t>-</w:t>
      </w:r>
      <w:r w:rsidR="00E02168">
        <w:rPr>
          <w:b/>
          <w:sz w:val="28"/>
          <w:szCs w:val="28"/>
        </w:rPr>
        <w:t xml:space="preserve"> </w:t>
      </w:r>
      <w:r>
        <w:rPr>
          <w:b/>
          <w:sz w:val="28"/>
          <w:szCs w:val="28"/>
        </w:rPr>
        <w:t xml:space="preserve">Turaidas </w:t>
      </w:r>
      <w:r w:rsidRPr="00E02168">
        <w:rPr>
          <w:b/>
          <w:sz w:val="28"/>
          <w:szCs w:val="28"/>
        </w:rPr>
        <w:t>muzejrezervāta – publisko maksas pakalpojumu cenrādis</w:t>
      </w:r>
      <w:bookmarkEnd w:id="0"/>
      <w:bookmarkEnd w:id="1"/>
      <w:r w:rsidRPr="00E02168">
        <w:rPr>
          <w:b/>
          <w:sz w:val="28"/>
          <w:szCs w:val="28"/>
        </w:rPr>
        <w:t xml:space="preserve">” </w:t>
      </w:r>
      <w:r w:rsidRPr="00E02168">
        <w:rPr>
          <w:b/>
          <w:bCs/>
          <w:sz w:val="28"/>
          <w:szCs w:val="28"/>
        </w:rPr>
        <w:t xml:space="preserve">sākotnējās ietekmes </w:t>
      </w:r>
    </w:p>
    <w:p w:rsidR="00805F81" w:rsidRPr="00E02168" w:rsidRDefault="00805F81" w:rsidP="00376606">
      <w:pPr>
        <w:pStyle w:val="Kjene"/>
        <w:jc w:val="center"/>
        <w:rPr>
          <w:b/>
          <w:sz w:val="28"/>
          <w:szCs w:val="28"/>
        </w:rPr>
      </w:pPr>
      <w:r w:rsidRPr="00E02168">
        <w:rPr>
          <w:b/>
          <w:bCs/>
          <w:sz w:val="28"/>
          <w:szCs w:val="28"/>
        </w:rPr>
        <w:t>novērtējuma ziņojums (anotācija)</w:t>
      </w:r>
    </w:p>
    <w:p w:rsidR="00F461EC" w:rsidRPr="00E02168" w:rsidRDefault="00F461EC" w:rsidP="00376606">
      <w:pPr>
        <w:spacing w:after="0" w:line="240" w:lineRule="auto"/>
        <w:rPr>
          <w:rFonts w:ascii="Times New Roman" w:hAnsi="Times New Roman" w:cs="Times New Roman"/>
          <w:sz w:val="28"/>
          <w:szCs w:val="28"/>
        </w:rPr>
      </w:pPr>
    </w:p>
    <w:tbl>
      <w:tblPr>
        <w:tblStyle w:val="Reatabula"/>
        <w:tblW w:w="5000" w:type="pct"/>
        <w:tblLook w:val="04A0"/>
      </w:tblPr>
      <w:tblGrid>
        <w:gridCol w:w="741"/>
        <w:gridCol w:w="3195"/>
        <w:gridCol w:w="5351"/>
      </w:tblGrid>
      <w:tr w:rsidR="00805F81" w:rsidRPr="00E02168" w:rsidTr="00B638DD">
        <w:trPr>
          <w:trHeight w:val="468"/>
        </w:trPr>
        <w:tc>
          <w:tcPr>
            <w:tcW w:w="5000" w:type="pct"/>
            <w:gridSpan w:val="3"/>
          </w:tcPr>
          <w:p w:rsidR="00805F81" w:rsidRPr="00E02168" w:rsidRDefault="00805F81" w:rsidP="00376606">
            <w:pPr>
              <w:jc w:val="center"/>
              <w:rPr>
                <w:rFonts w:ascii="Times New Roman" w:hAnsi="Times New Roman" w:cs="Times New Roman"/>
                <w:sz w:val="28"/>
                <w:szCs w:val="28"/>
              </w:rPr>
            </w:pPr>
            <w:r w:rsidRPr="00E02168">
              <w:rPr>
                <w:rFonts w:ascii="Times New Roman" w:hAnsi="Times New Roman" w:cs="Times New Roman"/>
                <w:b/>
                <w:bCs/>
                <w:sz w:val="28"/>
                <w:szCs w:val="28"/>
              </w:rPr>
              <w:t>I. Tiesību akta projekta izstrādes nepieciešamība</w:t>
            </w:r>
          </w:p>
        </w:tc>
      </w:tr>
      <w:tr w:rsidR="00805F81" w:rsidRPr="00E02168" w:rsidTr="00B638DD">
        <w:tc>
          <w:tcPr>
            <w:tcW w:w="399" w:type="pct"/>
          </w:tcPr>
          <w:p w:rsidR="00805F81" w:rsidRPr="00E02168" w:rsidRDefault="00805F81" w:rsidP="00376606">
            <w:pPr>
              <w:jc w:val="center"/>
              <w:rPr>
                <w:rFonts w:ascii="Times New Roman" w:hAnsi="Times New Roman" w:cs="Times New Roman"/>
                <w:sz w:val="28"/>
                <w:szCs w:val="28"/>
              </w:rPr>
            </w:pPr>
            <w:r w:rsidRPr="00E02168">
              <w:rPr>
                <w:rFonts w:ascii="Times New Roman" w:hAnsi="Times New Roman" w:cs="Times New Roman"/>
                <w:sz w:val="28"/>
                <w:szCs w:val="28"/>
              </w:rPr>
              <w:t>1.</w:t>
            </w:r>
          </w:p>
        </w:tc>
        <w:tc>
          <w:tcPr>
            <w:tcW w:w="1720"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pStyle w:val="naislab"/>
              <w:spacing w:before="0" w:after="0"/>
              <w:jc w:val="both"/>
              <w:rPr>
                <w:sz w:val="28"/>
                <w:szCs w:val="28"/>
              </w:rPr>
            </w:pPr>
            <w:r w:rsidRPr="00E02168">
              <w:rPr>
                <w:sz w:val="28"/>
                <w:szCs w:val="28"/>
              </w:rPr>
              <w:t> Pamatojums</w:t>
            </w:r>
          </w:p>
        </w:tc>
        <w:tc>
          <w:tcPr>
            <w:tcW w:w="2881" w:type="pct"/>
            <w:tcBorders>
              <w:top w:val="outset" w:sz="6" w:space="0" w:color="auto"/>
              <w:left w:val="outset" w:sz="6" w:space="0" w:color="auto"/>
              <w:bottom w:val="outset" w:sz="6" w:space="0" w:color="auto"/>
              <w:right w:val="outset" w:sz="6" w:space="0" w:color="auto"/>
            </w:tcBorders>
          </w:tcPr>
          <w:p w:rsidR="003E5B18" w:rsidRPr="00E02168" w:rsidRDefault="00805F81" w:rsidP="00303696">
            <w:pPr>
              <w:pStyle w:val="naiskr"/>
              <w:spacing w:before="0" w:after="0"/>
              <w:ind w:right="-1"/>
              <w:jc w:val="both"/>
              <w:rPr>
                <w:sz w:val="28"/>
                <w:szCs w:val="28"/>
              </w:rPr>
            </w:pPr>
            <w:r w:rsidRPr="00E02168">
              <w:rPr>
                <w:sz w:val="28"/>
                <w:szCs w:val="28"/>
              </w:rPr>
              <w:t>Ministru kabineta noteikumu projekts „Grozījumi Ministru kabineta 2013.gada 1.oktobra noteikumos Nr.1029 „Īpaši aiz</w:t>
            </w:r>
            <w:r w:rsidR="009C74D2">
              <w:rPr>
                <w:sz w:val="28"/>
                <w:szCs w:val="28"/>
              </w:rPr>
              <w:t xml:space="preserve">sargājamā kultūras pieminekļa – </w:t>
            </w:r>
            <w:r w:rsidRPr="00E02168">
              <w:rPr>
                <w:sz w:val="28"/>
                <w:szCs w:val="28"/>
              </w:rPr>
              <w:t>Turaidas muzejrezervāta – publisko pakalpojumu cenrādis” (turpmāk – Projekts) izstrādāts saskaņā ar Likuma par budžetu un finanšu vadību 5.panta devīto daļu, kas nosaka, ka Ministru kabinets izdod noteikumus par valsts tiešās pārvaldes iestāžu sniegto maksas pakalpojumu cenrāžu apstiprināšanu.</w:t>
            </w:r>
          </w:p>
        </w:tc>
      </w:tr>
      <w:tr w:rsidR="00805F81" w:rsidRPr="00E02168" w:rsidTr="00B638DD">
        <w:tc>
          <w:tcPr>
            <w:tcW w:w="399"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pStyle w:val="naiskr"/>
              <w:spacing w:before="0" w:after="0"/>
              <w:jc w:val="center"/>
              <w:rPr>
                <w:sz w:val="28"/>
                <w:szCs w:val="28"/>
              </w:rPr>
            </w:pPr>
            <w:r w:rsidRPr="00E02168">
              <w:rPr>
                <w:sz w:val="28"/>
                <w:szCs w:val="28"/>
              </w:rPr>
              <w:t>2.</w:t>
            </w:r>
          </w:p>
        </w:tc>
        <w:tc>
          <w:tcPr>
            <w:tcW w:w="1720" w:type="pct"/>
            <w:tcBorders>
              <w:top w:val="outset" w:sz="6" w:space="0" w:color="auto"/>
              <w:left w:val="outset" w:sz="6" w:space="0" w:color="auto"/>
              <w:bottom w:val="outset" w:sz="6" w:space="0" w:color="auto"/>
              <w:right w:val="outset" w:sz="6" w:space="0" w:color="auto"/>
            </w:tcBorders>
          </w:tcPr>
          <w:p w:rsidR="00805F81" w:rsidRPr="00E02168" w:rsidRDefault="00805F81" w:rsidP="00376606">
            <w:pPr>
              <w:rPr>
                <w:rFonts w:ascii="Times New Roman" w:hAnsi="Times New Roman" w:cs="Times New Roman"/>
                <w:sz w:val="28"/>
                <w:szCs w:val="28"/>
              </w:rPr>
            </w:pPr>
            <w:r w:rsidRPr="00E02168">
              <w:rPr>
                <w:rFonts w:ascii="Times New Roman" w:hAnsi="Times New Roman" w:cs="Times New Roman"/>
                <w:sz w:val="28"/>
                <w:szCs w:val="28"/>
              </w:rPr>
              <w:t>Pašreizējā situācija un problēmas, kuru risināšanai tiesību akta projekts izstrādāts, tiesiskā regulējuma mērķis un būtība</w:t>
            </w:r>
          </w:p>
        </w:tc>
        <w:tc>
          <w:tcPr>
            <w:tcW w:w="2881" w:type="pct"/>
          </w:tcPr>
          <w:p w:rsidR="003E5B18" w:rsidRPr="00E02168" w:rsidRDefault="0093250A" w:rsidP="00B638DD">
            <w:pPr>
              <w:tabs>
                <w:tab w:val="left" w:pos="5136"/>
                <w:tab w:val="left" w:pos="8931"/>
              </w:tabs>
              <w:ind w:right="42"/>
              <w:jc w:val="both"/>
              <w:rPr>
                <w:rFonts w:ascii="Times New Roman" w:hAnsi="Times New Roman" w:cs="Times New Roman"/>
                <w:sz w:val="28"/>
                <w:szCs w:val="28"/>
              </w:rPr>
            </w:pPr>
            <w:r>
              <w:rPr>
                <w:rFonts w:ascii="Times New Roman" w:hAnsi="Times New Roman" w:cs="Times New Roman"/>
                <w:bCs/>
                <w:sz w:val="28"/>
                <w:szCs w:val="28"/>
              </w:rPr>
              <w:t xml:space="preserve">         </w:t>
            </w:r>
            <w:r w:rsidR="003E5B18" w:rsidRPr="00E02168">
              <w:rPr>
                <w:rFonts w:ascii="Times New Roman" w:hAnsi="Times New Roman" w:cs="Times New Roman"/>
                <w:bCs/>
                <w:sz w:val="28"/>
                <w:szCs w:val="28"/>
              </w:rPr>
              <w:t xml:space="preserve">Šobrīd </w:t>
            </w:r>
            <w:r w:rsidR="00B54B81" w:rsidRPr="00E02168">
              <w:rPr>
                <w:rFonts w:ascii="Times New Roman" w:hAnsi="Times New Roman" w:cs="Times New Roman"/>
                <w:sz w:val="28"/>
                <w:szCs w:val="28"/>
              </w:rPr>
              <w:t>Īpaši aizsa</w:t>
            </w:r>
            <w:r w:rsidR="009C74D2">
              <w:rPr>
                <w:rFonts w:ascii="Times New Roman" w:hAnsi="Times New Roman" w:cs="Times New Roman"/>
                <w:sz w:val="28"/>
                <w:szCs w:val="28"/>
              </w:rPr>
              <w:t xml:space="preserve">rgājamais kultūras piemineklis – </w:t>
            </w:r>
            <w:r w:rsidR="00B54B81" w:rsidRPr="00E02168">
              <w:rPr>
                <w:rFonts w:ascii="Times New Roman" w:hAnsi="Times New Roman" w:cs="Times New Roman"/>
                <w:sz w:val="28"/>
                <w:szCs w:val="28"/>
              </w:rPr>
              <w:t xml:space="preserve">Turaidas muzejrezervāts (turpmāk – </w:t>
            </w:r>
            <w:r w:rsidR="003E5B18" w:rsidRPr="00E02168">
              <w:rPr>
                <w:rFonts w:ascii="Times New Roman" w:hAnsi="Times New Roman" w:cs="Times New Roman"/>
                <w:bCs/>
                <w:sz w:val="28"/>
                <w:szCs w:val="28"/>
              </w:rPr>
              <w:t>muzejs</w:t>
            </w:r>
            <w:r w:rsidR="00B54B81" w:rsidRPr="00E02168">
              <w:rPr>
                <w:rFonts w:ascii="Times New Roman" w:hAnsi="Times New Roman" w:cs="Times New Roman"/>
                <w:bCs/>
                <w:sz w:val="28"/>
                <w:szCs w:val="28"/>
              </w:rPr>
              <w:t>)</w:t>
            </w:r>
            <w:r w:rsidR="003E5B18" w:rsidRPr="00E02168">
              <w:rPr>
                <w:rFonts w:ascii="Times New Roman" w:hAnsi="Times New Roman" w:cs="Times New Roman"/>
                <w:sz w:val="28"/>
                <w:szCs w:val="28"/>
              </w:rPr>
              <w:t xml:space="preserve"> nodrošina maksas pakalpojumus atbilstoši Ministru kabineta 2013.gada 1.oktobra noteikumiem Nr.1029 „Īpaši ai</w:t>
            </w:r>
            <w:r w:rsidR="009C74D2">
              <w:rPr>
                <w:rFonts w:ascii="Times New Roman" w:hAnsi="Times New Roman" w:cs="Times New Roman"/>
                <w:sz w:val="28"/>
                <w:szCs w:val="28"/>
              </w:rPr>
              <w:t>zsargājamā kultūras pieminekļa –</w:t>
            </w:r>
            <w:r w:rsidR="003E5B18" w:rsidRPr="00E02168">
              <w:rPr>
                <w:rFonts w:ascii="Times New Roman" w:hAnsi="Times New Roman" w:cs="Times New Roman"/>
                <w:sz w:val="28"/>
                <w:szCs w:val="28"/>
              </w:rPr>
              <w:t xml:space="preserve"> Turaidas muzejrezervāta – </w:t>
            </w:r>
            <w:r w:rsidR="00B54B81" w:rsidRPr="00E02168">
              <w:rPr>
                <w:rFonts w:ascii="Times New Roman" w:hAnsi="Times New Roman" w:cs="Times New Roman"/>
                <w:sz w:val="28"/>
                <w:szCs w:val="28"/>
              </w:rPr>
              <w:t>publisko pakalpojumu cenrādis”</w:t>
            </w:r>
            <w:r w:rsidR="002C0D48">
              <w:rPr>
                <w:rFonts w:ascii="Times New Roman" w:hAnsi="Times New Roman" w:cs="Times New Roman"/>
                <w:sz w:val="28"/>
                <w:szCs w:val="28"/>
              </w:rPr>
              <w:t xml:space="preserve"> (turpmāk – MK noteikumi Nr.1029)</w:t>
            </w:r>
            <w:r w:rsidR="00B54B81" w:rsidRPr="00E02168">
              <w:rPr>
                <w:rFonts w:ascii="Times New Roman" w:hAnsi="Times New Roman" w:cs="Times New Roman"/>
                <w:sz w:val="28"/>
                <w:szCs w:val="28"/>
              </w:rPr>
              <w:t>.</w:t>
            </w:r>
          </w:p>
          <w:p w:rsidR="003E5B18" w:rsidRPr="00E02168" w:rsidRDefault="003E5B18" w:rsidP="00B638DD">
            <w:pPr>
              <w:tabs>
                <w:tab w:val="left" w:pos="5136"/>
                <w:tab w:val="left" w:pos="8931"/>
              </w:tabs>
              <w:ind w:right="42" w:firstLine="720"/>
              <w:jc w:val="both"/>
              <w:rPr>
                <w:rFonts w:ascii="Times New Roman" w:hAnsi="Times New Roman" w:cs="Times New Roman"/>
                <w:sz w:val="28"/>
                <w:szCs w:val="28"/>
              </w:rPr>
            </w:pPr>
            <w:r w:rsidRPr="00E02168">
              <w:rPr>
                <w:rFonts w:ascii="Times New Roman" w:hAnsi="Times New Roman" w:cs="Times New Roman"/>
                <w:sz w:val="28"/>
                <w:szCs w:val="28"/>
              </w:rPr>
              <w:t>Muzejs apmeklētājiem ir atvērts visu gadu katru dienu, atbilstoši noteiktajam darba laikam vasaras un ziemas sezonā</w:t>
            </w:r>
            <w:r w:rsidRPr="00E02168">
              <w:rPr>
                <w:rFonts w:ascii="Times New Roman" w:eastAsia="Times New Roman" w:hAnsi="Times New Roman" w:cs="Times New Roman"/>
                <w:sz w:val="28"/>
                <w:szCs w:val="28"/>
                <w:lang w:eastAsia="lv-LV"/>
              </w:rPr>
              <w:t>, veicot pētniecības, krājuma, izglītojošo un apmeklētāju apkalpošanas darbu, ēku – pieminekļu saglabāšanu un kultūrvides sakopšanu.</w:t>
            </w:r>
            <w:r w:rsidR="006F75AA">
              <w:rPr>
                <w:rFonts w:ascii="Times New Roman" w:hAnsi="Times New Roman" w:cs="Times New Roman"/>
                <w:sz w:val="28"/>
                <w:szCs w:val="28"/>
              </w:rPr>
              <w:t xml:space="preserve"> </w:t>
            </w:r>
            <w:r w:rsidRPr="00E02168">
              <w:rPr>
                <w:rFonts w:ascii="Times New Roman" w:hAnsi="Times New Roman" w:cs="Times New Roman"/>
                <w:sz w:val="28"/>
                <w:szCs w:val="28"/>
              </w:rPr>
              <w:t>Pēdējos trīs gados muzej</w:t>
            </w:r>
            <w:r w:rsidR="00FC55A4">
              <w:rPr>
                <w:rFonts w:ascii="Times New Roman" w:hAnsi="Times New Roman" w:cs="Times New Roman"/>
                <w:sz w:val="28"/>
                <w:szCs w:val="28"/>
              </w:rPr>
              <w:t>a</w:t>
            </w:r>
            <w:r w:rsidR="00FA7FE9">
              <w:rPr>
                <w:rFonts w:ascii="Times New Roman" w:hAnsi="Times New Roman" w:cs="Times New Roman"/>
                <w:sz w:val="28"/>
                <w:szCs w:val="28"/>
              </w:rPr>
              <w:t xml:space="preserve"> apmeklējumu</w:t>
            </w:r>
            <w:r w:rsidRPr="00E02168">
              <w:rPr>
                <w:rFonts w:ascii="Times New Roman" w:hAnsi="Times New Roman" w:cs="Times New Roman"/>
                <w:sz w:val="28"/>
                <w:szCs w:val="28"/>
              </w:rPr>
              <w:t xml:space="preserve"> skaits ir pieaudzis no 220</w:t>
            </w:r>
            <w:r w:rsidR="00EC7D68" w:rsidRPr="00E02168">
              <w:rPr>
                <w:rFonts w:ascii="Times New Roman" w:hAnsi="Times New Roman" w:cs="Times New Roman"/>
                <w:sz w:val="28"/>
                <w:szCs w:val="28"/>
              </w:rPr>
              <w:t xml:space="preserve"> </w:t>
            </w:r>
            <w:r w:rsidR="00E74C10">
              <w:rPr>
                <w:rFonts w:ascii="Times New Roman" w:hAnsi="Times New Roman" w:cs="Times New Roman"/>
                <w:sz w:val="28"/>
                <w:szCs w:val="28"/>
              </w:rPr>
              <w:t>000 līdz 258</w:t>
            </w:r>
            <w:r w:rsidR="00FA7FE9">
              <w:rPr>
                <w:rFonts w:ascii="Times New Roman" w:hAnsi="Times New Roman" w:cs="Times New Roman"/>
                <w:sz w:val="28"/>
                <w:szCs w:val="28"/>
              </w:rPr>
              <w:t xml:space="preserve"> 000 apmeklējumiem gadā. Apmeklētāji</w:t>
            </w:r>
            <w:r w:rsidRPr="00E02168">
              <w:rPr>
                <w:rFonts w:ascii="Times New Roman" w:hAnsi="Times New Roman" w:cs="Times New Roman"/>
                <w:sz w:val="28"/>
                <w:szCs w:val="28"/>
              </w:rPr>
              <w:t xml:space="preserve"> galvenokārt ierodas aktīvā tūrisma sezonā, t.i., vasaras sezonā no 1.maija līdz 31.oktobrim. Līdz ar aktīvā</w:t>
            </w:r>
            <w:r w:rsidR="0000394F">
              <w:rPr>
                <w:rFonts w:ascii="Times New Roman" w:hAnsi="Times New Roman" w:cs="Times New Roman"/>
                <w:sz w:val="28"/>
                <w:szCs w:val="28"/>
              </w:rPr>
              <w:t>s</w:t>
            </w:r>
            <w:r w:rsidRPr="00E02168">
              <w:rPr>
                <w:rFonts w:ascii="Times New Roman" w:hAnsi="Times New Roman" w:cs="Times New Roman"/>
                <w:sz w:val="28"/>
                <w:szCs w:val="28"/>
              </w:rPr>
              <w:t xml:space="preserve"> tūrisma sezonas beigām apmeklētāju skaits un muzeja publisko maksas pakalpojumu pieprasījums samazinās. Laikā no </w:t>
            </w:r>
            <w:r w:rsidRPr="00E02168">
              <w:rPr>
                <w:rFonts w:ascii="Times New Roman" w:hAnsi="Times New Roman" w:cs="Times New Roman"/>
                <w:sz w:val="28"/>
                <w:szCs w:val="28"/>
              </w:rPr>
              <w:lastRenderedPageBreak/>
              <w:t>1.novembra līdz 30.aprīlim ir noteikts muzeja ziemas piedāvājums, kas apjoma un daudzveidības ziņā ir atbilstoši mazāks nekā vasaras sezonā. Līdz ar to muzeja sniegto publisko maksas pakalpojumu izcenojums noteikts proporcionāli muzeja ziemas piedāvājumam.</w:t>
            </w:r>
          </w:p>
          <w:p w:rsidR="00D57C89" w:rsidRDefault="00D57C89" w:rsidP="00B638DD">
            <w:pPr>
              <w:pStyle w:val="ParastaisWeb"/>
              <w:tabs>
                <w:tab w:val="left" w:pos="5136"/>
              </w:tabs>
              <w:spacing w:before="0" w:beforeAutospacing="0" w:after="0" w:afterAutospacing="0"/>
              <w:ind w:firstLine="714"/>
              <w:jc w:val="both"/>
              <w:rPr>
                <w:sz w:val="28"/>
                <w:szCs w:val="28"/>
              </w:rPr>
            </w:pPr>
            <w:r>
              <w:rPr>
                <w:sz w:val="28"/>
                <w:szCs w:val="28"/>
              </w:rPr>
              <w:t>Ņemot vērā, ka ar 2014.gada 1.janvāri Latvijā tika</w:t>
            </w:r>
            <w:r w:rsidRPr="00937100">
              <w:rPr>
                <w:sz w:val="28"/>
                <w:szCs w:val="28"/>
              </w:rPr>
              <w:t xml:space="preserve"> ieviest</w:t>
            </w:r>
            <w:r>
              <w:rPr>
                <w:sz w:val="28"/>
                <w:szCs w:val="28"/>
              </w:rPr>
              <w:t>s</w:t>
            </w:r>
            <w:r w:rsidRPr="00937100">
              <w:rPr>
                <w:sz w:val="28"/>
                <w:szCs w:val="28"/>
              </w:rPr>
              <w:t xml:space="preserve"> </w:t>
            </w:r>
            <w:r w:rsidRPr="00937100">
              <w:rPr>
                <w:i/>
                <w:sz w:val="28"/>
                <w:szCs w:val="28"/>
              </w:rPr>
              <w:t>euro</w:t>
            </w:r>
            <w:r w:rsidRPr="00937100">
              <w:rPr>
                <w:sz w:val="28"/>
                <w:szCs w:val="28"/>
              </w:rPr>
              <w:t xml:space="preserve">, </w:t>
            </w:r>
            <w:r w:rsidRPr="00C345F2">
              <w:rPr>
                <w:sz w:val="28"/>
                <w:szCs w:val="28"/>
              </w:rPr>
              <w:t xml:space="preserve">atbilstoši </w:t>
            </w:r>
            <w:r w:rsidRPr="00C345F2">
              <w:rPr>
                <w:i/>
                <w:color w:val="000000"/>
                <w:sz w:val="28"/>
                <w:szCs w:val="28"/>
              </w:rPr>
              <w:t xml:space="preserve">Euro </w:t>
            </w:r>
            <w:r w:rsidRPr="00C345F2">
              <w:rPr>
                <w:color w:val="000000"/>
                <w:sz w:val="28"/>
                <w:szCs w:val="28"/>
              </w:rPr>
              <w:t xml:space="preserve">ieviešanas kārtības likuma </w:t>
            </w:r>
            <w:r>
              <w:rPr>
                <w:color w:val="000000"/>
                <w:sz w:val="28"/>
                <w:szCs w:val="28"/>
              </w:rPr>
              <w:t>6.panta otrajā daļā</w:t>
            </w:r>
            <w:r w:rsidRPr="00C345F2">
              <w:rPr>
                <w:color w:val="000000"/>
                <w:sz w:val="28"/>
                <w:szCs w:val="28"/>
              </w:rPr>
              <w:t xml:space="preserve"> paredzētajiem principiem</w:t>
            </w:r>
            <w:r w:rsidR="00087318">
              <w:rPr>
                <w:color w:val="000000"/>
                <w:sz w:val="28"/>
                <w:szCs w:val="28"/>
              </w:rPr>
              <w:t xml:space="preserve"> muzeja</w:t>
            </w:r>
            <w:r>
              <w:rPr>
                <w:sz w:val="28"/>
                <w:szCs w:val="28"/>
              </w:rPr>
              <w:t xml:space="preserve"> publisko maksas pakalpojumu cenas no </w:t>
            </w:r>
            <w:r w:rsidR="008A7230" w:rsidRPr="008A7230">
              <w:rPr>
                <w:sz w:val="28"/>
                <w:szCs w:val="28"/>
              </w:rPr>
              <w:t>latiem</w:t>
            </w:r>
            <w:r>
              <w:rPr>
                <w:sz w:val="28"/>
                <w:szCs w:val="28"/>
              </w:rPr>
              <w:t xml:space="preserve"> tika </w:t>
            </w:r>
            <w:r w:rsidR="0039309D">
              <w:rPr>
                <w:sz w:val="28"/>
                <w:szCs w:val="28"/>
              </w:rPr>
              <w:t>konvertētas</w:t>
            </w:r>
            <w:r>
              <w:rPr>
                <w:sz w:val="28"/>
                <w:szCs w:val="28"/>
              </w:rPr>
              <w:t xml:space="preserve"> </w:t>
            </w:r>
            <w:r w:rsidRPr="00C44BA9">
              <w:rPr>
                <w:i/>
                <w:sz w:val="28"/>
                <w:szCs w:val="28"/>
              </w:rPr>
              <w:t>euro</w:t>
            </w:r>
            <w:r>
              <w:rPr>
                <w:sz w:val="28"/>
                <w:szCs w:val="28"/>
              </w:rPr>
              <w:t xml:space="preserve"> valūtā, kā rezultātā muzej</w:t>
            </w:r>
            <w:r w:rsidR="0039309D">
              <w:rPr>
                <w:sz w:val="28"/>
                <w:szCs w:val="28"/>
              </w:rPr>
              <w:t>a publisko maksas</w:t>
            </w:r>
            <w:r>
              <w:rPr>
                <w:sz w:val="28"/>
                <w:szCs w:val="28"/>
              </w:rPr>
              <w:t xml:space="preserve"> pakalpojumu cenrādī radās cenas ar sīkiem centiem aiz komata. Tas rada neērtības </w:t>
            </w:r>
            <w:r w:rsidR="0039309D">
              <w:rPr>
                <w:sz w:val="28"/>
                <w:szCs w:val="28"/>
              </w:rPr>
              <w:t xml:space="preserve">muzeja </w:t>
            </w:r>
            <w:r>
              <w:rPr>
                <w:sz w:val="28"/>
                <w:szCs w:val="28"/>
              </w:rPr>
              <w:t>apmeklētājiem, veicot norēķinus par ieejas biļeti muzeja kasē skaidrā naudā. Līdz ar to ir nepieciešams veikt grozījumus MK noteikumos Nr.102</w:t>
            </w:r>
            <w:r w:rsidR="002F53B2">
              <w:rPr>
                <w:sz w:val="28"/>
                <w:szCs w:val="28"/>
              </w:rPr>
              <w:t>9</w:t>
            </w:r>
            <w:r>
              <w:rPr>
                <w:sz w:val="28"/>
                <w:szCs w:val="28"/>
              </w:rPr>
              <w:t>.</w:t>
            </w:r>
          </w:p>
          <w:p w:rsidR="00D368E2" w:rsidRDefault="00D368E2" w:rsidP="00B638DD">
            <w:pPr>
              <w:tabs>
                <w:tab w:val="left" w:pos="5136"/>
                <w:tab w:val="left" w:pos="8931"/>
              </w:tabs>
              <w:ind w:right="42" w:firstLine="601"/>
              <w:jc w:val="both"/>
              <w:rPr>
                <w:rFonts w:ascii="Times New Roman" w:hAnsi="Times New Roman" w:cs="Times New Roman"/>
                <w:sz w:val="28"/>
                <w:szCs w:val="28"/>
              </w:rPr>
            </w:pPr>
            <w:r>
              <w:rPr>
                <w:rFonts w:ascii="Times New Roman" w:hAnsi="Times New Roman" w:cs="Times New Roman"/>
                <w:sz w:val="28"/>
                <w:szCs w:val="28"/>
              </w:rPr>
              <w:t>Muzeja p</w:t>
            </w:r>
            <w:r w:rsidRPr="00E02168">
              <w:rPr>
                <w:rFonts w:ascii="Times New Roman" w:hAnsi="Times New Roman" w:cs="Times New Roman"/>
                <w:sz w:val="28"/>
                <w:szCs w:val="28"/>
              </w:rPr>
              <w:t>ublisko maksas pakalpojumu cen</w:t>
            </w:r>
            <w:r w:rsidR="008E39FD">
              <w:rPr>
                <w:rFonts w:ascii="Times New Roman" w:hAnsi="Times New Roman" w:cs="Times New Roman"/>
                <w:sz w:val="28"/>
                <w:szCs w:val="28"/>
              </w:rPr>
              <w:t>as</w:t>
            </w:r>
            <w:r w:rsidRPr="00E02168">
              <w:rPr>
                <w:rFonts w:ascii="Times New Roman" w:hAnsi="Times New Roman" w:cs="Times New Roman"/>
                <w:sz w:val="28"/>
                <w:szCs w:val="28"/>
              </w:rPr>
              <w:t xml:space="preserve"> nav paaugstināt</w:t>
            </w:r>
            <w:r w:rsidR="008E39FD">
              <w:rPr>
                <w:rFonts w:ascii="Times New Roman" w:hAnsi="Times New Roman" w:cs="Times New Roman"/>
                <w:sz w:val="28"/>
                <w:szCs w:val="28"/>
              </w:rPr>
              <w:t>as</w:t>
            </w:r>
            <w:r w:rsidRPr="00E02168">
              <w:rPr>
                <w:rFonts w:ascii="Times New Roman" w:hAnsi="Times New Roman" w:cs="Times New Roman"/>
                <w:sz w:val="28"/>
                <w:szCs w:val="28"/>
              </w:rPr>
              <w:t xml:space="preserve"> kopš 2012.gada. Šo četru gadu laikā muzej</w:t>
            </w:r>
            <w:r>
              <w:rPr>
                <w:rFonts w:ascii="Times New Roman" w:hAnsi="Times New Roman" w:cs="Times New Roman"/>
                <w:sz w:val="28"/>
                <w:szCs w:val="28"/>
              </w:rPr>
              <w:t>a</w:t>
            </w:r>
            <w:r w:rsidRPr="00E02168">
              <w:rPr>
                <w:rFonts w:ascii="Times New Roman" w:hAnsi="Times New Roman" w:cs="Times New Roman"/>
                <w:sz w:val="28"/>
                <w:szCs w:val="28"/>
              </w:rPr>
              <w:t xml:space="preserve"> piedāvājums apmeklētājiem ir paplašināts ar četrām jaunām ekspozīcijām, kas iekārtotas vēsturisko ēku restaurētajās telpās un nodrošināta to pieejamība. Muzeja krājuma saglabāšanai un ekspozīciju uzraudzības nodrošināšanai ir uzlabot</w:t>
            </w:r>
            <w:r>
              <w:rPr>
                <w:rFonts w:ascii="Times New Roman" w:hAnsi="Times New Roman" w:cs="Times New Roman"/>
                <w:sz w:val="28"/>
                <w:szCs w:val="28"/>
              </w:rPr>
              <w:t>as</w:t>
            </w:r>
            <w:r w:rsidRPr="00E02168">
              <w:rPr>
                <w:rFonts w:ascii="Times New Roman" w:hAnsi="Times New Roman" w:cs="Times New Roman"/>
                <w:sz w:val="28"/>
                <w:szCs w:val="28"/>
              </w:rPr>
              <w:t xml:space="preserve"> un atjaunot</w:t>
            </w:r>
            <w:r>
              <w:rPr>
                <w:rFonts w:ascii="Times New Roman" w:hAnsi="Times New Roman" w:cs="Times New Roman"/>
                <w:sz w:val="28"/>
                <w:szCs w:val="28"/>
              </w:rPr>
              <w:t>as</w:t>
            </w:r>
            <w:r w:rsidRPr="00E02168">
              <w:rPr>
                <w:rFonts w:ascii="Times New Roman" w:hAnsi="Times New Roman" w:cs="Times New Roman"/>
                <w:sz w:val="28"/>
                <w:szCs w:val="28"/>
              </w:rPr>
              <w:t xml:space="preserve"> muzeja tehniskās apsardzes un videonovērošanas sistēmas, kā arī ugunsgrēka trauksmes signalizācijas sistēmas restaurētajās telpās. Ir pieauguši izdevumi, kas saistīti ar mikroklimata uzturēšanu</w:t>
            </w:r>
            <w:r>
              <w:rPr>
                <w:rFonts w:ascii="Times New Roman" w:hAnsi="Times New Roman" w:cs="Times New Roman"/>
                <w:sz w:val="28"/>
                <w:szCs w:val="28"/>
              </w:rPr>
              <w:t xml:space="preserve"> muzeja</w:t>
            </w:r>
            <w:r w:rsidRPr="00E02168">
              <w:rPr>
                <w:rFonts w:ascii="Times New Roman" w:hAnsi="Times New Roman" w:cs="Times New Roman"/>
                <w:sz w:val="28"/>
                <w:szCs w:val="28"/>
              </w:rPr>
              <w:t xml:space="preserve"> krājumā un ekspozīcijās, </w:t>
            </w:r>
            <w:r w:rsidR="008E39FD">
              <w:rPr>
                <w:rFonts w:ascii="Times New Roman" w:hAnsi="Times New Roman" w:cs="Times New Roman"/>
                <w:sz w:val="28"/>
                <w:szCs w:val="28"/>
              </w:rPr>
              <w:t xml:space="preserve">kā arī </w:t>
            </w:r>
            <w:r w:rsidRPr="00E02168">
              <w:rPr>
                <w:rFonts w:ascii="Times New Roman" w:hAnsi="Times New Roman" w:cs="Times New Roman"/>
                <w:sz w:val="28"/>
                <w:szCs w:val="28"/>
              </w:rPr>
              <w:t>ar muzeja apmeklētāju apkalpošanas un infrastruktūras pilnveidošanu.</w:t>
            </w:r>
          </w:p>
          <w:p w:rsidR="00B638DD" w:rsidRDefault="00D57C89" w:rsidP="00B638DD">
            <w:pPr>
              <w:tabs>
                <w:tab w:val="left" w:pos="5136"/>
              </w:tabs>
              <w:ind w:firstLine="720"/>
              <w:jc w:val="both"/>
              <w:rPr>
                <w:rFonts w:ascii="Times New Roman" w:hAnsi="Times New Roman" w:cs="Times New Roman"/>
                <w:sz w:val="28"/>
                <w:szCs w:val="28"/>
              </w:rPr>
            </w:pPr>
            <w:r>
              <w:rPr>
                <w:rFonts w:ascii="Times New Roman" w:hAnsi="Times New Roman" w:cs="Times New Roman"/>
                <w:sz w:val="28"/>
                <w:szCs w:val="28"/>
              </w:rPr>
              <w:t>P</w:t>
            </w:r>
            <w:r w:rsidR="009C421C" w:rsidRPr="00E02168">
              <w:rPr>
                <w:rFonts w:ascii="Times New Roman" w:hAnsi="Times New Roman" w:cs="Times New Roman"/>
                <w:sz w:val="28"/>
                <w:szCs w:val="28"/>
              </w:rPr>
              <w:t xml:space="preserve">rojekta </w:t>
            </w:r>
            <w:r w:rsidR="00B67DAE">
              <w:rPr>
                <w:rFonts w:ascii="Times New Roman" w:hAnsi="Times New Roman" w:cs="Times New Roman"/>
                <w:sz w:val="28"/>
                <w:szCs w:val="28"/>
              </w:rPr>
              <w:t>9</w:t>
            </w:r>
            <w:r w:rsidR="009C421C" w:rsidRPr="00E02168">
              <w:rPr>
                <w:rFonts w:ascii="Times New Roman" w:hAnsi="Times New Roman" w:cs="Times New Roman"/>
                <w:sz w:val="28"/>
                <w:szCs w:val="28"/>
              </w:rPr>
              <w:t>.</w:t>
            </w:r>
            <w:r w:rsidR="009C421C">
              <w:rPr>
                <w:rFonts w:ascii="Times New Roman" w:hAnsi="Times New Roman" w:cs="Times New Roman"/>
                <w:sz w:val="28"/>
                <w:szCs w:val="28"/>
              </w:rPr>
              <w:t xml:space="preserve">, </w:t>
            </w:r>
            <w:r w:rsidR="00B67DAE">
              <w:rPr>
                <w:rFonts w:ascii="Times New Roman" w:hAnsi="Times New Roman" w:cs="Times New Roman"/>
                <w:sz w:val="28"/>
                <w:szCs w:val="28"/>
              </w:rPr>
              <w:t>10</w:t>
            </w:r>
            <w:r w:rsidR="00AA1257">
              <w:rPr>
                <w:rFonts w:ascii="Times New Roman" w:hAnsi="Times New Roman" w:cs="Times New Roman"/>
                <w:sz w:val="28"/>
                <w:szCs w:val="28"/>
              </w:rPr>
              <w:t>., 1</w:t>
            </w:r>
            <w:r w:rsidR="00B67DAE">
              <w:rPr>
                <w:rFonts w:ascii="Times New Roman" w:hAnsi="Times New Roman" w:cs="Times New Roman"/>
                <w:sz w:val="28"/>
                <w:szCs w:val="28"/>
              </w:rPr>
              <w:t>2</w:t>
            </w:r>
            <w:r w:rsidR="009C421C">
              <w:rPr>
                <w:rFonts w:ascii="Times New Roman" w:hAnsi="Times New Roman" w:cs="Times New Roman"/>
                <w:sz w:val="28"/>
                <w:szCs w:val="28"/>
              </w:rPr>
              <w:t>.</w:t>
            </w:r>
            <w:r w:rsidR="00DD3050">
              <w:rPr>
                <w:rFonts w:ascii="Times New Roman" w:hAnsi="Times New Roman" w:cs="Times New Roman"/>
                <w:sz w:val="28"/>
                <w:szCs w:val="28"/>
              </w:rPr>
              <w:t>,</w:t>
            </w:r>
            <w:r w:rsidR="009C421C">
              <w:rPr>
                <w:rFonts w:ascii="Times New Roman" w:hAnsi="Times New Roman" w:cs="Times New Roman"/>
                <w:sz w:val="28"/>
                <w:szCs w:val="28"/>
              </w:rPr>
              <w:t xml:space="preserve"> 1</w:t>
            </w:r>
            <w:r w:rsidR="00B67DAE">
              <w:rPr>
                <w:rFonts w:ascii="Times New Roman" w:hAnsi="Times New Roman" w:cs="Times New Roman"/>
                <w:sz w:val="28"/>
                <w:szCs w:val="28"/>
              </w:rPr>
              <w:t>4</w:t>
            </w:r>
            <w:r w:rsidR="009C421C">
              <w:rPr>
                <w:rFonts w:ascii="Times New Roman" w:hAnsi="Times New Roman" w:cs="Times New Roman"/>
                <w:sz w:val="28"/>
                <w:szCs w:val="28"/>
              </w:rPr>
              <w:t>.</w:t>
            </w:r>
            <w:r w:rsidR="00AA1257">
              <w:rPr>
                <w:rFonts w:ascii="Times New Roman" w:hAnsi="Times New Roman" w:cs="Times New Roman"/>
                <w:sz w:val="28"/>
                <w:szCs w:val="28"/>
              </w:rPr>
              <w:t xml:space="preserve"> un 1</w:t>
            </w:r>
            <w:r w:rsidR="00B67DAE">
              <w:rPr>
                <w:rFonts w:ascii="Times New Roman" w:hAnsi="Times New Roman" w:cs="Times New Roman"/>
                <w:sz w:val="28"/>
                <w:szCs w:val="28"/>
              </w:rPr>
              <w:t>5</w:t>
            </w:r>
            <w:r w:rsidR="00DD3050">
              <w:rPr>
                <w:rFonts w:ascii="Times New Roman" w:hAnsi="Times New Roman" w:cs="Times New Roman"/>
                <w:sz w:val="28"/>
                <w:szCs w:val="28"/>
              </w:rPr>
              <w:t>.</w:t>
            </w:r>
            <w:r w:rsidR="009C421C" w:rsidRPr="00E02168">
              <w:rPr>
                <w:rFonts w:ascii="Times New Roman" w:hAnsi="Times New Roman" w:cs="Times New Roman"/>
                <w:sz w:val="28"/>
                <w:szCs w:val="28"/>
              </w:rPr>
              <w:t xml:space="preserve">punkts paredz atsevišķu muzeja sniegto publisko maksas </w:t>
            </w:r>
            <w:r w:rsidR="00C838F3">
              <w:rPr>
                <w:rFonts w:ascii="Times New Roman" w:hAnsi="Times New Roman" w:cs="Times New Roman"/>
                <w:sz w:val="28"/>
                <w:szCs w:val="28"/>
              </w:rPr>
              <w:t>pakalpojumu izcenojuma izmaiņas</w:t>
            </w:r>
            <w:r w:rsidR="009C421C" w:rsidRPr="00E02168">
              <w:rPr>
                <w:rFonts w:ascii="Times New Roman" w:hAnsi="Times New Roman" w:cs="Times New Roman"/>
                <w:sz w:val="28"/>
                <w:szCs w:val="28"/>
              </w:rPr>
              <w:t xml:space="preserve">, </w:t>
            </w:r>
            <w:r w:rsidR="009C421C" w:rsidRPr="00E02168">
              <w:rPr>
                <w:rFonts w:ascii="Times New Roman" w:hAnsi="Times New Roman" w:cs="Times New Roman"/>
                <w:bCs/>
                <w:sz w:val="28"/>
                <w:szCs w:val="28"/>
              </w:rPr>
              <w:t>ievērojot principu, ka maksa par muzeja publisko pakalpojumu nedrīkst pārsni</w:t>
            </w:r>
            <w:bookmarkStart w:id="2" w:name="_GoBack"/>
            <w:bookmarkEnd w:id="2"/>
            <w:r w:rsidR="009C421C" w:rsidRPr="00E02168">
              <w:rPr>
                <w:rFonts w:ascii="Times New Roman" w:hAnsi="Times New Roman" w:cs="Times New Roman"/>
                <w:bCs/>
                <w:sz w:val="28"/>
                <w:szCs w:val="28"/>
              </w:rPr>
              <w:t xml:space="preserve">egt muzeja funkciju veikšanai nepieciešamo </w:t>
            </w:r>
            <w:r w:rsidR="009C421C" w:rsidRPr="00E02168">
              <w:rPr>
                <w:rFonts w:ascii="Times New Roman" w:hAnsi="Times New Roman" w:cs="Times New Roman"/>
                <w:bCs/>
                <w:sz w:val="28"/>
                <w:szCs w:val="28"/>
              </w:rPr>
              <w:lastRenderedPageBreak/>
              <w:t>izdevumu apjomu. Atbilstoši minētajam,</w:t>
            </w:r>
            <w:r w:rsidR="00C838F3">
              <w:rPr>
                <w:rFonts w:ascii="Times New Roman" w:hAnsi="Times New Roman" w:cs="Times New Roman"/>
                <w:bCs/>
                <w:sz w:val="28"/>
                <w:szCs w:val="28"/>
              </w:rPr>
              <w:t xml:space="preserve"> </w:t>
            </w:r>
            <w:r w:rsidR="009C421C" w:rsidRPr="00261ADA">
              <w:rPr>
                <w:rFonts w:ascii="Times New Roman" w:eastAsia="Times New Roman" w:hAnsi="Times New Roman" w:cs="Times New Roman"/>
                <w:sz w:val="28"/>
                <w:szCs w:val="28"/>
                <w:lang w:eastAsia="lv-LV"/>
              </w:rPr>
              <w:t>cenas par pakalpojumiem saistībā ar muzeja pamatekspozīciju, izstāžu un teritorijas apmeklējumu, netiek būtiski paaugstinātas, bet noapaļotas/izlīdzinātas</w:t>
            </w:r>
            <w:r w:rsidR="009C421C">
              <w:rPr>
                <w:rFonts w:ascii="Times New Roman" w:eastAsia="Times New Roman" w:hAnsi="Times New Roman" w:cs="Times New Roman"/>
                <w:sz w:val="28"/>
                <w:szCs w:val="28"/>
                <w:lang w:eastAsia="lv-LV"/>
              </w:rPr>
              <w:t xml:space="preserve"> līdz apaļiem skaitļiem.</w:t>
            </w:r>
            <w:r w:rsidR="009C421C">
              <w:rPr>
                <w:rFonts w:ascii="Times New Roman" w:hAnsi="Times New Roman" w:cs="Times New Roman"/>
                <w:bCs/>
                <w:sz w:val="28"/>
                <w:szCs w:val="28"/>
              </w:rPr>
              <w:t xml:space="preserve"> Pamatojoties uz minēto, </w:t>
            </w:r>
            <w:r w:rsidR="009C421C">
              <w:rPr>
                <w:rFonts w:ascii="Times New Roman" w:hAnsi="Times New Roman" w:cs="Times New Roman"/>
                <w:sz w:val="28"/>
                <w:szCs w:val="28"/>
              </w:rPr>
              <w:t>ieejas maksa četrām</w:t>
            </w:r>
            <w:r w:rsidR="009C421C" w:rsidRPr="00E02168">
              <w:rPr>
                <w:rFonts w:ascii="Times New Roman" w:hAnsi="Times New Roman" w:cs="Times New Roman"/>
                <w:sz w:val="28"/>
                <w:szCs w:val="28"/>
              </w:rPr>
              <w:t xml:space="preserve"> apmeklētāju mērķgrupām</w:t>
            </w:r>
            <w:r w:rsidR="009C421C">
              <w:rPr>
                <w:rFonts w:ascii="Times New Roman" w:hAnsi="Times New Roman" w:cs="Times New Roman"/>
                <w:sz w:val="28"/>
                <w:szCs w:val="28"/>
              </w:rPr>
              <w:t>: pieaugušajiem, pensionāriem, pilna laika studentiem un skolēniem (</w:t>
            </w:r>
            <w:r w:rsidR="00AE4ACD">
              <w:rPr>
                <w:rFonts w:ascii="Times New Roman" w:hAnsi="Times New Roman" w:cs="Times New Roman"/>
                <w:sz w:val="28"/>
                <w:szCs w:val="28"/>
              </w:rPr>
              <w:t>cenrāža</w:t>
            </w:r>
            <w:r w:rsidR="009C421C">
              <w:rPr>
                <w:rFonts w:ascii="Times New Roman" w:hAnsi="Times New Roman" w:cs="Times New Roman"/>
                <w:sz w:val="28"/>
                <w:szCs w:val="28"/>
              </w:rPr>
              <w:t xml:space="preserve"> 1.1., 1.2., 1.3., 1.4. apakšpunkts) </w:t>
            </w:r>
            <w:r w:rsidR="009C421C" w:rsidRPr="00E02168">
              <w:rPr>
                <w:rFonts w:ascii="Times New Roman" w:hAnsi="Times New Roman" w:cs="Times New Roman"/>
                <w:sz w:val="28"/>
                <w:szCs w:val="28"/>
              </w:rPr>
              <w:t>v</w:t>
            </w:r>
            <w:r w:rsidR="009C421C">
              <w:rPr>
                <w:rFonts w:ascii="Times New Roman" w:hAnsi="Times New Roman" w:cs="Times New Roman"/>
                <w:sz w:val="28"/>
                <w:szCs w:val="28"/>
              </w:rPr>
              <w:t>idēji tiek paaugstināta par 1,6 %. L</w:t>
            </w:r>
            <w:r w:rsidR="009C421C" w:rsidRPr="00EE00C1">
              <w:rPr>
                <w:rFonts w:ascii="Times New Roman" w:hAnsi="Times New Roman" w:cs="Times New Roman"/>
                <w:sz w:val="28"/>
                <w:szCs w:val="28"/>
              </w:rPr>
              <w:t xml:space="preserve">ai sekmētu </w:t>
            </w:r>
            <w:r w:rsidR="00C838F3">
              <w:rPr>
                <w:rFonts w:ascii="Times New Roman" w:hAnsi="Times New Roman" w:cs="Times New Roman"/>
                <w:sz w:val="28"/>
                <w:szCs w:val="28"/>
              </w:rPr>
              <w:t>muzeja pakalpojumu pieejamību</w:t>
            </w:r>
            <w:r w:rsidR="009C421C">
              <w:rPr>
                <w:rFonts w:ascii="Times New Roman" w:hAnsi="Times New Roman" w:cs="Times New Roman"/>
                <w:sz w:val="28"/>
                <w:szCs w:val="28"/>
              </w:rPr>
              <w:t xml:space="preserve"> personām ar III </w:t>
            </w:r>
            <w:r w:rsidR="00AE4ACD">
              <w:rPr>
                <w:rFonts w:ascii="Times New Roman" w:hAnsi="Times New Roman" w:cs="Times New Roman"/>
                <w:sz w:val="28"/>
                <w:szCs w:val="28"/>
              </w:rPr>
              <w:t>grupas invaliditāti (</w:t>
            </w:r>
            <w:r w:rsidR="00AB2F8E">
              <w:rPr>
                <w:rFonts w:ascii="Times New Roman" w:hAnsi="Times New Roman" w:cs="Times New Roman"/>
                <w:sz w:val="28"/>
                <w:szCs w:val="28"/>
              </w:rPr>
              <w:t>cenrāža</w:t>
            </w:r>
            <w:r w:rsidR="009C421C">
              <w:rPr>
                <w:rFonts w:ascii="Times New Roman" w:hAnsi="Times New Roman" w:cs="Times New Roman"/>
                <w:sz w:val="28"/>
                <w:szCs w:val="28"/>
              </w:rPr>
              <w:t xml:space="preserve"> 1.5.apakšpunkts)</w:t>
            </w:r>
            <w:r w:rsidR="00C838F3">
              <w:rPr>
                <w:rFonts w:ascii="Times New Roman" w:hAnsi="Times New Roman" w:cs="Times New Roman"/>
                <w:sz w:val="28"/>
                <w:szCs w:val="28"/>
              </w:rPr>
              <w:t>,</w:t>
            </w:r>
            <w:r w:rsidR="009C421C">
              <w:rPr>
                <w:rFonts w:ascii="Times New Roman" w:hAnsi="Times New Roman" w:cs="Times New Roman"/>
                <w:sz w:val="28"/>
                <w:szCs w:val="28"/>
              </w:rPr>
              <w:t xml:space="preserve"> </w:t>
            </w:r>
            <w:r w:rsidR="009C421C" w:rsidRPr="00EE00C1">
              <w:rPr>
                <w:rFonts w:ascii="Times New Roman" w:hAnsi="Times New Roman" w:cs="Times New Roman"/>
                <w:sz w:val="28"/>
                <w:szCs w:val="28"/>
              </w:rPr>
              <w:t>Projektā ir noteikta pazemināta maksa</w:t>
            </w:r>
            <w:r w:rsidR="009C421C" w:rsidRPr="0057544C">
              <w:rPr>
                <w:rFonts w:ascii="Times New Roman" w:hAnsi="Times New Roman" w:cs="Times New Roman"/>
                <w:sz w:val="28"/>
                <w:szCs w:val="28"/>
              </w:rPr>
              <w:t>, ievērojot pakalpojuma saņēmēju piederību noteiktai sabiedrības grupai.</w:t>
            </w:r>
          </w:p>
          <w:p w:rsidR="009C421C" w:rsidRPr="0057544C" w:rsidRDefault="004F4303" w:rsidP="00B638DD">
            <w:pPr>
              <w:tabs>
                <w:tab w:val="left" w:pos="5136"/>
              </w:tabs>
              <w:ind w:firstLine="536"/>
              <w:jc w:val="both"/>
              <w:rPr>
                <w:rFonts w:ascii="Times New Roman" w:eastAsia="Times New Roman" w:hAnsi="Times New Roman" w:cs="Times New Roman"/>
                <w:sz w:val="28"/>
                <w:szCs w:val="28"/>
                <w:lang w:eastAsia="lv-LV"/>
              </w:rPr>
            </w:pPr>
            <w:r w:rsidRPr="00B638DD">
              <w:rPr>
                <w:rFonts w:ascii="Times New Roman" w:hAnsi="Times New Roman" w:cs="Times New Roman"/>
                <w:sz w:val="28"/>
                <w:szCs w:val="28"/>
              </w:rPr>
              <w:t xml:space="preserve">Vienlaikus </w:t>
            </w:r>
            <w:r w:rsidR="00196744" w:rsidRPr="00B638DD">
              <w:rPr>
                <w:rFonts w:ascii="Times New Roman" w:hAnsi="Times New Roman" w:cs="Times New Roman"/>
                <w:sz w:val="28"/>
                <w:szCs w:val="28"/>
              </w:rPr>
              <w:t xml:space="preserve">MK noteikumi Nr.1029 ir papildināti ar jaunu piezīmi, kas nosaka, ka </w:t>
            </w:r>
            <w:r w:rsidR="00E23737" w:rsidRPr="00B638DD">
              <w:rPr>
                <w:rFonts w:ascii="Times New Roman" w:hAnsi="Times New Roman" w:cs="Times New Roman"/>
                <w:sz w:val="28"/>
                <w:szCs w:val="28"/>
              </w:rPr>
              <w:t xml:space="preserve">Ģimenes biļeti var iegādāties ģimene, kurā ir 1 – 2 pieaugušie un 2 un vairāk bērni līdz 18 gadu vecumam, vai viena daudzbērnu ģimene, kura aprūpē trīs vai vairāk bērnus līdz 18 gadu vecumam, tai skaitā audžuģimenē ievietotus un aizbildnībā esošus bērnus, ja kāds no pavadošajiem vecākiem uzrāda apliecinošu dokumentu vai </w:t>
            </w:r>
            <w:r w:rsidR="00E23737" w:rsidRPr="00B638DD">
              <w:rPr>
                <w:rStyle w:val="Izteiksmgs"/>
                <w:rFonts w:ascii="Times New Roman" w:hAnsi="Times New Roman" w:cs="Times New Roman"/>
                <w:b w:val="0"/>
                <w:sz w:val="28"/>
                <w:szCs w:val="28"/>
              </w:rPr>
              <w:t>Latvijas Goda ģimenes apliecību "3+ Ģimenes karte"</w:t>
            </w:r>
            <w:r w:rsidR="00BE7556" w:rsidRPr="00B638DD">
              <w:rPr>
                <w:rStyle w:val="Izteiksmgs"/>
                <w:rFonts w:ascii="Times New Roman" w:hAnsi="Times New Roman" w:cs="Times New Roman"/>
                <w:b w:val="0"/>
                <w:sz w:val="28"/>
                <w:szCs w:val="28"/>
              </w:rPr>
              <w:t>.</w:t>
            </w:r>
          </w:p>
          <w:p w:rsidR="003E5B18" w:rsidRPr="000204F2" w:rsidRDefault="003E5B18" w:rsidP="00B638DD">
            <w:pPr>
              <w:tabs>
                <w:tab w:val="left" w:pos="5136"/>
                <w:tab w:val="left" w:pos="8931"/>
              </w:tabs>
              <w:ind w:right="42" w:firstLine="601"/>
              <w:jc w:val="both"/>
              <w:rPr>
                <w:rFonts w:ascii="Times New Roman" w:hAnsi="Times New Roman" w:cs="Times New Roman"/>
                <w:sz w:val="28"/>
                <w:szCs w:val="28"/>
              </w:rPr>
            </w:pPr>
            <w:r w:rsidRPr="0057544C">
              <w:rPr>
                <w:rFonts w:ascii="Times New Roman" w:hAnsi="Times New Roman" w:cs="Times New Roman"/>
                <w:sz w:val="28"/>
                <w:szCs w:val="28"/>
              </w:rPr>
              <w:t xml:space="preserve">Lai palielinātu apmeklētāju skaitu un veicinātu muzeja ekspozīciju pieejamību tādām svarīgām apmeklētāju </w:t>
            </w:r>
            <w:r w:rsidR="003B7E8E" w:rsidRPr="0057544C">
              <w:rPr>
                <w:rFonts w:ascii="Times New Roman" w:hAnsi="Times New Roman" w:cs="Times New Roman"/>
                <w:sz w:val="28"/>
                <w:szCs w:val="28"/>
              </w:rPr>
              <w:t>mērķgrupām</w:t>
            </w:r>
            <w:r w:rsidR="003B7E8E" w:rsidRPr="00E23737">
              <w:rPr>
                <w:rFonts w:ascii="Times New Roman" w:hAnsi="Times New Roman" w:cs="Times New Roman"/>
                <w:sz w:val="28"/>
                <w:szCs w:val="28"/>
              </w:rPr>
              <w:t xml:space="preserve"> kā tūristu grupām, </w:t>
            </w:r>
            <w:r w:rsidR="005617E5" w:rsidRPr="00E23737">
              <w:rPr>
                <w:rFonts w:ascii="Times New Roman" w:hAnsi="Times New Roman" w:cs="Times New Roman"/>
                <w:sz w:val="28"/>
                <w:szCs w:val="28"/>
              </w:rPr>
              <w:t xml:space="preserve">izglītības iestāžu </w:t>
            </w:r>
            <w:r w:rsidRPr="00E23737">
              <w:rPr>
                <w:rFonts w:ascii="Times New Roman" w:hAnsi="Times New Roman" w:cs="Times New Roman"/>
                <w:sz w:val="28"/>
                <w:szCs w:val="28"/>
              </w:rPr>
              <w:t>izglītoj</w:t>
            </w:r>
            <w:r w:rsidR="005617E5" w:rsidRPr="00E23737">
              <w:rPr>
                <w:rFonts w:ascii="Times New Roman" w:hAnsi="Times New Roman" w:cs="Times New Roman"/>
                <w:sz w:val="28"/>
                <w:szCs w:val="28"/>
              </w:rPr>
              <w:t>amo</w:t>
            </w:r>
            <w:r w:rsidRPr="00E23737">
              <w:rPr>
                <w:rFonts w:ascii="Times New Roman" w:hAnsi="Times New Roman" w:cs="Times New Roman"/>
                <w:sz w:val="28"/>
                <w:szCs w:val="28"/>
              </w:rPr>
              <w:t xml:space="preserve"> </w:t>
            </w:r>
            <w:r w:rsidR="003B7E8E" w:rsidRPr="00E23737">
              <w:rPr>
                <w:rFonts w:ascii="Times New Roman" w:hAnsi="Times New Roman" w:cs="Times New Roman"/>
                <w:sz w:val="28"/>
                <w:szCs w:val="28"/>
              </w:rPr>
              <w:t>grupām</w:t>
            </w:r>
            <w:r w:rsidR="003B7E8E" w:rsidRPr="00E02168">
              <w:rPr>
                <w:rFonts w:ascii="Times New Roman" w:hAnsi="Times New Roman" w:cs="Times New Roman"/>
                <w:sz w:val="28"/>
                <w:szCs w:val="28"/>
              </w:rPr>
              <w:t xml:space="preserve"> u.c.</w:t>
            </w:r>
            <w:r w:rsidRPr="00E02168">
              <w:rPr>
                <w:rFonts w:ascii="Times New Roman" w:hAnsi="Times New Roman" w:cs="Times New Roman"/>
                <w:sz w:val="28"/>
                <w:szCs w:val="28"/>
              </w:rPr>
              <w:t xml:space="preserve">, Projekta </w:t>
            </w:r>
            <w:r w:rsidR="00973D61">
              <w:rPr>
                <w:rFonts w:ascii="Times New Roman" w:hAnsi="Times New Roman" w:cs="Times New Roman"/>
                <w:sz w:val="28"/>
                <w:szCs w:val="28"/>
              </w:rPr>
              <w:t>3</w:t>
            </w:r>
            <w:r w:rsidRPr="00E02168">
              <w:rPr>
                <w:rFonts w:ascii="Times New Roman" w:hAnsi="Times New Roman" w:cs="Times New Roman"/>
                <w:sz w:val="28"/>
                <w:szCs w:val="28"/>
              </w:rPr>
              <w:t xml:space="preserve">. un </w:t>
            </w:r>
            <w:r w:rsidR="00973D61">
              <w:rPr>
                <w:rFonts w:ascii="Times New Roman" w:hAnsi="Times New Roman" w:cs="Times New Roman"/>
                <w:sz w:val="28"/>
                <w:szCs w:val="28"/>
              </w:rPr>
              <w:t>7</w:t>
            </w:r>
            <w:r w:rsidRPr="00E02168">
              <w:rPr>
                <w:rFonts w:ascii="Times New Roman" w:hAnsi="Times New Roman" w:cs="Times New Roman"/>
                <w:sz w:val="28"/>
                <w:szCs w:val="28"/>
              </w:rPr>
              <w:t xml:space="preserve">.punkts </w:t>
            </w:r>
            <w:r w:rsidR="00842405">
              <w:rPr>
                <w:rFonts w:ascii="Times New Roman" w:hAnsi="Times New Roman" w:cs="Times New Roman"/>
                <w:sz w:val="28"/>
                <w:szCs w:val="28"/>
              </w:rPr>
              <w:t>nosaka</w:t>
            </w:r>
            <w:r w:rsidRPr="00E02168">
              <w:rPr>
                <w:rFonts w:ascii="Times New Roman" w:hAnsi="Times New Roman" w:cs="Times New Roman"/>
                <w:sz w:val="28"/>
                <w:szCs w:val="28"/>
              </w:rPr>
              <w:t xml:space="preserve">, ka tiek samazināts </w:t>
            </w:r>
            <w:r w:rsidR="00842405">
              <w:rPr>
                <w:rFonts w:ascii="Times New Roman" w:hAnsi="Times New Roman" w:cs="Times New Roman"/>
                <w:sz w:val="28"/>
                <w:szCs w:val="28"/>
              </w:rPr>
              <w:t xml:space="preserve">minimālais </w:t>
            </w:r>
            <w:r w:rsidRPr="00E02168">
              <w:rPr>
                <w:rFonts w:ascii="Times New Roman" w:hAnsi="Times New Roman" w:cs="Times New Roman"/>
                <w:sz w:val="28"/>
                <w:szCs w:val="28"/>
              </w:rPr>
              <w:t xml:space="preserve">apmeklētāju skaits grupā no 20 </w:t>
            </w:r>
            <w:r w:rsidRPr="00842405">
              <w:rPr>
                <w:rFonts w:ascii="Times New Roman" w:hAnsi="Times New Roman" w:cs="Times New Roman"/>
                <w:sz w:val="28"/>
                <w:szCs w:val="28"/>
              </w:rPr>
              <w:t>cilvēkiem uz</w:t>
            </w:r>
            <w:r w:rsidR="001465AD" w:rsidRPr="00842405">
              <w:rPr>
                <w:rFonts w:ascii="Times New Roman" w:hAnsi="Times New Roman" w:cs="Times New Roman"/>
                <w:sz w:val="28"/>
                <w:szCs w:val="28"/>
              </w:rPr>
              <w:t xml:space="preserve"> </w:t>
            </w:r>
            <w:r w:rsidR="00734E2B">
              <w:rPr>
                <w:rFonts w:ascii="Times New Roman" w:hAnsi="Times New Roman" w:cs="Times New Roman"/>
                <w:sz w:val="28"/>
                <w:szCs w:val="28"/>
              </w:rPr>
              <w:t>15 cilvēkiem</w:t>
            </w:r>
            <w:r w:rsidRPr="00842405">
              <w:rPr>
                <w:rFonts w:ascii="Times New Roman" w:hAnsi="Times New Roman" w:cs="Times New Roman"/>
                <w:sz w:val="28"/>
                <w:szCs w:val="28"/>
              </w:rPr>
              <w:t xml:space="preserve">, lai par </w:t>
            </w:r>
            <w:r w:rsidR="00842405">
              <w:rPr>
                <w:rFonts w:ascii="Times New Roman" w:hAnsi="Times New Roman" w:cs="Times New Roman"/>
                <w:sz w:val="28"/>
                <w:szCs w:val="28"/>
              </w:rPr>
              <w:t>cenrāža</w:t>
            </w:r>
            <w:r w:rsidRPr="00842405">
              <w:rPr>
                <w:rFonts w:ascii="Times New Roman" w:hAnsi="Times New Roman" w:cs="Times New Roman"/>
                <w:sz w:val="28"/>
                <w:szCs w:val="28"/>
              </w:rPr>
              <w:t xml:space="preserve"> </w:t>
            </w:r>
            <w:r w:rsidR="00C838F3">
              <w:rPr>
                <w:rFonts w:ascii="Times New Roman" w:hAnsi="Times New Roman" w:cs="Times New Roman"/>
                <w:sz w:val="28"/>
                <w:szCs w:val="28"/>
              </w:rPr>
              <w:t>1.1., 1.2., 1.3., 1.4. un 1.5.</w:t>
            </w:r>
            <w:r w:rsidR="00842405" w:rsidRPr="00575847">
              <w:rPr>
                <w:rFonts w:ascii="Times New Roman" w:hAnsi="Times New Roman" w:cs="Times New Roman"/>
                <w:sz w:val="28"/>
                <w:szCs w:val="28"/>
              </w:rPr>
              <w:t xml:space="preserve">apakšpunktā </w:t>
            </w:r>
            <w:r w:rsidRPr="00575847">
              <w:rPr>
                <w:rFonts w:ascii="Times New Roman" w:hAnsi="Times New Roman" w:cs="Times New Roman"/>
                <w:sz w:val="28"/>
                <w:szCs w:val="28"/>
              </w:rPr>
              <w:t xml:space="preserve">minētajiem muzeja pakalpojumiem būtu piemērojama bezmaksas </w:t>
            </w:r>
            <w:r w:rsidRPr="000204F2">
              <w:rPr>
                <w:rFonts w:ascii="Times New Roman" w:hAnsi="Times New Roman" w:cs="Times New Roman"/>
                <w:sz w:val="28"/>
                <w:szCs w:val="28"/>
              </w:rPr>
              <w:t>ieeja</w:t>
            </w:r>
            <w:r w:rsidR="003B7E8E" w:rsidRPr="000204F2">
              <w:rPr>
                <w:rFonts w:ascii="Times New Roman" w:hAnsi="Times New Roman" w:cs="Times New Roman"/>
                <w:sz w:val="28"/>
                <w:szCs w:val="28"/>
              </w:rPr>
              <w:t xml:space="preserve"> </w:t>
            </w:r>
            <w:r w:rsidR="00842405" w:rsidRPr="000204F2">
              <w:rPr>
                <w:rFonts w:ascii="Times New Roman" w:hAnsi="Times New Roman" w:cs="Times New Roman"/>
                <w:sz w:val="28"/>
                <w:szCs w:val="28"/>
              </w:rPr>
              <w:t xml:space="preserve">grupas vadītājam (gidam) </w:t>
            </w:r>
            <w:r w:rsidR="003B7E8E" w:rsidRPr="000204F2">
              <w:rPr>
                <w:rFonts w:ascii="Times New Roman" w:hAnsi="Times New Roman" w:cs="Times New Roman"/>
                <w:sz w:val="28"/>
                <w:szCs w:val="28"/>
              </w:rPr>
              <w:t>un</w:t>
            </w:r>
            <w:r w:rsidRPr="000204F2">
              <w:rPr>
                <w:rFonts w:ascii="Times New Roman" w:hAnsi="Times New Roman" w:cs="Times New Roman"/>
                <w:sz w:val="28"/>
                <w:szCs w:val="28"/>
              </w:rPr>
              <w:t xml:space="preserve"> 5% atlaide</w:t>
            </w:r>
            <w:r w:rsidR="00842405" w:rsidRPr="000204F2">
              <w:rPr>
                <w:rFonts w:ascii="Times New Roman" w:hAnsi="Times New Roman" w:cs="Times New Roman"/>
                <w:sz w:val="28"/>
                <w:szCs w:val="28"/>
              </w:rPr>
              <w:t xml:space="preserve"> grupas apmeklētājiem</w:t>
            </w:r>
            <w:r w:rsidRPr="000204F2">
              <w:rPr>
                <w:rFonts w:ascii="Times New Roman" w:hAnsi="Times New Roman" w:cs="Times New Roman"/>
                <w:sz w:val="28"/>
                <w:szCs w:val="28"/>
              </w:rPr>
              <w:t>.</w:t>
            </w:r>
          </w:p>
          <w:p w:rsidR="00853276" w:rsidRPr="00B638DD" w:rsidRDefault="00853276" w:rsidP="00B638DD">
            <w:pPr>
              <w:tabs>
                <w:tab w:val="left" w:pos="5136"/>
                <w:tab w:val="left" w:pos="8931"/>
              </w:tabs>
              <w:ind w:right="42" w:firstLine="601"/>
              <w:jc w:val="both"/>
              <w:rPr>
                <w:rFonts w:ascii="Times New Roman" w:eastAsia="Times New Roman" w:hAnsi="Times New Roman"/>
                <w:sz w:val="28"/>
                <w:szCs w:val="28"/>
                <w:lang w:eastAsia="lv-LV"/>
              </w:rPr>
            </w:pPr>
            <w:r w:rsidRPr="00B638DD">
              <w:rPr>
                <w:rFonts w:ascii="Times New Roman" w:hAnsi="Times New Roman" w:cs="Times New Roman"/>
                <w:sz w:val="28"/>
                <w:szCs w:val="28"/>
              </w:rPr>
              <w:t xml:space="preserve">Lai uzturētu </w:t>
            </w:r>
            <w:r w:rsidR="00A22398" w:rsidRPr="00B638DD">
              <w:rPr>
                <w:rFonts w:ascii="Times New Roman" w:hAnsi="Times New Roman" w:cs="Times New Roman"/>
                <w:sz w:val="28"/>
                <w:szCs w:val="28"/>
              </w:rPr>
              <w:t xml:space="preserve">muzeja </w:t>
            </w:r>
            <w:r w:rsidRPr="00B638DD">
              <w:rPr>
                <w:rFonts w:ascii="Times New Roman" w:hAnsi="Times New Roman" w:cs="Times New Roman"/>
                <w:sz w:val="28"/>
                <w:szCs w:val="28"/>
              </w:rPr>
              <w:t xml:space="preserve">starptautisko sadarbību un pieredzes apmaiņu </w:t>
            </w:r>
            <w:proofErr w:type="spellStart"/>
            <w:r w:rsidRPr="00B638DD">
              <w:rPr>
                <w:rFonts w:ascii="Times New Roman" w:hAnsi="Times New Roman" w:cs="Times New Roman"/>
                <w:sz w:val="28"/>
                <w:szCs w:val="28"/>
              </w:rPr>
              <w:t>muzeoloģijas</w:t>
            </w:r>
            <w:proofErr w:type="spellEnd"/>
            <w:r w:rsidRPr="00B638DD">
              <w:rPr>
                <w:rFonts w:ascii="Times New Roman" w:hAnsi="Times New Roman" w:cs="Times New Roman"/>
                <w:sz w:val="28"/>
                <w:szCs w:val="28"/>
              </w:rPr>
              <w:t xml:space="preserve">, kultūras mantojuma, </w:t>
            </w:r>
            <w:proofErr w:type="spellStart"/>
            <w:r w:rsidRPr="00B638DD">
              <w:rPr>
                <w:rFonts w:ascii="Times New Roman" w:hAnsi="Times New Roman" w:cs="Times New Roman"/>
                <w:sz w:val="28"/>
                <w:szCs w:val="28"/>
              </w:rPr>
              <w:t>kultūrtūrisma</w:t>
            </w:r>
            <w:proofErr w:type="spellEnd"/>
            <w:r w:rsidRPr="00B638DD">
              <w:rPr>
                <w:rFonts w:ascii="Times New Roman" w:hAnsi="Times New Roman" w:cs="Times New Roman"/>
                <w:sz w:val="28"/>
                <w:szCs w:val="28"/>
              </w:rPr>
              <w:t xml:space="preserve"> jomā un sekmētu muzeja ekspozīciju apskati, kas veidotas, balstoties uz Turaidas vēsturiskā centra kultūras mantojuma izpēti Latvijas un Eiropas vēstures kontekstā, kā arī izvērtējot muzeja budžeta iespējas un specifiku, Projekta 4.punkts paredz papildināt MK noteikumus Nr.1029 ar jaunu 3.12.apakšpunktu, kas nosaka </w:t>
            </w:r>
            <w:r w:rsidR="00A51581" w:rsidRPr="00B638DD">
              <w:rPr>
                <w:rFonts w:ascii="Times New Roman" w:hAnsi="Times New Roman" w:cs="Times New Roman"/>
                <w:sz w:val="28"/>
                <w:szCs w:val="28"/>
              </w:rPr>
              <w:t xml:space="preserve">bezmaksas apmeklējumu par </w:t>
            </w:r>
            <w:r w:rsidRPr="00B638DD">
              <w:rPr>
                <w:rFonts w:ascii="Times New Roman" w:hAnsi="Times New Roman" w:cs="Times New Roman"/>
                <w:sz w:val="28"/>
                <w:szCs w:val="28"/>
              </w:rPr>
              <w:t xml:space="preserve">cenrāža </w:t>
            </w:r>
            <w:hyperlink r:id="rId6" w:anchor="p1" w:tgtFrame="_blank" w:history="1">
              <w:r w:rsidRPr="00B638DD">
                <w:rPr>
                  <w:rFonts w:ascii="Times New Roman" w:hAnsi="Times New Roman" w:cs="Times New Roman"/>
                  <w:sz w:val="28"/>
                  <w:szCs w:val="28"/>
                </w:rPr>
                <w:t>1.</w:t>
              </w:r>
            </w:hyperlink>
            <w:r w:rsidRPr="00B638DD">
              <w:rPr>
                <w:rFonts w:ascii="Times New Roman" w:hAnsi="Times New Roman" w:cs="Times New Roman"/>
                <w:sz w:val="28"/>
                <w:szCs w:val="28"/>
              </w:rPr>
              <w:t xml:space="preserve">, </w:t>
            </w:r>
            <w:hyperlink r:id="rId7" w:anchor="p2" w:tgtFrame="_blank" w:history="1">
              <w:r w:rsidRPr="00B638DD">
                <w:rPr>
                  <w:rFonts w:ascii="Times New Roman" w:hAnsi="Times New Roman" w:cs="Times New Roman"/>
                  <w:sz w:val="28"/>
                  <w:szCs w:val="28"/>
                </w:rPr>
                <w:t xml:space="preserve">2. </w:t>
              </w:r>
            </w:hyperlink>
            <w:r w:rsidRPr="00B638DD">
              <w:rPr>
                <w:rFonts w:ascii="Times New Roman" w:hAnsi="Times New Roman" w:cs="Times New Roman"/>
                <w:sz w:val="28"/>
                <w:szCs w:val="28"/>
              </w:rPr>
              <w:t xml:space="preserve">un </w:t>
            </w:r>
            <w:hyperlink r:id="rId8" w:anchor="p3" w:tgtFrame="_blank" w:history="1">
              <w:r w:rsidRPr="00B638DD">
                <w:rPr>
                  <w:rFonts w:ascii="Times New Roman" w:hAnsi="Times New Roman" w:cs="Times New Roman"/>
                  <w:sz w:val="28"/>
                  <w:szCs w:val="28"/>
                </w:rPr>
                <w:t>3.punktā</w:t>
              </w:r>
            </w:hyperlink>
            <w:r w:rsidRPr="00B638DD">
              <w:rPr>
                <w:rFonts w:ascii="Times New Roman" w:hAnsi="Times New Roman" w:cs="Times New Roman"/>
                <w:sz w:val="28"/>
                <w:szCs w:val="28"/>
              </w:rPr>
              <w:t xml:space="preserve"> minēt</w:t>
            </w:r>
            <w:r w:rsidR="00A51581" w:rsidRPr="00B638DD">
              <w:rPr>
                <w:rFonts w:ascii="Times New Roman" w:hAnsi="Times New Roman" w:cs="Times New Roman"/>
                <w:sz w:val="28"/>
                <w:szCs w:val="28"/>
              </w:rPr>
              <w:t>ajiem</w:t>
            </w:r>
            <w:r w:rsidRPr="00B638DD">
              <w:rPr>
                <w:rFonts w:ascii="Times New Roman" w:hAnsi="Times New Roman" w:cs="Times New Roman"/>
                <w:sz w:val="28"/>
                <w:szCs w:val="28"/>
              </w:rPr>
              <w:t xml:space="preserve"> pakalpojum</w:t>
            </w:r>
            <w:r w:rsidR="00A51581" w:rsidRPr="00B638DD">
              <w:rPr>
                <w:rFonts w:ascii="Times New Roman" w:hAnsi="Times New Roman" w:cs="Times New Roman"/>
                <w:sz w:val="28"/>
                <w:szCs w:val="28"/>
              </w:rPr>
              <w:t>iem</w:t>
            </w:r>
            <w:r w:rsidR="00A22398" w:rsidRPr="00B638DD">
              <w:rPr>
                <w:rFonts w:ascii="Times New Roman" w:hAnsi="Times New Roman" w:cs="Times New Roman"/>
                <w:sz w:val="28"/>
                <w:szCs w:val="28"/>
              </w:rPr>
              <w:t xml:space="preserve"> </w:t>
            </w:r>
            <w:r w:rsidRPr="00B638DD">
              <w:rPr>
                <w:rFonts w:ascii="Times New Roman" w:hAnsi="Times New Roman" w:cs="Times New Roman"/>
                <w:bCs/>
                <w:sz w:val="28"/>
                <w:szCs w:val="28"/>
              </w:rPr>
              <w:t>muzeja popularitāti veicinošu vizīšu organizatoriem (iesniedzot el</w:t>
            </w:r>
            <w:r w:rsidR="00712171" w:rsidRPr="00B638DD">
              <w:rPr>
                <w:rFonts w:ascii="Times New Roman" w:hAnsi="Times New Roman" w:cs="Times New Roman"/>
                <w:bCs/>
                <w:sz w:val="28"/>
                <w:szCs w:val="28"/>
              </w:rPr>
              <w:t>ektroniski uz muzeja oficiālo</w:t>
            </w:r>
            <w:r w:rsidR="00B638DD" w:rsidRPr="00B638DD">
              <w:rPr>
                <w:rFonts w:ascii="Times New Roman" w:hAnsi="Times New Roman" w:cs="Times New Roman"/>
                <w:bCs/>
                <w:sz w:val="28"/>
                <w:szCs w:val="28"/>
              </w:rPr>
              <w:t xml:space="preserve"> e-</w:t>
            </w:r>
            <w:r w:rsidRPr="00B638DD">
              <w:rPr>
                <w:rFonts w:ascii="Times New Roman" w:hAnsi="Times New Roman" w:cs="Times New Roman"/>
                <w:bCs/>
                <w:sz w:val="28"/>
                <w:szCs w:val="28"/>
              </w:rPr>
              <w:t xml:space="preserve">pasta adresi vizītes organizatora iesniegumu vismaz divas dienas pirms vizītes), </w:t>
            </w:r>
            <w:r w:rsidRPr="00B638DD">
              <w:rPr>
                <w:rFonts w:ascii="Times New Roman" w:hAnsi="Times New Roman" w:cs="Times New Roman"/>
                <w:sz w:val="28"/>
                <w:szCs w:val="28"/>
              </w:rPr>
              <w:t xml:space="preserve">tādējādi veicinot muzeja </w:t>
            </w:r>
            <w:r w:rsidR="004F41CB" w:rsidRPr="00B638DD">
              <w:rPr>
                <w:rFonts w:ascii="Times New Roman" w:hAnsi="Times New Roman" w:cs="Times New Roman"/>
                <w:sz w:val="28"/>
                <w:szCs w:val="28"/>
              </w:rPr>
              <w:t xml:space="preserve">sniegto pakalpojumu </w:t>
            </w:r>
            <w:r w:rsidRPr="00B638DD">
              <w:rPr>
                <w:rFonts w:ascii="Times New Roman" w:hAnsi="Times New Roman" w:cs="Times New Roman"/>
                <w:sz w:val="28"/>
                <w:szCs w:val="28"/>
              </w:rPr>
              <w:t>piedāvājum</w:t>
            </w:r>
            <w:r w:rsidR="004F41CB" w:rsidRPr="00B638DD">
              <w:rPr>
                <w:rFonts w:ascii="Times New Roman" w:hAnsi="Times New Roman" w:cs="Times New Roman"/>
                <w:sz w:val="28"/>
                <w:szCs w:val="28"/>
              </w:rPr>
              <w:t>a</w:t>
            </w:r>
            <w:r w:rsidRPr="00B638DD">
              <w:rPr>
                <w:rFonts w:ascii="Times New Roman" w:hAnsi="Times New Roman" w:cs="Times New Roman"/>
                <w:sz w:val="28"/>
                <w:szCs w:val="28"/>
              </w:rPr>
              <w:t xml:space="preserve"> popularizēšanu</w:t>
            </w:r>
            <w:r w:rsidRPr="00B638DD">
              <w:rPr>
                <w:rFonts w:ascii="Times New Roman" w:hAnsi="Times New Roman" w:cs="Times New Roman"/>
                <w:bCs/>
                <w:sz w:val="28"/>
                <w:szCs w:val="28"/>
              </w:rPr>
              <w:t xml:space="preserve">. </w:t>
            </w:r>
            <w:r w:rsidR="00DA3B8B" w:rsidRPr="00B638DD">
              <w:rPr>
                <w:rFonts w:ascii="Times New Roman" w:hAnsi="Times New Roman" w:cs="Times New Roman"/>
                <w:bCs/>
                <w:sz w:val="28"/>
                <w:szCs w:val="28"/>
              </w:rPr>
              <w:t xml:space="preserve">Muzeja popularitāti veicinoša vizīte ir </w:t>
            </w:r>
            <w:r w:rsidRPr="00B638DD">
              <w:rPr>
                <w:rFonts w:ascii="Times New Roman" w:hAnsi="Times New Roman" w:cs="Times New Roman"/>
                <w:bCs/>
                <w:sz w:val="28"/>
                <w:szCs w:val="28"/>
              </w:rPr>
              <w:t xml:space="preserve">kultūras mantojuma un </w:t>
            </w:r>
            <w:proofErr w:type="spellStart"/>
            <w:r w:rsidRPr="00B638DD">
              <w:rPr>
                <w:rFonts w:ascii="Times New Roman" w:hAnsi="Times New Roman" w:cs="Times New Roman"/>
                <w:bCs/>
                <w:sz w:val="28"/>
                <w:szCs w:val="28"/>
              </w:rPr>
              <w:t>kultūrtūrisma</w:t>
            </w:r>
            <w:proofErr w:type="spellEnd"/>
            <w:r w:rsidRPr="00B638DD">
              <w:rPr>
                <w:rFonts w:ascii="Times New Roman" w:hAnsi="Times New Roman" w:cs="Times New Roman"/>
                <w:bCs/>
                <w:sz w:val="28"/>
                <w:szCs w:val="28"/>
              </w:rPr>
              <w:t xml:space="preserve"> institūciju speciālistu,</w:t>
            </w:r>
            <w:r w:rsidR="00A22398" w:rsidRPr="00B638DD">
              <w:rPr>
                <w:rFonts w:ascii="Times New Roman" w:hAnsi="Times New Roman" w:cs="Times New Roman"/>
                <w:bCs/>
                <w:sz w:val="28"/>
                <w:szCs w:val="28"/>
              </w:rPr>
              <w:t xml:space="preserve"> ekspertu un </w:t>
            </w:r>
            <w:proofErr w:type="spellStart"/>
            <w:r w:rsidR="00A22398" w:rsidRPr="00B638DD">
              <w:rPr>
                <w:rFonts w:ascii="Times New Roman" w:hAnsi="Times New Roman" w:cs="Times New Roman"/>
                <w:bCs/>
                <w:sz w:val="28"/>
                <w:szCs w:val="28"/>
              </w:rPr>
              <w:t>tūroperatoru</w:t>
            </w:r>
            <w:proofErr w:type="spellEnd"/>
            <w:r w:rsidR="00A22398" w:rsidRPr="00B638DD">
              <w:rPr>
                <w:rFonts w:ascii="Times New Roman" w:hAnsi="Times New Roman" w:cs="Times New Roman"/>
                <w:bCs/>
                <w:sz w:val="28"/>
                <w:szCs w:val="28"/>
              </w:rPr>
              <w:t xml:space="preserve"> pārstāvju</w:t>
            </w:r>
            <w:r w:rsidRPr="00B638DD">
              <w:rPr>
                <w:rFonts w:ascii="Times New Roman" w:hAnsi="Times New Roman" w:cs="Times New Roman"/>
                <w:bCs/>
                <w:sz w:val="28"/>
                <w:szCs w:val="28"/>
              </w:rPr>
              <w:t xml:space="preserve"> (delegācij</w:t>
            </w:r>
            <w:r w:rsidR="00DA3B8B" w:rsidRPr="00B638DD">
              <w:rPr>
                <w:rFonts w:ascii="Times New Roman" w:hAnsi="Times New Roman" w:cs="Times New Roman"/>
                <w:bCs/>
                <w:sz w:val="28"/>
                <w:szCs w:val="28"/>
              </w:rPr>
              <w:t>u</w:t>
            </w:r>
            <w:r w:rsidRPr="00B638DD">
              <w:rPr>
                <w:rFonts w:ascii="Times New Roman" w:hAnsi="Times New Roman" w:cs="Times New Roman"/>
                <w:bCs/>
                <w:sz w:val="28"/>
                <w:szCs w:val="28"/>
              </w:rPr>
              <w:t>)</w:t>
            </w:r>
            <w:r w:rsidR="00DA3B8B" w:rsidRPr="00B638DD">
              <w:rPr>
                <w:rFonts w:ascii="Times New Roman" w:hAnsi="Times New Roman" w:cs="Times New Roman"/>
                <w:bCs/>
                <w:sz w:val="28"/>
                <w:szCs w:val="28"/>
              </w:rPr>
              <w:t xml:space="preserve"> uzņemšana muzejā</w:t>
            </w:r>
            <w:r w:rsidRPr="00B638DD">
              <w:rPr>
                <w:rFonts w:ascii="Times New Roman" w:hAnsi="Times New Roman" w:cs="Times New Roman"/>
                <w:bCs/>
                <w:sz w:val="28"/>
                <w:szCs w:val="28"/>
              </w:rPr>
              <w:t xml:space="preserve"> un iepazīstin</w:t>
            </w:r>
            <w:r w:rsidR="00DA3B8B" w:rsidRPr="00B638DD">
              <w:rPr>
                <w:rFonts w:ascii="Times New Roman" w:hAnsi="Times New Roman" w:cs="Times New Roman"/>
                <w:bCs/>
                <w:sz w:val="28"/>
                <w:szCs w:val="28"/>
              </w:rPr>
              <w:t>āšana</w:t>
            </w:r>
            <w:r w:rsidRPr="00B638DD">
              <w:rPr>
                <w:rFonts w:ascii="Times New Roman" w:hAnsi="Times New Roman" w:cs="Times New Roman"/>
                <w:bCs/>
                <w:sz w:val="28"/>
                <w:szCs w:val="28"/>
              </w:rPr>
              <w:t xml:space="preserve"> ar muzeja ekspozīcijām, </w:t>
            </w:r>
            <w:r w:rsidR="00DA3B8B" w:rsidRPr="00B638DD">
              <w:rPr>
                <w:rFonts w:ascii="Times New Roman" w:hAnsi="Times New Roman" w:cs="Times New Roman"/>
                <w:bCs/>
                <w:sz w:val="28"/>
                <w:szCs w:val="28"/>
              </w:rPr>
              <w:t xml:space="preserve">tādējādi </w:t>
            </w:r>
            <w:r w:rsidRPr="00B638DD">
              <w:rPr>
                <w:rFonts w:ascii="Times New Roman" w:hAnsi="Times New Roman" w:cs="Times New Roman"/>
                <w:bCs/>
                <w:sz w:val="28"/>
                <w:szCs w:val="28"/>
              </w:rPr>
              <w:t>nodrošin</w:t>
            </w:r>
            <w:r w:rsidR="00DA3B8B" w:rsidRPr="00B638DD">
              <w:rPr>
                <w:rFonts w:ascii="Times New Roman" w:hAnsi="Times New Roman" w:cs="Times New Roman"/>
                <w:bCs/>
                <w:sz w:val="28"/>
                <w:szCs w:val="28"/>
              </w:rPr>
              <w:t>o</w:t>
            </w:r>
            <w:r w:rsidRPr="00B638DD">
              <w:rPr>
                <w:rFonts w:ascii="Times New Roman" w:hAnsi="Times New Roman" w:cs="Times New Roman"/>
                <w:bCs/>
                <w:sz w:val="28"/>
                <w:szCs w:val="28"/>
              </w:rPr>
              <w:t xml:space="preserve">t </w:t>
            </w:r>
            <w:r w:rsidR="00712171" w:rsidRPr="00B638DD">
              <w:rPr>
                <w:rFonts w:ascii="Times New Roman" w:hAnsi="Times New Roman" w:cs="Times New Roman"/>
                <w:sz w:val="28"/>
                <w:szCs w:val="28"/>
              </w:rPr>
              <w:t>muzeja starptautisko sadarbību un</w:t>
            </w:r>
            <w:r w:rsidR="00712171" w:rsidRPr="00B638DD">
              <w:rPr>
                <w:rFonts w:ascii="Times New Roman" w:hAnsi="Times New Roman" w:cs="Times New Roman"/>
                <w:bCs/>
                <w:sz w:val="28"/>
                <w:szCs w:val="28"/>
              </w:rPr>
              <w:t xml:space="preserve"> </w:t>
            </w:r>
            <w:r w:rsidRPr="00B638DD">
              <w:rPr>
                <w:rFonts w:ascii="Times New Roman" w:hAnsi="Times New Roman" w:cs="Times New Roman"/>
                <w:bCs/>
                <w:sz w:val="28"/>
                <w:szCs w:val="28"/>
              </w:rPr>
              <w:t>muzeja pieredzes aprit</w:t>
            </w:r>
            <w:r w:rsidR="00DA3B8B" w:rsidRPr="00B638DD">
              <w:rPr>
                <w:rFonts w:ascii="Times New Roman" w:hAnsi="Times New Roman" w:cs="Times New Roman"/>
                <w:bCs/>
                <w:sz w:val="28"/>
                <w:szCs w:val="28"/>
              </w:rPr>
              <w:t>i</w:t>
            </w:r>
            <w:r w:rsidRPr="00B638DD">
              <w:rPr>
                <w:rFonts w:ascii="Times New Roman" w:hAnsi="Times New Roman" w:cs="Times New Roman"/>
                <w:bCs/>
                <w:sz w:val="28"/>
                <w:szCs w:val="28"/>
              </w:rPr>
              <w:t xml:space="preserve"> kultūras mantojuma saglabāšanā un m</w:t>
            </w:r>
            <w:r w:rsidR="00DA3B8B" w:rsidRPr="00B638DD">
              <w:rPr>
                <w:rFonts w:ascii="Times New Roman" w:hAnsi="Times New Roman" w:cs="Times New Roman"/>
                <w:bCs/>
                <w:sz w:val="28"/>
                <w:szCs w:val="28"/>
              </w:rPr>
              <w:t>uzeja piedāvājuma popularizēšanu</w:t>
            </w:r>
            <w:r w:rsidRPr="00B638DD">
              <w:rPr>
                <w:rFonts w:ascii="Times New Roman" w:hAnsi="Times New Roman" w:cs="Times New Roman"/>
                <w:bCs/>
                <w:sz w:val="28"/>
                <w:szCs w:val="28"/>
              </w:rPr>
              <w:t xml:space="preserve">, kas sekmē </w:t>
            </w:r>
            <w:r w:rsidR="00500221" w:rsidRPr="00B638DD">
              <w:rPr>
                <w:rFonts w:ascii="Times New Roman" w:hAnsi="Times New Roman" w:cs="Times New Roman"/>
                <w:bCs/>
                <w:sz w:val="28"/>
                <w:szCs w:val="28"/>
              </w:rPr>
              <w:t xml:space="preserve">muzeja </w:t>
            </w:r>
            <w:r w:rsidRPr="00B638DD">
              <w:rPr>
                <w:rFonts w:ascii="Times New Roman" w:hAnsi="Times New Roman" w:cs="Times New Roman"/>
                <w:bCs/>
                <w:sz w:val="28"/>
                <w:szCs w:val="28"/>
              </w:rPr>
              <w:t xml:space="preserve">apmeklējumu skaita un </w:t>
            </w:r>
            <w:r w:rsidR="00500221" w:rsidRPr="00B638DD">
              <w:rPr>
                <w:rFonts w:ascii="Times New Roman" w:hAnsi="Times New Roman" w:cs="Times New Roman"/>
                <w:bCs/>
                <w:sz w:val="28"/>
                <w:szCs w:val="28"/>
              </w:rPr>
              <w:t xml:space="preserve">muzeja </w:t>
            </w:r>
            <w:r w:rsidRPr="00B638DD">
              <w:rPr>
                <w:rFonts w:ascii="Times New Roman" w:hAnsi="Times New Roman" w:cs="Times New Roman"/>
                <w:bCs/>
                <w:sz w:val="28"/>
                <w:szCs w:val="28"/>
              </w:rPr>
              <w:t>pašu ieņēmumu plāna izpildi</w:t>
            </w:r>
            <w:r w:rsidR="00177FAB" w:rsidRPr="00B638DD">
              <w:rPr>
                <w:rFonts w:ascii="Times New Roman" w:hAnsi="Times New Roman" w:cs="Times New Roman"/>
                <w:bCs/>
                <w:sz w:val="28"/>
                <w:szCs w:val="28"/>
              </w:rPr>
              <w:t>. Muzeja līdzšinējā pieredze pierāda, ka</w:t>
            </w:r>
            <w:r w:rsidR="00B638DD" w:rsidRPr="00B638DD">
              <w:rPr>
                <w:rFonts w:ascii="Times New Roman" w:hAnsi="Times New Roman" w:cs="Times New Roman"/>
                <w:bCs/>
                <w:sz w:val="28"/>
                <w:szCs w:val="28"/>
              </w:rPr>
              <w:t>,</w:t>
            </w:r>
            <w:r w:rsidRPr="00B638DD">
              <w:rPr>
                <w:rFonts w:ascii="Times New Roman" w:hAnsi="Times New Roman" w:cs="Times New Roman"/>
                <w:bCs/>
                <w:sz w:val="28"/>
                <w:szCs w:val="28"/>
              </w:rPr>
              <w:t xml:space="preserve"> </w:t>
            </w:r>
            <w:r w:rsidR="00177FAB" w:rsidRPr="00B638DD">
              <w:rPr>
                <w:rFonts w:ascii="Times New Roman" w:hAnsi="Times New Roman" w:cs="Times New Roman"/>
                <w:bCs/>
                <w:sz w:val="28"/>
                <w:szCs w:val="28"/>
              </w:rPr>
              <w:t xml:space="preserve">rīkojot muzeja popularitāti veicinošas vizītes, </w:t>
            </w:r>
            <w:r w:rsidRPr="00B638DD">
              <w:rPr>
                <w:rFonts w:ascii="Times New Roman" w:eastAsia="Times New Roman" w:hAnsi="Times New Roman"/>
                <w:sz w:val="28"/>
                <w:szCs w:val="28"/>
                <w:lang w:eastAsia="lv-LV"/>
              </w:rPr>
              <w:t xml:space="preserve">salīdzinot ar 2014.gadu, </w:t>
            </w:r>
            <w:r w:rsidR="00177FAB" w:rsidRPr="00B638DD">
              <w:rPr>
                <w:rFonts w:ascii="Times New Roman" w:eastAsia="Times New Roman" w:hAnsi="Times New Roman"/>
                <w:sz w:val="28"/>
                <w:szCs w:val="28"/>
                <w:lang w:eastAsia="lv-LV"/>
              </w:rPr>
              <w:t xml:space="preserve">muzeja </w:t>
            </w:r>
            <w:r w:rsidRPr="00B638DD">
              <w:rPr>
                <w:rFonts w:ascii="Times New Roman" w:eastAsia="Times New Roman" w:hAnsi="Times New Roman"/>
                <w:sz w:val="28"/>
                <w:szCs w:val="28"/>
                <w:lang w:eastAsia="lv-LV"/>
              </w:rPr>
              <w:t>apmeklējumu skaits 2015.gadā ir pieaudzis par 3,37 % un pašu ieņēmumu plāns izpildīts par 125%.</w:t>
            </w:r>
          </w:p>
          <w:p w:rsidR="00CD0980" w:rsidRPr="009C74D2" w:rsidRDefault="003E5B18" w:rsidP="00B638DD">
            <w:pPr>
              <w:tabs>
                <w:tab w:val="left" w:pos="5136"/>
              </w:tabs>
              <w:ind w:firstLine="567"/>
              <w:jc w:val="both"/>
              <w:rPr>
                <w:rFonts w:ascii="Times New Roman" w:hAnsi="Times New Roman" w:cs="Times New Roman"/>
                <w:sz w:val="28"/>
                <w:szCs w:val="28"/>
              </w:rPr>
            </w:pPr>
            <w:r w:rsidRPr="000204F2">
              <w:rPr>
                <w:rFonts w:ascii="Times New Roman" w:hAnsi="Times New Roman" w:cs="Times New Roman"/>
                <w:sz w:val="28"/>
                <w:szCs w:val="28"/>
              </w:rPr>
              <w:t>Lai veicinātu muzeja ekspozīciju apskati</w:t>
            </w:r>
            <w:r w:rsidRPr="00575847">
              <w:rPr>
                <w:rFonts w:ascii="Times New Roman" w:hAnsi="Times New Roman" w:cs="Times New Roman"/>
                <w:sz w:val="28"/>
                <w:szCs w:val="28"/>
              </w:rPr>
              <w:t xml:space="preserve"> un kultūras vērtību pieejamību sabiedrībai, izvērtējot muzeja budžeta iespējas un specifiku, Projekta </w:t>
            </w:r>
            <w:r w:rsidR="00973D61">
              <w:rPr>
                <w:rFonts w:ascii="Times New Roman" w:hAnsi="Times New Roman" w:cs="Times New Roman"/>
                <w:sz w:val="28"/>
                <w:szCs w:val="28"/>
              </w:rPr>
              <w:t>4</w:t>
            </w:r>
            <w:r w:rsidR="00066B6D" w:rsidRPr="00575847">
              <w:rPr>
                <w:rFonts w:ascii="Times New Roman" w:hAnsi="Times New Roman" w:cs="Times New Roman"/>
                <w:sz w:val="28"/>
                <w:szCs w:val="28"/>
              </w:rPr>
              <w:t>.punkts</w:t>
            </w:r>
            <w:r w:rsidR="00575847" w:rsidRPr="00575847">
              <w:rPr>
                <w:rFonts w:ascii="Times New Roman" w:hAnsi="Times New Roman" w:cs="Times New Roman"/>
                <w:sz w:val="28"/>
                <w:szCs w:val="28"/>
              </w:rPr>
              <w:t xml:space="preserve"> </w:t>
            </w:r>
            <w:r w:rsidR="001E4973">
              <w:rPr>
                <w:rFonts w:ascii="Times New Roman" w:hAnsi="Times New Roman" w:cs="Times New Roman"/>
                <w:sz w:val="28"/>
                <w:szCs w:val="28"/>
              </w:rPr>
              <w:t xml:space="preserve">paredz </w:t>
            </w:r>
            <w:r w:rsidR="00575847" w:rsidRPr="00575847">
              <w:rPr>
                <w:rFonts w:ascii="Times New Roman" w:hAnsi="Times New Roman" w:cs="Times New Roman"/>
                <w:sz w:val="28"/>
                <w:szCs w:val="28"/>
              </w:rPr>
              <w:t xml:space="preserve">papildināt </w:t>
            </w:r>
            <w:r w:rsidR="00414FE8">
              <w:rPr>
                <w:rFonts w:ascii="Times New Roman" w:hAnsi="Times New Roman" w:cs="Times New Roman"/>
                <w:sz w:val="28"/>
                <w:szCs w:val="28"/>
              </w:rPr>
              <w:t xml:space="preserve">MK noteikumus Nr.1029 </w:t>
            </w:r>
            <w:r w:rsidR="00575847" w:rsidRPr="00575847">
              <w:rPr>
                <w:rFonts w:ascii="Times New Roman" w:hAnsi="Times New Roman" w:cs="Times New Roman"/>
                <w:sz w:val="28"/>
                <w:szCs w:val="28"/>
              </w:rPr>
              <w:t>ar jaunu</w:t>
            </w:r>
            <w:r w:rsidR="00066B6D" w:rsidRPr="00575847">
              <w:rPr>
                <w:rFonts w:ascii="Times New Roman" w:hAnsi="Times New Roman" w:cs="Times New Roman"/>
                <w:sz w:val="28"/>
                <w:szCs w:val="28"/>
              </w:rPr>
              <w:t xml:space="preserve"> </w:t>
            </w:r>
            <w:r w:rsidR="00575847" w:rsidRPr="00575847">
              <w:rPr>
                <w:rFonts w:ascii="Times New Roman" w:hAnsi="Times New Roman" w:cs="Times New Roman"/>
                <w:sz w:val="28"/>
                <w:szCs w:val="28"/>
              </w:rPr>
              <w:t>3.13. un 3.14.</w:t>
            </w:r>
            <w:r w:rsidR="00066B6D" w:rsidRPr="00575847">
              <w:rPr>
                <w:rFonts w:ascii="Times New Roman" w:hAnsi="Times New Roman" w:cs="Times New Roman"/>
                <w:sz w:val="28"/>
                <w:szCs w:val="28"/>
              </w:rPr>
              <w:t xml:space="preserve">apakšpunktu, kas nosaka bezmaksas apmeklējumu par cenrāža </w:t>
            </w:r>
            <w:hyperlink r:id="rId9" w:anchor="p1" w:tgtFrame="_blank" w:history="1">
              <w:r w:rsidR="00066B6D" w:rsidRPr="00575847">
                <w:rPr>
                  <w:rFonts w:ascii="Times New Roman" w:hAnsi="Times New Roman" w:cs="Times New Roman"/>
                  <w:sz w:val="28"/>
                  <w:szCs w:val="28"/>
                </w:rPr>
                <w:t>1.</w:t>
              </w:r>
            </w:hyperlink>
            <w:r w:rsidR="00066B6D" w:rsidRPr="00575847">
              <w:rPr>
                <w:rFonts w:ascii="Times New Roman" w:hAnsi="Times New Roman" w:cs="Times New Roman"/>
                <w:sz w:val="28"/>
                <w:szCs w:val="28"/>
              </w:rPr>
              <w:t xml:space="preserve">, </w:t>
            </w:r>
            <w:hyperlink r:id="rId10" w:anchor="p2" w:tgtFrame="_blank" w:history="1">
              <w:r w:rsidR="00066B6D" w:rsidRPr="00575847">
                <w:rPr>
                  <w:rFonts w:ascii="Times New Roman" w:hAnsi="Times New Roman" w:cs="Times New Roman"/>
                  <w:sz w:val="28"/>
                  <w:szCs w:val="28"/>
                </w:rPr>
                <w:t xml:space="preserve">2. </w:t>
              </w:r>
            </w:hyperlink>
            <w:r w:rsidR="00066B6D" w:rsidRPr="00575847">
              <w:rPr>
                <w:rFonts w:ascii="Times New Roman" w:hAnsi="Times New Roman" w:cs="Times New Roman"/>
                <w:sz w:val="28"/>
                <w:szCs w:val="28"/>
              </w:rPr>
              <w:t xml:space="preserve">un </w:t>
            </w:r>
            <w:hyperlink r:id="rId11" w:anchor="p3" w:tgtFrame="_blank" w:history="1">
              <w:r w:rsidR="00066B6D" w:rsidRPr="00575847">
                <w:rPr>
                  <w:rFonts w:ascii="Times New Roman" w:hAnsi="Times New Roman" w:cs="Times New Roman"/>
                  <w:sz w:val="28"/>
                  <w:szCs w:val="28"/>
                </w:rPr>
                <w:t>3.punktā</w:t>
              </w:r>
            </w:hyperlink>
            <w:r w:rsidR="00066B6D" w:rsidRPr="00575847">
              <w:rPr>
                <w:rFonts w:ascii="Times New Roman" w:hAnsi="Times New Roman" w:cs="Times New Roman"/>
                <w:sz w:val="28"/>
                <w:szCs w:val="28"/>
              </w:rPr>
              <w:t xml:space="preserve"> minētajiem pakalpojumiem</w:t>
            </w:r>
            <w:r w:rsidR="009C74D2">
              <w:rPr>
                <w:rFonts w:ascii="Times New Roman" w:hAnsi="Times New Roman" w:cs="Times New Roman"/>
                <w:sz w:val="28"/>
                <w:szCs w:val="28"/>
              </w:rPr>
              <w:t xml:space="preserve"> –</w:t>
            </w:r>
            <w:r w:rsidR="00C16DD0">
              <w:rPr>
                <w:rFonts w:ascii="Times New Roman" w:hAnsi="Times New Roman" w:cs="Times New Roman"/>
                <w:sz w:val="28"/>
                <w:szCs w:val="28"/>
              </w:rPr>
              <w:t xml:space="preserve"> </w:t>
            </w:r>
            <w:r w:rsidR="00575847" w:rsidRPr="00575847">
              <w:rPr>
                <w:rFonts w:ascii="Times New Roman" w:hAnsi="Times New Roman" w:cs="Times New Roman"/>
                <w:bCs/>
                <w:sz w:val="28"/>
                <w:szCs w:val="28"/>
              </w:rPr>
              <w:t xml:space="preserve">Turaidas </w:t>
            </w:r>
            <w:proofErr w:type="spellStart"/>
            <w:r w:rsidR="00575847" w:rsidRPr="00575847">
              <w:rPr>
                <w:rFonts w:ascii="Times New Roman" w:hAnsi="Times New Roman" w:cs="Times New Roman"/>
                <w:bCs/>
                <w:sz w:val="28"/>
                <w:szCs w:val="28"/>
              </w:rPr>
              <w:t>muzejrezervāta</w:t>
            </w:r>
            <w:proofErr w:type="spellEnd"/>
            <w:r w:rsidR="00575847" w:rsidRPr="00575847">
              <w:rPr>
                <w:rFonts w:ascii="Times New Roman" w:hAnsi="Times New Roman" w:cs="Times New Roman"/>
                <w:bCs/>
                <w:sz w:val="28"/>
                <w:szCs w:val="28"/>
              </w:rPr>
              <w:t xml:space="preserve"> drauga kartes īpašniekiem (uzrādot karti un p</w:t>
            </w:r>
            <w:r w:rsidR="00575847">
              <w:rPr>
                <w:rFonts w:ascii="Times New Roman" w:hAnsi="Times New Roman" w:cs="Times New Roman"/>
                <w:bCs/>
                <w:sz w:val="28"/>
                <w:szCs w:val="28"/>
              </w:rPr>
              <w:t>ersonas apliecinošu dokumentu) un</w:t>
            </w:r>
            <w:r w:rsidR="00575847" w:rsidRPr="00575847">
              <w:rPr>
                <w:rFonts w:ascii="Times New Roman" w:hAnsi="Times New Roman" w:cs="Times New Roman"/>
                <w:bCs/>
                <w:sz w:val="28"/>
                <w:szCs w:val="28"/>
              </w:rPr>
              <w:t xml:space="preserve"> muzeja apmeklētājiem muzeja ikgadējā Vasaras </w:t>
            </w:r>
            <w:r w:rsidR="00575847" w:rsidRPr="00CB5B58">
              <w:rPr>
                <w:rFonts w:ascii="Times New Roman" w:hAnsi="Times New Roman" w:cs="Times New Roman"/>
                <w:bCs/>
                <w:sz w:val="28"/>
                <w:szCs w:val="28"/>
              </w:rPr>
              <w:t xml:space="preserve">saulgriežu pasākuma un starptautiskās akcijas </w:t>
            </w:r>
            <w:r w:rsidR="009C74D2">
              <w:rPr>
                <w:rFonts w:ascii="Times New Roman" w:hAnsi="Times New Roman" w:cs="Times New Roman"/>
                <w:bCs/>
                <w:sz w:val="28"/>
                <w:szCs w:val="28"/>
              </w:rPr>
              <w:t>„</w:t>
            </w:r>
            <w:r w:rsidR="00575847" w:rsidRPr="00CB5B58">
              <w:rPr>
                <w:rFonts w:ascii="Times New Roman" w:hAnsi="Times New Roman" w:cs="Times New Roman"/>
                <w:bCs/>
                <w:sz w:val="28"/>
                <w:szCs w:val="28"/>
              </w:rPr>
              <w:t>Muzeju nakts” laikā no plkst.19.00.”.</w:t>
            </w:r>
          </w:p>
          <w:p w:rsidR="00E56319" w:rsidRPr="00B638DD" w:rsidRDefault="00973D61" w:rsidP="00B638DD">
            <w:pPr>
              <w:tabs>
                <w:tab w:val="left" w:pos="5136"/>
              </w:tabs>
              <w:ind w:firstLine="567"/>
              <w:jc w:val="both"/>
              <w:rPr>
                <w:rFonts w:ascii="Times New Roman" w:hAnsi="Times New Roman" w:cs="Times New Roman"/>
                <w:sz w:val="28"/>
                <w:szCs w:val="28"/>
              </w:rPr>
            </w:pPr>
            <w:r>
              <w:rPr>
                <w:rFonts w:ascii="Times New Roman" w:hAnsi="Times New Roman" w:cs="Times New Roman"/>
                <w:sz w:val="28"/>
                <w:szCs w:val="28"/>
              </w:rPr>
              <w:t>Projekta 5</w:t>
            </w:r>
            <w:r w:rsidR="00CB5B58" w:rsidRPr="00CB5B58">
              <w:rPr>
                <w:rFonts w:ascii="Times New Roman" w:hAnsi="Times New Roman" w:cs="Times New Roman"/>
                <w:sz w:val="28"/>
                <w:szCs w:val="28"/>
              </w:rPr>
              <w:t xml:space="preserve">.punkts nosaka, ka muzeja rīkoto pasākumu laikā maksu par cenrāža 1., 2. un 3.punktā minētajiem pakalpojumiem neiekasē no </w:t>
            </w:r>
            <w:r w:rsidR="00CB5B58" w:rsidRPr="00CB5B58">
              <w:rPr>
                <w:rFonts w:ascii="Times New Roman" w:hAnsi="Times New Roman" w:cs="Times New Roman"/>
                <w:bCs/>
                <w:sz w:val="28"/>
                <w:szCs w:val="28"/>
              </w:rPr>
              <w:t>muzeja tematisko pasākumu nodrošinātājiem, atbalstītājiem (sponsoriem), izglītības, kultūras un tūrisma nozares institūciju pārstāvjiem un valsts reprezentatīvās funkcijas nodrošinātājiem (uzrādot muzeja ielūgumu), nepārsniedzot 0,5 % apmeklējumu no ko</w:t>
            </w:r>
            <w:r w:rsidR="00CB5B58" w:rsidRPr="00B638DD">
              <w:rPr>
                <w:rFonts w:ascii="Times New Roman" w:hAnsi="Times New Roman" w:cs="Times New Roman"/>
                <w:bCs/>
                <w:sz w:val="28"/>
                <w:szCs w:val="28"/>
              </w:rPr>
              <w:t xml:space="preserve">pējā </w:t>
            </w:r>
            <w:r w:rsidR="00CB5B58" w:rsidRPr="00B638DD">
              <w:rPr>
                <w:rFonts w:ascii="Times New Roman" w:hAnsi="Times New Roman" w:cs="Times New Roman"/>
                <w:sz w:val="28"/>
                <w:szCs w:val="28"/>
              </w:rPr>
              <w:t>muzeja pasākumu biļešu</w:t>
            </w:r>
            <w:r w:rsidR="00CB5B58" w:rsidRPr="00B638DD">
              <w:rPr>
                <w:rFonts w:ascii="Times New Roman" w:hAnsi="Times New Roman" w:cs="Times New Roman"/>
                <w:bCs/>
                <w:sz w:val="28"/>
                <w:szCs w:val="28"/>
              </w:rPr>
              <w:t xml:space="preserve"> skaita gada laikā</w:t>
            </w:r>
            <w:r w:rsidR="00AA2167" w:rsidRPr="00B638DD">
              <w:rPr>
                <w:rFonts w:ascii="Times New Roman" w:hAnsi="Times New Roman" w:cs="Times New Roman"/>
                <w:bCs/>
                <w:sz w:val="28"/>
                <w:szCs w:val="28"/>
              </w:rPr>
              <w:t>.</w:t>
            </w:r>
            <w:r w:rsidR="00791EAE" w:rsidRPr="00B638DD">
              <w:rPr>
                <w:rFonts w:ascii="Times New Roman" w:hAnsi="Times New Roman" w:cs="Times New Roman"/>
                <w:bCs/>
                <w:sz w:val="28"/>
                <w:szCs w:val="28"/>
              </w:rPr>
              <w:t xml:space="preserve"> </w:t>
            </w:r>
            <w:r w:rsidR="00E56319" w:rsidRPr="00B638DD">
              <w:rPr>
                <w:rFonts w:ascii="Times New Roman" w:hAnsi="Times New Roman" w:cs="Times New Roman"/>
                <w:bCs/>
                <w:sz w:val="28"/>
                <w:szCs w:val="28"/>
              </w:rPr>
              <w:t xml:space="preserve">Šajā punktā minētais kopējais </w:t>
            </w:r>
            <w:r w:rsidR="00E56319" w:rsidRPr="00B638DD">
              <w:rPr>
                <w:rFonts w:ascii="Times New Roman" w:hAnsi="Times New Roman" w:cs="Times New Roman"/>
                <w:sz w:val="28"/>
                <w:szCs w:val="28"/>
              </w:rPr>
              <w:t>muzeja pasākumu biļešu</w:t>
            </w:r>
            <w:r w:rsidR="00E56319" w:rsidRPr="00B638DD">
              <w:rPr>
                <w:rFonts w:ascii="Times New Roman" w:hAnsi="Times New Roman" w:cs="Times New Roman"/>
                <w:bCs/>
                <w:sz w:val="28"/>
                <w:szCs w:val="28"/>
              </w:rPr>
              <w:t xml:space="preserve"> skaits gada laikā tiek aprēķināts, ņemot vērā iepriekšējā gada kopējo</w:t>
            </w:r>
            <w:r w:rsidR="0091245E" w:rsidRPr="00B638DD">
              <w:rPr>
                <w:rFonts w:ascii="Times New Roman" w:hAnsi="Times New Roman" w:cs="Times New Roman"/>
                <w:bCs/>
                <w:sz w:val="28"/>
                <w:szCs w:val="28"/>
              </w:rPr>
              <w:t>s</w:t>
            </w:r>
            <w:r w:rsidR="00E56319" w:rsidRPr="00B638DD">
              <w:rPr>
                <w:rFonts w:ascii="Times New Roman" w:hAnsi="Times New Roman" w:cs="Times New Roman"/>
                <w:bCs/>
                <w:sz w:val="28"/>
                <w:szCs w:val="28"/>
              </w:rPr>
              <w:t xml:space="preserve"> </w:t>
            </w:r>
            <w:r w:rsidR="00E56319" w:rsidRPr="00B638DD">
              <w:rPr>
                <w:rFonts w:ascii="Times New Roman" w:hAnsi="Times New Roman" w:cs="Times New Roman"/>
                <w:sz w:val="28"/>
                <w:szCs w:val="28"/>
              </w:rPr>
              <w:t>muzeja pasākumu biļešu</w:t>
            </w:r>
            <w:r w:rsidR="00E56319" w:rsidRPr="00B638DD">
              <w:rPr>
                <w:rFonts w:ascii="Times New Roman" w:hAnsi="Times New Roman" w:cs="Times New Roman"/>
                <w:bCs/>
                <w:sz w:val="28"/>
                <w:szCs w:val="28"/>
              </w:rPr>
              <w:t xml:space="preserve"> skaita rādītājus, kas ir apkopoti muzeja kārtējā gada pasākumu plānā.</w:t>
            </w:r>
          </w:p>
          <w:p w:rsidR="00B721B8" w:rsidRPr="00AA2167" w:rsidRDefault="00CF0762" w:rsidP="00B638DD">
            <w:pPr>
              <w:tabs>
                <w:tab w:val="left" w:pos="1134"/>
                <w:tab w:val="left" w:pos="5136"/>
              </w:tabs>
              <w:ind w:firstLine="567"/>
              <w:jc w:val="both"/>
              <w:rPr>
                <w:rFonts w:ascii="Times New Roman" w:hAnsi="Times New Roman" w:cs="Times New Roman"/>
                <w:sz w:val="28"/>
                <w:szCs w:val="28"/>
              </w:rPr>
            </w:pPr>
            <w:r w:rsidRPr="00B638DD">
              <w:rPr>
                <w:rFonts w:ascii="Times New Roman" w:hAnsi="Times New Roman" w:cs="Times New Roman"/>
                <w:sz w:val="28"/>
                <w:szCs w:val="28"/>
              </w:rPr>
              <w:t xml:space="preserve">Projekta </w:t>
            </w:r>
            <w:r w:rsidR="00973D61" w:rsidRPr="00B638DD">
              <w:rPr>
                <w:rFonts w:ascii="Times New Roman" w:hAnsi="Times New Roman" w:cs="Times New Roman"/>
                <w:sz w:val="28"/>
                <w:szCs w:val="28"/>
              </w:rPr>
              <w:t>6</w:t>
            </w:r>
            <w:r w:rsidR="003E5B18" w:rsidRPr="00B638DD">
              <w:rPr>
                <w:rFonts w:ascii="Times New Roman" w:hAnsi="Times New Roman" w:cs="Times New Roman"/>
                <w:sz w:val="28"/>
                <w:szCs w:val="28"/>
              </w:rPr>
              <w:t xml:space="preserve">.punkts paredz </w:t>
            </w:r>
            <w:r w:rsidR="00544CE1" w:rsidRPr="00B638DD">
              <w:rPr>
                <w:rFonts w:ascii="Times New Roman" w:hAnsi="Times New Roman" w:cs="Times New Roman"/>
                <w:sz w:val="28"/>
                <w:szCs w:val="28"/>
              </w:rPr>
              <w:t>piemērot</w:t>
            </w:r>
            <w:r w:rsidR="003E5B18" w:rsidRPr="00B638DD">
              <w:rPr>
                <w:rFonts w:ascii="Times New Roman" w:hAnsi="Times New Roman" w:cs="Times New Roman"/>
                <w:sz w:val="28"/>
                <w:szCs w:val="28"/>
              </w:rPr>
              <w:t xml:space="preserve"> </w:t>
            </w:r>
            <w:r w:rsidR="00453637" w:rsidRPr="00B638DD">
              <w:rPr>
                <w:rFonts w:ascii="Times New Roman" w:hAnsi="Times New Roman" w:cs="Times New Roman"/>
                <w:sz w:val="28"/>
                <w:szCs w:val="28"/>
              </w:rPr>
              <w:t xml:space="preserve">šādas </w:t>
            </w:r>
            <w:r w:rsidR="00B721B8" w:rsidRPr="00B638DD">
              <w:rPr>
                <w:rFonts w:ascii="Times New Roman" w:hAnsi="Times New Roman" w:cs="Times New Roman"/>
                <w:sz w:val="28"/>
                <w:szCs w:val="28"/>
              </w:rPr>
              <w:t>atlaid</w:t>
            </w:r>
            <w:r w:rsidR="00544CE1" w:rsidRPr="00B638DD">
              <w:rPr>
                <w:rFonts w:ascii="Times New Roman" w:hAnsi="Times New Roman" w:cs="Times New Roman"/>
                <w:sz w:val="28"/>
                <w:szCs w:val="28"/>
              </w:rPr>
              <w:t>es</w:t>
            </w:r>
            <w:r w:rsidR="00B721B8" w:rsidRPr="00B638DD">
              <w:rPr>
                <w:rFonts w:ascii="Times New Roman" w:hAnsi="Times New Roman" w:cs="Times New Roman"/>
                <w:sz w:val="28"/>
                <w:szCs w:val="28"/>
              </w:rPr>
              <w:t xml:space="preserve"> </w:t>
            </w:r>
            <w:r w:rsidR="00AA2167" w:rsidRPr="00B638DD">
              <w:rPr>
                <w:rFonts w:ascii="Times New Roman" w:hAnsi="Times New Roman" w:cs="Times New Roman"/>
                <w:sz w:val="28"/>
                <w:szCs w:val="28"/>
              </w:rPr>
              <w:t>p</w:t>
            </w:r>
            <w:r w:rsidR="00B721B8" w:rsidRPr="00B638DD">
              <w:rPr>
                <w:rFonts w:ascii="Times New Roman" w:hAnsi="Times New Roman" w:cs="Times New Roman"/>
                <w:sz w:val="28"/>
                <w:szCs w:val="28"/>
              </w:rPr>
              <w:t>ar cenrāža 1. un 2.punktā minētajiem pakalpojumiem</w:t>
            </w:r>
            <w:r w:rsidR="00B721B8" w:rsidRPr="008B48B6">
              <w:rPr>
                <w:rFonts w:ascii="Times New Roman" w:hAnsi="Times New Roman" w:cs="Times New Roman"/>
                <w:sz w:val="28"/>
                <w:szCs w:val="28"/>
              </w:rPr>
              <w:t xml:space="preserve"> muzeja noteiktajās</w:t>
            </w:r>
            <w:r w:rsidR="00B721B8" w:rsidRPr="00AA2167">
              <w:rPr>
                <w:rFonts w:ascii="Times New Roman" w:hAnsi="Times New Roman" w:cs="Times New Roman"/>
                <w:sz w:val="28"/>
                <w:szCs w:val="28"/>
              </w:rPr>
              <w:t xml:space="preserve"> akciju d</w:t>
            </w:r>
            <w:r w:rsidR="00AA2167" w:rsidRPr="00AA2167">
              <w:rPr>
                <w:rFonts w:ascii="Times New Roman" w:hAnsi="Times New Roman" w:cs="Times New Roman"/>
                <w:sz w:val="28"/>
                <w:szCs w:val="28"/>
              </w:rPr>
              <w:t>ienās:</w:t>
            </w:r>
          </w:p>
          <w:p w:rsidR="00AA2167" w:rsidRPr="00AA2167" w:rsidRDefault="00AA2167" w:rsidP="00B638DD">
            <w:pPr>
              <w:tabs>
                <w:tab w:val="left" w:pos="1134"/>
                <w:tab w:val="left" w:pos="5136"/>
              </w:tabs>
              <w:ind w:firstLine="567"/>
              <w:jc w:val="both"/>
              <w:rPr>
                <w:rFonts w:ascii="Times New Roman" w:hAnsi="Times New Roman" w:cs="Times New Roman"/>
                <w:sz w:val="28"/>
                <w:szCs w:val="28"/>
              </w:rPr>
            </w:pPr>
            <w:r w:rsidRPr="00AA2167">
              <w:rPr>
                <w:rFonts w:ascii="Times New Roman" w:hAnsi="Times New Roman" w:cs="Times New Roman"/>
                <w:sz w:val="28"/>
                <w:szCs w:val="28"/>
              </w:rPr>
              <w:t>1. muzeja tematiskās akcijas – 100% atlaide;</w:t>
            </w:r>
          </w:p>
          <w:p w:rsidR="00AA2167" w:rsidRPr="00AA2167" w:rsidRDefault="00AA2167" w:rsidP="00B638DD">
            <w:pPr>
              <w:tabs>
                <w:tab w:val="left" w:pos="1134"/>
                <w:tab w:val="left" w:pos="5136"/>
              </w:tabs>
              <w:ind w:firstLine="567"/>
              <w:jc w:val="both"/>
              <w:rPr>
                <w:rFonts w:ascii="Times New Roman" w:hAnsi="Times New Roman" w:cs="Times New Roman"/>
                <w:sz w:val="28"/>
                <w:szCs w:val="28"/>
              </w:rPr>
            </w:pPr>
            <w:r w:rsidRPr="00AA2167">
              <w:rPr>
                <w:rFonts w:ascii="Times New Roman" w:hAnsi="Times New Roman" w:cs="Times New Roman"/>
                <w:sz w:val="28"/>
                <w:szCs w:val="28"/>
              </w:rPr>
              <w:t>2. citas muzeja akcijas – 75% atlaide;</w:t>
            </w:r>
          </w:p>
          <w:p w:rsidR="00AA2167" w:rsidRPr="00AA2167" w:rsidRDefault="00AA2167" w:rsidP="00B638DD">
            <w:pPr>
              <w:tabs>
                <w:tab w:val="left" w:pos="1134"/>
                <w:tab w:val="left" w:pos="5136"/>
              </w:tabs>
              <w:ind w:firstLine="567"/>
              <w:jc w:val="both"/>
              <w:rPr>
                <w:rFonts w:ascii="Times New Roman" w:hAnsi="Times New Roman" w:cs="Times New Roman"/>
                <w:sz w:val="28"/>
                <w:szCs w:val="28"/>
              </w:rPr>
            </w:pPr>
            <w:r w:rsidRPr="00AA2167">
              <w:rPr>
                <w:rFonts w:ascii="Times New Roman" w:hAnsi="Times New Roman" w:cs="Times New Roman"/>
                <w:sz w:val="28"/>
                <w:szCs w:val="28"/>
              </w:rPr>
              <w:t>3. akcijas sadarbībā ar citiem kultūras, izglītības un tūrisma pakalpojumu sniedzējiem – 50 %</w:t>
            </w:r>
            <w:r w:rsidR="00B64426">
              <w:rPr>
                <w:rFonts w:ascii="Times New Roman" w:hAnsi="Times New Roman" w:cs="Times New Roman"/>
                <w:sz w:val="28"/>
                <w:szCs w:val="28"/>
              </w:rPr>
              <w:t xml:space="preserve"> atlaide.</w:t>
            </w:r>
          </w:p>
          <w:p w:rsidR="00E46F30" w:rsidRDefault="003E5B18" w:rsidP="00B638DD">
            <w:pPr>
              <w:tabs>
                <w:tab w:val="left" w:pos="1134"/>
                <w:tab w:val="left" w:pos="5136"/>
              </w:tabs>
              <w:ind w:firstLine="567"/>
              <w:jc w:val="both"/>
              <w:rPr>
                <w:rFonts w:ascii="Times New Roman" w:hAnsi="Times New Roman" w:cs="Times New Roman"/>
                <w:sz w:val="28"/>
                <w:szCs w:val="28"/>
              </w:rPr>
            </w:pPr>
            <w:r w:rsidRPr="00AA2167">
              <w:rPr>
                <w:rFonts w:ascii="Times New Roman" w:hAnsi="Times New Roman" w:cs="Times New Roman"/>
                <w:sz w:val="28"/>
                <w:szCs w:val="28"/>
              </w:rPr>
              <w:t>Paplašinoties muzeja piedāvājumam, muzeja publisko maksas pakalpojumu cenrādi nepieciešams papildināt ar jau</w:t>
            </w:r>
            <w:r w:rsidR="00F12F9E">
              <w:rPr>
                <w:rFonts w:ascii="Times New Roman" w:hAnsi="Times New Roman" w:cs="Times New Roman"/>
                <w:sz w:val="28"/>
                <w:szCs w:val="28"/>
              </w:rPr>
              <w:t xml:space="preserve">niem publisko maksas pakalpojumiem atbilstoši </w:t>
            </w:r>
            <w:r w:rsidRPr="00E24C2E">
              <w:rPr>
                <w:rFonts w:ascii="Times New Roman" w:hAnsi="Times New Roman" w:cs="Times New Roman"/>
                <w:sz w:val="28"/>
                <w:szCs w:val="28"/>
              </w:rPr>
              <w:t>faktiskajai situācijai un sabie</w:t>
            </w:r>
            <w:r w:rsidR="009C74D2">
              <w:rPr>
                <w:rFonts w:ascii="Times New Roman" w:hAnsi="Times New Roman" w:cs="Times New Roman"/>
                <w:sz w:val="28"/>
                <w:szCs w:val="28"/>
              </w:rPr>
              <w:t>drības pieprasījumam –</w:t>
            </w:r>
            <w:r w:rsidRPr="00E24C2E">
              <w:rPr>
                <w:rFonts w:ascii="Times New Roman" w:hAnsi="Times New Roman" w:cs="Times New Roman"/>
                <w:sz w:val="28"/>
                <w:szCs w:val="28"/>
                <w:lang w:eastAsia="lv-LV"/>
              </w:rPr>
              <w:t xml:space="preserve">Turaidas baznīcas telpas izmantošana un </w:t>
            </w:r>
            <w:r w:rsidRPr="00E24C2E">
              <w:rPr>
                <w:rFonts w:ascii="Times New Roman" w:hAnsi="Times New Roman" w:cs="Times New Roman"/>
                <w:sz w:val="28"/>
                <w:szCs w:val="28"/>
              </w:rPr>
              <w:t xml:space="preserve">ar </w:t>
            </w:r>
            <w:r w:rsidR="009A6373" w:rsidRPr="00E24C2E">
              <w:rPr>
                <w:rFonts w:ascii="Times New Roman" w:hAnsi="Times New Roman" w:cs="Times New Roman"/>
                <w:sz w:val="28"/>
                <w:szCs w:val="28"/>
              </w:rPr>
              <w:t xml:space="preserve">muzeja </w:t>
            </w:r>
            <w:r w:rsidRPr="00E24C2E">
              <w:rPr>
                <w:rFonts w:ascii="Times New Roman" w:hAnsi="Times New Roman" w:cs="Times New Roman"/>
                <w:sz w:val="28"/>
                <w:szCs w:val="28"/>
              </w:rPr>
              <w:t xml:space="preserve">teritorijas izmantošanu kultūras, sporta, </w:t>
            </w:r>
            <w:r w:rsidRPr="00E46F30">
              <w:rPr>
                <w:rFonts w:ascii="Times New Roman" w:hAnsi="Times New Roman" w:cs="Times New Roman"/>
                <w:sz w:val="28"/>
                <w:szCs w:val="28"/>
              </w:rPr>
              <w:t>tūrisma un citiem pasākumiem saistītā inventāra noma</w:t>
            </w:r>
            <w:r w:rsidR="00973D61">
              <w:rPr>
                <w:rFonts w:ascii="Times New Roman" w:hAnsi="Times New Roman" w:cs="Times New Roman"/>
                <w:sz w:val="28"/>
                <w:szCs w:val="28"/>
              </w:rPr>
              <w:t xml:space="preserve"> (Projekta 14</w:t>
            </w:r>
            <w:r w:rsidR="00F12F9E" w:rsidRPr="00E46F30">
              <w:rPr>
                <w:rFonts w:ascii="Times New Roman" w:hAnsi="Times New Roman" w:cs="Times New Roman"/>
                <w:sz w:val="28"/>
                <w:szCs w:val="28"/>
              </w:rPr>
              <w:t>.punkts)</w:t>
            </w:r>
            <w:r w:rsidRPr="00E46F30">
              <w:rPr>
                <w:rFonts w:ascii="Times New Roman" w:hAnsi="Times New Roman" w:cs="Times New Roman"/>
                <w:sz w:val="28"/>
                <w:szCs w:val="28"/>
              </w:rPr>
              <w:t>.</w:t>
            </w:r>
          </w:p>
          <w:p w:rsidR="00F12F9E" w:rsidRPr="0057544C" w:rsidRDefault="00E46F30" w:rsidP="00B638DD">
            <w:pPr>
              <w:tabs>
                <w:tab w:val="left" w:pos="1134"/>
                <w:tab w:val="left" w:pos="5136"/>
              </w:tabs>
              <w:ind w:firstLine="567"/>
              <w:jc w:val="both"/>
              <w:rPr>
                <w:rFonts w:ascii="Times New Roman" w:eastAsia="Times New Roman" w:hAnsi="Times New Roman" w:cs="Times New Roman"/>
                <w:sz w:val="28"/>
                <w:szCs w:val="28"/>
              </w:rPr>
            </w:pPr>
            <w:r w:rsidRPr="00E46F30">
              <w:rPr>
                <w:rFonts w:ascii="Times New Roman" w:eastAsia="Times New Roman" w:hAnsi="Times New Roman" w:cs="Times New Roman"/>
                <w:sz w:val="28"/>
                <w:szCs w:val="28"/>
              </w:rPr>
              <w:t>Sakarā ar diennakts tumšā laika iestāšanos oktobrī jau ap plkst.19.00,</w:t>
            </w:r>
            <w:r w:rsidR="00767B90">
              <w:rPr>
                <w:rFonts w:ascii="Times New Roman" w:hAnsi="Times New Roman" w:cs="Times New Roman"/>
                <w:sz w:val="28"/>
                <w:szCs w:val="28"/>
              </w:rPr>
              <w:t xml:space="preserve"> Projekta 1</w:t>
            </w:r>
            <w:r w:rsidR="00973D61">
              <w:rPr>
                <w:rFonts w:ascii="Times New Roman" w:hAnsi="Times New Roman" w:cs="Times New Roman"/>
                <w:sz w:val="28"/>
                <w:szCs w:val="28"/>
              </w:rPr>
              <w:t>1</w:t>
            </w:r>
            <w:r w:rsidR="00767B90">
              <w:rPr>
                <w:rFonts w:ascii="Times New Roman" w:hAnsi="Times New Roman" w:cs="Times New Roman"/>
                <w:sz w:val="28"/>
                <w:szCs w:val="28"/>
              </w:rPr>
              <w:t>.punktā</w:t>
            </w:r>
            <w:r w:rsidRPr="00E46F30">
              <w:rPr>
                <w:rFonts w:ascii="Times New Roman" w:eastAsia="Times New Roman" w:hAnsi="Times New Roman" w:cs="Times New Roman"/>
                <w:sz w:val="28"/>
                <w:szCs w:val="28"/>
              </w:rPr>
              <w:t xml:space="preserve"> samazināts</w:t>
            </w:r>
            <w:r w:rsidR="00767B90">
              <w:rPr>
                <w:rFonts w:ascii="Times New Roman" w:eastAsia="Times New Roman" w:hAnsi="Times New Roman" w:cs="Times New Roman"/>
                <w:sz w:val="28"/>
                <w:szCs w:val="28"/>
              </w:rPr>
              <w:t xml:space="preserve"> </w:t>
            </w:r>
            <w:r w:rsidR="002C330C">
              <w:rPr>
                <w:rFonts w:ascii="Times New Roman" w:eastAsia="Times New Roman" w:hAnsi="Times New Roman" w:cs="Times New Roman"/>
                <w:sz w:val="28"/>
                <w:szCs w:val="28"/>
              </w:rPr>
              <w:t>muzeja</w:t>
            </w:r>
            <w:r w:rsidRPr="00E46F30">
              <w:rPr>
                <w:rFonts w:ascii="Times New Roman" w:eastAsia="Times New Roman" w:hAnsi="Times New Roman" w:cs="Times New Roman"/>
                <w:sz w:val="28"/>
                <w:szCs w:val="28"/>
              </w:rPr>
              <w:t xml:space="preserve"> brīvdabas ekspozīcijas papildus pieejamības laiks par</w:t>
            </w:r>
            <w:r w:rsidR="00AF3703">
              <w:rPr>
                <w:rFonts w:ascii="Times New Roman" w:eastAsia="Times New Roman" w:hAnsi="Times New Roman" w:cs="Times New Roman"/>
                <w:sz w:val="28"/>
                <w:szCs w:val="28"/>
              </w:rPr>
              <w:t xml:space="preserve"> </w:t>
            </w:r>
            <w:r w:rsidR="004A2674">
              <w:rPr>
                <w:rFonts w:ascii="Times New Roman" w:eastAsia="Times New Roman" w:hAnsi="Times New Roman" w:cs="Times New Roman"/>
                <w:sz w:val="28"/>
                <w:szCs w:val="28"/>
              </w:rPr>
              <w:t>1 stundu, jo muzeju</w:t>
            </w:r>
            <w:r w:rsidRPr="00E46F30">
              <w:rPr>
                <w:rFonts w:ascii="Times New Roman" w:eastAsia="Times New Roman" w:hAnsi="Times New Roman" w:cs="Times New Roman"/>
                <w:sz w:val="28"/>
                <w:szCs w:val="28"/>
              </w:rPr>
              <w:t xml:space="preserve"> nav </w:t>
            </w:r>
            <w:r w:rsidR="004A2674">
              <w:rPr>
                <w:rFonts w:ascii="Times New Roman" w:eastAsia="Times New Roman" w:hAnsi="Times New Roman" w:cs="Times New Roman"/>
                <w:sz w:val="28"/>
                <w:szCs w:val="28"/>
              </w:rPr>
              <w:t xml:space="preserve">iespējams </w:t>
            </w:r>
            <w:r w:rsidRPr="00E46F30">
              <w:rPr>
                <w:rFonts w:ascii="Times New Roman" w:eastAsia="Times New Roman" w:hAnsi="Times New Roman" w:cs="Times New Roman"/>
                <w:sz w:val="28"/>
                <w:szCs w:val="28"/>
              </w:rPr>
              <w:t>apskat</w:t>
            </w:r>
            <w:r w:rsidR="004A2674">
              <w:rPr>
                <w:rFonts w:ascii="Times New Roman" w:eastAsia="Times New Roman" w:hAnsi="Times New Roman" w:cs="Times New Roman"/>
                <w:sz w:val="28"/>
                <w:szCs w:val="28"/>
              </w:rPr>
              <w:t>īt</w:t>
            </w:r>
            <w:r w:rsidRPr="00E46F30">
              <w:rPr>
                <w:rFonts w:ascii="Times New Roman" w:eastAsia="Times New Roman" w:hAnsi="Times New Roman" w:cs="Times New Roman"/>
                <w:sz w:val="28"/>
                <w:szCs w:val="28"/>
              </w:rPr>
              <w:t xml:space="preserve"> tumsā un izgaismot </w:t>
            </w:r>
            <w:r w:rsidR="004A2674">
              <w:rPr>
                <w:rFonts w:ascii="Times New Roman" w:eastAsia="Times New Roman" w:hAnsi="Times New Roman" w:cs="Times New Roman"/>
                <w:sz w:val="28"/>
                <w:szCs w:val="28"/>
              </w:rPr>
              <w:t xml:space="preserve">visu muzeja </w:t>
            </w:r>
            <w:r w:rsidRPr="00E46F30">
              <w:rPr>
                <w:rFonts w:ascii="Times New Roman" w:eastAsia="Times New Roman" w:hAnsi="Times New Roman" w:cs="Times New Roman"/>
                <w:sz w:val="28"/>
                <w:szCs w:val="28"/>
              </w:rPr>
              <w:t xml:space="preserve">teritoriju šobrīd </w:t>
            </w:r>
            <w:r w:rsidRPr="00F505DD">
              <w:rPr>
                <w:rFonts w:ascii="Times New Roman" w:eastAsia="Times New Roman" w:hAnsi="Times New Roman" w:cs="Times New Roman"/>
                <w:sz w:val="28"/>
                <w:szCs w:val="28"/>
              </w:rPr>
              <w:t xml:space="preserve">nav iespējams. Līdz ar to </w:t>
            </w:r>
            <w:r w:rsidR="004A2674" w:rsidRPr="00F505DD">
              <w:rPr>
                <w:rFonts w:ascii="Times New Roman" w:eastAsia="Times New Roman" w:hAnsi="Times New Roman" w:cs="Times New Roman"/>
                <w:sz w:val="28"/>
                <w:szCs w:val="28"/>
              </w:rPr>
              <w:t xml:space="preserve">cenrāža </w:t>
            </w:r>
            <w:r w:rsidR="003A672B">
              <w:rPr>
                <w:rFonts w:ascii="Times New Roman" w:eastAsia="Times New Roman" w:hAnsi="Times New Roman" w:cs="Times New Roman"/>
                <w:sz w:val="28"/>
                <w:szCs w:val="28"/>
              </w:rPr>
              <w:t>3</w:t>
            </w:r>
            <w:r w:rsidRPr="00F505DD">
              <w:rPr>
                <w:rFonts w:ascii="Times New Roman" w:eastAsia="Times New Roman" w:hAnsi="Times New Roman" w:cs="Times New Roman"/>
                <w:sz w:val="28"/>
                <w:szCs w:val="28"/>
              </w:rPr>
              <w:t>.punktā minētais pakalpojums</w:t>
            </w:r>
            <w:r w:rsidR="004A2674" w:rsidRPr="00F505DD">
              <w:rPr>
                <w:rFonts w:ascii="Times New Roman" w:eastAsia="Times New Roman" w:hAnsi="Times New Roman" w:cs="Times New Roman"/>
                <w:sz w:val="28"/>
                <w:szCs w:val="28"/>
              </w:rPr>
              <w:t xml:space="preserve"> būs pieejams</w:t>
            </w:r>
            <w:r w:rsidR="00F505DD">
              <w:rPr>
                <w:rFonts w:ascii="Times New Roman" w:eastAsia="Times New Roman" w:hAnsi="Times New Roman" w:cs="Times New Roman"/>
                <w:sz w:val="28"/>
                <w:szCs w:val="28"/>
              </w:rPr>
              <w:t xml:space="preserve"> </w:t>
            </w:r>
            <w:r w:rsidR="00F505DD" w:rsidRPr="00F505DD">
              <w:rPr>
                <w:rFonts w:ascii="Times New Roman" w:hAnsi="Times New Roman" w:cs="Times New Roman"/>
                <w:sz w:val="28"/>
                <w:szCs w:val="28"/>
              </w:rPr>
              <w:t>no 1.maija līdz 31.septembrim katru dienu no plkst.9.00 līdz plkst.10.00 un no plkst.18.00 līdz plkst.20.00 un</w:t>
            </w:r>
            <w:r w:rsidR="00F505DD" w:rsidRPr="00F505DD">
              <w:rPr>
                <w:rFonts w:ascii="Times New Roman" w:hAnsi="Times New Roman" w:cs="Times New Roman"/>
                <w:sz w:val="28"/>
                <w:szCs w:val="28"/>
                <w:lang w:eastAsia="lv-LV"/>
              </w:rPr>
              <w:t xml:space="preserve"> no 1.oktobra līdz 31.oktobrim katru dienu no plkst.9.00 līdz plkst.10.00 un no </w:t>
            </w:r>
            <w:r w:rsidR="00F505DD" w:rsidRPr="0057544C">
              <w:rPr>
                <w:rFonts w:ascii="Times New Roman" w:hAnsi="Times New Roman" w:cs="Times New Roman"/>
                <w:sz w:val="28"/>
                <w:szCs w:val="28"/>
                <w:lang w:eastAsia="lv-LV"/>
              </w:rPr>
              <w:t>plkst.18.00 līdz plkst.19.00.</w:t>
            </w:r>
            <w:r w:rsidR="0018596B" w:rsidRPr="0057544C">
              <w:rPr>
                <w:rFonts w:ascii="Times New Roman" w:hAnsi="Times New Roman" w:cs="Times New Roman"/>
                <w:sz w:val="28"/>
                <w:szCs w:val="28"/>
                <w:lang w:eastAsia="lv-LV"/>
              </w:rPr>
              <w:t xml:space="preserve"> </w:t>
            </w:r>
            <w:r w:rsidR="00973D61" w:rsidRPr="0057544C">
              <w:rPr>
                <w:rFonts w:ascii="Times New Roman" w:hAnsi="Times New Roman" w:cs="Times New Roman"/>
                <w:sz w:val="28"/>
                <w:szCs w:val="28"/>
              </w:rPr>
              <w:t>Projekta 1</w:t>
            </w:r>
            <w:r w:rsidR="00723C80" w:rsidRPr="0057544C">
              <w:rPr>
                <w:rFonts w:ascii="Times New Roman" w:hAnsi="Times New Roman" w:cs="Times New Roman"/>
                <w:sz w:val="28"/>
                <w:szCs w:val="28"/>
              </w:rPr>
              <w:t>6</w:t>
            </w:r>
            <w:r w:rsidR="00F505DD" w:rsidRPr="0057544C">
              <w:rPr>
                <w:rFonts w:ascii="Times New Roman" w:hAnsi="Times New Roman" w:cs="Times New Roman"/>
                <w:sz w:val="28"/>
                <w:szCs w:val="28"/>
              </w:rPr>
              <w:t xml:space="preserve">.punktā redakcionāli ir </w:t>
            </w:r>
            <w:r w:rsidR="00F12F9E" w:rsidRPr="0057544C">
              <w:rPr>
                <w:rFonts w:ascii="Times New Roman" w:hAnsi="Times New Roman" w:cs="Times New Roman"/>
                <w:sz w:val="28"/>
                <w:szCs w:val="28"/>
              </w:rPr>
              <w:t>precizē</w:t>
            </w:r>
            <w:r w:rsidR="00F505DD" w:rsidRPr="0057544C">
              <w:rPr>
                <w:rFonts w:ascii="Times New Roman" w:hAnsi="Times New Roman" w:cs="Times New Roman"/>
                <w:sz w:val="28"/>
                <w:szCs w:val="28"/>
              </w:rPr>
              <w:t>ta</w:t>
            </w:r>
            <w:r w:rsidR="00F12F9E" w:rsidRPr="0057544C">
              <w:rPr>
                <w:rFonts w:ascii="Times New Roman" w:hAnsi="Times New Roman" w:cs="Times New Roman"/>
                <w:sz w:val="28"/>
                <w:szCs w:val="28"/>
              </w:rPr>
              <w:t xml:space="preserve"> </w:t>
            </w:r>
            <w:r w:rsidR="00F505DD" w:rsidRPr="0057544C">
              <w:rPr>
                <w:rFonts w:ascii="Times New Roman" w:hAnsi="Times New Roman" w:cs="Times New Roman"/>
                <w:sz w:val="28"/>
                <w:szCs w:val="28"/>
              </w:rPr>
              <w:t xml:space="preserve">cenrāža 2.piezīme, lai novērstu </w:t>
            </w:r>
            <w:r w:rsidR="00AB2F8E" w:rsidRPr="0057544C">
              <w:rPr>
                <w:rFonts w:ascii="Times New Roman" w:hAnsi="Times New Roman" w:cs="Times New Roman"/>
                <w:sz w:val="28"/>
                <w:szCs w:val="28"/>
              </w:rPr>
              <w:t xml:space="preserve">tās </w:t>
            </w:r>
            <w:r w:rsidR="00F505DD" w:rsidRPr="0057544C">
              <w:rPr>
                <w:rFonts w:ascii="Times New Roman" w:hAnsi="Times New Roman" w:cs="Times New Roman"/>
                <w:sz w:val="28"/>
                <w:szCs w:val="28"/>
              </w:rPr>
              <w:t xml:space="preserve">teksta dublēšanos ar cenrāža </w:t>
            </w:r>
            <w:r w:rsidR="003A672B" w:rsidRPr="0057544C">
              <w:rPr>
                <w:rFonts w:ascii="Times New Roman" w:hAnsi="Times New Roman" w:cs="Times New Roman"/>
                <w:sz w:val="28"/>
                <w:szCs w:val="28"/>
              </w:rPr>
              <w:t>3</w:t>
            </w:r>
            <w:r w:rsidR="00106999" w:rsidRPr="0057544C">
              <w:rPr>
                <w:rFonts w:ascii="Times New Roman" w:hAnsi="Times New Roman" w:cs="Times New Roman"/>
                <w:sz w:val="28"/>
                <w:szCs w:val="28"/>
              </w:rPr>
              <w:t>.punktā noteikto</w:t>
            </w:r>
            <w:r w:rsidR="00F12F9E" w:rsidRPr="0057544C">
              <w:rPr>
                <w:rFonts w:ascii="Times New Roman" w:hAnsi="Times New Roman" w:cs="Times New Roman"/>
                <w:sz w:val="28"/>
                <w:szCs w:val="28"/>
              </w:rPr>
              <w:t>.</w:t>
            </w:r>
          </w:p>
          <w:p w:rsidR="0018596B" w:rsidRPr="0057544C" w:rsidRDefault="009C74D2" w:rsidP="00B638DD">
            <w:pPr>
              <w:tabs>
                <w:tab w:val="left" w:pos="1134"/>
                <w:tab w:val="left" w:pos="5136"/>
              </w:tabs>
              <w:ind w:firstLine="567"/>
              <w:jc w:val="both"/>
              <w:rPr>
                <w:rFonts w:ascii="Times New Roman" w:hAnsi="Times New Roman" w:cs="Times New Roman"/>
                <w:sz w:val="28"/>
                <w:szCs w:val="28"/>
              </w:rPr>
            </w:pPr>
            <w:r w:rsidRPr="00B638DD">
              <w:rPr>
                <w:rFonts w:ascii="Times New Roman" w:hAnsi="Times New Roman" w:cs="Times New Roman"/>
                <w:sz w:val="28"/>
                <w:szCs w:val="28"/>
              </w:rPr>
              <w:t>Vienlaikus P</w:t>
            </w:r>
            <w:r w:rsidR="00652582" w:rsidRPr="00B638DD">
              <w:rPr>
                <w:rFonts w:ascii="Times New Roman" w:hAnsi="Times New Roman" w:cs="Times New Roman"/>
                <w:sz w:val="28"/>
                <w:szCs w:val="28"/>
              </w:rPr>
              <w:t xml:space="preserve">rojekta </w:t>
            </w:r>
            <w:r w:rsidR="001310FC" w:rsidRPr="00B638DD">
              <w:rPr>
                <w:rFonts w:ascii="Times New Roman" w:hAnsi="Times New Roman" w:cs="Times New Roman"/>
                <w:sz w:val="28"/>
                <w:szCs w:val="28"/>
              </w:rPr>
              <w:t xml:space="preserve">1., </w:t>
            </w:r>
            <w:r w:rsidR="00973D61" w:rsidRPr="00B638DD">
              <w:rPr>
                <w:rFonts w:ascii="Times New Roman" w:hAnsi="Times New Roman" w:cs="Times New Roman"/>
                <w:sz w:val="28"/>
                <w:szCs w:val="28"/>
              </w:rPr>
              <w:t>2</w:t>
            </w:r>
            <w:r w:rsidR="00652582" w:rsidRPr="00B638DD">
              <w:rPr>
                <w:rFonts w:ascii="Times New Roman" w:hAnsi="Times New Roman" w:cs="Times New Roman"/>
                <w:sz w:val="28"/>
                <w:szCs w:val="28"/>
              </w:rPr>
              <w:t xml:space="preserve">. un </w:t>
            </w:r>
            <w:r w:rsidR="00973D61" w:rsidRPr="00B638DD">
              <w:rPr>
                <w:rFonts w:ascii="Times New Roman" w:hAnsi="Times New Roman" w:cs="Times New Roman"/>
                <w:sz w:val="28"/>
                <w:szCs w:val="28"/>
              </w:rPr>
              <w:t>8</w:t>
            </w:r>
            <w:r w:rsidR="00652582" w:rsidRPr="00B638DD">
              <w:rPr>
                <w:rFonts w:ascii="Times New Roman" w:hAnsi="Times New Roman" w:cs="Times New Roman"/>
                <w:sz w:val="28"/>
                <w:szCs w:val="28"/>
              </w:rPr>
              <w:t>.punktā ir veikti grozījumi, lai nodrošinātu</w:t>
            </w:r>
            <w:r w:rsidRPr="00B638DD">
              <w:rPr>
                <w:rFonts w:ascii="Times New Roman" w:hAnsi="Times New Roman" w:cs="Times New Roman"/>
                <w:sz w:val="28"/>
                <w:szCs w:val="28"/>
              </w:rPr>
              <w:t xml:space="preserve"> </w:t>
            </w:r>
            <w:r w:rsidR="00DA217E" w:rsidRPr="00B638DD">
              <w:rPr>
                <w:rFonts w:ascii="Times New Roman" w:hAnsi="Times New Roman" w:cs="Times New Roman"/>
                <w:sz w:val="28"/>
                <w:szCs w:val="28"/>
              </w:rPr>
              <w:t xml:space="preserve">MK </w:t>
            </w:r>
            <w:r w:rsidR="00652582" w:rsidRPr="00B638DD">
              <w:rPr>
                <w:rFonts w:ascii="Times New Roman" w:hAnsi="Times New Roman" w:cs="Times New Roman"/>
                <w:sz w:val="28"/>
                <w:szCs w:val="28"/>
              </w:rPr>
              <w:t>noteikumu</w:t>
            </w:r>
            <w:r w:rsidR="00DA217E" w:rsidRPr="00B638DD">
              <w:rPr>
                <w:rFonts w:ascii="Times New Roman" w:hAnsi="Times New Roman" w:cs="Times New Roman"/>
                <w:sz w:val="28"/>
                <w:szCs w:val="28"/>
              </w:rPr>
              <w:t xml:space="preserve"> Nr.1029</w:t>
            </w:r>
            <w:r w:rsidR="00652582" w:rsidRPr="00B638DD">
              <w:rPr>
                <w:rFonts w:ascii="Times New Roman" w:hAnsi="Times New Roman" w:cs="Times New Roman"/>
                <w:sz w:val="28"/>
                <w:szCs w:val="28"/>
              </w:rPr>
              <w:t xml:space="preserve"> </w:t>
            </w:r>
            <w:r w:rsidR="001310FC" w:rsidRPr="00B638DD">
              <w:rPr>
                <w:rFonts w:ascii="Times New Roman" w:hAnsi="Times New Roman" w:cs="Times New Roman"/>
                <w:sz w:val="28"/>
                <w:szCs w:val="28"/>
              </w:rPr>
              <w:t xml:space="preserve">3.3., </w:t>
            </w:r>
            <w:r w:rsidR="00652582" w:rsidRPr="00B638DD">
              <w:rPr>
                <w:rFonts w:ascii="Times New Roman" w:hAnsi="Times New Roman" w:cs="Times New Roman"/>
                <w:sz w:val="28"/>
                <w:szCs w:val="28"/>
              </w:rPr>
              <w:t>3.4.apakšpunkta un 6.3.apakšpunkta atbilstību normatīvajos aktos noteiktajam regulējumam.</w:t>
            </w:r>
          </w:p>
          <w:p w:rsidR="0018596B" w:rsidRPr="00E02168" w:rsidRDefault="0018596B" w:rsidP="00B638DD">
            <w:pPr>
              <w:tabs>
                <w:tab w:val="left" w:pos="1134"/>
                <w:tab w:val="left" w:pos="5136"/>
              </w:tabs>
              <w:ind w:firstLine="567"/>
              <w:jc w:val="both"/>
              <w:rPr>
                <w:rFonts w:ascii="Times New Roman" w:hAnsi="Times New Roman" w:cs="Times New Roman"/>
                <w:sz w:val="28"/>
                <w:szCs w:val="28"/>
              </w:rPr>
            </w:pPr>
            <w:r w:rsidRPr="0057544C">
              <w:rPr>
                <w:rFonts w:ascii="Times New Roman" w:hAnsi="Times New Roman" w:cs="Times New Roman"/>
                <w:sz w:val="28"/>
                <w:szCs w:val="28"/>
              </w:rPr>
              <w:t>Muzeja apmeklējumiem un</w:t>
            </w:r>
            <w:r w:rsidRPr="00D15909">
              <w:rPr>
                <w:rFonts w:ascii="Times New Roman" w:hAnsi="Times New Roman" w:cs="Times New Roman"/>
                <w:sz w:val="28"/>
                <w:szCs w:val="28"/>
              </w:rPr>
              <w:t xml:space="preserve"> tā rīkotajiem kultūras un kultūrizglītības pasākumiem netiek piemērots pievienotās vērtības nodoklis (turpmāk – PVN) atbilstoši Pievienotās vērtības nodokļa likuma 52.panta pirmās daļas 17.punkta “d” apakšpunktam. Muzeja sniegtajiem pakalpojumiem, kas tieši nav </w:t>
            </w:r>
            <w:r w:rsidRPr="006D10E4">
              <w:rPr>
                <w:rFonts w:ascii="Times New Roman" w:hAnsi="Times New Roman" w:cs="Times New Roman"/>
                <w:sz w:val="28"/>
                <w:szCs w:val="28"/>
              </w:rPr>
              <w:t xml:space="preserve">saistīti ar kultūras vēstures izpēti, zinātni vai izglītību (proti, pakalpojumi, kas minēti </w:t>
            </w:r>
            <w:r w:rsidR="00AD2160" w:rsidRPr="006D10E4">
              <w:rPr>
                <w:rFonts w:ascii="Times New Roman" w:hAnsi="Times New Roman" w:cs="Times New Roman"/>
                <w:sz w:val="28"/>
                <w:szCs w:val="28"/>
              </w:rPr>
              <w:t>P</w:t>
            </w:r>
            <w:r w:rsidRPr="006D10E4">
              <w:rPr>
                <w:rFonts w:ascii="Times New Roman" w:hAnsi="Times New Roman" w:cs="Times New Roman"/>
                <w:sz w:val="28"/>
                <w:szCs w:val="28"/>
              </w:rPr>
              <w:t xml:space="preserve">rojekta </w:t>
            </w:r>
            <w:r w:rsidR="00364907" w:rsidRPr="006D10E4">
              <w:rPr>
                <w:rFonts w:ascii="Times New Roman" w:hAnsi="Times New Roman" w:cs="Times New Roman"/>
                <w:sz w:val="28"/>
                <w:szCs w:val="28"/>
              </w:rPr>
              <w:t>14. un 15.</w:t>
            </w:r>
            <w:r w:rsidRPr="006D10E4">
              <w:rPr>
                <w:rFonts w:ascii="Times New Roman" w:hAnsi="Times New Roman" w:cs="Times New Roman"/>
                <w:sz w:val="28"/>
                <w:szCs w:val="28"/>
              </w:rPr>
              <w:t>punktā), tiek piemērots PVN</w:t>
            </w:r>
            <w:r w:rsidRPr="00D15909">
              <w:rPr>
                <w:rFonts w:ascii="Times New Roman" w:hAnsi="Times New Roman" w:cs="Times New Roman"/>
                <w:sz w:val="28"/>
                <w:szCs w:val="28"/>
              </w:rPr>
              <w:t xml:space="preserve"> 21 procenta apmērā atbilstoši Pievienotās vērtības nodokļa likuma 41.panta pirmās daļas 1.punktam.</w:t>
            </w:r>
          </w:p>
        </w:tc>
      </w:tr>
      <w:tr w:rsidR="001072C0" w:rsidRPr="00E02168" w:rsidTr="00B638DD">
        <w:tc>
          <w:tcPr>
            <w:tcW w:w="399"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lastRenderedPageBreak/>
              <w:t>3.</w:t>
            </w:r>
          </w:p>
        </w:tc>
        <w:tc>
          <w:tcPr>
            <w:tcW w:w="1720"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 Projekta izstrādē iesaistītās  institūcijas</w:t>
            </w:r>
          </w:p>
        </w:tc>
        <w:tc>
          <w:tcPr>
            <w:tcW w:w="2881"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both"/>
              <w:rPr>
                <w:sz w:val="28"/>
                <w:szCs w:val="28"/>
              </w:rPr>
            </w:pPr>
            <w:r w:rsidRPr="00E02168">
              <w:rPr>
                <w:sz w:val="28"/>
                <w:szCs w:val="28"/>
              </w:rPr>
              <w:t>Īpaši aizsargājamais kultūras piemineklis</w:t>
            </w:r>
            <w:r w:rsidR="009C74D2">
              <w:rPr>
                <w:sz w:val="28"/>
                <w:szCs w:val="28"/>
              </w:rPr>
              <w:t xml:space="preserve"> –</w:t>
            </w:r>
            <w:r w:rsidRPr="00E02168">
              <w:rPr>
                <w:sz w:val="28"/>
                <w:szCs w:val="28"/>
              </w:rPr>
              <w:t>Turaidas muzejrezervāts, Kultūras ministrija.</w:t>
            </w:r>
          </w:p>
        </w:tc>
      </w:tr>
      <w:tr w:rsidR="001072C0" w:rsidRPr="00E02168" w:rsidTr="00B638DD">
        <w:trPr>
          <w:trHeight w:val="435"/>
        </w:trPr>
        <w:tc>
          <w:tcPr>
            <w:tcW w:w="399"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t>4.</w:t>
            </w:r>
          </w:p>
        </w:tc>
        <w:tc>
          <w:tcPr>
            <w:tcW w:w="1720"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Cita informācija</w:t>
            </w:r>
          </w:p>
        </w:tc>
        <w:tc>
          <w:tcPr>
            <w:tcW w:w="2881"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ind w:left="59"/>
              <w:jc w:val="both"/>
              <w:rPr>
                <w:sz w:val="28"/>
                <w:szCs w:val="28"/>
              </w:rPr>
            </w:pPr>
            <w:r w:rsidRPr="00E02168">
              <w:rPr>
                <w:sz w:val="28"/>
                <w:szCs w:val="28"/>
              </w:rPr>
              <w:t>Nav</w:t>
            </w:r>
          </w:p>
        </w:tc>
      </w:tr>
    </w:tbl>
    <w:p w:rsidR="00805F81" w:rsidRPr="00E02168" w:rsidRDefault="00805F81" w:rsidP="00376606">
      <w:pPr>
        <w:spacing w:after="0" w:line="240" w:lineRule="auto"/>
        <w:rPr>
          <w:rFonts w:ascii="Times New Roman" w:hAnsi="Times New Roman" w:cs="Times New Roman"/>
          <w:sz w:val="28"/>
          <w:szCs w:val="28"/>
        </w:rPr>
      </w:pPr>
    </w:p>
    <w:tbl>
      <w:tblPr>
        <w:tblStyle w:val="Reatabula"/>
        <w:tblW w:w="5000" w:type="pct"/>
        <w:tblLook w:val="04A0"/>
      </w:tblPr>
      <w:tblGrid>
        <w:gridCol w:w="721"/>
        <w:gridCol w:w="3215"/>
        <w:gridCol w:w="5351"/>
      </w:tblGrid>
      <w:tr w:rsidR="001072C0" w:rsidRPr="00E02168" w:rsidTr="00AF3703">
        <w:tc>
          <w:tcPr>
            <w:tcW w:w="5000" w:type="pct"/>
            <w:gridSpan w:val="3"/>
          </w:tcPr>
          <w:p w:rsidR="001072C0" w:rsidRPr="00E02168" w:rsidRDefault="001072C0" w:rsidP="00376606">
            <w:pPr>
              <w:jc w:val="center"/>
              <w:rPr>
                <w:rFonts w:ascii="Times New Roman" w:hAnsi="Times New Roman" w:cs="Times New Roman"/>
                <w:b/>
                <w:sz w:val="28"/>
                <w:szCs w:val="28"/>
              </w:rPr>
            </w:pPr>
            <w:r w:rsidRPr="00E02168">
              <w:rPr>
                <w:rFonts w:ascii="Times New Roman" w:hAnsi="Times New Roman" w:cs="Times New Roman"/>
                <w:b/>
                <w:sz w:val="28"/>
                <w:szCs w:val="28"/>
              </w:rPr>
              <w:t>II. Tiesību akta projekta ietekme uz sabiedrību, tautsaimniecības attīstību un administratīvo slogu</w:t>
            </w:r>
          </w:p>
        </w:tc>
      </w:tr>
      <w:tr w:rsidR="001072C0" w:rsidRPr="00E02168" w:rsidTr="00B638DD">
        <w:tc>
          <w:tcPr>
            <w:tcW w:w="388"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jc w:val="center"/>
              <w:rPr>
                <w:sz w:val="28"/>
                <w:szCs w:val="28"/>
              </w:rPr>
            </w:pPr>
            <w:r w:rsidRPr="00E02168">
              <w:rPr>
                <w:sz w:val="28"/>
                <w:szCs w:val="28"/>
              </w:rPr>
              <w:t>1.</w:t>
            </w:r>
          </w:p>
        </w:tc>
        <w:tc>
          <w:tcPr>
            <w:tcW w:w="1731" w:type="pct"/>
            <w:tcBorders>
              <w:top w:val="outset" w:sz="6" w:space="0" w:color="auto"/>
              <w:left w:val="outset" w:sz="6" w:space="0" w:color="auto"/>
              <w:bottom w:val="outset" w:sz="6" w:space="0" w:color="auto"/>
              <w:right w:val="outset" w:sz="6" w:space="0" w:color="auto"/>
            </w:tcBorders>
          </w:tcPr>
          <w:p w:rsidR="001072C0" w:rsidRPr="00E02168" w:rsidRDefault="001072C0" w:rsidP="00376606">
            <w:pPr>
              <w:pStyle w:val="naiskr"/>
              <w:spacing w:before="0" w:after="0"/>
              <w:rPr>
                <w:sz w:val="28"/>
                <w:szCs w:val="28"/>
              </w:rPr>
            </w:pPr>
            <w:r w:rsidRPr="00E02168">
              <w:rPr>
                <w:sz w:val="28"/>
                <w:szCs w:val="28"/>
              </w:rPr>
              <w:t>Sabiedrības mērķgrupas, kuras tiesiskais regulējums ietekmē vai varētu ietekmēt</w:t>
            </w:r>
          </w:p>
        </w:tc>
        <w:tc>
          <w:tcPr>
            <w:tcW w:w="2881" w:type="pct"/>
            <w:tcBorders>
              <w:top w:val="outset" w:sz="6" w:space="0" w:color="auto"/>
              <w:left w:val="outset" w:sz="6" w:space="0" w:color="auto"/>
              <w:bottom w:val="outset" w:sz="6" w:space="0" w:color="auto"/>
              <w:right w:val="outset" w:sz="6" w:space="0" w:color="auto"/>
            </w:tcBorders>
          </w:tcPr>
          <w:p w:rsidR="00806940" w:rsidRPr="00806940" w:rsidRDefault="00806940" w:rsidP="00303696">
            <w:pPr>
              <w:pStyle w:val="Vienkrsteksts"/>
              <w:ind w:firstLine="600"/>
              <w:jc w:val="both"/>
              <w:rPr>
                <w:rFonts w:ascii="Times New Roman" w:hAnsi="Times New Roman" w:cs="Times New Roman"/>
                <w:sz w:val="28"/>
                <w:szCs w:val="28"/>
              </w:rPr>
            </w:pPr>
            <w:r w:rsidRPr="00806940">
              <w:rPr>
                <w:rFonts w:ascii="Times New Roman" w:hAnsi="Times New Roman" w:cs="Times New Roman"/>
                <w:sz w:val="28"/>
                <w:szCs w:val="28"/>
              </w:rPr>
              <w:t>Atbilstoši muzeja apkopotajiem statistikas datiem, laika posmā no 2015.gada 1.janvāra līdz 31.decembrim muzejā ir reģistrēti 258 932 apmeklējumi. Savukārt, 2014.gadā šajā periodā muzejā ir reģistrēti 250 492 apmeklējumi un 2013.gadā - 232 647 apmeklējumi. Muzeja apmeklētāji ir tūristi no Latvijas un ārvalstīm (studenti, izglītojamie, pensionāri u.c. interesentu mērķgrupas).</w:t>
            </w:r>
          </w:p>
          <w:p w:rsidR="00133154" w:rsidRPr="00E02168" w:rsidRDefault="00806940" w:rsidP="00806940">
            <w:pPr>
              <w:pStyle w:val="naiskr"/>
              <w:spacing w:before="0" w:after="0"/>
              <w:ind w:right="-1" w:firstLine="529"/>
              <w:jc w:val="both"/>
              <w:rPr>
                <w:sz w:val="28"/>
                <w:szCs w:val="28"/>
              </w:rPr>
            </w:pPr>
            <w:r w:rsidRPr="00806940">
              <w:rPr>
                <w:sz w:val="28"/>
                <w:szCs w:val="28"/>
              </w:rPr>
              <w:t>Izvērtējot apmeklējumu, var secināt, ka muzeja apmeklējums pēdējo trīs gadu laikā vidēji ir pieaudzis par 10% ar tendenci palielinoties apmeklētāju skaitam no ārvalstīm.</w:t>
            </w:r>
          </w:p>
        </w:tc>
      </w:tr>
      <w:tr w:rsidR="00133154" w:rsidRPr="00E02168" w:rsidTr="00B638DD">
        <w:tc>
          <w:tcPr>
            <w:tcW w:w="388"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center"/>
              <w:rPr>
                <w:sz w:val="28"/>
                <w:szCs w:val="28"/>
              </w:rPr>
            </w:pPr>
            <w:r w:rsidRPr="00E02168">
              <w:rPr>
                <w:sz w:val="28"/>
                <w:szCs w:val="28"/>
              </w:rPr>
              <w:t>2.</w:t>
            </w:r>
          </w:p>
        </w:tc>
        <w:tc>
          <w:tcPr>
            <w:tcW w:w="173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rPr>
                <w:sz w:val="28"/>
                <w:szCs w:val="28"/>
              </w:rPr>
            </w:pPr>
            <w:r w:rsidRPr="00E02168">
              <w:rPr>
                <w:sz w:val="28"/>
                <w:szCs w:val="28"/>
              </w:rPr>
              <w:t>Tiesiskā regulējuma ietekme uz tautsaimniecību un administratīvo slogu</w:t>
            </w:r>
          </w:p>
        </w:tc>
        <w:tc>
          <w:tcPr>
            <w:tcW w:w="2881" w:type="pct"/>
            <w:tcBorders>
              <w:top w:val="outset" w:sz="6" w:space="0" w:color="auto"/>
              <w:left w:val="outset" w:sz="6" w:space="0" w:color="auto"/>
              <w:bottom w:val="outset" w:sz="6" w:space="0" w:color="auto"/>
              <w:right w:val="outset" w:sz="6" w:space="0" w:color="auto"/>
            </w:tcBorders>
          </w:tcPr>
          <w:p w:rsidR="00E35D8D" w:rsidRDefault="00E35D8D" w:rsidP="00376606">
            <w:pPr>
              <w:jc w:val="both"/>
              <w:rPr>
                <w:rFonts w:ascii="Times New Roman" w:hAnsi="Times New Roman" w:cs="Times New Roman"/>
                <w:sz w:val="28"/>
                <w:szCs w:val="28"/>
              </w:rPr>
            </w:pPr>
            <w:r>
              <w:rPr>
                <w:rFonts w:ascii="Times New Roman" w:hAnsi="Times New Roman" w:cs="Times New Roman"/>
                <w:sz w:val="28"/>
                <w:szCs w:val="28"/>
              </w:rPr>
              <w:t xml:space="preserve">       </w:t>
            </w:r>
            <w:r w:rsidR="00504CAE" w:rsidRPr="00504CAE">
              <w:rPr>
                <w:rFonts w:ascii="Times New Roman" w:hAnsi="Times New Roman" w:cs="Times New Roman"/>
                <w:sz w:val="28"/>
                <w:szCs w:val="28"/>
              </w:rPr>
              <w:t>Projektā noteiktās publisko maksas pakalpojumu cenas ir vienādas vai pat zemākas par līdzīgu pakalpojumu cenām citās iestādēs, tādēļ Projektā noteiktais tiesiskais regulējums būtiski neietekmēs muzeja pieejamību sabiedrībai.</w:t>
            </w:r>
          </w:p>
          <w:p w:rsidR="00952DD0" w:rsidRPr="00E02168" w:rsidRDefault="00E35D8D" w:rsidP="00376606">
            <w:pPr>
              <w:jc w:val="both"/>
              <w:rPr>
                <w:rFonts w:ascii="Times New Roman" w:hAnsi="Times New Roman" w:cs="Times New Roman"/>
                <w:sz w:val="28"/>
                <w:szCs w:val="28"/>
              </w:rPr>
            </w:pPr>
            <w:r>
              <w:rPr>
                <w:rFonts w:ascii="Times New Roman" w:hAnsi="Times New Roman" w:cs="Times New Roman"/>
                <w:sz w:val="28"/>
                <w:szCs w:val="28"/>
              </w:rPr>
              <w:t xml:space="preserve">       </w:t>
            </w:r>
            <w:r w:rsidR="00504CAE" w:rsidRPr="00504CAE">
              <w:rPr>
                <w:rFonts w:ascii="Times New Roman" w:hAnsi="Times New Roman" w:cs="Times New Roman"/>
                <w:bCs/>
                <w:sz w:val="28"/>
                <w:szCs w:val="28"/>
              </w:rPr>
              <w:t xml:space="preserve">Iegūtie finanšu līdzekļi </w:t>
            </w:r>
            <w:r w:rsidR="00504CAE" w:rsidRPr="00504CAE">
              <w:rPr>
                <w:rFonts w:ascii="Times New Roman" w:hAnsi="Times New Roman" w:cs="Times New Roman"/>
                <w:sz w:val="28"/>
                <w:szCs w:val="28"/>
              </w:rPr>
              <w:t>par muzeja sniegtajiem publiskajiem maksas pakalpojumiem</w:t>
            </w:r>
            <w:r w:rsidR="00504CAE" w:rsidRPr="00504CAE">
              <w:rPr>
                <w:rFonts w:ascii="Times New Roman" w:hAnsi="Times New Roman" w:cs="Times New Roman"/>
                <w:bCs/>
                <w:sz w:val="28"/>
                <w:szCs w:val="28"/>
              </w:rPr>
              <w:t xml:space="preserve"> tiks izlietoti muzeja sniegto publisko maksas pakalpojumu faktisko izmaksu segšanai.</w:t>
            </w:r>
          </w:p>
        </w:tc>
      </w:tr>
      <w:tr w:rsidR="00133154" w:rsidRPr="00E02168" w:rsidTr="00B638DD">
        <w:tc>
          <w:tcPr>
            <w:tcW w:w="388"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center"/>
              <w:rPr>
                <w:sz w:val="28"/>
                <w:szCs w:val="28"/>
              </w:rPr>
            </w:pPr>
            <w:r w:rsidRPr="00E02168">
              <w:rPr>
                <w:sz w:val="28"/>
                <w:szCs w:val="28"/>
              </w:rPr>
              <w:t>3.</w:t>
            </w:r>
          </w:p>
        </w:tc>
        <w:tc>
          <w:tcPr>
            <w:tcW w:w="173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jc w:val="both"/>
              <w:rPr>
                <w:sz w:val="28"/>
                <w:szCs w:val="28"/>
              </w:rPr>
            </w:pPr>
            <w:r w:rsidRPr="00E02168">
              <w:rPr>
                <w:sz w:val="28"/>
                <w:szCs w:val="28"/>
              </w:rPr>
              <w:t>Administratīvo izmaksu monetārs novērtējums</w:t>
            </w:r>
          </w:p>
        </w:tc>
        <w:tc>
          <w:tcPr>
            <w:tcW w:w="288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ind w:right="140"/>
              <w:jc w:val="both"/>
              <w:rPr>
                <w:rFonts w:ascii="Times New Roman" w:hAnsi="Times New Roman" w:cs="Times New Roman"/>
                <w:sz w:val="28"/>
                <w:szCs w:val="28"/>
              </w:rPr>
            </w:pPr>
            <w:r w:rsidRPr="00E02168">
              <w:rPr>
                <w:rFonts w:ascii="Times New Roman" w:hAnsi="Times New Roman" w:cs="Times New Roman"/>
                <w:sz w:val="28"/>
                <w:szCs w:val="28"/>
              </w:rPr>
              <w:t>Projekts šo jomu neskar.</w:t>
            </w:r>
          </w:p>
        </w:tc>
      </w:tr>
      <w:tr w:rsidR="00133154" w:rsidRPr="00E02168" w:rsidTr="00B638DD">
        <w:trPr>
          <w:trHeight w:val="419"/>
        </w:trPr>
        <w:tc>
          <w:tcPr>
            <w:tcW w:w="388" w:type="pct"/>
            <w:tcBorders>
              <w:top w:val="outset" w:sz="6" w:space="0" w:color="auto"/>
              <w:left w:val="outset" w:sz="6" w:space="0" w:color="auto"/>
              <w:bottom w:val="outset" w:sz="6" w:space="0" w:color="auto"/>
              <w:right w:val="outset" w:sz="6" w:space="0" w:color="auto"/>
            </w:tcBorders>
            <w:vAlign w:val="center"/>
          </w:tcPr>
          <w:p w:rsidR="00133154" w:rsidRPr="00E02168" w:rsidRDefault="00133154" w:rsidP="00376606">
            <w:pPr>
              <w:pStyle w:val="naiskr"/>
              <w:spacing w:before="0" w:after="0"/>
              <w:jc w:val="center"/>
              <w:rPr>
                <w:sz w:val="28"/>
                <w:szCs w:val="28"/>
              </w:rPr>
            </w:pPr>
            <w:r w:rsidRPr="00E02168">
              <w:rPr>
                <w:sz w:val="28"/>
                <w:szCs w:val="28"/>
              </w:rPr>
              <w:t>4.</w:t>
            </w:r>
          </w:p>
        </w:tc>
        <w:tc>
          <w:tcPr>
            <w:tcW w:w="1731" w:type="pct"/>
            <w:tcBorders>
              <w:top w:val="outset" w:sz="6" w:space="0" w:color="auto"/>
              <w:left w:val="outset" w:sz="6" w:space="0" w:color="auto"/>
              <w:bottom w:val="outset" w:sz="6" w:space="0" w:color="auto"/>
              <w:right w:val="outset" w:sz="6" w:space="0" w:color="auto"/>
            </w:tcBorders>
            <w:vAlign w:val="center"/>
          </w:tcPr>
          <w:p w:rsidR="00133154" w:rsidRPr="00E02168" w:rsidRDefault="00133154" w:rsidP="00376606">
            <w:pPr>
              <w:pStyle w:val="naiskr"/>
              <w:spacing w:before="0" w:after="0"/>
              <w:rPr>
                <w:sz w:val="28"/>
                <w:szCs w:val="28"/>
              </w:rPr>
            </w:pPr>
            <w:r w:rsidRPr="00E02168">
              <w:rPr>
                <w:sz w:val="28"/>
                <w:szCs w:val="28"/>
              </w:rPr>
              <w:t>Cita informācija</w:t>
            </w:r>
          </w:p>
        </w:tc>
        <w:tc>
          <w:tcPr>
            <w:tcW w:w="2881" w:type="pct"/>
            <w:tcBorders>
              <w:top w:val="outset" w:sz="6" w:space="0" w:color="auto"/>
              <w:left w:val="outset" w:sz="6" w:space="0" w:color="auto"/>
              <w:bottom w:val="outset" w:sz="6" w:space="0" w:color="auto"/>
              <w:right w:val="outset" w:sz="6" w:space="0" w:color="auto"/>
            </w:tcBorders>
          </w:tcPr>
          <w:p w:rsidR="00133154" w:rsidRPr="00E02168" w:rsidRDefault="00133154" w:rsidP="00376606">
            <w:pPr>
              <w:pStyle w:val="naiskr"/>
              <w:spacing w:before="0" w:after="0"/>
              <w:ind w:right="-1"/>
              <w:rPr>
                <w:sz w:val="28"/>
                <w:szCs w:val="28"/>
              </w:rPr>
            </w:pPr>
            <w:r w:rsidRPr="00E02168">
              <w:rPr>
                <w:sz w:val="28"/>
                <w:szCs w:val="28"/>
              </w:rPr>
              <w:t xml:space="preserve"> Nav</w:t>
            </w:r>
          </w:p>
        </w:tc>
      </w:tr>
    </w:tbl>
    <w:p w:rsidR="00D70ACB" w:rsidRDefault="00D70ACB" w:rsidP="00376606">
      <w:pPr>
        <w:spacing w:after="0" w:line="240" w:lineRule="auto"/>
        <w:rPr>
          <w:rFonts w:ascii="Times New Roman" w:hAnsi="Times New Roman" w:cs="Times New Roman"/>
          <w:sz w:val="28"/>
          <w:szCs w:val="28"/>
        </w:rPr>
      </w:pPr>
    </w:p>
    <w:tbl>
      <w:tblPr>
        <w:tblStyle w:val="Reatabula"/>
        <w:tblW w:w="5000" w:type="pct"/>
        <w:tblLook w:val="04A0"/>
      </w:tblPr>
      <w:tblGrid>
        <w:gridCol w:w="2006"/>
        <w:gridCol w:w="1475"/>
        <w:gridCol w:w="1452"/>
        <w:gridCol w:w="1451"/>
        <w:gridCol w:w="1452"/>
        <w:gridCol w:w="1451"/>
      </w:tblGrid>
      <w:tr w:rsidR="00BB3FE0" w:rsidRPr="00E02168" w:rsidTr="00AF3703">
        <w:tc>
          <w:tcPr>
            <w:tcW w:w="5000" w:type="pct"/>
            <w:gridSpan w:val="6"/>
            <w:tcBorders>
              <w:right w:val="outset" w:sz="6" w:space="0" w:color="auto"/>
            </w:tcBorders>
          </w:tcPr>
          <w:p w:rsidR="00BB3FE0" w:rsidRPr="00E02168" w:rsidRDefault="00BB3FE0" w:rsidP="00376606">
            <w:pPr>
              <w:pStyle w:val="naisnod"/>
              <w:spacing w:before="0" w:after="0"/>
              <w:rPr>
                <w:sz w:val="28"/>
                <w:szCs w:val="28"/>
              </w:rPr>
            </w:pPr>
            <w:r w:rsidRPr="00E02168">
              <w:rPr>
                <w:sz w:val="28"/>
                <w:szCs w:val="28"/>
              </w:rPr>
              <w:t>III. Tiesību akta projekta ietekme uz valsts budžetu un pašvaldību budžetiem</w:t>
            </w:r>
          </w:p>
        </w:tc>
      </w:tr>
      <w:tr w:rsidR="00BB3FE0" w:rsidRPr="00E02168" w:rsidTr="006A000D">
        <w:tc>
          <w:tcPr>
            <w:tcW w:w="1080" w:type="pct"/>
            <w:vMerge w:val="restart"/>
            <w:vAlign w:val="center"/>
          </w:tcPr>
          <w:p w:rsidR="00BB3FE0" w:rsidRPr="00E02168" w:rsidRDefault="00BB3FE0" w:rsidP="00376606">
            <w:pPr>
              <w:jc w:val="center"/>
              <w:rPr>
                <w:rFonts w:ascii="Times New Roman" w:hAnsi="Times New Roman" w:cs="Times New Roman"/>
                <w:b/>
                <w:bCs/>
                <w:sz w:val="28"/>
                <w:szCs w:val="28"/>
              </w:rPr>
            </w:pPr>
            <w:r w:rsidRPr="00E02168">
              <w:rPr>
                <w:rFonts w:ascii="Times New Roman" w:hAnsi="Times New Roman" w:cs="Times New Roman"/>
                <w:b/>
                <w:bCs/>
                <w:sz w:val="28"/>
                <w:szCs w:val="28"/>
              </w:rPr>
              <w:t>Rādītāji</w:t>
            </w:r>
          </w:p>
        </w:tc>
        <w:tc>
          <w:tcPr>
            <w:tcW w:w="1576" w:type="pct"/>
            <w:gridSpan w:val="2"/>
            <w:vMerge w:val="restart"/>
          </w:tcPr>
          <w:p w:rsidR="00BB3FE0" w:rsidRPr="00E02168" w:rsidRDefault="00BB3FE0" w:rsidP="00376606">
            <w:pPr>
              <w:jc w:val="center"/>
              <w:rPr>
                <w:rFonts w:ascii="Times New Roman" w:hAnsi="Times New Roman" w:cs="Times New Roman"/>
                <w:b/>
                <w:sz w:val="28"/>
                <w:szCs w:val="28"/>
              </w:rPr>
            </w:pPr>
          </w:p>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b/>
                <w:sz w:val="28"/>
                <w:szCs w:val="28"/>
              </w:rPr>
              <w:t>201</w:t>
            </w:r>
            <w:r>
              <w:rPr>
                <w:rFonts w:ascii="Times New Roman" w:hAnsi="Times New Roman" w:cs="Times New Roman"/>
                <w:b/>
                <w:sz w:val="28"/>
                <w:szCs w:val="28"/>
              </w:rPr>
              <w:t>6</w:t>
            </w:r>
            <w:r w:rsidRPr="00E02168">
              <w:rPr>
                <w:rFonts w:ascii="Times New Roman" w:hAnsi="Times New Roman" w:cs="Times New Roman"/>
                <w:b/>
                <w:sz w:val="28"/>
                <w:szCs w:val="28"/>
              </w:rPr>
              <w:t xml:space="preserve">. </w:t>
            </w:r>
            <w:r w:rsidRPr="00E02168">
              <w:rPr>
                <w:rFonts w:ascii="Times New Roman" w:hAnsi="Times New Roman" w:cs="Times New Roman"/>
                <w:b/>
                <w:bCs/>
                <w:sz w:val="28"/>
                <w:szCs w:val="28"/>
              </w:rPr>
              <w:t>gads</w:t>
            </w:r>
          </w:p>
        </w:tc>
        <w:tc>
          <w:tcPr>
            <w:tcW w:w="2344" w:type="pct"/>
            <w:gridSpan w:val="3"/>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nod"/>
              <w:spacing w:before="0" w:after="0"/>
              <w:rPr>
                <w:sz w:val="28"/>
                <w:szCs w:val="28"/>
              </w:rPr>
            </w:pPr>
            <w:r w:rsidRPr="00E02168">
              <w:rPr>
                <w:sz w:val="28"/>
                <w:szCs w:val="28"/>
              </w:rPr>
              <w:t>Turpmākie trīs gadi (</w:t>
            </w:r>
            <w:r w:rsidRPr="00E02168">
              <w:rPr>
                <w:i/>
                <w:sz w:val="28"/>
                <w:szCs w:val="28"/>
              </w:rPr>
              <w:t>euro</w:t>
            </w:r>
            <w:r w:rsidRPr="00E02168">
              <w:rPr>
                <w:sz w:val="28"/>
                <w:szCs w:val="28"/>
              </w:rPr>
              <w:t>)</w:t>
            </w:r>
          </w:p>
        </w:tc>
      </w:tr>
      <w:tr w:rsidR="00BB3FE0" w:rsidRPr="00E02168" w:rsidTr="006A000D">
        <w:tc>
          <w:tcPr>
            <w:tcW w:w="1080" w:type="pct"/>
            <w:vMerge/>
          </w:tcPr>
          <w:p w:rsidR="00BB3FE0" w:rsidRPr="00E02168" w:rsidRDefault="00BB3FE0" w:rsidP="00376606">
            <w:pPr>
              <w:rPr>
                <w:rFonts w:ascii="Times New Roman" w:hAnsi="Times New Roman" w:cs="Times New Roman"/>
                <w:b/>
                <w:sz w:val="28"/>
                <w:szCs w:val="28"/>
              </w:rPr>
            </w:pPr>
          </w:p>
        </w:tc>
        <w:tc>
          <w:tcPr>
            <w:tcW w:w="1576" w:type="pct"/>
            <w:gridSpan w:val="2"/>
            <w:vMerge/>
          </w:tcPr>
          <w:p w:rsidR="00BB3FE0" w:rsidRPr="00E02168" w:rsidRDefault="00BB3FE0" w:rsidP="00376606">
            <w:pPr>
              <w:rPr>
                <w:rFonts w:ascii="Times New Roman" w:hAnsi="Times New Roman" w:cs="Times New Roman"/>
                <w:sz w:val="28"/>
                <w:szCs w:val="28"/>
              </w:rPr>
            </w:pPr>
          </w:p>
        </w:tc>
        <w:tc>
          <w:tcPr>
            <w:tcW w:w="781"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nod"/>
              <w:spacing w:before="0" w:after="0"/>
              <w:rPr>
                <w:sz w:val="28"/>
                <w:szCs w:val="28"/>
              </w:rPr>
            </w:pPr>
            <w:r w:rsidRPr="00E02168">
              <w:rPr>
                <w:sz w:val="28"/>
                <w:szCs w:val="28"/>
              </w:rPr>
              <w:t> 201</w:t>
            </w:r>
            <w:r>
              <w:rPr>
                <w:sz w:val="28"/>
                <w:szCs w:val="28"/>
              </w:rPr>
              <w:t>7</w:t>
            </w:r>
            <w:r w:rsidRPr="00E02168">
              <w:rPr>
                <w:sz w:val="28"/>
                <w:szCs w:val="28"/>
              </w:rPr>
              <w:t>.</w:t>
            </w:r>
          </w:p>
        </w:tc>
        <w:tc>
          <w:tcPr>
            <w:tcW w:w="782"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nod"/>
              <w:spacing w:before="0" w:after="0"/>
              <w:rPr>
                <w:sz w:val="28"/>
                <w:szCs w:val="28"/>
              </w:rPr>
            </w:pPr>
            <w:r w:rsidRPr="00E02168">
              <w:rPr>
                <w:sz w:val="28"/>
                <w:szCs w:val="28"/>
              </w:rPr>
              <w:t> 201</w:t>
            </w:r>
            <w:r>
              <w:rPr>
                <w:sz w:val="28"/>
                <w:szCs w:val="28"/>
              </w:rPr>
              <w:t>8</w:t>
            </w:r>
            <w:r w:rsidRPr="00E02168">
              <w:rPr>
                <w:sz w:val="28"/>
                <w:szCs w:val="28"/>
              </w:rPr>
              <w:t>.</w:t>
            </w:r>
          </w:p>
        </w:tc>
        <w:tc>
          <w:tcPr>
            <w:tcW w:w="781"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nod"/>
              <w:spacing w:before="0" w:after="0"/>
              <w:rPr>
                <w:sz w:val="28"/>
                <w:szCs w:val="28"/>
              </w:rPr>
            </w:pPr>
            <w:r w:rsidRPr="00E02168">
              <w:rPr>
                <w:sz w:val="28"/>
                <w:szCs w:val="28"/>
              </w:rPr>
              <w:t> 201</w:t>
            </w:r>
            <w:r>
              <w:rPr>
                <w:sz w:val="28"/>
                <w:szCs w:val="28"/>
              </w:rPr>
              <w:t>9</w:t>
            </w:r>
            <w:r w:rsidRPr="00E02168">
              <w:rPr>
                <w:sz w:val="28"/>
                <w:szCs w:val="28"/>
              </w:rPr>
              <w:t>.</w:t>
            </w:r>
          </w:p>
        </w:tc>
      </w:tr>
      <w:tr w:rsidR="00BB3FE0" w:rsidRPr="00E02168" w:rsidTr="00AF3703">
        <w:tc>
          <w:tcPr>
            <w:tcW w:w="1080" w:type="pct"/>
            <w:vMerge/>
          </w:tcPr>
          <w:p w:rsidR="00BB3FE0" w:rsidRPr="00E02168" w:rsidRDefault="00BB3FE0" w:rsidP="00376606">
            <w:pPr>
              <w:rPr>
                <w:rFonts w:ascii="Times New Roman" w:hAnsi="Times New Roman" w:cs="Times New Roman"/>
                <w:sz w:val="28"/>
                <w:szCs w:val="28"/>
              </w:rPr>
            </w:pPr>
          </w:p>
        </w:tc>
        <w:tc>
          <w:tcPr>
            <w:tcW w:w="794" w:type="pct"/>
          </w:tcPr>
          <w:p w:rsidR="00BB3FE0" w:rsidRPr="00E02168" w:rsidRDefault="00BB3FE0" w:rsidP="00376606">
            <w:pPr>
              <w:rPr>
                <w:rFonts w:ascii="Times New Roman" w:hAnsi="Times New Roman" w:cs="Times New Roman"/>
                <w:sz w:val="28"/>
                <w:szCs w:val="28"/>
              </w:rPr>
            </w:pPr>
            <w:r w:rsidRPr="00E02168">
              <w:rPr>
                <w:rFonts w:ascii="Times New Roman" w:hAnsi="Times New Roman" w:cs="Times New Roman"/>
                <w:sz w:val="28"/>
                <w:szCs w:val="28"/>
              </w:rPr>
              <w:t>Saskaņā ar valsts budžetu kārtējam gadam</w:t>
            </w:r>
          </w:p>
        </w:tc>
        <w:tc>
          <w:tcPr>
            <w:tcW w:w="782" w:type="pct"/>
          </w:tcPr>
          <w:p w:rsidR="00BB3FE0" w:rsidRPr="00E02168" w:rsidRDefault="00BB3FE0" w:rsidP="00376606">
            <w:pPr>
              <w:rPr>
                <w:rFonts w:ascii="Times New Roman" w:hAnsi="Times New Roman" w:cs="Times New Roman"/>
                <w:sz w:val="28"/>
                <w:szCs w:val="28"/>
              </w:rPr>
            </w:pPr>
            <w:r w:rsidRPr="00E02168">
              <w:rPr>
                <w:rFonts w:ascii="Times New Roman" w:hAnsi="Times New Roman" w:cs="Times New Roman"/>
                <w:sz w:val="28"/>
                <w:szCs w:val="28"/>
              </w:rPr>
              <w:t>Izmaiņas kārtējā gadā, salīdzinot ar budžetu kārtējam gadam</w:t>
            </w:r>
          </w:p>
        </w:tc>
        <w:tc>
          <w:tcPr>
            <w:tcW w:w="781"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c"/>
              <w:spacing w:before="0" w:after="0"/>
              <w:rPr>
                <w:sz w:val="28"/>
                <w:szCs w:val="28"/>
              </w:rPr>
            </w:pPr>
            <w:r w:rsidRPr="00E02168">
              <w:rPr>
                <w:sz w:val="28"/>
                <w:szCs w:val="28"/>
              </w:rPr>
              <w:t> Izmai</w:t>
            </w:r>
            <w:r>
              <w:rPr>
                <w:sz w:val="28"/>
                <w:szCs w:val="28"/>
              </w:rPr>
              <w:t>ņas, salīdzinot ar kārtējo (2016</w:t>
            </w:r>
            <w:r w:rsidRPr="00E02168">
              <w:rPr>
                <w:sz w:val="28"/>
                <w:szCs w:val="28"/>
              </w:rPr>
              <w:t>) gadu</w:t>
            </w:r>
          </w:p>
        </w:tc>
        <w:tc>
          <w:tcPr>
            <w:tcW w:w="782"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c"/>
              <w:spacing w:before="0" w:after="0"/>
              <w:rPr>
                <w:sz w:val="28"/>
                <w:szCs w:val="28"/>
              </w:rPr>
            </w:pPr>
            <w:r w:rsidRPr="00E02168">
              <w:rPr>
                <w:sz w:val="28"/>
                <w:szCs w:val="28"/>
              </w:rPr>
              <w:t> Izmai</w:t>
            </w:r>
            <w:r>
              <w:rPr>
                <w:sz w:val="28"/>
                <w:szCs w:val="28"/>
              </w:rPr>
              <w:t>ņas, salīdzinot ar kārtējo (2016</w:t>
            </w:r>
            <w:r w:rsidRPr="00E02168">
              <w:rPr>
                <w:sz w:val="28"/>
                <w:szCs w:val="28"/>
              </w:rPr>
              <w:t>) gadu</w:t>
            </w:r>
          </w:p>
        </w:tc>
        <w:tc>
          <w:tcPr>
            <w:tcW w:w="781"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c"/>
              <w:spacing w:before="0" w:after="0"/>
              <w:rPr>
                <w:sz w:val="28"/>
                <w:szCs w:val="28"/>
              </w:rPr>
            </w:pPr>
            <w:r w:rsidRPr="00E02168">
              <w:rPr>
                <w:sz w:val="28"/>
                <w:szCs w:val="28"/>
              </w:rPr>
              <w:t> Izmai</w:t>
            </w:r>
            <w:r>
              <w:rPr>
                <w:sz w:val="28"/>
                <w:szCs w:val="28"/>
              </w:rPr>
              <w:t>ņas, salīdzinot ar kārtējo (2016</w:t>
            </w:r>
            <w:r w:rsidRPr="00E02168">
              <w:rPr>
                <w:sz w:val="28"/>
                <w:szCs w:val="28"/>
              </w:rPr>
              <w:t>) gadu</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c"/>
              <w:spacing w:before="0" w:after="0"/>
              <w:rPr>
                <w:sz w:val="28"/>
                <w:szCs w:val="28"/>
              </w:rPr>
            </w:pPr>
            <w:r w:rsidRPr="00E02168">
              <w:rPr>
                <w:sz w:val="28"/>
                <w:szCs w:val="28"/>
              </w:rPr>
              <w:t> 1</w:t>
            </w:r>
          </w:p>
        </w:tc>
        <w:tc>
          <w:tcPr>
            <w:tcW w:w="794"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c"/>
              <w:spacing w:before="0" w:after="0"/>
              <w:rPr>
                <w:sz w:val="28"/>
                <w:szCs w:val="28"/>
              </w:rPr>
            </w:pPr>
            <w:r w:rsidRPr="00E02168">
              <w:rPr>
                <w:sz w:val="28"/>
                <w:szCs w:val="28"/>
              </w:rPr>
              <w:t> 2</w:t>
            </w:r>
          </w:p>
        </w:tc>
        <w:tc>
          <w:tcPr>
            <w:tcW w:w="782"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c"/>
              <w:spacing w:before="0" w:after="0"/>
              <w:rPr>
                <w:sz w:val="28"/>
                <w:szCs w:val="28"/>
              </w:rPr>
            </w:pPr>
            <w:r w:rsidRPr="00E02168">
              <w:rPr>
                <w:sz w:val="28"/>
                <w:szCs w:val="28"/>
              </w:rPr>
              <w:t> 3</w:t>
            </w:r>
          </w:p>
        </w:tc>
        <w:tc>
          <w:tcPr>
            <w:tcW w:w="781"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c"/>
              <w:spacing w:before="0" w:after="0"/>
              <w:rPr>
                <w:sz w:val="28"/>
                <w:szCs w:val="28"/>
              </w:rPr>
            </w:pPr>
            <w:r w:rsidRPr="00E02168">
              <w:rPr>
                <w:sz w:val="28"/>
                <w:szCs w:val="28"/>
              </w:rPr>
              <w:t> 4</w:t>
            </w:r>
          </w:p>
        </w:tc>
        <w:tc>
          <w:tcPr>
            <w:tcW w:w="782"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c"/>
              <w:spacing w:before="0" w:after="0"/>
              <w:rPr>
                <w:sz w:val="28"/>
                <w:szCs w:val="28"/>
              </w:rPr>
            </w:pPr>
            <w:r w:rsidRPr="00E02168">
              <w:rPr>
                <w:sz w:val="28"/>
                <w:szCs w:val="28"/>
              </w:rPr>
              <w:t> 5</w:t>
            </w:r>
          </w:p>
        </w:tc>
        <w:tc>
          <w:tcPr>
            <w:tcW w:w="781"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c"/>
              <w:spacing w:before="0" w:after="0"/>
              <w:rPr>
                <w:sz w:val="28"/>
                <w:szCs w:val="28"/>
              </w:rPr>
            </w:pPr>
            <w:r w:rsidRPr="00E02168">
              <w:rPr>
                <w:sz w:val="28"/>
                <w:szCs w:val="28"/>
              </w:rPr>
              <w:t> 6</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1. Budžeta ieņēmumi:</w:t>
            </w:r>
          </w:p>
        </w:tc>
        <w:tc>
          <w:tcPr>
            <w:tcW w:w="794"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pStyle w:val="naisf"/>
              <w:spacing w:before="0" w:after="0"/>
              <w:ind w:firstLine="0"/>
              <w:jc w:val="center"/>
              <w:rPr>
                <w:sz w:val="28"/>
                <w:szCs w:val="28"/>
              </w:rPr>
            </w:pPr>
            <w:r>
              <w:rPr>
                <w:sz w:val="28"/>
                <w:szCs w:val="28"/>
              </w:rPr>
              <w:t>1 123 535</w:t>
            </w:r>
          </w:p>
        </w:tc>
        <w:tc>
          <w:tcPr>
            <w:tcW w:w="782" w:type="pct"/>
            <w:tcBorders>
              <w:top w:val="outset" w:sz="6" w:space="0" w:color="auto"/>
              <w:left w:val="outset" w:sz="6" w:space="0" w:color="auto"/>
              <w:bottom w:val="outset" w:sz="6" w:space="0" w:color="auto"/>
              <w:right w:val="outset" w:sz="6" w:space="0" w:color="auto"/>
            </w:tcBorders>
          </w:tcPr>
          <w:p w:rsidR="00BB3FE0" w:rsidRPr="002F2B47" w:rsidRDefault="00BB3FE0" w:rsidP="00376606">
            <w:pPr>
              <w:pStyle w:val="naisf"/>
              <w:spacing w:before="0" w:after="0"/>
              <w:ind w:firstLine="0"/>
              <w:jc w:val="center"/>
              <w:rPr>
                <w:sz w:val="28"/>
                <w:szCs w:val="28"/>
                <w:highlight w:val="yellow"/>
              </w:rPr>
            </w:pPr>
            <w:r w:rsidRPr="00DA16E6">
              <w:rPr>
                <w:sz w:val="28"/>
                <w:szCs w:val="28"/>
              </w:rPr>
              <w:t>9 710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Pr>
                <w:rFonts w:ascii="Times New Roman" w:hAnsi="Times New Roman" w:cs="Times New Roman"/>
                <w:sz w:val="28"/>
                <w:szCs w:val="28"/>
              </w:rPr>
              <w:t>9 710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Pr>
                <w:rFonts w:ascii="Times New Roman" w:hAnsi="Times New Roman" w:cs="Times New Roman"/>
                <w:sz w:val="28"/>
                <w:szCs w:val="28"/>
              </w:rPr>
              <w:t>9 71</w:t>
            </w: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Pr>
                <w:rFonts w:ascii="Times New Roman" w:hAnsi="Times New Roman" w:cs="Times New Roman"/>
                <w:sz w:val="28"/>
                <w:szCs w:val="28"/>
              </w:rPr>
              <w:t>9 71</w:t>
            </w:r>
            <w:r w:rsidRPr="00E02168">
              <w:rPr>
                <w:rFonts w:ascii="Times New Roman" w:hAnsi="Times New Roman" w:cs="Times New Roman"/>
                <w:sz w:val="28"/>
                <w:szCs w:val="28"/>
              </w:rPr>
              <w:t>0</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1.1. valsts pamatbudžets, tai skaitā ieņēmumi no maksas pakalpojumiem un citi pašu ieņēmumi</w:t>
            </w:r>
          </w:p>
        </w:tc>
        <w:tc>
          <w:tcPr>
            <w:tcW w:w="794"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pStyle w:val="naisf"/>
              <w:spacing w:before="0" w:after="0"/>
              <w:ind w:firstLine="0"/>
              <w:jc w:val="center"/>
              <w:rPr>
                <w:sz w:val="28"/>
                <w:szCs w:val="28"/>
              </w:rPr>
            </w:pPr>
            <w:r>
              <w:rPr>
                <w:sz w:val="28"/>
                <w:szCs w:val="28"/>
              </w:rPr>
              <w:t xml:space="preserve">1 123 </w:t>
            </w:r>
            <w:r w:rsidRPr="00E02168">
              <w:rPr>
                <w:sz w:val="28"/>
                <w:szCs w:val="28"/>
              </w:rPr>
              <w:t>5</w:t>
            </w:r>
            <w:r>
              <w:rPr>
                <w:sz w:val="28"/>
                <w:szCs w:val="28"/>
              </w:rPr>
              <w:t>35</w:t>
            </w:r>
          </w:p>
        </w:tc>
        <w:tc>
          <w:tcPr>
            <w:tcW w:w="782" w:type="pct"/>
            <w:tcBorders>
              <w:top w:val="outset" w:sz="6" w:space="0" w:color="auto"/>
              <w:left w:val="outset" w:sz="6" w:space="0" w:color="auto"/>
              <w:bottom w:val="outset" w:sz="6" w:space="0" w:color="auto"/>
              <w:right w:val="outset" w:sz="6" w:space="0" w:color="auto"/>
            </w:tcBorders>
          </w:tcPr>
          <w:p w:rsidR="00BB3FE0" w:rsidRPr="00DA16E6" w:rsidRDefault="00BB3FE0" w:rsidP="00376606">
            <w:pPr>
              <w:pStyle w:val="naisf"/>
              <w:spacing w:before="0" w:after="0"/>
              <w:ind w:firstLine="0"/>
              <w:jc w:val="center"/>
              <w:rPr>
                <w:sz w:val="28"/>
                <w:szCs w:val="28"/>
              </w:rPr>
            </w:pPr>
            <w:r w:rsidRPr="00DA16E6">
              <w:rPr>
                <w:sz w:val="28"/>
                <w:szCs w:val="28"/>
              </w:rPr>
              <w:t>9 710</w:t>
            </w:r>
          </w:p>
        </w:tc>
        <w:tc>
          <w:tcPr>
            <w:tcW w:w="781" w:type="pct"/>
            <w:tcBorders>
              <w:top w:val="outset" w:sz="6" w:space="0" w:color="auto"/>
              <w:left w:val="outset" w:sz="6" w:space="0" w:color="auto"/>
              <w:bottom w:val="outset" w:sz="6" w:space="0" w:color="auto"/>
              <w:right w:val="outset" w:sz="6" w:space="0" w:color="auto"/>
            </w:tcBorders>
          </w:tcPr>
          <w:p w:rsidR="00BB3FE0" w:rsidRPr="00DA16E6" w:rsidRDefault="00BB3FE0" w:rsidP="00376606">
            <w:pPr>
              <w:jc w:val="center"/>
              <w:rPr>
                <w:rFonts w:ascii="Times New Roman" w:hAnsi="Times New Roman" w:cs="Times New Roman"/>
                <w:sz w:val="28"/>
                <w:szCs w:val="28"/>
              </w:rPr>
            </w:pPr>
            <w:r w:rsidRPr="00DA16E6">
              <w:rPr>
                <w:rFonts w:ascii="Times New Roman" w:hAnsi="Times New Roman" w:cs="Times New Roman"/>
                <w:sz w:val="28"/>
                <w:szCs w:val="28"/>
              </w:rPr>
              <w:t>9 710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Pr>
                <w:rFonts w:ascii="Times New Roman" w:hAnsi="Times New Roman" w:cs="Times New Roman"/>
                <w:sz w:val="28"/>
                <w:szCs w:val="28"/>
              </w:rPr>
              <w:t>9 71</w:t>
            </w: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Pr>
                <w:rFonts w:ascii="Times New Roman" w:hAnsi="Times New Roman" w:cs="Times New Roman"/>
                <w:sz w:val="28"/>
                <w:szCs w:val="28"/>
              </w:rPr>
              <w:t>9 71</w:t>
            </w:r>
            <w:r w:rsidRPr="00E02168">
              <w:rPr>
                <w:rFonts w:ascii="Times New Roman" w:hAnsi="Times New Roman" w:cs="Times New Roman"/>
                <w:sz w:val="28"/>
                <w:szCs w:val="28"/>
              </w:rPr>
              <w:t>0</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1.2. valsts speciālais budžets</w:t>
            </w:r>
          </w:p>
        </w:tc>
        <w:tc>
          <w:tcPr>
            <w:tcW w:w="794"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1.3. pašvaldību budžets</w:t>
            </w:r>
          </w:p>
        </w:tc>
        <w:tc>
          <w:tcPr>
            <w:tcW w:w="794"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2. Budžeta izdevumi:</w:t>
            </w:r>
          </w:p>
        </w:tc>
        <w:tc>
          <w:tcPr>
            <w:tcW w:w="794"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Pr>
                <w:rFonts w:ascii="Times New Roman" w:hAnsi="Times New Roman" w:cs="Times New Roman"/>
                <w:sz w:val="28"/>
                <w:szCs w:val="28"/>
              </w:rPr>
              <w:t>1 123 535</w:t>
            </w:r>
          </w:p>
        </w:tc>
        <w:tc>
          <w:tcPr>
            <w:tcW w:w="782" w:type="pct"/>
            <w:tcBorders>
              <w:top w:val="outset" w:sz="6" w:space="0" w:color="auto"/>
              <w:left w:val="outset" w:sz="6" w:space="0" w:color="auto"/>
              <w:bottom w:val="outset" w:sz="6" w:space="0" w:color="auto"/>
              <w:right w:val="outset" w:sz="6" w:space="0" w:color="auto"/>
            </w:tcBorders>
          </w:tcPr>
          <w:p w:rsidR="00BB3FE0" w:rsidRPr="00DA16E6" w:rsidRDefault="00BB3FE0" w:rsidP="00376606">
            <w:pPr>
              <w:jc w:val="center"/>
              <w:rPr>
                <w:rFonts w:ascii="Times New Roman" w:hAnsi="Times New Roman" w:cs="Times New Roman"/>
                <w:sz w:val="28"/>
                <w:szCs w:val="28"/>
              </w:rPr>
            </w:pPr>
            <w:r w:rsidRPr="00DA16E6">
              <w:rPr>
                <w:rFonts w:ascii="Times New Roman" w:hAnsi="Times New Roman" w:cs="Times New Roman"/>
                <w:sz w:val="28"/>
                <w:szCs w:val="28"/>
              </w:rPr>
              <w:t>9 710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Pr>
                <w:rFonts w:ascii="Times New Roman" w:hAnsi="Times New Roman" w:cs="Times New Roman"/>
                <w:sz w:val="28"/>
                <w:szCs w:val="28"/>
              </w:rPr>
              <w:t>9 71</w:t>
            </w: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Pr>
                <w:rFonts w:ascii="Times New Roman" w:hAnsi="Times New Roman" w:cs="Times New Roman"/>
                <w:sz w:val="28"/>
                <w:szCs w:val="28"/>
              </w:rPr>
              <w:t>9 71</w:t>
            </w: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Pr>
                <w:rFonts w:ascii="Times New Roman" w:hAnsi="Times New Roman" w:cs="Times New Roman"/>
                <w:sz w:val="28"/>
                <w:szCs w:val="28"/>
              </w:rPr>
              <w:t>9 71</w:t>
            </w:r>
            <w:r w:rsidRPr="00E02168">
              <w:rPr>
                <w:rFonts w:ascii="Times New Roman" w:hAnsi="Times New Roman" w:cs="Times New Roman"/>
                <w:sz w:val="28"/>
                <w:szCs w:val="28"/>
              </w:rPr>
              <w:t>0</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2.1. valsts pamatbudžets</w:t>
            </w:r>
          </w:p>
        </w:tc>
        <w:tc>
          <w:tcPr>
            <w:tcW w:w="794"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pStyle w:val="naisf"/>
              <w:spacing w:before="0" w:after="0"/>
              <w:ind w:firstLine="0"/>
              <w:jc w:val="center"/>
              <w:rPr>
                <w:sz w:val="28"/>
                <w:szCs w:val="28"/>
              </w:rPr>
            </w:pPr>
            <w:r>
              <w:rPr>
                <w:sz w:val="28"/>
                <w:szCs w:val="28"/>
              </w:rPr>
              <w:t>1 123 535</w:t>
            </w:r>
          </w:p>
        </w:tc>
        <w:tc>
          <w:tcPr>
            <w:tcW w:w="782" w:type="pct"/>
            <w:tcBorders>
              <w:top w:val="outset" w:sz="6" w:space="0" w:color="auto"/>
              <w:left w:val="outset" w:sz="6" w:space="0" w:color="auto"/>
              <w:bottom w:val="outset" w:sz="6" w:space="0" w:color="auto"/>
              <w:right w:val="outset" w:sz="6" w:space="0" w:color="auto"/>
            </w:tcBorders>
          </w:tcPr>
          <w:p w:rsidR="00BB3FE0" w:rsidRPr="00DA16E6" w:rsidRDefault="00BB3FE0" w:rsidP="00376606">
            <w:pPr>
              <w:pStyle w:val="naisf"/>
              <w:spacing w:before="0" w:after="0"/>
              <w:ind w:firstLine="0"/>
              <w:jc w:val="center"/>
              <w:rPr>
                <w:sz w:val="28"/>
                <w:szCs w:val="28"/>
              </w:rPr>
            </w:pPr>
            <w:r w:rsidRPr="00DA16E6">
              <w:rPr>
                <w:sz w:val="28"/>
                <w:szCs w:val="28"/>
              </w:rPr>
              <w:t>9 710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Pr>
                <w:rFonts w:ascii="Times New Roman" w:hAnsi="Times New Roman" w:cs="Times New Roman"/>
                <w:sz w:val="28"/>
                <w:szCs w:val="28"/>
              </w:rPr>
              <w:t>9 71</w:t>
            </w: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Pr>
                <w:rFonts w:ascii="Times New Roman" w:hAnsi="Times New Roman" w:cs="Times New Roman"/>
                <w:sz w:val="28"/>
                <w:szCs w:val="28"/>
              </w:rPr>
              <w:t>9 71</w:t>
            </w: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Pr>
                <w:rFonts w:ascii="Times New Roman" w:hAnsi="Times New Roman" w:cs="Times New Roman"/>
                <w:sz w:val="28"/>
                <w:szCs w:val="28"/>
              </w:rPr>
              <w:t>9 71</w:t>
            </w:r>
            <w:r w:rsidRPr="00E02168">
              <w:rPr>
                <w:rFonts w:ascii="Times New Roman" w:hAnsi="Times New Roman" w:cs="Times New Roman"/>
                <w:sz w:val="28"/>
                <w:szCs w:val="28"/>
              </w:rPr>
              <w:t>0</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2.2. valsts speciālais budžets</w:t>
            </w:r>
          </w:p>
        </w:tc>
        <w:tc>
          <w:tcPr>
            <w:tcW w:w="794"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2.3. pašvaldību budžets</w:t>
            </w:r>
          </w:p>
        </w:tc>
        <w:tc>
          <w:tcPr>
            <w:tcW w:w="794"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3. Finansiālā ietekme:</w:t>
            </w:r>
          </w:p>
        </w:tc>
        <w:tc>
          <w:tcPr>
            <w:tcW w:w="794"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pStyle w:val="naisc"/>
              <w:spacing w:before="0" w:after="0"/>
              <w:rPr>
                <w:sz w:val="28"/>
                <w:szCs w:val="28"/>
              </w:rPr>
            </w:pPr>
            <w:r w:rsidRPr="00E02168">
              <w:rPr>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3.1. valsts pamatbudžets</w:t>
            </w:r>
          </w:p>
        </w:tc>
        <w:tc>
          <w:tcPr>
            <w:tcW w:w="794"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3.2. speciālais budžets</w:t>
            </w:r>
          </w:p>
        </w:tc>
        <w:tc>
          <w:tcPr>
            <w:tcW w:w="794"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3.3. pašvaldību budžets</w:t>
            </w:r>
          </w:p>
        </w:tc>
        <w:tc>
          <w:tcPr>
            <w:tcW w:w="794"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4. Finanšu līdzekļi papildu izdevumu finansēšanai (kompensējošu izdevumu samazinājumu norāda ar "+" zīmi)</w:t>
            </w:r>
          </w:p>
        </w:tc>
        <w:tc>
          <w:tcPr>
            <w:tcW w:w="794"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X</w:t>
            </w:r>
          </w:p>
        </w:tc>
        <w:tc>
          <w:tcPr>
            <w:tcW w:w="782" w:type="pct"/>
            <w:tcBorders>
              <w:top w:val="outset" w:sz="6" w:space="0" w:color="auto"/>
              <w:left w:val="outset" w:sz="6" w:space="0" w:color="auto"/>
              <w:bottom w:val="nil"/>
              <w:right w:val="outset" w:sz="6" w:space="0" w:color="auto"/>
            </w:tcBorders>
          </w:tcPr>
          <w:p w:rsidR="00BB3FE0" w:rsidRPr="00E02168" w:rsidRDefault="00BB3FE0" w:rsidP="00376606">
            <w:pPr>
              <w:jc w:val="center"/>
              <w:rPr>
                <w:rFonts w:ascii="Times New Roman" w:hAnsi="Times New Roman" w:cs="Times New Roman"/>
                <w:sz w:val="28"/>
                <w:szCs w:val="28"/>
              </w:rPr>
            </w:pPr>
            <w:r>
              <w:rPr>
                <w:rFonts w:ascii="Times New Roman" w:hAnsi="Times New Roman" w:cs="Times New Roman"/>
                <w:sz w:val="28"/>
                <w:szCs w:val="28"/>
              </w:rPr>
              <w:t>0</w:t>
            </w:r>
          </w:p>
        </w:tc>
        <w:tc>
          <w:tcPr>
            <w:tcW w:w="781" w:type="pct"/>
            <w:tcBorders>
              <w:top w:val="outset" w:sz="6" w:space="0" w:color="auto"/>
              <w:left w:val="outset" w:sz="6" w:space="0" w:color="auto"/>
              <w:bottom w:val="nil"/>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nil"/>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nil"/>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5. Precizēta finansiālā ietekme:</w:t>
            </w:r>
          </w:p>
        </w:tc>
        <w:tc>
          <w:tcPr>
            <w:tcW w:w="794" w:type="pct"/>
            <w:vMerge w:val="restart"/>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X</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5.1. valsts pamatbudžets</w:t>
            </w:r>
          </w:p>
        </w:tc>
        <w:tc>
          <w:tcPr>
            <w:tcW w:w="794" w:type="pct"/>
            <w:vMerge/>
          </w:tcPr>
          <w:p w:rsidR="00BB3FE0" w:rsidRPr="00E02168" w:rsidRDefault="00BB3FE0" w:rsidP="00376606">
            <w:pPr>
              <w:rPr>
                <w:rFonts w:ascii="Times New Roman" w:hAnsi="Times New Roman" w:cs="Times New Roman"/>
                <w:sz w:val="28"/>
                <w:szCs w:val="28"/>
              </w:rPr>
            </w:pP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5.2. speciālais budžets</w:t>
            </w:r>
          </w:p>
        </w:tc>
        <w:tc>
          <w:tcPr>
            <w:tcW w:w="794" w:type="pct"/>
            <w:vMerge/>
          </w:tcPr>
          <w:p w:rsidR="00BB3FE0" w:rsidRPr="00E02168" w:rsidRDefault="00BB3FE0" w:rsidP="00376606">
            <w:pPr>
              <w:rPr>
                <w:rFonts w:ascii="Times New Roman" w:hAnsi="Times New Roman" w:cs="Times New Roman"/>
                <w:sz w:val="28"/>
                <w:szCs w:val="28"/>
              </w:rPr>
            </w:pP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5.3. pašvaldību budžets</w:t>
            </w:r>
          </w:p>
        </w:tc>
        <w:tc>
          <w:tcPr>
            <w:tcW w:w="794" w:type="pct"/>
            <w:vMerge/>
          </w:tcPr>
          <w:p w:rsidR="00BB3FE0" w:rsidRPr="00E02168" w:rsidRDefault="00BB3FE0" w:rsidP="00376606">
            <w:pPr>
              <w:rPr>
                <w:rFonts w:ascii="Times New Roman" w:hAnsi="Times New Roman" w:cs="Times New Roman"/>
                <w:sz w:val="28"/>
                <w:szCs w:val="28"/>
              </w:rPr>
            </w:pP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2"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c>
          <w:tcPr>
            <w:tcW w:w="781" w:type="pct"/>
            <w:tcBorders>
              <w:top w:val="outset" w:sz="6" w:space="0" w:color="auto"/>
              <w:left w:val="outset" w:sz="6" w:space="0" w:color="auto"/>
              <w:bottom w:val="outset" w:sz="6" w:space="0" w:color="auto"/>
              <w:right w:val="outset" w:sz="6" w:space="0" w:color="auto"/>
            </w:tcBorders>
          </w:tcPr>
          <w:p w:rsidR="00BB3FE0" w:rsidRPr="00E02168" w:rsidRDefault="00BB3FE0" w:rsidP="00376606">
            <w:pPr>
              <w:jc w:val="center"/>
              <w:rPr>
                <w:rFonts w:ascii="Times New Roman" w:hAnsi="Times New Roman" w:cs="Times New Roman"/>
                <w:sz w:val="28"/>
                <w:szCs w:val="28"/>
              </w:rPr>
            </w:pPr>
            <w:r w:rsidRPr="00E02168">
              <w:rPr>
                <w:rFonts w:ascii="Times New Roman" w:hAnsi="Times New Roman" w:cs="Times New Roman"/>
                <w:sz w:val="28"/>
                <w:szCs w:val="28"/>
              </w:rPr>
              <w:t>0</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6. Detalizēts ieņēmumu un izdevumu aprēķins (ja nepieciešams, detalizētu ieņēmumu un izdevumu aprēķinu var pievienot anotācijas pielikumā):</w:t>
            </w:r>
          </w:p>
        </w:tc>
        <w:tc>
          <w:tcPr>
            <w:tcW w:w="3920" w:type="pct"/>
            <w:gridSpan w:val="5"/>
            <w:vMerge w:val="restart"/>
          </w:tcPr>
          <w:p w:rsidR="00BB3FE0" w:rsidRPr="00E02168" w:rsidRDefault="00BB3FE0" w:rsidP="00376606">
            <w:pPr>
              <w:jc w:val="both"/>
              <w:rPr>
                <w:rFonts w:ascii="Times New Roman" w:hAnsi="Times New Roman" w:cs="Times New Roman"/>
                <w:sz w:val="28"/>
                <w:szCs w:val="28"/>
              </w:rPr>
            </w:pPr>
            <w:r w:rsidRPr="008F5AAD">
              <w:rPr>
                <w:rFonts w:ascii="Times New Roman" w:hAnsi="Times New Roman" w:cs="Times New Roman"/>
                <w:sz w:val="28"/>
                <w:szCs w:val="28"/>
              </w:rPr>
              <w:t>Detalizēts aprēķins sniegts Projekta sākotnējās ietekmes novērtējuma ziņojuma (anotācijas) 1.pielikumā, kurā norādīta publisko</w:t>
            </w:r>
            <w:r w:rsidRPr="00E02168">
              <w:rPr>
                <w:rFonts w:ascii="Times New Roman" w:hAnsi="Times New Roman" w:cs="Times New Roman"/>
                <w:sz w:val="28"/>
                <w:szCs w:val="28"/>
              </w:rPr>
              <w:t xml:space="preserve"> maksas pakalpojumu cenu kalkulācija un 2.pielikumā, kurā veikts aprēķins par publisko maksas pakalpojumu sniegšanā iesaistīto darbinieku izlietoto darba laiku un atalgojumu</w:t>
            </w:r>
            <w:r>
              <w:rPr>
                <w:rFonts w:ascii="Times New Roman" w:hAnsi="Times New Roman" w:cs="Times New Roman"/>
                <w:sz w:val="28"/>
                <w:szCs w:val="28"/>
              </w:rPr>
              <w:t>.</w:t>
            </w: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6.1. detalizēts ieņēmumu aprēķins</w:t>
            </w:r>
          </w:p>
        </w:tc>
        <w:tc>
          <w:tcPr>
            <w:tcW w:w="3920" w:type="pct"/>
            <w:gridSpan w:val="5"/>
            <w:vMerge/>
          </w:tcPr>
          <w:p w:rsidR="00BB3FE0" w:rsidRPr="00E02168" w:rsidRDefault="00BB3FE0" w:rsidP="00376606">
            <w:pPr>
              <w:rPr>
                <w:rFonts w:ascii="Times New Roman" w:hAnsi="Times New Roman" w:cs="Times New Roman"/>
                <w:sz w:val="28"/>
                <w:szCs w:val="28"/>
              </w:rPr>
            </w:pP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rPr>
                <w:sz w:val="28"/>
                <w:szCs w:val="28"/>
              </w:rPr>
            </w:pPr>
            <w:r w:rsidRPr="00E02168">
              <w:rPr>
                <w:sz w:val="28"/>
                <w:szCs w:val="28"/>
              </w:rPr>
              <w:t>6.2. detalizēts izdevumu aprēķins</w:t>
            </w:r>
          </w:p>
        </w:tc>
        <w:tc>
          <w:tcPr>
            <w:tcW w:w="3920" w:type="pct"/>
            <w:gridSpan w:val="5"/>
            <w:vMerge/>
          </w:tcPr>
          <w:p w:rsidR="00BB3FE0" w:rsidRPr="00E02168" w:rsidRDefault="00BB3FE0" w:rsidP="00376606">
            <w:pPr>
              <w:rPr>
                <w:rFonts w:ascii="Times New Roman" w:hAnsi="Times New Roman" w:cs="Times New Roman"/>
                <w:sz w:val="28"/>
                <w:szCs w:val="28"/>
              </w:rPr>
            </w:pPr>
          </w:p>
        </w:tc>
      </w:tr>
      <w:tr w:rsidR="00BB3FE0" w:rsidRPr="00E02168" w:rsidTr="00AF3703">
        <w:tc>
          <w:tcPr>
            <w:tcW w:w="1080" w:type="pct"/>
            <w:tcBorders>
              <w:top w:val="outset" w:sz="6" w:space="0" w:color="auto"/>
              <w:left w:val="outset" w:sz="6" w:space="0" w:color="auto"/>
              <w:bottom w:val="outset" w:sz="6" w:space="0" w:color="auto"/>
              <w:right w:val="outset" w:sz="6" w:space="0" w:color="auto"/>
            </w:tcBorders>
            <w:vAlign w:val="center"/>
          </w:tcPr>
          <w:p w:rsidR="00BB3FE0" w:rsidRPr="00E02168" w:rsidRDefault="00BB3FE0" w:rsidP="00376606">
            <w:pPr>
              <w:pStyle w:val="naiskr"/>
              <w:spacing w:before="0" w:after="0"/>
              <w:jc w:val="both"/>
              <w:rPr>
                <w:sz w:val="28"/>
                <w:szCs w:val="28"/>
                <w:highlight w:val="red"/>
              </w:rPr>
            </w:pPr>
            <w:r w:rsidRPr="00E02168">
              <w:rPr>
                <w:sz w:val="28"/>
                <w:szCs w:val="28"/>
              </w:rPr>
              <w:t>7.Cita informācija</w:t>
            </w:r>
          </w:p>
        </w:tc>
        <w:tc>
          <w:tcPr>
            <w:tcW w:w="3920" w:type="pct"/>
            <w:gridSpan w:val="5"/>
            <w:tcBorders>
              <w:top w:val="outset" w:sz="6" w:space="0" w:color="auto"/>
              <w:left w:val="outset" w:sz="6" w:space="0" w:color="auto"/>
              <w:bottom w:val="outset" w:sz="6" w:space="0" w:color="auto"/>
            </w:tcBorders>
            <w:vAlign w:val="center"/>
          </w:tcPr>
          <w:p w:rsidR="00BB3FE0" w:rsidRDefault="00BB3FE0" w:rsidP="00376606">
            <w:pPr>
              <w:jc w:val="both"/>
              <w:rPr>
                <w:rFonts w:ascii="Times New Roman" w:hAnsi="Times New Roman" w:cs="Times New Roman"/>
                <w:sz w:val="28"/>
                <w:szCs w:val="28"/>
              </w:rPr>
            </w:pPr>
            <w:r>
              <w:rPr>
                <w:rFonts w:ascii="Times New Roman" w:hAnsi="Times New Roman" w:cs="Times New Roman"/>
                <w:sz w:val="28"/>
                <w:szCs w:val="28"/>
              </w:rPr>
              <w:t>2016</w:t>
            </w:r>
            <w:r w:rsidRPr="00E02168">
              <w:rPr>
                <w:rFonts w:ascii="Times New Roman" w:hAnsi="Times New Roman" w:cs="Times New Roman"/>
                <w:sz w:val="28"/>
                <w:szCs w:val="28"/>
              </w:rPr>
              <w:t>.gadā finanšu resursi muzeja izdevumu segšanai sastāda 1</w:t>
            </w:r>
            <w:r>
              <w:rPr>
                <w:rFonts w:ascii="Times New Roman" w:hAnsi="Times New Roman" w:cs="Times New Roman"/>
                <w:sz w:val="28"/>
                <w:szCs w:val="28"/>
              </w:rPr>
              <w:t> </w:t>
            </w:r>
            <w:r w:rsidRPr="00E02168">
              <w:rPr>
                <w:rFonts w:ascii="Times New Roman" w:hAnsi="Times New Roman" w:cs="Times New Roman"/>
                <w:sz w:val="28"/>
                <w:szCs w:val="28"/>
              </w:rPr>
              <w:t>123</w:t>
            </w:r>
            <w:r>
              <w:rPr>
                <w:rFonts w:ascii="Times New Roman" w:hAnsi="Times New Roman" w:cs="Times New Roman"/>
                <w:sz w:val="28"/>
                <w:szCs w:val="28"/>
              </w:rPr>
              <w:t xml:space="preserve"> 535</w:t>
            </w:r>
            <w:r w:rsidRPr="00E02168">
              <w:rPr>
                <w:rFonts w:ascii="Times New Roman" w:hAnsi="Times New Roman" w:cs="Times New Roman"/>
                <w:sz w:val="28"/>
                <w:szCs w:val="28"/>
              </w:rPr>
              <w:t xml:space="preserve"> </w:t>
            </w:r>
            <w:r w:rsidRPr="00E02168">
              <w:rPr>
                <w:rFonts w:ascii="Times New Roman" w:hAnsi="Times New Roman" w:cs="Times New Roman"/>
                <w:i/>
                <w:sz w:val="28"/>
                <w:szCs w:val="28"/>
              </w:rPr>
              <w:t>euro</w:t>
            </w:r>
            <w:r w:rsidRPr="00E02168">
              <w:rPr>
                <w:rFonts w:ascii="Times New Roman" w:hAnsi="Times New Roman" w:cs="Times New Roman"/>
                <w:sz w:val="28"/>
                <w:szCs w:val="28"/>
              </w:rPr>
              <w:t xml:space="preserve"> apmērā, tajā skaitā ieņēmumi no muzeja maksas pakalpojumiem un citi pašu ieņēmumi veido 597</w:t>
            </w:r>
            <w:r w:rsidR="009C74D2">
              <w:rPr>
                <w:rFonts w:ascii="Times New Roman" w:hAnsi="Times New Roman" w:cs="Times New Roman"/>
                <w:sz w:val="28"/>
                <w:szCs w:val="28"/>
              </w:rPr>
              <w:t> </w:t>
            </w:r>
            <w:r w:rsidRPr="00E02168">
              <w:rPr>
                <w:rFonts w:ascii="Times New Roman" w:hAnsi="Times New Roman" w:cs="Times New Roman"/>
                <w:sz w:val="28"/>
                <w:szCs w:val="28"/>
              </w:rPr>
              <w:t>606</w:t>
            </w:r>
            <w:r w:rsidR="009C74D2">
              <w:rPr>
                <w:rFonts w:ascii="Times New Roman" w:hAnsi="Times New Roman" w:cs="Times New Roman"/>
                <w:sz w:val="28"/>
                <w:szCs w:val="28"/>
              </w:rPr>
              <w:t> </w:t>
            </w:r>
            <w:r w:rsidRPr="00E02168">
              <w:rPr>
                <w:rFonts w:ascii="Times New Roman" w:hAnsi="Times New Roman" w:cs="Times New Roman"/>
                <w:i/>
                <w:sz w:val="28"/>
                <w:szCs w:val="28"/>
              </w:rPr>
              <w:t>euro</w:t>
            </w:r>
            <w:r w:rsidRPr="00E02168">
              <w:rPr>
                <w:rFonts w:ascii="Times New Roman" w:hAnsi="Times New Roman" w:cs="Times New Roman"/>
                <w:sz w:val="28"/>
                <w:szCs w:val="28"/>
              </w:rPr>
              <w:t xml:space="preserve"> (53,2 % no muzeja resursiem izdevumu segšanai) un valsts budžeta dotācija no vispārējiem ieņēmumiem ir 525</w:t>
            </w:r>
            <w:r>
              <w:rPr>
                <w:rFonts w:ascii="Times New Roman" w:hAnsi="Times New Roman" w:cs="Times New Roman"/>
                <w:sz w:val="28"/>
                <w:szCs w:val="28"/>
              </w:rPr>
              <w:t>929</w:t>
            </w:r>
            <w:r w:rsidRPr="00E02168">
              <w:rPr>
                <w:rFonts w:ascii="Times New Roman" w:hAnsi="Times New Roman" w:cs="Times New Roman"/>
                <w:sz w:val="28"/>
                <w:szCs w:val="28"/>
              </w:rPr>
              <w:t xml:space="preserve"> </w:t>
            </w:r>
            <w:r w:rsidRPr="00E02168">
              <w:rPr>
                <w:rFonts w:ascii="Times New Roman" w:hAnsi="Times New Roman" w:cs="Times New Roman"/>
                <w:i/>
                <w:sz w:val="28"/>
                <w:szCs w:val="28"/>
              </w:rPr>
              <w:t>euro</w:t>
            </w:r>
            <w:r w:rsidRPr="00E02168">
              <w:rPr>
                <w:rFonts w:ascii="Times New Roman" w:hAnsi="Times New Roman" w:cs="Times New Roman"/>
                <w:sz w:val="28"/>
                <w:szCs w:val="28"/>
              </w:rPr>
              <w:t xml:space="preserve"> (46,8 % no muzeja resursiem izdevumu segšanai).</w:t>
            </w:r>
          </w:p>
          <w:p w:rsidR="00BB3FE0" w:rsidRPr="00E02168" w:rsidRDefault="00BB3FE0" w:rsidP="00376606">
            <w:pPr>
              <w:jc w:val="both"/>
              <w:rPr>
                <w:rFonts w:ascii="Times New Roman" w:hAnsi="Times New Roman" w:cs="Times New Roman"/>
                <w:sz w:val="28"/>
                <w:szCs w:val="28"/>
              </w:rPr>
            </w:pPr>
            <w:r w:rsidRPr="00DA16E6">
              <w:rPr>
                <w:rFonts w:ascii="Times New Roman" w:hAnsi="Times New Roman" w:cs="Times New Roman"/>
                <w:sz w:val="28"/>
                <w:szCs w:val="28"/>
              </w:rPr>
              <w:t xml:space="preserve">Ņemot vērā ieejas maksas un citu muzeja sniegto maksas pakalpojumu cenu izmaiņas cenrādī, tiek plānots pašu ieņēmumu pieaugums par 9 710 </w:t>
            </w:r>
            <w:r w:rsidRPr="00DA16E6">
              <w:rPr>
                <w:rFonts w:ascii="Times New Roman" w:hAnsi="Times New Roman" w:cs="Times New Roman"/>
                <w:i/>
                <w:sz w:val="28"/>
                <w:szCs w:val="28"/>
              </w:rPr>
              <w:t>euro</w:t>
            </w:r>
            <w:r w:rsidRPr="00DA16E6">
              <w:rPr>
                <w:rFonts w:ascii="Times New Roman" w:hAnsi="Times New Roman" w:cs="Times New Roman"/>
                <w:sz w:val="28"/>
                <w:szCs w:val="28"/>
              </w:rPr>
              <w:t>.</w:t>
            </w:r>
          </w:p>
        </w:tc>
      </w:tr>
    </w:tbl>
    <w:p w:rsidR="00D70ACB" w:rsidRDefault="00D70ACB" w:rsidP="00376606">
      <w:pPr>
        <w:pStyle w:val="ParastaisWeb"/>
        <w:spacing w:before="0" w:beforeAutospacing="0" w:after="0" w:afterAutospacing="0"/>
        <w:rPr>
          <w:i/>
          <w:sz w:val="28"/>
          <w:szCs w:val="28"/>
        </w:rPr>
      </w:pPr>
    </w:p>
    <w:p w:rsidR="00715CD7" w:rsidRDefault="00715CD7" w:rsidP="00376606">
      <w:pPr>
        <w:pStyle w:val="ParastaisWeb"/>
        <w:spacing w:before="0" w:beforeAutospacing="0" w:after="0" w:afterAutospacing="0"/>
        <w:rPr>
          <w:i/>
          <w:sz w:val="28"/>
          <w:szCs w:val="28"/>
        </w:rPr>
      </w:pPr>
      <w:r w:rsidRPr="00E02168">
        <w:rPr>
          <w:i/>
          <w:sz w:val="28"/>
          <w:szCs w:val="28"/>
        </w:rPr>
        <w:t>Anotācijas I</w:t>
      </w:r>
      <w:r w:rsidR="002D01F6">
        <w:rPr>
          <w:i/>
          <w:sz w:val="28"/>
          <w:szCs w:val="28"/>
        </w:rPr>
        <w:t xml:space="preserve">V, V un VI sadaļa – </w:t>
      </w:r>
      <w:r w:rsidR="00020993">
        <w:rPr>
          <w:i/>
          <w:sz w:val="28"/>
          <w:szCs w:val="28"/>
        </w:rPr>
        <w:t>P</w:t>
      </w:r>
      <w:r w:rsidR="002D01F6">
        <w:rPr>
          <w:i/>
          <w:sz w:val="28"/>
          <w:szCs w:val="28"/>
        </w:rPr>
        <w:t>rojekts šo jomu</w:t>
      </w:r>
      <w:r w:rsidRPr="00E02168">
        <w:rPr>
          <w:i/>
          <w:sz w:val="28"/>
          <w:szCs w:val="28"/>
        </w:rPr>
        <w:t xml:space="preserve"> neskar.</w:t>
      </w:r>
    </w:p>
    <w:p w:rsidR="00E02168" w:rsidRPr="00E02168" w:rsidRDefault="00E02168" w:rsidP="00376606">
      <w:pPr>
        <w:pStyle w:val="ParastaisWeb"/>
        <w:spacing w:before="0" w:beforeAutospacing="0" w:after="0" w:afterAutospacing="0"/>
        <w:rPr>
          <w:i/>
          <w:sz w:val="28"/>
          <w:szCs w:val="28"/>
        </w:rPr>
      </w:pPr>
    </w:p>
    <w:tbl>
      <w:tblPr>
        <w:tblStyle w:val="Reatabula"/>
        <w:tblW w:w="5000" w:type="pct"/>
        <w:tblLook w:val="04A0"/>
      </w:tblPr>
      <w:tblGrid>
        <w:gridCol w:w="741"/>
        <w:gridCol w:w="3620"/>
        <w:gridCol w:w="4926"/>
      </w:tblGrid>
      <w:tr w:rsidR="00715CD7" w:rsidRPr="00E02168" w:rsidTr="00AF3703">
        <w:tc>
          <w:tcPr>
            <w:tcW w:w="5000" w:type="pct"/>
            <w:gridSpan w:val="3"/>
          </w:tcPr>
          <w:p w:rsidR="00715CD7" w:rsidRPr="00E02168" w:rsidRDefault="00715CD7" w:rsidP="00376606">
            <w:pPr>
              <w:jc w:val="center"/>
              <w:rPr>
                <w:rFonts w:ascii="Times New Roman" w:hAnsi="Times New Roman" w:cs="Times New Roman"/>
                <w:sz w:val="28"/>
                <w:szCs w:val="28"/>
              </w:rPr>
            </w:pPr>
            <w:r w:rsidRPr="00E02168">
              <w:rPr>
                <w:rFonts w:ascii="Times New Roman" w:hAnsi="Times New Roman" w:cs="Times New Roman"/>
                <w:b/>
                <w:bCs/>
                <w:sz w:val="28"/>
                <w:szCs w:val="28"/>
              </w:rPr>
              <w:t>VII. Tiesību akta projekta izpildes nodrošināšana un tās ietekme uz institūcijām</w:t>
            </w:r>
          </w:p>
        </w:tc>
      </w:tr>
      <w:tr w:rsidR="00715CD7" w:rsidRPr="00E02168" w:rsidTr="00B638DD">
        <w:tc>
          <w:tcPr>
            <w:tcW w:w="399" w:type="pct"/>
            <w:tcBorders>
              <w:top w:val="outset" w:sz="6" w:space="0" w:color="auto"/>
              <w:left w:val="outset" w:sz="6" w:space="0" w:color="auto"/>
              <w:bottom w:val="outset" w:sz="6" w:space="0" w:color="auto"/>
              <w:right w:val="outset" w:sz="6" w:space="0" w:color="auto"/>
            </w:tcBorders>
          </w:tcPr>
          <w:p w:rsidR="00715CD7" w:rsidRPr="00E02168" w:rsidRDefault="00715CD7" w:rsidP="00376606">
            <w:pPr>
              <w:pStyle w:val="naiskr"/>
              <w:spacing w:before="0" w:after="0"/>
              <w:jc w:val="center"/>
              <w:rPr>
                <w:sz w:val="28"/>
                <w:szCs w:val="28"/>
              </w:rPr>
            </w:pPr>
            <w:r w:rsidRPr="00E02168">
              <w:rPr>
                <w:sz w:val="28"/>
                <w:szCs w:val="28"/>
              </w:rPr>
              <w:t>1.</w:t>
            </w:r>
          </w:p>
        </w:tc>
        <w:tc>
          <w:tcPr>
            <w:tcW w:w="1949" w:type="pct"/>
            <w:tcBorders>
              <w:top w:val="outset" w:sz="6" w:space="0" w:color="auto"/>
              <w:left w:val="outset" w:sz="6" w:space="0" w:color="auto"/>
              <w:bottom w:val="outset" w:sz="6" w:space="0" w:color="auto"/>
              <w:right w:val="outset" w:sz="6" w:space="0" w:color="auto"/>
            </w:tcBorders>
          </w:tcPr>
          <w:p w:rsidR="00715CD7" w:rsidRPr="00E02168" w:rsidRDefault="00715CD7" w:rsidP="00376606">
            <w:pPr>
              <w:pStyle w:val="naiskr"/>
              <w:spacing w:before="0" w:after="0"/>
              <w:ind w:right="169"/>
              <w:jc w:val="both"/>
              <w:rPr>
                <w:sz w:val="28"/>
                <w:szCs w:val="28"/>
              </w:rPr>
            </w:pPr>
            <w:r w:rsidRPr="00E02168">
              <w:rPr>
                <w:sz w:val="28"/>
                <w:szCs w:val="28"/>
              </w:rPr>
              <w:t>Projekta izpildē iesaistītās institūcijas</w:t>
            </w:r>
          </w:p>
        </w:tc>
        <w:tc>
          <w:tcPr>
            <w:tcW w:w="2652" w:type="pct"/>
            <w:tcBorders>
              <w:top w:val="outset" w:sz="6" w:space="0" w:color="auto"/>
              <w:left w:val="outset" w:sz="6" w:space="0" w:color="auto"/>
              <w:bottom w:val="outset" w:sz="6" w:space="0" w:color="auto"/>
              <w:right w:val="outset" w:sz="6" w:space="0" w:color="auto"/>
            </w:tcBorders>
          </w:tcPr>
          <w:p w:rsidR="00715CD7" w:rsidRPr="00E02168" w:rsidRDefault="00715CD7" w:rsidP="00376606">
            <w:pPr>
              <w:ind w:left="-108"/>
              <w:jc w:val="both"/>
              <w:rPr>
                <w:rFonts w:ascii="Times New Roman" w:hAnsi="Times New Roman" w:cs="Times New Roman"/>
                <w:sz w:val="28"/>
                <w:szCs w:val="28"/>
              </w:rPr>
            </w:pPr>
            <w:r w:rsidRPr="00E02168">
              <w:rPr>
                <w:rFonts w:ascii="Times New Roman" w:hAnsi="Times New Roman" w:cs="Times New Roman"/>
                <w:sz w:val="28"/>
                <w:szCs w:val="28"/>
              </w:rPr>
              <w:t>Projekta izpildi nodrošinās Īpaši aizsargājamais kultūras piemineklis</w:t>
            </w:r>
            <w:r w:rsidR="009C74D2">
              <w:rPr>
                <w:rFonts w:ascii="Times New Roman" w:hAnsi="Times New Roman" w:cs="Times New Roman"/>
                <w:sz w:val="28"/>
                <w:szCs w:val="28"/>
              </w:rPr>
              <w:t xml:space="preserve"> – </w:t>
            </w:r>
            <w:r w:rsidRPr="00E02168">
              <w:rPr>
                <w:rFonts w:ascii="Times New Roman" w:hAnsi="Times New Roman" w:cs="Times New Roman"/>
                <w:sz w:val="28"/>
                <w:szCs w:val="28"/>
              </w:rPr>
              <w:t>Turaidas muzejrezervāts.</w:t>
            </w:r>
          </w:p>
        </w:tc>
      </w:tr>
      <w:tr w:rsidR="00715CD7" w:rsidRPr="00E02168" w:rsidTr="00B638DD">
        <w:tc>
          <w:tcPr>
            <w:tcW w:w="399" w:type="pct"/>
            <w:tcBorders>
              <w:top w:val="outset" w:sz="6" w:space="0" w:color="auto"/>
              <w:left w:val="outset" w:sz="6" w:space="0" w:color="auto"/>
              <w:bottom w:val="outset" w:sz="6" w:space="0" w:color="auto"/>
              <w:right w:val="outset" w:sz="6" w:space="0" w:color="auto"/>
            </w:tcBorders>
          </w:tcPr>
          <w:p w:rsidR="00715CD7" w:rsidRPr="00E02168" w:rsidRDefault="00715CD7" w:rsidP="00376606">
            <w:pPr>
              <w:pStyle w:val="naiskr"/>
              <w:spacing w:before="0" w:after="0"/>
              <w:jc w:val="center"/>
              <w:rPr>
                <w:sz w:val="28"/>
                <w:szCs w:val="28"/>
              </w:rPr>
            </w:pPr>
            <w:r w:rsidRPr="00E02168">
              <w:rPr>
                <w:sz w:val="28"/>
                <w:szCs w:val="28"/>
              </w:rPr>
              <w:t>2.</w:t>
            </w:r>
          </w:p>
        </w:tc>
        <w:tc>
          <w:tcPr>
            <w:tcW w:w="1949" w:type="pct"/>
            <w:tcBorders>
              <w:top w:val="outset" w:sz="6" w:space="0" w:color="auto"/>
              <w:left w:val="outset" w:sz="6" w:space="0" w:color="auto"/>
              <w:bottom w:val="outset" w:sz="6" w:space="0" w:color="auto"/>
              <w:right w:val="outset" w:sz="6" w:space="0" w:color="auto"/>
            </w:tcBorders>
          </w:tcPr>
          <w:p w:rsidR="00715CD7" w:rsidRPr="00E02168" w:rsidRDefault="009C74D2" w:rsidP="00376606">
            <w:pPr>
              <w:ind w:right="169" w:hanging="126"/>
              <w:jc w:val="both"/>
              <w:rPr>
                <w:rFonts w:ascii="Times New Roman" w:hAnsi="Times New Roman" w:cs="Times New Roman"/>
                <w:sz w:val="28"/>
                <w:szCs w:val="28"/>
              </w:rPr>
            </w:pPr>
            <w:r>
              <w:rPr>
                <w:rFonts w:ascii="Times New Roman" w:hAnsi="Times New Roman" w:cs="Times New Roman"/>
                <w:sz w:val="28"/>
                <w:szCs w:val="28"/>
              </w:rPr>
              <w:t> </w:t>
            </w:r>
            <w:r w:rsidR="005D2323">
              <w:rPr>
                <w:rFonts w:ascii="Times New Roman" w:hAnsi="Times New Roman" w:cs="Times New Roman"/>
                <w:sz w:val="28"/>
                <w:szCs w:val="28"/>
              </w:rPr>
              <w:t> </w:t>
            </w:r>
            <w:r w:rsidR="00715CD7" w:rsidRPr="00E02168">
              <w:rPr>
                <w:rFonts w:ascii="Times New Roman" w:hAnsi="Times New Roman" w:cs="Times New Roman"/>
                <w:sz w:val="28"/>
                <w:szCs w:val="28"/>
              </w:rPr>
              <w:t>Projekta izpildes ietekme uz pārvaldes funkcijām un insti</w:t>
            </w:r>
            <w:r w:rsidR="0087211C">
              <w:rPr>
                <w:rFonts w:ascii="Times New Roman" w:hAnsi="Times New Roman" w:cs="Times New Roman"/>
                <w:sz w:val="28"/>
                <w:szCs w:val="28"/>
              </w:rPr>
              <w:t>tucionālo struktūru.</w:t>
            </w:r>
          </w:p>
          <w:p w:rsidR="005D2323" w:rsidRDefault="009C74D2" w:rsidP="00376606">
            <w:pPr>
              <w:ind w:right="169" w:hanging="126"/>
              <w:jc w:val="both"/>
              <w:rPr>
                <w:rFonts w:ascii="Times New Roman" w:hAnsi="Times New Roman" w:cs="Times New Roman"/>
                <w:sz w:val="28"/>
                <w:szCs w:val="28"/>
              </w:rPr>
            </w:pPr>
            <w:r>
              <w:rPr>
                <w:rFonts w:ascii="Times New Roman" w:hAnsi="Times New Roman" w:cs="Times New Roman"/>
                <w:sz w:val="28"/>
                <w:szCs w:val="28"/>
              </w:rPr>
              <w:t> </w:t>
            </w:r>
            <w:r w:rsidR="005D2323">
              <w:rPr>
                <w:rFonts w:ascii="Times New Roman" w:hAnsi="Times New Roman" w:cs="Times New Roman"/>
                <w:sz w:val="28"/>
                <w:szCs w:val="28"/>
              </w:rPr>
              <w:t> </w:t>
            </w:r>
          </w:p>
          <w:p w:rsidR="00715CD7" w:rsidRPr="00E02168" w:rsidRDefault="005D2323" w:rsidP="00376606">
            <w:pPr>
              <w:ind w:right="169" w:hanging="126"/>
              <w:jc w:val="both"/>
              <w:rPr>
                <w:rFonts w:ascii="Times New Roman" w:hAnsi="Times New Roman" w:cs="Times New Roman"/>
                <w:sz w:val="28"/>
                <w:szCs w:val="28"/>
              </w:rPr>
            </w:pPr>
            <w:r>
              <w:rPr>
                <w:rFonts w:ascii="Times New Roman" w:hAnsi="Times New Roman" w:cs="Times New Roman"/>
                <w:sz w:val="28"/>
                <w:szCs w:val="28"/>
              </w:rPr>
              <w:t> </w:t>
            </w:r>
            <w:r w:rsidR="00715CD7" w:rsidRPr="00E02168">
              <w:rPr>
                <w:rFonts w:ascii="Times New Roman" w:hAnsi="Times New Roman" w:cs="Times New Roman"/>
                <w:sz w:val="28"/>
                <w:szCs w:val="28"/>
              </w:rPr>
              <w:t>Jaunu institūciju izveide, esošu institūciju likvidācija vai reorganizācija, to ietekme uz institūcijas cilvēkresursiem.</w:t>
            </w:r>
          </w:p>
        </w:tc>
        <w:tc>
          <w:tcPr>
            <w:tcW w:w="2652" w:type="pct"/>
            <w:tcBorders>
              <w:top w:val="outset" w:sz="6" w:space="0" w:color="auto"/>
              <w:left w:val="outset" w:sz="6" w:space="0" w:color="auto"/>
              <w:bottom w:val="outset" w:sz="6" w:space="0" w:color="auto"/>
              <w:right w:val="outset" w:sz="6" w:space="0" w:color="auto"/>
            </w:tcBorders>
          </w:tcPr>
          <w:p w:rsidR="00715CD7" w:rsidRPr="00B0006E" w:rsidRDefault="00B0006E" w:rsidP="00376606">
            <w:pPr>
              <w:pStyle w:val="Galvene"/>
              <w:ind w:left="-108"/>
              <w:jc w:val="both"/>
              <w:rPr>
                <w:sz w:val="28"/>
                <w:szCs w:val="28"/>
              </w:rPr>
            </w:pPr>
            <w:r>
              <w:rPr>
                <w:sz w:val="28"/>
                <w:szCs w:val="28"/>
              </w:rPr>
              <w:t>Projekts šo jomu neskar.</w:t>
            </w:r>
          </w:p>
        </w:tc>
      </w:tr>
      <w:tr w:rsidR="00715CD7" w:rsidRPr="00E02168" w:rsidTr="00B638DD">
        <w:trPr>
          <w:trHeight w:val="468"/>
        </w:trPr>
        <w:tc>
          <w:tcPr>
            <w:tcW w:w="399" w:type="pct"/>
            <w:tcBorders>
              <w:top w:val="outset" w:sz="6" w:space="0" w:color="auto"/>
              <w:left w:val="outset" w:sz="6" w:space="0" w:color="auto"/>
              <w:bottom w:val="outset" w:sz="6" w:space="0" w:color="auto"/>
              <w:right w:val="outset" w:sz="6" w:space="0" w:color="auto"/>
            </w:tcBorders>
            <w:vAlign w:val="center"/>
          </w:tcPr>
          <w:p w:rsidR="00715CD7" w:rsidRPr="00E02168" w:rsidRDefault="00715CD7" w:rsidP="00376606">
            <w:pPr>
              <w:pStyle w:val="naiskr"/>
              <w:spacing w:before="0" w:after="0"/>
              <w:jc w:val="center"/>
              <w:rPr>
                <w:sz w:val="28"/>
                <w:szCs w:val="28"/>
              </w:rPr>
            </w:pPr>
            <w:r w:rsidRPr="00E02168">
              <w:rPr>
                <w:sz w:val="28"/>
                <w:szCs w:val="28"/>
              </w:rPr>
              <w:t>3.</w:t>
            </w:r>
          </w:p>
        </w:tc>
        <w:tc>
          <w:tcPr>
            <w:tcW w:w="1949" w:type="pct"/>
            <w:tcBorders>
              <w:top w:val="outset" w:sz="6" w:space="0" w:color="auto"/>
              <w:left w:val="outset" w:sz="6" w:space="0" w:color="auto"/>
              <w:bottom w:val="outset" w:sz="6" w:space="0" w:color="auto"/>
              <w:right w:val="outset" w:sz="6" w:space="0" w:color="auto"/>
            </w:tcBorders>
            <w:vAlign w:val="center"/>
          </w:tcPr>
          <w:p w:rsidR="00715CD7" w:rsidRPr="00E02168" w:rsidRDefault="00715CD7" w:rsidP="00376606">
            <w:pPr>
              <w:pStyle w:val="naiskr"/>
              <w:spacing w:before="0" w:after="0"/>
              <w:ind w:right="49"/>
              <w:jc w:val="both"/>
              <w:rPr>
                <w:sz w:val="28"/>
                <w:szCs w:val="28"/>
              </w:rPr>
            </w:pPr>
            <w:r w:rsidRPr="00E02168">
              <w:rPr>
                <w:sz w:val="28"/>
                <w:szCs w:val="28"/>
              </w:rPr>
              <w:t>Cita informācija</w:t>
            </w:r>
          </w:p>
        </w:tc>
        <w:tc>
          <w:tcPr>
            <w:tcW w:w="2652" w:type="pct"/>
            <w:tcBorders>
              <w:top w:val="outset" w:sz="6" w:space="0" w:color="auto"/>
              <w:left w:val="outset" w:sz="6" w:space="0" w:color="auto"/>
              <w:bottom w:val="outset" w:sz="6" w:space="0" w:color="auto"/>
              <w:right w:val="outset" w:sz="6" w:space="0" w:color="auto"/>
            </w:tcBorders>
          </w:tcPr>
          <w:p w:rsidR="00715CD7" w:rsidRPr="00E02168" w:rsidRDefault="00715CD7" w:rsidP="00376606">
            <w:pPr>
              <w:ind w:left="63"/>
              <w:rPr>
                <w:rFonts w:ascii="Times New Roman" w:hAnsi="Times New Roman" w:cs="Times New Roman"/>
                <w:sz w:val="28"/>
                <w:szCs w:val="28"/>
              </w:rPr>
            </w:pPr>
            <w:r w:rsidRPr="00E02168">
              <w:rPr>
                <w:rFonts w:ascii="Times New Roman" w:hAnsi="Times New Roman" w:cs="Times New Roman"/>
                <w:sz w:val="28"/>
                <w:szCs w:val="28"/>
              </w:rPr>
              <w:t>Nav</w:t>
            </w:r>
          </w:p>
        </w:tc>
      </w:tr>
    </w:tbl>
    <w:p w:rsidR="00AF3703" w:rsidRDefault="00AF3703" w:rsidP="00376606">
      <w:pPr>
        <w:spacing w:after="0" w:line="240" w:lineRule="auto"/>
        <w:rPr>
          <w:rFonts w:ascii="Times New Roman" w:hAnsi="Times New Roman" w:cs="Times New Roman"/>
          <w:sz w:val="28"/>
          <w:szCs w:val="28"/>
        </w:rPr>
      </w:pPr>
    </w:p>
    <w:p w:rsidR="00B638DD" w:rsidRDefault="00B638DD" w:rsidP="00376606">
      <w:pPr>
        <w:spacing w:after="0" w:line="240" w:lineRule="auto"/>
        <w:rPr>
          <w:rFonts w:ascii="Times New Roman" w:hAnsi="Times New Roman" w:cs="Times New Roman"/>
          <w:sz w:val="28"/>
          <w:szCs w:val="28"/>
        </w:rPr>
      </w:pPr>
    </w:p>
    <w:p w:rsidR="00715CD7" w:rsidRPr="00E02168" w:rsidRDefault="00715CD7" w:rsidP="00376606">
      <w:pPr>
        <w:tabs>
          <w:tab w:val="right" w:pos="8647"/>
        </w:tabs>
        <w:spacing w:after="0" w:line="240" w:lineRule="auto"/>
        <w:ind w:left="142"/>
        <w:jc w:val="both"/>
        <w:rPr>
          <w:rFonts w:ascii="Times New Roman" w:hAnsi="Times New Roman" w:cs="Times New Roman"/>
          <w:bCs/>
          <w:sz w:val="28"/>
          <w:szCs w:val="28"/>
        </w:rPr>
      </w:pPr>
      <w:r w:rsidRPr="00E02168">
        <w:rPr>
          <w:rFonts w:ascii="Times New Roman" w:hAnsi="Times New Roman" w:cs="Times New Roman"/>
          <w:bCs/>
          <w:sz w:val="28"/>
          <w:szCs w:val="28"/>
        </w:rPr>
        <w:t>Kultūras ministre</w:t>
      </w:r>
      <w:r w:rsidRPr="00E02168">
        <w:rPr>
          <w:rFonts w:ascii="Times New Roman" w:hAnsi="Times New Roman" w:cs="Times New Roman"/>
          <w:bCs/>
          <w:sz w:val="28"/>
          <w:szCs w:val="28"/>
        </w:rPr>
        <w:tab/>
        <w:t>D.Melbārde</w:t>
      </w:r>
    </w:p>
    <w:p w:rsidR="00DE2A3A" w:rsidRDefault="00DE2A3A" w:rsidP="00376606">
      <w:pPr>
        <w:spacing w:after="0" w:line="240" w:lineRule="auto"/>
        <w:ind w:left="142" w:firstLine="142"/>
        <w:rPr>
          <w:rFonts w:ascii="Times New Roman" w:hAnsi="Times New Roman" w:cs="Times New Roman"/>
          <w:sz w:val="28"/>
          <w:szCs w:val="28"/>
        </w:rPr>
      </w:pPr>
    </w:p>
    <w:p w:rsidR="00715CD7" w:rsidRPr="00E02168" w:rsidRDefault="00715CD7" w:rsidP="00376606">
      <w:pPr>
        <w:spacing w:after="0" w:line="240" w:lineRule="auto"/>
        <w:ind w:left="142"/>
        <w:jc w:val="both"/>
        <w:rPr>
          <w:rFonts w:ascii="Times New Roman" w:hAnsi="Times New Roman" w:cs="Times New Roman"/>
          <w:sz w:val="28"/>
          <w:szCs w:val="28"/>
        </w:rPr>
      </w:pPr>
      <w:r w:rsidRPr="00E02168">
        <w:rPr>
          <w:rFonts w:ascii="Times New Roman" w:hAnsi="Times New Roman" w:cs="Times New Roman"/>
          <w:sz w:val="28"/>
          <w:szCs w:val="28"/>
        </w:rPr>
        <w:t>Vīza: Valsts sekretār</w:t>
      </w:r>
      <w:r w:rsidR="008E112B">
        <w:rPr>
          <w:rFonts w:ascii="Times New Roman" w:hAnsi="Times New Roman" w:cs="Times New Roman"/>
          <w:sz w:val="28"/>
          <w:szCs w:val="28"/>
        </w:rPr>
        <w:t>s</w:t>
      </w:r>
      <w:r w:rsidR="008E112B">
        <w:rPr>
          <w:rFonts w:ascii="Times New Roman" w:hAnsi="Times New Roman" w:cs="Times New Roman"/>
          <w:sz w:val="28"/>
          <w:szCs w:val="28"/>
        </w:rPr>
        <w:tab/>
      </w:r>
      <w:r w:rsidRPr="00E02168">
        <w:rPr>
          <w:rFonts w:ascii="Times New Roman" w:hAnsi="Times New Roman" w:cs="Times New Roman"/>
          <w:sz w:val="28"/>
          <w:szCs w:val="28"/>
        </w:rPr>
        <w:tab/>
      </w:r>
      <w:r w:rsidRPr="00E02168">
        <w:rPr>
          <w:rFonts w:ascii="Times New Roman" w:hAnsi="Times New Roman" w:cs="Times New Roman"/>
          <w:sz w:val="28"/>
          <w:szCs w:val="28"/>
        </w:rPr>
        <w:tab/>
      </w:r>
      <w:r w:rsidRPr="00E02168">
        <w:rPr>
          <w:rFonts w:ascii="Times New Roman" w:hAnsi="Times New Roman" w:cs="Times New Roman"/>
          <w:sz w:val="28"/>
          <w:szCs w:val="28"/>
        </w:rPr>
        <w:tab/>
      </w:r>
      <w:r w:rsidRPr="00E02168">
        <w:rPr>
          <w:rFonts w:ascii="Times New Roman" w:hAnsi="Times New Roman" w:cs="Times New Roman"/>
          <w:sz w:val="28"/>
          <w:szCs w:val="28"/>
        </w:rPr>
        <w:tab/>
      </w:r>
      <w:r w:rsidRPr="00E02168">
        <w:rPr>
          <w:rFonts w:ascii="Times New Roman" w:hAnsi="Times New Roman" w:cs="Times New Roman"/>
          <w:sz w:val="28"/>
          <w:szCs w:val="28"/>
        </w:rPr>
        <w:tab/>
      </w:r>
      <w:r w:rsidRPr="00E02168">
        <w:rPr>
          <w:rFonts w:ascii="Times New Roman" w:hAnsi="Times New Roman" w:cs="Times New Roman"/>
          <w:sz w:val="28"/>
          <w:szCs w:val="28"/>
        </w:rPr>
        <w:tab/>
        <w:t>S.Voldiņš</w:t>
      </w:r>
    </w:p>
    <w:p w:rsidR="00B00E02" w:rsidRDefault="00B00E02" w:rsidP="00376606">
      <w:pPr>
        <w:tabs>
          <w:tab w:val="left" w:pos="3645"/>
        </w:tabs>
        <w:spacing w:after="0" w:line="240" w:lineRule="auto"/>
        <w:rPr>
          <w:rFonts w:ascii="Times New Roman" w:hAnsi="Times New Roman" w:cs="Times New Roman"/>
        </w:rPr>
      </w:pPr>
    </w:p>
    <w:p w:rsidR="00B638DD" w:rsidRDefault="00B638DD" w:rsidP="00376606">
      <w:pPr>
        <w:tabs>
          <w:tab w:val="left" w:pos="3645"/>
        </w:tabs>
        <w:spacing w:after="0" w:line="240" w:lineRule="auto"/>
        <w:rPr>
          <w:rFonts w:ascii="Times New Roman" w:hAnsi="Times New Roman" w:cs="Times New Roman"/>
        </w:rPr>
      </w:pPr>
    </w:p>
    <w:p w:rsidR="00B638DD" w:rsidRDefault="00B638DD" w:rsidP="00376606">
      <w:pPr>
        <w:tabs>
          <w:tab w:val="left" w:pos="3645"/>
        </w:tabs>
        <w:spacing w:after="0" w:line="240" w:lineRule="auto"/>
        <w:rPr>
          <w:rFonts w:ascii="Times New Roman" w:hAnsi="Times New Roman" w:cs="Times New Roman"/>
        </w:rPr>
      </w:pPr>
    </w:p>
    <w:p w:rsidR="00B638DD" w:rsidRDefault="00B638DD" w:rsidP="00376606">
      <w:pPr>
        <w:tabs>
          <w:tab w:val="left" w:pos="3645"/>
        </w:tabs>
        <w:spacing w:after="0" w:line="240" w:lineRule="auto"/>
        <w:rPr>
          <w:rFonts w:ascii="Times New Roman" w:hAnsi="Times New Roman" w:cs="Times New Roman"/>
        </w:rPr>
      </w:pPr>
    </w:p>
    <w:p w:rsidR="00B638DD" w:rsidRDefault="00B638DD" w:rsidP="00376606">
      <w:pPr>
        <w:tabs>
          <w:tab w:val="left" w:pos="3645"/>
        </w:tabs>
        <w:spacing w:after="0" w:line="240" w:lineRule="auto"/>
        <w:rPr>
          <w:rFonts w:ascii="Times New Roman" w:hAnsi="Times New Roman" w:cs="Times New Roman"/>
        </w:rPr>
      </w:pPr>
    </w:p>
    <w:p w:rsidR="00B638DD" w:rsidRDefault="00B638DD" w:rsidP="00376606">
      <w:pPr>
        <w:tabs>
          <w:tab w:val="left" w:pos="3645"/>
        </w:tabs>
        <w:spacing w:after="0" w:line="240" w:lineRule="auto"/>
        <w:rPr>
          <w:rFonts w:ascii="Times New Roman" w:hAnsi="Times New Roman" w:cs="Times New Roman"/>
        </w:rPr>
      </w:pPr>
    </w:p>
    <w:p w:rsidR="00B638DD" w:rsidRDefault="00B638DD" w:rsidP="00376606">
      <w:pPr>
        <w:tabs>
          <w:tab w:val="left" w:pos="3645"/>
        </w:tabs>
        <w:spacing w:after="0" w:line="240" w:lineRule="auto"/>
        <w:rPr>
          <w:rFonts w:ascii="Times New Roman" w:hAnsi="Times New Roman" w:cs="Times New Roman"/>
        </w:rPr>
      </w:pPr>
    </w:p>
    <w:p w:rsidR="00B638DD" w:rsidRDefault="00B638DD" w:rsidP="00376606">
      <w:pPr>
        <w:tabs>
          <w:tab w:val="left" w:pos="3645"/>
        </w:tabs>
        <w:spacing w:after="0" w:line="240" w:lineRule="auto"/>
        <w:rPr>
          <w:rFonts w:ascii="Times New Roman" w:hAnsi="Times New Roman" w:cs="Times New Roman"/>
        </w:rPr>
      </w:pPr>
    </w:p>
    <w:p w:rsidR="00B638DD" w:rsidRDefault="00B638DD" w:rsidP="00376606">
      <w:pPr>
        <w:tabs>
          <w:tab w:val="left" w:pos="3645"/>
        </w:tabs>
        <w:spacing w:after="0" w:line="240" w:lineRule="auto"/>
        <w:rPr>
          <w:rFonts w:ascii="Times New Roman" w:hAnsi="Times New Roman" w:cs="Times New Roman"/>
        </w:rPr>
      </w:pPr>
    </w:p>
    <w:p w:rsidR="00B638DD" w:rsidRDefault="00B638DD" w:rsidP="00376606">
      <w:pPr>
        <w:tabs>
          <w:tab w:val="left" w:pos="3645"/>
        </w:tabs>
        <w:spacing w:after="0" w:line="240" w:lineRule="auto"/>
        <w:rPr>
          <w:rFonts w:ascii="Times New Roman" w:hAnsi="Times New Roman" w:cs="Times New Roman"/>
        </w:rPr>
      </w:pPr>
    </w:p>
    <w:p w:rsidR="00B638DD" w:rsidRDefault="00B638DD" w:rsidP="00376606">
      <w:pPr>
        <w:tabs>
          <w:tab w:val="left" w:pos="3645"/>
        </w:tabs>
        <w:spacing w:after="0" w:line="240" w:lineRule="auto"/>
        <w:rPr>
          <w:rFonts w:ascii="Times New Roman" w:hAnsi="Times New Roman" w:cs="Times New Roman"/>
        </w:rPr>
      </w:pPr>
    </w:p>
    <w:p w:rsidR="00B638DD" w:rsidRDefault="00B638DD" w:rsidP="00376606">
      <w:pPr>
        <w:tabs>
          <w:tab w:val="left" w:pos="3645"/>
        </w:tabs>
        <w:spacing w:after="0" w:line="240" w:lineRule="auto"/>
        <w:rPr>
          <w:rFonts w:ascii="Times New Roman" w:hAnsi="Times New Roman" w:cs="Times New Roman"/>
        </w:rPr>
      </w:pPr>
    </w:p>
    <w:p w:rsidR="00B638DD" w:rsidRDefault="00B638DD" w:rsidP="00376606">
      <w:pPr>
        <w:tabs>
          <w:tab w:val="left" w:pos="3645"/>
        </w:tabs>
        <w:spacing w:after="0" w:line="240" w:lineRule="auto"/>
        <w:rPr>
          <w:rFonts w:ascii="Times New Roman" w:hAnsi="Times New Roman" w:cs="Times New Roman"/>
        </w:rPr>
      </w:pPr>
    </w:p>
    <w:p w:rsidR="0087211C" w:rsidRPr="0087211C" w:rsidRDefault="00CD6267" w:rsidP="00376606">
      <w:pPr>
        <w:tabs>
          <w:tab w:val="left" w:pos="3645"/>
        </w:tabs>
        <w:spacing w:after="0" w:line="240" w:lineRule="auto"/>
        <w:rPr>
          <w:rFonts w:ascii="Times New Roman" w:hAnsi="Times New Roman" w:cs="Times New Roman"/>
        </w:rPr>
      </w:pPr>
      <w:r>
        <w:rPr>
          <w:rFonts w:ascii="Times New Roman" w:hAnsi="Times New Roman" w:cs="Times New Roman"/>
        </w:rPr>
        <w:t>2016</w:t>
      </w:r>
      <w:r w:rsidR="0087211C" w:rsidRPr="0087211C">
        <w:rPr>
          <w:rFonts w:ascii="Times New Roman" w:hAnsi="Times New Roman" w:cs="Times New Roman"/>
        </w:rPr>
        <w:t>.</w:t>
      </w:r>
      <w:r>
        <w:rPr>
          <w:rFonts w:ascii="Times New Roman" w:hAnsi="Times New Roman" w:cs="Times New Roman"/>
        </w:rPr>
        <w:t>0</w:t>
      </w:r>
      <w:r w:rsidR="0049350F">
        <w:rPr>
          <w:rFonts w:ascii="Times New Roman" w:hAnsi="Times New Roman" w:cs="Times New Roman"/>
        </w:rPr>
        <w:t>4</w:t>
      </w:r>
      <w:r w:rsidR="00360BDF">
        <w:rPr>
          <w:rFonts w:ascii="Times New Roman" w:hAnsi="Times New Roman" w:cs="Times New Roman"/>
        </w:rPr>
        <w:t>.</w:t>
      </w:r>
      <w:r w:rsidR="00431DDF">
        <w:rPr>
          <w:rFonts w:ascii="Times New Roman" w:hAnsi="Times New Roman" w:cs="Times New Roman"/>
        </w:rPr>
        <w:t>22</w:t>
      </w:r>
      <w:r w:rsidR="00B638DD">
        <w:rPr>
          <w:rFonts w:ascii="Times New Roman" w:hAnsi="Times New Roman" w:cs="Times New Roman"/>
        </w:rPr>
        <w:t>. 15</w:t>
      </w:r>
      <w:r w:rsidR="0087211C" w:rsidRPr="0087211C">
        <w:rPr>
          <w:rFonts w:ascii="Times New Roman" w:hAnsi="Times New Roman" w:cs="Times New Roman"/>
        </w:rPr>
        <w:t>:</w:t>
      </w:r>
      <w:r w:rsidR="00B638DD">
        <w:rPr>
          <w:rFonts w:ascii="Times New Roman" w:hAnsi="Times New Roman" w:cs="Times New Roman"/>
        </w:rPr>
        <w:t>53</w:t>
      </w:r>
    </w:p>
    <w:p w:rsidR="0087211C" w:rsidRPr="0087211C" w:rsidRDefault="007A5B15" w:rsidP="00376606">
      <w:pPr>
        <w:spacing w:after="0" w:line="240" w:lineRule="auto"/>
        <w:rPr>
          <w:rFonts w:ascii="Times New Roman" w:hAnsi="Times New Roman" w:cs="Times New Roman"/>
        </w:rPr>
      </w:pPr>
      <w:r>
        <w:rPr>
          <w:rFonts w:ascii="Times New Roman" w:hAnsi="Times New Roman" w:cs="Times New Roman"/>
        </w:rPr>
        <w:t>1</w:t>
      </w:r>
      <w:r w:rsidR="00027BB8">
        <w:rPr>
          <w:rFonts w:ascii="Times New Roman" w:hAnsi="Times New Roman" w:cs="Times New Roman"/>
        </w:rPr>
        <w:t>8</w:t>
      </w:r>
      <w:r w:rsidR="00055E33">
        <w:rPr>
          <w:rFonts w:ascii="Times New Roman" w:hAnsi="Times New Roman" w:cs="Times New Roman"/>
        </w:rPr>
        <w:t>40</w:t>
      </w:r>
    </w:p>
    <w:p w:rsidR="0087211C" w:rsidRPr="0087211C" w:rsidRDefault="0087211C" w:rsidP="00376606">
      <w:pPr>
        <w:spacing w:after="0" w:line="240" w:lineRule="auto"/>
        <w:rPr>
          <w:rFonts w:ascii="Times New Roman" w:hAnsi="Times New Roman" w:cs="Times New Roman"/>
          <w:lang w:eastAsia="lv-LV"/>
        </w:rPr>
      </w:pPr>
      <w:bookmarkStart w:id="3" w:name="OLE_LINK9"/>
      <w:bookmarkStart w:id="4" w:name="OLE_LINK10"/>
      <w:bookmarkStart w:id="5" w:name="OLE_LINK7"/>
      <w:bookmarkStart w:id="6" w:name="OLE_LINK8"/>
      <w:bookmarkStart w:id="7" w:name="OLE_LINK19"/>
      <w:bookmarkStart w:id="8" w:name="OLE_LINK20"/>
      <w:r w:rsidRPr="0087211C">
        <w:rPr>
          <w:rFonts w:ascii="Times New Roman" w:hAnsi="Times New Roman" w:cs="Times New Roman"/>
          <w:lang w:eastAsia="lv-LV"/>
        </w:rPr>
        <w:t>A.Jurkāne</w:t>
      </w:r>
    </w:p>
    <w:bookmarkEnd w:id="3"/>
    <w:bookmarkEnd w:id="4"/>
    <w:p w:rsidR="0087211C" w:rsidRPr="0087211C" w:rsidRDefault="0087211C" w:rsidP="00376606">
      <w:pPr>
        <w:spacing w:after="0" w:line="240" w:lineRule="auto"/>
        <w:rPr>
          <w:rFonts w:ascii="Times New Roman" w:hAnsi="Times New Roman" w:cs="Times New Roman"/>
          <w:lang w:eastAsia="lv-LV"/>
        </w:rPr>
      </w:pPr>
      <w:r w:rsidRPr="0087211C">
        <w:rPr>
          <w:rFonts w:ascii="Times New Roman" w:hAnsi="Times New Roman" w:cs="Times New Roman"/>
          <w:lang w:eastAsia="lv-LV"/>
        </w:rPr>
        <w:t>Tālr.67971797; 67971402</w:t>
      </w:r>
    </w:p>
    <w:p w:rsidR="00B638DD" w:rsidRDefault="0087211C" w:rsidP="00376606">
      <w:pPr>
        <w:spacing w:after="0" w:line="240" w:lineRule="auto"/>
        <w:rPr>
          <w:rFonts w:ascii="Times New Roman" w:hAnsi="Times New Roman" w:cs="Times New Roman"/>
          <w:lang w:eastAsia="lv-LV"/>
        </w:rPr>
      </w:pPr>
      <w:r w:rsidRPr="0087211C">
        <w:rPr>
          <w:rFonts w:ascii="Times New Roman" w:hAnsi="Times New Roman" w:cs="Times New Roman"/>
          <w:lang w:eastAsia="lv-LV"/>
        </w:rPr>
        <w:t>Fakss: 67973628</w:t>
      </w:r>
    </w:p>
    <w:p w:rsidR="000F520C" w:rsidRPr="0087211C" w:rsidRDefault="00791510" w:rsidP="00376606">
      <w:pPr>
        <w:spacing w:after="0" w:line="240" w:lineRule="auto"/>
        <w:rPr>
          <w:rFonts w:ascii="Times New Roman" w:hAnsi="Times New Roman" w:cs="Times New Roman"/>
          <w:sz w:val="28"/>
          <w:szCs w:val="28"/>
        </w:rPr>
      </w:pPr>
      <w:hyperlink r:id="rId12" w:history="1">
        <w:r w:rsidR="0087211C" w:rsidRPr="0087211C">
          <w:rPr>
            <w:rFonts w:ascii="Times New Roman" w:hAnsi="Times New Roman" w:cs="Times New Roman"/>
            <w:color w:val="0000FF"/>
            <w:u w:val="single"/>
            <w:lang w:eastAsia="lv-LV"/>
          </w:rPr>
          <w:t>turaida.muzejs@apollo.lv</w:t>
        </w:r>
      </w:hyperlink>
      <w:bookmarkEnd w:id="5"/>
      <w:bookmarkEnd w:id="6"/>
      <w:bookmarkEnd w:id="7"/>
      <w:bookmarkEnd w:id="8"/>
    </w:p>
    <w:sectPr w:rsidR="000F520C" w:rsidRPr="0087211C" w:rsidSect="00B00E02">
      <w:headerReference w:type="default" r:id="rId13"/>
      <w:footerReference w:type="default" r:id="rId14"/>
      <w:footerReference w:type="first" r:id="rId15"/>
      <w:pgSz w:w="11906" w:h="16838"/>
      <w:pgMar w:top="1247"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B8B" w:rsidRDefault="00DA3B8B" w:rsidP="00C712EA">
      <w:pPr>
        <w:spacing w:after="0" w:line="240" w:lineRule="auto"/>
      </w:pPr>
      <w:r>
        <w:separator/>
      </w:r>
    </w:p>
  </w:endnote>
  <w:endnote w:type="continuationSeparator" w:id="0">
    <w:p w:rsidR="00DA3B8B" w:rsidRDefault="00DA3B8B" w:rsidP="00C71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B8B" w:rsidRDefault="00DA3B8B" w:rsidP="00C712EA">
    <w:pPr>
      <w:pStyle w:val="Pamatteksts"/>
      <w:jc w:val="both"/>
    </w:pPr>
    <w:bookmarkStart w:id="9" w:name="OLE_LINK17"/>
    <w:bookmarkStart w:id="10" w:name="OLE_LINK18"/>
    <w:r w:rsidRPr="00C02D48">
      <w:rPr>
        <w:b w:val="0"/>
        <w:sz w:val="22"/>
        <w:szCs w:val="22"/>
      </w:rPr>
      <w:t>KM</w:t>
    </w:r>
    <w:r w:rsidR="00B638DD">
      <w:rPr>
        <w:b w:val="0"/>
        <w:sz w:val="22"/>
        <w:szCs w:val="22"/>
      </w:rPr>
      <w:t>Anot_</w:t>
    </w:r>
    <w:r w:rsidR="00A46632">
      <w:rPr>
        <w:b w:val="0"/>
        <w:sz w:val="22"/>
        <w:szCs w:val="22"/>
      </w:rPr>
      <w:t>22</w:t>
    </w:r>
    <w:r>
      <w:rPr>
        <w:b w:val="0"/>
        <w:sz w:val="22"/>
        <w:szCs w:val="22"/>
      </w:rPr>
      <w:t>04</w:t>
    </w:r>
    <w:r w:rsidRPr="00C02D48">
      <w:rPr>
        <w:b w:val="0"/>
        <w:sz w:val="22"/>
        <w:szCs w:val="22"/>
      </w:rPr>
      <w:t>1</w:t>
    </w:r>
    <w:r>
      <w:rPr>
        <w:b w:val="0"/>
        <w:sz w:val="22"/>
        <w:szCs w:val="22"/>
      </w:rPr>
      <w:t>6</w:t>
    </w:r>
    <w:r w:rsidRPr="00C02D48">
      <w:rPr>
        <w:b w:val="0"/>
        <w:sz w:val="22"/>
        <w:szCs w:val="22"/>
      </w:rPr>
      <w:t>_T</w:t>
    </w:r>
    <w:bookmarkEnd w:id="9"/>
    <w:bookmarkEnd w:id="10"/>
    <w:r>
      <w:rPr>
        <w:b w:val="0"/>
        <w:sz w:val="22"/>
        <w:szCs w:val="22"/>
      </w:rPr>
      <w:t>MR</w:t>
    </w:r>
    <w:r w:rsidRPr="00C02D48">
      <w:rPr>
        <w:b w:val="0"/>
        <w:sz w:val="22"/>
        <w:szCs w:val="22"/>
      </w:rPr>
      <w:t xml:space="preserve">; </w:t>
    </w:r>
    <w:bookmarkStart w:id="11" w:name="OLE_LINK13"/>
    <w:bookmarkStart w:id="12" w:name="OLE_LINK14"/>
    <w:bookmarkStart w:id="13" w:name="OLE_LINK1"/>
    <w:bookmarkStart w:id="14" w:name="OLE_LINK2"/>
    <w:bookmarkStart w:id="15" w:name="_Hlk438026115"/>
    <w:r>
      <w:rPr>
        <w:b w:val="0"/>
        <w:sz w:val="22"/>
        <w:szCs w:val="22"/>
      </w:rPr>
      <w:t xml:space="preserve">Ministru kabineta noteikumu projekta </w:t>
    </w:r>
    <w:bookmarkEnd w:id="11"/>
    <w:bookmarkEnd w:id="12"/>
    <w:r>
      <w:rPr>
        <w:b w:val="0"/>
        <w:sz w:val="22"/>
        <w:szCs w:val="22"/>
      </w:rPr>
      <w:t>„</w:t>
    </w:r>
    <w:bookmarkStart w:id="16" w:name="OLE_LINK11"/>
    <w:bookmarkStart w:id="17" w:name="OLE_LINK12"/>
    <w:r w:rsidRPr="00C02D48">
      <w:rPr>
        <w:b w:val="0"/>
        <w:sz w:val="22"/>
        <w:szCs w:val="22"/>
      </w:rPr>
      <w:t>Grozījumi Ministru kabineta 2013.gada 1.oktobra noteikumos Nr.1029 „Īpaši aizsargājamā kultūras pieminekļa - Turaidas muzejrezervāta - publis</w:t>
    </w:r>
    <w:r>
      <w:rPr>
        <w:b w:val="0"/>
        <w:sz w:val="22"/>
        <w:szCs w:val="22"/>
      </w:rPr>
      <w:t>ko maksas pakalpojumu cenrādis”</w:t>
    </w:r>
    <w:bookmarkEnd w:id="13"/>
    <w:bookmarkEnd w:id="14"/>
    <w:bookmarkEnd w:id="15"/>
    <w:bookmarkEnd w:id="16"/>
    <w:bookmarkEnd w:id="17"/>
    <w:r>
      <w:rPr>
        <w:b w:val="0"/>
        <w:sz w:val="22"/>
        <w:szCs w:val="22"/>
      </w:rPr>
      <w:t xml:space="preserve">’ </w:t>
    </w:r>
    <w:bookmarkStart w:id="18" w:name="OLE_LINK15"/>
    <w:bookmarkStart w:id="19" w:name="OLE_LINK16"/>
    <w:bookmarkStart w:id="20" w:name="_Hlk438032602"/>
    <w:r>
      <w:rPr>
        <w:b w:val="0"/>
        <w:sz w:val="22"/>
        <w:szCs w:val="22"/>
      </w:rPr>
      <w:t>sākotnējās ietekmes novērtējuma ziņojums (anotācija)</w:t>
    </w:r>
    <w:bookmarkEnd w:id="18"/>
    <w:bookmarkEnd w:id="19"/>
    <w:bookmarkEnd w:id="2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8DD" w:rsidRDefault="00B638DD" w:rsidP="00B638DD">
    <w:pPr>
      <w:pStyle w:val="Pamatteksts"/>
      <w:jc w:val="both"/>
    </w:pPr>
    <w:r w:rsidRPr="00C02D48">
      <w:rPr>
        <w:b w:val="0"/>
        <w:sz w:val="22"/>
        <w:szCs w:val="22"/>
      </w:rPr>
      <w:t>KM</w:t>
    </w:r>
    <w:r>
      <w:rPr>
        <w:b w:val="0"/>
        <w:sz w:val="22"/>
        <w:szCs w:val="22"/>
      </w:rPr>
      <w:t>Anot_</w:t>
    </w:r>
    <w:r w:rsidR="00A46632">
      <w:rPr>
        <w:b w:val="0"/>
        <w:sz w:val="22"/>
        <w:szCs w:val="22"/>
      </w:rPr>
      <w:t>22</w:t>
    </w:r>
    <w:r>
      <w:rPr>
        <w:b w:val="0"/>
        <w:sz w:val="22"/>
        <w:szCs w:val="22"/>
      </w:rPr>
      <w:t>04</w:t>
    </w:r>
    <w:r w:rsidRPr="00C02D48">
      <w:rPr>
        <w:b w:val="0"/>
        <w:sz w:val="22"/>
        <w:szCs w:val="22"/>
      </w:rPr>
      <w:t>1</w:t>
    </w:r>
    <w:r>
      <w:rPr>
        <w:b w:val="0"/>
        <w:sz w:val="22"/>
        <w:szCs w:val="22"/>
      </w:rPr>
      <w:t>6</w:t>
    </w:r>
    <w:r w:rsidRPr="00C02D48">
      <w:rPr>
        <w:b w:val="0"/>
        <w:sz w:val="22"/>
        <w:szCs w:val="22"/>
      </w:rPr>
      <w:t>_T</w:t>
    </w:r>
    <w:r>
      <w:rPr>
        <w:b w:val="0"/>
        <w:sz w:val="22"/>
        <w:szCs w:val="22"/>
      </w:rPr>
      <w:t>MR</w:t>
    </w:r>
    <w:r w:rsidRPr="00C02D48">
      <w:rPr>
        <w:b w:val="0"/>
        <w:sz w:val="22"/>
        <w:szCs w:val="22"/>
      </w:rPr>
      <w:t xml:space="preserve">; </w:t>
    </w:r>
    <w:r>
      <w:rPr>
        <w:b w:val="0"/>
        <w:sz w:val="22"/>
        <w:szCs w:val="22"/>
      </w:rPr>
      <w:t>Ministru kabineta noteikumu projekta „</w:t>
    </w:r>
    <w:r w:rsidRPr="00C02D48">
      <w:rPr>
        <w:b w:val="0"/>
        <w:sz w:val="22"/>
        <w:szCs w:val="22"/>
      </w:rPr>
      <w:t xml:space="preserve">Grozījumi Ministru kabineta 2013.gada 1.oktobra noteikumos Nr.1029 „Īpaši aizsargājamā kultūras pieminekļa - Turaidas </w:t>
    </w:r>
    <w:proofErr w:type="spellStart"/>
    <w:r w:rsidRPr="00C02D48">
      <w:rPr>
        <w:b w:val="0"/>
        <w:sz w:val="22"/>
        <w:szCs w:val="22"/>
      </w:rPr>
      <w:t>muzejrezervāta</w:t>
    </w:r>
    <w:proofErr w:type="spellEnd"/>
    <w:r w:rsidRPr="00C02D48">
      <w:rPr>
        <w:b w:val="0"/>
        <w:sz w:val="22"/>
        <w:szCs w:val="22"/>
      </w:rPr>
      <w:t xml:space="preserve"> - publis</w:t>
    </w:r>
    <w:r>
      <w:rPr>
        <w:b w:val="0"/>
        <w:sz w:val="22"/>
        <w:szCs w:val="22"/>
      </w:rPr>
      <w:t>ko maksas pakalpojumu cenrādis”’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B8B" w:rsidRDefault="00DA3B8B" w:rsidP="00C712EA">
      <w:pPr>
        <w:spacing w:after="0" w:line="240" w:lineRule="auto"/>
      </w:pPr>
      <w:r>
        <w:separator/>
      </w:r>
    </w:p>
  </w:footnote>
  <w:footnote w:type="continuationSeparator" w:id="0">
    <w:p w:rsidR="00DA3B8B" w:rsidRDefault="00DA3B8B" w:rsidP="00C71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1043"/>
      <w:docPartObj>
        <w:docPartGallery w:val="Page Numbers (Top of Page)"/>
        <w:docPartUnique/>
      </w:docPartObj>
    </w:sdtPr>
    <w:sdtContent>
      <w:p w:rsidR="00DA3B8B" w:rsidRDefault="00791510">
        <w:pPr>
          <w:pStyle w:val="Galvene"/>
          <w:jc w:val="center"/>
        </w:pPr>
        <w:fldSimple w:instr=" PAGE   \* MERGEFORMAT ">
          <w:r w:rsidR="00303696">
            <w:rPr>
              <w:noProof/>
            </w:rPr>
            <w:t>10</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5F81"/>
    <w:rsid w:val="0000394F"/>
    <w:rsid w:val="000204F2"/>
    <w:rsid w:val="00020993"/>
    <w:rsid w:val="00023D37"/>
    <w:rsid w:val="00027BB8"/>
    <w:rsid w:val="00037328"/>
    <w:rsid w:val="00040258"/>
    <w:rsid w:val="00055E33"/>
    <w:rsid w:val="00066B6D"/>
    <w:rsid w:val="00072D1D"/>
    <w:rsid w:val="00087318"/>
    <w:rsid w:val="00094C20"/>
    <w:rsid w:val="000A2D5C"/>
    <w:rsid w:val="000A50B2"/>
    <w:rsid w:val="000B353E"/>
    <w:rsid w:val="000B448E"/>
    <w:rsid w:val="000E3D15"/>
    <w:rsid w:val="000E4DC9"/>
    <w:rsid w:val="000E775C"/>
    <w:rsid w:val="000F520C"/>
    <w:rsid w:val="00106999"/>
    <w:rsid w:val="001072C0"/>
    <w:rsid w:val="00117D88"/>
    <w:rsid w:val="0013056F"/>
    <w:rsid w:val="001310FC"/>
    <w:rsid w:val="00133154"/>
    <w:rsid w:val="00144DBB"/>
    <w:rsid w:val="001465AD"/>
    <w:rsid w:val="00152073"/>
    <w:rsid w:val="0016543C"/>
    <w:rsid w:val="00166BFA"/>
    <w:rsid w:val="00170320"/>
    <w:rsid w:val="001705DC"/>
    <w:rsid w:val="00177FAB"/>
    <w:rsid w:val="001846F3"/>
    <w:rsid w:val="0018596B"/>
    <w:rsid w:val="00186D1F"/>
    <w:rsid w:val="00196744"/>
    <w:rsid w:val="001A7EDA"/>
    <w:rsid w:val="001B1BC5"/>
    <w:rsid w:val="001B2E89"/>
    <w:rsid w:val="001B3D80"/>
    <w:rsid w:val="001E4973"/>
    <w:rsid w:val="001F34BC"/>
    <w:rsid w:val="001F6188"/>
    <w:rsid w:val="001F71E8"/>
    <w:rsid w:val="00210008"/>
    <w:rsid w:val="00244850"/>
    <w:rsid w:val="00260A16"/>
    <w:rsid w:val="00284A43"/>
    <w:rsid w:val="00293B6E"/>
    <w:rsid w:val="002B00CA"/>
    <w:rsid w:val="002C0D48"/>
    <w:rsid w:val="002C2CB2"/>
    <w:rsid w:val="002C330C"/>
    <w:rsid w:val="002D01F6"/>
    <w:rsid w:val="002F2B47"/>
    <w:rsid w:val="002F490E"/>
    <w:rsid w:val="002F53B2"/>
    <w:rsid w:val="00301D35"/>
    <w:rsid w:val="00303696"/>
    <w:rsid w:val="003163B5"/>
    <w:rsid w:val="00340878"/>
    <w:rsid w:val="00360BDF"/>
    <w:rsid w:val="00364907"/>
    <w:rsid w:val="0036637D"/>
    <w:rsid w:val="00376606"/>
    <w:rsid w:val="0038102F"/>
    <w:rsid w:val="0038528B"/>
    <w:rsid w:val="0039309D"/>
    <w:rsid w:val="003A672B"/>
    <w:rsid w:val="003A6BA5"/>
    <w:rsid w:val="003B200D"/>
    <w:rsid w:val="003B48F7"/>
    <w:rsid w:val="003B7E8E"/>
    <w:rsid w:val="003C0FD5"/>
    <w:rsid w:val="003C33DB"/>
    <w:rsid w:val="003E5896"/>
    <w:rsid w:val="003E5B18"/>
    <w:rsid w:val="00411B1B"/>
    <w:rsid w:val="00412BB1"/>
    <w:rsid w:val="00414FE8"/>
    <w:rsid w:val="00426BA7"/>
    <w:rsid w:val="00431DDF"/>
    <w:rsid w:val="0043241C"/>
    <w:rsid w:val="00447656"/>
    <w:rsid w:val="00453637"/>
    <w:rsid w:val="00453CD9"/>
    <w:rsid w:val="0047235B"/>
    <w:rsid w:val="004737EE"/>
    <w:rsid w:val="00485989"/>
    <w:rsid w:val="00487C85"/>
    <w:rsid w:val="0049269A"/>
    <w:rsid w:val="0049350F"/>
    <w:rsid w:val="00494528"/>
    <w:rsid w:val="004A2674"/>
    <w:rsid w:val="004A31C2"/>
    <w:rsid w:val="004E64EB"/>
    <w:rsid w:val="004F41CB"/>
    <w:rsid w:val="004F4303"/>
    <w:rsid w:val="004F716D"/>
    <w:rsid w:val="00500221"/>
    <w:rsid w:val="00500310"/>
    <w:rsid w:val="00502A2A"/>
    <w:rsid w:val="00504CAE"/>
    <w:rsid w:val="00506CFC"/>
    <w:rsid w:val="0051060B"/>
    <w:rsid w:val="0051458B"/>
    <w:rsid w:val="00526C06"/>
    <w:rsid w:val="005313CA"/>
    <w:rsid w:val="0054255A"/>
    <w:rsid w:val="005443A3"/>
    <w:rsid w:val="00544CE1"/>
    <w:rsid w:val="005617E5"/>
    <w:rsid w:val="00564F0C"/>
    <w:rsid w:val="00573AC6"/>
    <w:rsid w:val="0057544C"/>
    <w:rsid w:val="00575847"/>
    <w:rsid w:val="00576973"/>
    <w:rsid w:val="00586260"/>
    <w:rsid w:val="0059593F"/>
    <w:rsid w:val="005B0AF1"/>
    <w:rsid w:val="005D2323"/>
    <w:rsid w:val="006174FC"/>
    <w:rsid w:val="00624478"/>
    <w:rsid w:val="00631C2D"/>
    <w:rsid w:val="00650C99"/>
    <w:rsid w:val="0065204C"/>
    <w:rsid w:val="00652582"/>
    <w:rsid w:val="00696F74"/>
    <w:rsid w:val="006A000D"/>
    <w:rsid w:val="006A2201"/>
    <w:rsid w:val="006C1080"/>
    <w:rsid w:val="006C5995"/>
    <w:rsid w:val="006D10E4"/>
    <w:rsid w:val="006D6C77"/>
    <w:rsid w:val="006F75AA"/>
    <w:rsid w:val="00712171"/>
    <w:rsid w:val="00714691"/>
    <w:rsid w:val="00715CD7"/>
    <w:rsid w:val="00723C80"/>
    <w:rsid w:val="00726CAC"/>
    <w:rsid w:val="00734E2B"/>
    <w:rsid w:val="00756ED3"/>
    <w:rsid w:val="00767B90"/>
    <w:rsid w:val="00777315"/>
    <w:rsid w:val="00787018"/>
    <w:rsid w:val="007907AC"/>
    <w:rsid w:val="00791510"/>
    <w:rsid w:val="00791EAE"/>
    <w:rsid w:val="007965FA"/>
    <w:rsid w:val="007A5B15"/>
    <w:rsid w:val="007C17C2"/>
    <w:rsid w:val="007D721F"/>
    <w:rsid w:val="007E60DA"/>
    <w:rsid w:val="00805F81"/>
    <w:rsid w:val="00806940"/>
    <w:rsid w:val="00825B53"/>
    <w:rsid w:val="00842405"/>
    <w:rsid w:val="00845EC0"/>
    <w:rsid w:val="00853276"/>
    <w:rsid w:val="00854C1D"/>
    <w:rsid w:val="0087211C"/>
    <w:rsid w:val="008809CB"/>
    <w:rsid w:val="008A7230"/>
    <w:rsid w:val="008B48B6"/>
    <w:rsid w:val="008E112B"/>
    <w:rsid w:val="008E1443"/>
    <w:rsid w:val="008E39FD"/>
    <w:rsid w:val="008F6034"/>
    <w:rsid w:val="008F629B"/>
    <w:rsid w:val="00902D49"/>
    <w:rsid w:val="0091245E"/>
    <w:rsid w:val="0093250A"/>
    <w:rsid w:val="00933187"/>
    <w:rsid w:val="00945876"/>
    <w:rsid w:val="00952DD0"/>
    <w:rsid w:val="00973195"/>
    <w:rsid w:val="00973D61"/>
    <w:rsid w:val="0098068F"/>
    <w:rsid w:val="0099669F"/>
    <w:rsid w:val="009A19F6"/>
    <w:rsid w:val="009A6373"/>
    <w:rsid w:val="009B3A6D"/>
    <w:rsid w:val="009C421C"/>
    <w:rsid w:val="009C74D2"/>
    <w:rsid w:val="009F21FD"/>
    <w:rsid w:val="00A0317F"/>
    <w:rsid w:val="00A04BA3"/>
    <w:rsid w:val="00A22398"/>
    <w:rsid w:val="00A46632"/>
    <w:rsid w:val="00A51581"/>
    <w:rsid w:val="00A51ACF"/>
    <w:rsid w:val="00A52308"/>
    <w:rsid w:val="00A747E9"/>
    <w:rsid w:val="00AA1257"/>
    <w:rsid w:val="00AA2167"/>
    <w:rsid w:val="00AB2F8E"/>
    <w:rsid w:val="00AD2160"/>
    <w:rsid w:val="00AE1F6D"/>
    <w:rsid w:val="00AE4ACD"/>
    <w:rsid w:val="00AF3703"/>
    <w:rsid w:val="00B0006E"/>
    <w:rsid w:val="00B00E02"/>
    <w:rsid w:val="00B076B8"/>
    <w:rsid w:val="00B27BE0"/>
    <w:rsid w:val="00B34621"/>
    <w:rsid w:val="00B44F89"/>
    <w:rsid w:val="00B54B81"/>
    <w:rsid w:val="00B638DD"/>
    <w:rsid w:val="00B64426"/>
    <w:rsid w:val="00B67DAE"/>
    <w:rsid w:val="00B721B8"/>
    <w:rsid w:val="00B73C78"/>
    <w:rsid w:val="00B808AC"/>
    <w:rsid w:val="00B82D7E"/>
    <w:rsid w:val="00BA1C24"/>
    <w:rsid w:val="00BA4AD9"/>
    <w:rsid w:val="00BB28BC"/>
    <w:rsid w:val="00BB28E7"/>
    <w:rsid w:val="00BB3FE0"/>
    <w:rsid w:val="00BE6440"/>
    <w:rsid w:val="00BE7556"/>
    <w:rsid w:val="00BF173F"/>
    <w:rsid w:val="00BF7041"/>
    <w:rsid w:val="00C16DD0"/>
    <w:rsid w:val="00C22684"/>
    <w:rsid w:val="00C27D86"/>
    <w:rsid w:val="00C61725"/>
    <w:rsid w:val="00C712EA"/>
    <w:rsid w:val="00C77B7D"/>
    <w:rsid w:val="00C838F3"/>
    <w:rsid w:val="00CB5B58"/>
    <w:rsid w:val="00CC2224"/>
    <w:rsid w:val="00CD0980"/>
    <w:rsid w:val="00CD3915"/>
    <w:rsid w:val="00CD6267"/>
    <w:rsid w:val="00CD7CA3"/>
    <w:rsid w:val="00CF0762"/>
    <w:rsid w:val="00D067D3"/>
    <w:rsid w:val="00D145F6"/>
    <w:rsid w:val="00D15909"/>
    <w:rsid w:val="00D17097"/>
    <w:rsid w:val="00D22BA3"/>
    <w:rsid w:val="00D368E2"/>
    <w:rsid w:val="00D57C89"/>
    <w:rsid w:val="00D63483"/>
    <w:rsid w:val="00D70ACB"/>
    <w:rsid w:val="00D7463D"/>
    <w:rsid w:val="00D95D6E"/>
    <w:rsid w:val="00DA217E"/>
    <w:rsid w:val="00DA3B8B"/>
    <w:rsid w:val="00DA6AF3"/>
    <w:rsid w:val="00DD3050"/>
    <w:rsid w:val="00DE0FB4"/>
    <w:rsid w:val="00DE238A"/>
    <w:rsid w:val="00DE2A3A"/>
    <w:rsid w:val="00E00E50"/>
    <w:rsid w:val="00E02168"/>
    <w:rsid w:val="00E23737"/>
    <w:rsid w:val="00E24C2E"/>
    <w:rsid w:val="00E35D8D"/>
    <w:rsid w:val="00E443B7"/>
    <w:rsid w:val="00E46F30"/>
    <w:rsid w:val="00E56319"/>
    <w:rsid w:val="00E57866"/>
    <w:rsid w:val="00E65CBD"/>
    <w:rsid w:val="00E71AA6"/>
    <w:rsid w:val="00E74C10"/>
    <w:rsid w:val="00EB2900"/>
    <w:rsid w:val="00EB4A0E"/>
    <w:rsid w:val="00EC7D68"/>
    <w:rsid w:val="00ED64C8"/>
    <w:rsid w:val="00EE00C1"/>
    <w:rsid w:val="00F12F9E"/>
    <w:rsid w:val="00F36CAB"/>
    <w:rsid w:val="00F37A75"/>
    <w:rsid w:val="00F461EC"/>
    <w:rsid w:val="00F505DD"/>
    <w:rsid w:val="00F71A5A"/>
    <w:rsid w:val="00FA62BF"/>
    <w:rsid w:val="00FA7B59"/>
    <w:rsid w:val="00FA7FE9"/>
    <w:rsid w:val="00FB1E81"/>
    <w:rsid w:val="00FB4E56"/>
    <w:rsid w:val="00FC55A4"/>
    <w:rsid w:val="00FD0B83"/>
    <w:rsid w:val="00FD3A04"/>
    <w:rsid w:val="00FD6700"/>
    <w:rsid w:val="00FE15DA"/>
    <w:rsid w:val="00FF71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B28B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unhideWhenUsed/>
    <w:rsid w:val="00805F8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rsid w:val="00805F81"/>
    <w:rPr>
      <w:rFonts w:ascii="Times New Roman" w:eastAsia="Times New Roman" w:hAnsi="Times New Roman" w:cs="Times New Roman"/>
      <w:sz w:val="24"/>
      <w:szCs w:val="24"/>
    </w:rPr>
  </w:style>
  <w:style w:type="table" w:styleId="Reatabula">
    <w:name w:val="Table Grid"/>
    <w:basedOn w:val="Parastatabula"/>
    <w:uiPriority w:val="39"/>
    <w:rsid w:val="00805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lab">
    <w:name w:val="naislab"/>
    <w:basedOn w:val="Parastais"/>
    <w:rsid w:val="00805F81"/>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Parastais"/>
    <w:rsid w:val="00805F81"/>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Parastais"/>
    <w:rsid w:val="00FF71DE"/>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Parastais"/>
    <w:rsid w:val="00FF71DE"/>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f">
    <w:name w:val="naisf"/>
    <w:basedOn w:val="Parastais"/>
    <w:rsid w:val="00FF71DE"/>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ParastaisWeb">
    <w:name w:val="Normal (Web)"/>
    <w:basedOn w:val="Parastais"/>
    <w:unhideWhenUsed/>
    <w:rsid w:val="00715CD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715CD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715CD7"/>
    <w:rPr>
      <w:rFonts w:ascii="Times New Roman" w:eastAsia="Times New Roman" w:hAnsi="Times New Roman" w:cs="Times New Roman"/>
      <w:sz w:val="24"/>
      <w:szCs w:val="24"/>
    </w:rPr>
  </w:style>
  <w:style w:type="paragraph" w:styleId="Pamatteksts">
    <w:name w:val="Body Text"/>
    <w:basedOn w:val="Parastais"/>
    <w:link w:val="PamattekstsRakstz"/>
    <w:rsid w:val="00C712EA"/>
    <w:pPr>
      <w:spacing w:after="0" w:line="240" w:lineRule="auto"/>
      <w:jc w:val="center"/>
    </w:pPr>
    <w:rPr>
      <w:rFonts w:ascii="Times New Roman" w:eastAsia="Times New Roman" w:hAnsi="Times New Roman" w:cs="Times New Roman"/>
      <w:b/>
      <w:bCs/>
      <w:sz w:val="28"/>
      <w:szCs w:val="28"/>
    </w:rPr>
  </w:style>
  <w:style w:type="character" w:customStyle="1" w:styleId="PamattekstsRakstz">
    <w:name w:val="Pamatteksts Rakstz."/>
    <w:basedOn w:val="Noklusjumarindkopasfonts"/>
    <w:link w:val="Pamatteksts"/>
    <w:rsid w:val="00C712EA"/>
    <w:rPr>
      <w:rFonts w:ascii="Times New Roman" w:eastAsia="Times New Roman" w:hAnsi="Times New Roman" w:cs="Times New Roman"/>
      <w:b/>
      <w:bCs/>
      <w:sz w:val="28"/>
      <w:szCs w:val="28"/>
    </w:rPr>
  </w:style>
  <w:style w:type="character" w:styleId="Komentraatsauce">
    <w:name w:val="annotation reference"/>
    <w:basedOn w:val="Noklusjumarindkopasfonts"/>
    <w:uiPriority w:val="99"/>
    <w:semiHidden/>
    <w:unhideWhenUsed/>
    <w:rsid w:val="006F75AA"/>
    <w:rPr>
      <w:sz w:val="16"/>
      <w:szCs w:val="16"/>
    </w:rPr>
  </w:style>
  <w:style w:type="paragraph" w:styleId="Komentrateksts">
    <w:name w:val="annotation text"/>
    <w:basedOn w:val="Parastais"/>
    <w:link w:val="KomentratekstsRakstz"/>
    <w:uiPriority w:val="99"/>
    <w:semiHidden/>
    <w:unhideWhenUsed/>
    <w:rsid w:val="006F75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F75AA"/>
    <w:rPr>
      <w:sz w:val="20"/>
      <w:szCs w:val="20"/>
    </w:rPr>
  </w:style>
  <w:style w:type="paragraph" w:styleId="Komentratma">
    <w:name w:val="annotation subject"/>
    <w:basedOn w:val="Komentrateksts"/>
    <w:next w:val="Komentrateksts"/>
    <w:link w:val="KomentratmaRakstz"/>
    <w:uiPriority w:val="99"/>
    <w:semiHidden/>
    <w:unhideWhenUsed/>
    <w:rsid w:val="006F75AA"/>
    <w:rPr>
      <w:b/>
      <w:bCs/>
    </w:rPr>
  </w:style>
  <w:style w:type="character" w:customStyle="1" w:styleId="KomentratmaRakstz">
    <w:name w:val="Komentāra tēma Rakstz."/>
    <w:basedOn w:val="KomentratekstsRakstz"/>
    <w:link w:val="Komentratma"/>
    <w:uiPriority w:val="99"/>
    <w:semiHidden/>
    <w:rsid w:val="006F75AA"/>
    <w:rPr>
      <w:b/>
      <w:bCs/>
      <w:sz w:val="20"/>
      <w:szCs w:val="20"/>
    </w:rPr>
  </w:style>
  <w:style w:type="paragraph" w:styleId="Balonteksts">
    <w:name w:val="Balloon Text"/>
    <w:basedOn w:val="Parastais"/>
    <w:link w:val="BalontekstsRakstz"/>
    <w:uiPriority w:val="99"/>
    <w:semiHidden/>
    <w:unhideWhenUsed/>
    <w:rsid w:val="006F75A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75AA"/>
    <w:rPr>
      <w:rFonts w:ascii="Tahoma" w:hAnsi="Tahoma" w:cs="Tahoma"/>
      <w:sz w:val="16"/>
      <w:szCs w:val="16"/>
    </w:rPr>
  </w:style>
  <w:style w:type="character" w:styleId="Izteiksmgs">
    <w:name w:val="Strong"/>
    <w:basedOn w:val="Noklusjumarindkopasfonts"/>
    <w:uiPriority w:val="22"/>
    <w:qFormat/>
    <w:rsid w:val="00E23737"/>
    <w:rPr>
      <w:b/>
      <w:bCs/>
    </w:rPr>
  </w:style>
  <w:style w:type="paragraph" w:styleId="Vienkrsteksts">
    <w:name w:val="Plain Text"/>
    <w:basedOn w:val="Parastais"/>
    <w:link w:val="VienkrstekstsRakstz"/>
    <w:uiPriority w:val="99"/>
    <w:semiHidden/>
    <w:unhideWhenUsed/>
    <w:rsid w:val="00806940"/>
    <w:pPr>
      <w:spacing w:after="0" w:line="240" w:lineRule="auto"/>
    </w:pPr>
    <w:rPr>
      <w:rFonts w:ascii="Consolas" w:hAnsi="Consolas"/>
      <w:sz w:val="21"/>
      <w:szCs w:val="21"/>
    </w:rPr>
  </w:style>
  <w:style w:type="character" w:customStyle="1" w:styleId="VienkrstekstsRakstz">
    <w:name w:val="Vienkāršs teksts Rakstz."/>
    <w:basedOn w:val="Noklusjumarindkopasfonts"/>
    <w:link w:val="Vienkrsteksts"/>
    <w:uiPriority w:val="99"/>
    <w:semiHidden/>
    <w:rsid w:val="0080694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740371167">
      <w:bodyDiv w:val="1"/>
      <w:marLeft w:val="0"/>
      <w:marRight w:val="0"/>
      <w:marTop w:val="0"/>
      <w:marBottom w:val="0"/>
      <w:divBdr>
        <w:top w:val="none" w:sz="0" w:space="0" w:color="auto"/>
        <w:left w:val="none" w:sz="0" w:space="0" w:color="auto"/>
        <w:bottom w:val="none" w:sz="0" w:space="0" w:color="auto"/>
        <w:right w:val="none" w:sz="0" w:space="0" w:color="auto"/>
      </w:divBdr>
    </w:div>
    <w:div w:id="1005784285">
      <w:bodyDiv w:val="1"/>
      <w:marLeft w:val="0"/>
      <w:marRight w:val="0"/>
      <w:marTop w:val="0"/>
      <w:marBottom w:val="0"/>
      <w:divBdr>
        <w:top w:val="none" w:sz="0" w:space="0" w:color="auto"/>
        <w:left w:val="none" w:sz="0" w:space="0" w:color="auto"/>
        <w:bottom w:val="none" w:sz="0" w:space="0" w:color="auto"/>
        <w:right w:val="none" w:sz="0" w:space="0" w:color="auto"/>
      </w:divBdr>
    </w:div>
    <w:div w:id="129420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0592"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ikumi.lv/doc.php?id=260592" TargetMode="External"/><Relationship Id="rId12" Type="http://schemas.openxmlformats.org/officeDocument/2006/relationships/hyperlink" Target="mailto:turaida.muzejs@apollo.l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kumi.lv/doc.php?id=260592" TargetMode="External"/><Relationship Id="rId11" Type="http://schemas.openxmlformats.org/officeDocument/2006/relationships/hyperlink" Target="http://likumi.lv/doc.php?id=260592"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likumi.lv/doc.php?id=260592" TargetMode="External"/><Relationship Id="rId4" Type="http://schemas.openxmlformats.org/officeDocument/2006/relationships/footnotes" Target="footnotes.xml"/><Relationship Id="rId9" Type="http://schemas.openxmlformats.org/officeDocument/2006/relationships/hyperlink" Target="http://likumi.lv/doc.php?id=260592"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9364</Words>
  <Characters>5338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Grozījumi Ministru kabineta 2013.gada 1.oktobra noteikumos Nr.1029 „Īpaši aizsargājamā kultūras pieminekļa - Turaidas muzejrezervāta - publisko maksas pakalpojumu cenrādis”</vt:lpstr>
    </vt:vector>
  </TitlesOfParts>
  <Company>LR Kultūras Ministrija</Company>
  <LinksUpToDate>false</LinksUpToDate>
  <CharactersWithSpaces>14673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1.oktobra noteikumos Nr.1029 „Īpaši aizsargājamā kultūras pieminekļa - Turaidas muzejrezervāta - publisko maksas pakalpojumu cenrādis”</dc:title>
  <dc:subject>Ministru kabineta noteikumu projekta sākotnējās ietekmes novērtējuma ziņojums (anotācija)</dc:subject>
  <dc:creator>A.Jurkāne</dc:creator>
  <cp:keywords>KMAnot_220316_TRM</cp:keywords>
  <dc:description>A.Jurkāne
Tālr.67971797; 67971402
Fakss: 67973628
turaida.muzejs@apollo.lv</dc:description>
  <cp:lastModifiedBy>inesed</cp:lastModifiedBy>
  <cp:revision>4</cp:revision>
  <dcterms:created xsi:type="dcterms:W3CDTF">2016-04-22T07:24:00Z</dcterms:created>
  <dcterms:modified xsi:type="dcterms:W3CDTF">2016-04-22T10:30:00Z</dcterms:modified>
</cp:coreProperties>
</file>