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52" w:rsidRPr="00714735" w:rsidRDefault="00ED4452" w:rsidP="00AE31D6">
      <w:pPr>
        <w:pStyle w:val="parastais0"/>
        <w:spacing w:before="0" w:beforeAutospacing="0" w:after="0" w:afterAutospacing="0"/>
        <w:jc w:val="center"/>
        <w:rPr>
          <w:rStyle w:val="parastaischar"/>
          <w:b/>
          <w:bCs/>
        </w:rPr>
      </w:pPr>
      <w:bookmarkStart w:id="0" w:name="OLE_LINK1"/>
      <w:bookmarkStart w:id="1" w:name="OLE_LINK2"/>
      <w:r w:rsidRPr="00714735">
        <w:rPr>
          <w:rStyle w:val="parastaischar"/>
          <w:b/>
          <w:bCs/>
        </w:rPr>
        <w:t>Informatīvais ziņojums</w:t>
      </w:r>
    </w:p>
    <w:p w:rsidR="00ED4452" w:rsidRPr="00714735" w:rsidRDefault="00ED4452" w:rsidP="00AE31D6">
      <w:pPr>
        <w:jc w:val="center"/>
        <w:rPr>
          <w:b/>
          <w:bCs/>
        </w:rPr>
      </w:pPr>
      <w:bookmarkStart w:id="2" w:name="OLE_LINK5"/>
      <w:bookmarkStart w:id="3" w:name="OLE_LINK6"/>
      <w:r w:rsidRPr="00714735">
        <w:rPr>
          <w:b/>
          <w:bCs/>
        </w:rPr>
        <w:t>„</w:t>
      </w:r>
      <w:r w:rsidR="00646496" w:rsidRPr="000F12C9">
        <w:rPr>
          <w:b/>
          <w:bCs/>
        </w:rPr>
        <w:t xml:space="preserve">Par </w:t>
      </w:r>
      <w:r w:rsidR="00AD70AF" w:rsidRPr="00AD70AF">
        <w:rPr>
          <w:b/>
          <w:szCs w:val="28"/>
        </w:rPr>
        <w:t>profesionālās izglītības kompetences centra „Ventspils Mūzikas vidusskola”</w:t>
      </w:r>
      <w:r w:rsidR="00DD777B">
        <w:rPr>
          <w:sz w:val="28"/>
          <w:szCs w:val="28"/>
        </w:rPr>
        <w:t xml:space="preserve"> </w:t>
      </w:r>
      <w:r w:rsidR="00DD777B">
        <w:rPr>
          <w:b/>
          <w:bCs/>
        </w:rPr>
        <w:t xml:space="preserve"> </w:t>
      </w:r>
      <w:r w:rsidR="00646496" w:rsidRPr="00714735">
        <w:rPr>
          <w:b/>
          <w:bCs/>
        </w:rPr>
        <w:t>tālāko attīstību</w:t>
      </w:r>
      <w:r w:rsidRPr="00714735">
        <w:rPr>
          <w:b/>
          <w:bCs/>
        </w:rPr>
        <w:t>”</w:t>
      </w:r>
    </w:p>
    <w:bookmarkEnd w:id="0"/>
    <w:bookmarkEnd w:id="1"/>
    <w:p w:rsidR="00ED4452" w:rsidRPr="00714735" w:rsidRDefault="00ED4452">
      <w:pPr>
        <w:jc w:val="both"/>
        <w:rPr>
          <w:b/>
        </w:rPr>
      </w:pPr>
    </w:p>
    <w:bookmarkEnd w:id="2"/>
    <w:bookmarkEnd w:id="3"/>
    <w:p w:rsidR="007F5B45" w:rsidRPr="005116B5" w:rsidRDefault="00ED4452" w:rsidP="005116B5">
      <w:pPr>
        <w:pStyle w:val="saraksta0020rindkopa"/>
        <w:spacing w:before="0" w:beforeAutospacing="0" w:after="0" w:afterAutospacing="0"/>
        <w:ind w:firstLine="567"/>
        <w:jc w:val="both"/>
        <w:rPr>
          <w:bCs/>
        </w:rPr>
      </w:pPr>
      <w:r w:rsidRPr="00714735">
        <w:rPr>
          <w:rStyle w:val="parastaischar"/>
        </w:rPr>
        <w:t xml:space="preserve">Informatīvais </w:t>
      </w:r>
      <w:smartTag w:uri="schemas-tilde-lv/tildestengine" w:element="veidnes">
        <w:smartTagPr>
          <w:attr w:name="id" w:val="-1"/>
          <w:attr w:name="baseform" w:val="ziņojums"/>
          <w:attr w:name="text" w:val="ziņojums"/>
        </w:smartTagPr>
        <w:r w:rsidRPr="00714735">
          <w:rPr>
            <w:rStyle w:val="parastaischar"/>
          </w:rPr>
          <w:t>ziņojums</w:t>
        </w:r>
      </w:smartTag>
      <w:r w:rsidRPr="00714735">
        <w:rPr>
          <w:rStyle w:val="parastaischar"/>
        </w:rPr>
        <w:t xml:space="preserve"> </w:t>
      </w:r>
      <w:r w:rsidR="006C5DA2" w:rsidRPr="00220065">
        <w:rPr>
          <w:bCs/>
        </w:rPr>
        <w:t xml:space="preserve">„Par </w:t>
      </w:r>
      <w:r w:rsidR="00AD70AF" w:rsidRPr="00220065">
        <w:rPr>
          <w:szCs w:val="28"/>
        </w:rPr>
        <w:t>profesionālās izglītības kompetences centra „Ventspils Mūzikas vidusskola”</w:t>
      </w:r>
      <w:r w:rsidR="00AD70AF" w:rsidRPr="00220065">
        <w:rPr>
          <w:sz w:val="28"/>
          <w:szCs w:val="28"/>
        </w:rPr>
        <w:t xml:space="preserve"> </w:t>
      </w:r>
      <w:r w:rsidR="006C5DA2" w:rsidRPr="00220065">
        <w:rPr>
          <w:bCs/>
        </w:rPr>
        <w:t>tālāko attīstību”</w:t>
      </w:r>
      <w:r w:rsidRPr="00220065">
        <w:rPr>
          <w:bCs/>
        </w:rPr>
        <w:t xml:space="preserve"> </w:t>
      </w:r>
      <w:r w:rsidRPr="00714735">
        <w:rPr>
          <w:bCs/>
        </w:rPr>
        <w:t xml:space="preserve">(turpmāk – </w:t>
      </w:r>
      <w:r w:rsidR="00336942">
        <w:rPr>
          <w:bCs/>
        </w:rPr>
        <w:t>i</w:t>
      </w:r>
      <w:r w:rsidR="006C5DA2" w:rsidRPr="00714735">
        <w:rPr>
          <w:bCs/>
        </w:rPr>
        <w:t xml:space="preserve">nformatīvais </w:t>
      </w:r>
      <w:r w:rsidRPr="00714735">
        <w:rPr>
          <w:bCs/>
        </w:rPr>
        <w:t>ziņojums)</w:t>
      </w:r>
      <w:r w:rsidRPr="00714735">
        <w:rPr>
          <w:rStyle w:val="parastaischar"/>
        </w:rPr>
        <w:t xml:space="preserve"> sagatavots </w:t>
      </w:r>
      <w:r w:rsidRPr="00714735">
        <w:rPr>
          <w:iCs/>
        </w:rPr>
        <w:t xml:space="preserve">saskaņā ar </w:t>
      </w:r>
      <w:r w:rsidRPr="00714735">
        <w:t>Ministru kabineta 2009.gada 7.aprīļa noteikumu Nr.300 „Ministru kabineta kārtības rullis” 58.punktu</w:t>
      </w:r>
      <w:r w:rsidRPr="00714735">
        <w:rPr>
          <w:rStyle w:val="parastaischar"/>
        </w:rPr>
        <w:t>.</w:t>
      </w:r>
      <w:r w:rsidR="0059041E">
        <w:rPr>
          <w:rStyle w:val="parastaischar"/>
        </w:rPr>
        <w:t xml:space="preserve"> </w:t>
      </w:r>
      <w:r w:rsidR="007F5B45" w:rsidRPr="00714735">
        <w:t xml:space="preserve">Informatīvais ziņojums </w:t>
      </w:r>
      <w:r w:rsidR="006045D3" w:rsidRPr="00714735">
        <w:rPr>
          <w:rStyle w:val="parastaischar"/>
        </w:rPr>
        <w:t>sagatavots</w:t>
      </w:r>
      <w:r w:rsidR="007F5B45" w:rsidRPr="00714735">
        <w:t xml:space="preserve"> ar mērķi nodrošināt </w:t>
      </w:r>
      <w:r w:rsidR="00AD70AF" w:rsidRPr="00AD70AF">
        <w:rPr>
          <w:szCs w:val="28"/>
        </w:rPr>
        <w:t>profesionālās izglītības kompetences centra „Ventspils Mūzikas vidusskola”</w:t>
      </w:r>
      <w:r w:rsidR="00646496" w:rsidRPr="00714735">
        <w:t xml:space="preserve"> (turpmāk – </w:t>
      </w:r>
      <w:r w:rsidR="00884F96">
        <w:t>vidusskola</w:t>
      </w:r>
      <w:r w:rsidR="00646496" w:rsidRPr="00714735">
        <w:t xml:space="preserve">) </w:t>
      </w:r>
      <w:r w:rsidR="001E3ABC" w:rsidRPr="00714735">
        <w:t xml:space="preserve">tālāko attīstību un </w:t>
      </w:r>
      <w:r w:rsidR="007F5B45" w:rsidRPr="00714735">
        <w:t xml:space="preserve">darbības nepārtrauktību </w:t>
      </w:r>
      <w:r w:rsidR="00646496" w:rsidRPr="00714735">
        <w:t xml:space="preserve">pēc 2018.gada 1.septembra. </w:t>
      </w:r>
    </w:p>
    <w:p w:rsidR="00ED4452" w:rsidRPr="00714735" w:rsidRDefault="00ED4452">
      <w:pPr>
        <w:pStyle w:val="saraksta0020rindkopa"/>
        <w:spacing w:before="0" w:beforeAutospacing="0" w:after="0" w:afterAutospacing="0"/>
        <w:ind w:firstLine="567"/>
        <w:jc w:val="both"/>
        <w:rPr>
          <w:rStyle w:val="parastaischar"/>
        </w:rPr>
      </w:pPr>
    </w:p>
    <w:p w:rsidR="00ED4452" w:rsidRPr="00714735" w:rsidRDefault="0089631D">
      <w:pPr>
        <w:pStyle w:val="saraksta0020rindkopa"/>
        <w:spacing w:before="0" w:beforeAutospacing="0" w:after="0" w:afterAutospacing="0"/>
        <w:jc w:val="center"/>
        <w:rPr>
          <w:rStyle w:val="saraksta0020rindkopachar"/>
          <w:b/>
        </w:rPr>
      </w:pPr>
      <w:r w:rsidRPr="00714735">
        <w:rPr>
          <w:rStyle w:val="saraksta0020rindkopachar"/>
          <w:b/>
        </w:rPr>
        <w:t>1. </w:t>
      </w:r>
      <w:r w:rsidR="00ED4452" w:rsidRPr="00714735">
        <w:rPr>
          <w:rStyle w:val="saraksta0020rindkopachar"/>
          <w:b/>
        </w:rPr>
        <w:t>Esošās situācijas apraksts</w:t>
      </w:r>
    </w:p>
    <w:p w:rsidR="00693B7E" w:rsidRPr="00714735" w:rsidRDefault="00693B7E">
      <w:pPr>
        <w:pStyle w:val="saraksta0020rindkopa"/>
        <w:spacing w:before="0" w:beforeAutospacing="0" w:after="0" w:afterAutospacing="0"/>
        <w:rPr>
          <w:rStyle w:val="saraksta0020rindkopachar"/>
          <w:b/>
        </w:rPr>
      </w:pPr>
    </w:p>
    <w:p w:rsidR="0040539D" w:rsidRPr="00714735" w:rsidRDefault="00D30C03">
      <w:pPr>
        <w:pStyle w:val="parastais0"/>
        <w:spacing w:before="0" w:beforeAutospacing="0" w:after="0" w:afterAutospacing="0"/>
        <w:ind w:firstLine="720"/>
        <w:jc w:val="both"/>
      </w:pPr>
      <w:r w:rsidRPr="00714735">
        <w:rPr>
          <w:rStyle w:val="izc0113lumschar"/>
        </w:rPr>
        <w:t>Atbilstoši Ministru kabineta 2014.gada 11.februāra sēdē (prot.</w:t>
      </w:r>
      <w:r w:rsidR="00336942">
        <w:rPr>
          <w:rStyle w:val="izc0113lumschar"/>
        </w:rPr>
        <w:t xml:space="preserve"> </w:t>
      </w:r>
      <w:r w:rsidRPr="00714735">
        <w:rPr>
          <w:rStyle w:val="izc0113lumschar"/>
        </w:rPr>
        <w:t xml:space="preserve">Nr.8 29.§; 30.§) </w:t>
      </w:r>
      <w:r w:rsidR="00EB57CF" w:rsidRPr="00714735">
        <w:rPr>
          <w:rStyle w:val="izc0113lumschar"/>
        </w:rPr>
        <w:t>nolemtajam, l</w:t>
      </w:r>
      <w:r w:rsidR="00EB57CF" w:rsidRPr="00714735">
        <w:t xml:space="preserve">ai novērstu apdraudējuma risku </w:t>
      </w:r>
      <w:r w:rsidR="00E024B0">
        <w:t>vidusskolas</w:t>
      </w:r>
      <w:r w:rsidR="00D72CAB">
        <w:t xml:space="preserve"> </w:t>
      </w:r>
      <w:r w:rsidR="00EB57CF" w:rsidRPr="00714735">
        <w:t xml:space="preserve">audzēkņu, pedagogu, administrācijas personāla, apkārt esošo cilvēku dzīvībai un veselībai, kā arī citu personu īpašumam un </w:t>
      </w:r>
      <w:r w:rsidR="00033C1D">
        <w:t xml:space="preserve">nodrošinātu </w:t>
      </w:r>
      <w:r w:rsidR="00E024B0">
        <w:t>vidusskolas</w:t>
      </w:r>
      <w:r w:rsidR="00E024B0" w:rsidRPr="00714735">
        <w:t xml:space="preserve"> </w:t>
      </w:r>
      <w:r w:rsidR="00033C1D" w:rsidRPr="00714735">
        <w:t>darbīb</w:t>
      </w:r>
      <w:r w:rsidR="00033C1D">
        <w:t>as nepārtrauktību</w:t>
      </w:r>
      <w:r w:rsidR="00A07963" w:rsidRPr="00714735">
        <w:t xml:space="preserve">, </w:t>
      </w:r>
      <w:r w:rsidR="00E024B0">
        <w:t>vidusskol</w:t>
      </w:r>
      <w:r w:rsidR="00033C1D">
        <w:t>a</w:t>
      </w:r>
      <w:r w:rsidR="00E024B0" w:rsidRPr="00714735">
        <w:t xml:space="preserve"> </w:t>
      </w:r>
      <w:r w:rsidR="00033C1D">
        <w:t xml:space="preserve">ir </w:t>
      </w:r>
      <w:r w:rsidR="003B073B" w:rsidRPr="00714735">
        <w:t>pārc</w:t>
      </w:r>
      <w:r w:rsidR="00E024B0">
        <w:t>elta</w:t>
      </w:r>
      <w:r w:rsidR="003B073B" w:rsidRPr="00714735">
        <w:t xml:space="preserve"> no</w:t>
      </w:r>
      <w:r w:rsidR="00693B7E" w:rsidRPr="00714735">
        <w:t xml:space="preserve"> telpām Kuģinieku ielā 2</w:t>
      </w:r>
      <w:r w:rsidR="00033C1D">
        <w:t>,</w:t>
      </w:r>
      <w:r w:rsidR="00E024B0">
        <w:t xml:space="preserve"> </w:t>
      </w:r>
      <w:r w:rsidR="00033C1D">
        <w:t>Ventspilī</w:t>
      </w:r>
      <w:r w:rsidR="00693B7E" w:rsidRPr="00714735">
        <w:t xml:space="preserve"> un Pils ielā 38</w:t>
      </w:r>
      <w:r w:rsidR="00E024B0">
        <w:t xml:space="preserve">, </w:t>
      </w:r>
      <w:r w:rsidR="00033C1D">
        <w:t>Ventspilī</w:t>
      </w:r>
      <w:r w:rsidR="00693B7E" w:rsidRPr="00714735">
        <w:t xml:space="preserve"> </w:t>
      </w:r>
      <w:r w:rsidR="003B073B" w:rsidRPr="00714735">
        <w:t xml:space="preserve">uz </w:t>
      </w:r>
      <w:r w:rsidR="004D1B13">
        <w:t>septiņām</w:t>
      </w:r>
      <w:r w:rsidR="004D1B13" w:rsidRPr="00714735">
        <w:t xml:space="preserve"> </w:t>
      </w:r>
      <w:r w:rsidR="00693B7E" w:rsidRPr="00714735">
        <w:t xml:space="preserve">pagaidu </w:t>
      </w:r>
      <w:r w:rsidR="00033C1D">
        <w:t xml:space="preserve">telpām </w:t>
      </w:r>
      <w:r w:rsidR="009D17D8">
        <w:t>(skatīt 1.tabulu)</w:t>
      </w:r>
      <w:r w:rsidR="0040539D" w:rsidRPr="00714735">
        <w:t>.</w:t>
      </w:r>
    </w:p>
    <w:p w:rsidR="00D71433" w:rsidRPr="00714735" w:rsidRDefault="00D71433">
      <w:pPr>
        <w:pStyle w:val="parastais0"/>
        <w:spacing w:before="0" w:beforeAutospacing="0" w:after="0" w:afterAutospacing="0"/>
        <w:ind w:firstLine="720"/>
        <w:jc w:val="both"/>
      </w:pPr>
    </w:p>
    <w:p w:rsidR="0051333C" w:rsidRDefault="0051333C">
      <w:pPr>
        <w:ind w:firstLine="720"/>
        <w:jc w:val="both"/>
      </w:pPr>
      <w:r w:rsidRPr="00714735">
        <w:t xml:space="preserve">Nepieciešamību atrisināt </w:t>
      </w:r>
      <w:r w:rsidR="00033C1D">
        <w:t>vidusskolas</w:t>
      </w:r>
      <w:r w:rsidR="00033C1D" w:rsidRPr="00714735">
        <w:t xml:space="preserve"> </w:t>
      </w:r>
      <w:r w:rsidRPr="00714735">
        <w:t xml:space="preserve">darbības nodrošināšanas jautājumu pagaidu telpās noteica apstākļi, kas attīstījušies </w:t>
      </w:r>
      <w:r w:rsidR="00033C1D">
        <w:t>vidusskolas telpās</w:t>
      </w:r>
      <w:r w:rsidR="00033C1D" w:rsidRPr="00714735">
        <w:t xml:space="preserve"> </w:t>
      </w:r>
      <w:r w:rsidRPr="00714735">
        <w:t>Kuģinieku ielā 2</w:t>
      </w:r>
      <w:r w:rsidR="00033C1D">
        <w:t>, Ventspilī</w:t>
      </w:r>
      <w:r w:rsidRPr="00714735">
        <w:t xml:space="preserve"> un Pils ielā 38, Ventspilī, to nesošajiem konstruktīvajiem elementiem un</w:t>
      </w:r>
      <w:r w:rsidR="00033C1D">
        <w:t xml:space="preserve"> ēkām</w:t>
      </w:r>
      <w:r w:rsidRPr="00714735">
        <w:t xml:space="preserve"> un </w:t>
      </w:r>
      <w:r w:rsidR="00033C1D" w:rsidRPr="00714735">
        <w:t>t</w:t>
      </w:r>
      <w:r w:rsidR="00033C1D">
        <w:t>o</w:t>
      </w:r>
      <w:r w:rsidR="00033C1D" w:rsidRPr="00714735">
        <w:t xml:space="preserve"> </w:t>
      </w:r>
      <w:r w:rsidRPr="00714735">
        <w:t xml:space="preserve">atsevišķām daļām </w:t>
      </w:r>
      <w:r w:rsidR="00033C1D" w:rsidRPr="00714735">
        <w:t xml:space="preserve">zaudējot </w:t>
      </w:r>
      <w:r w:rsidRPr="00714735">
        <w:t xml:space="preserve">būtiskās </w:t>
      </w:r>
      <w:r w:rsidR="00033C1D" w:rsidRPr="00714735">
        <w:t xml:space="preserve">būvniecības normatīvajos aktos noteiktās </w:t>
      </w:r>
      <w:r w:rsidRPr="00714735">
        <w:t>prasības par stiprību un stabilitāti, ugunsdrošību, higiēniskumu un nekaitīgumu cilvēka veselībai un videi, drošību lietošanā, energoefektivitāti un akustiku.</w:t>
      </w:r>
    </w:p>
    <w:p w:rsidR="0051333C" w:rsidRDefault="0051333C">
      <w:pPr>
        <w:ind w:firstLine="720"/>
        <w:jc w:val="both"/>
      </w:pPr>
    </w:p>
    <w:p w:rsidR="00B25773" w:rsidRPr="00714735" w:rsidRDefault="00033C1D">
      <w:pPr>
        <w:ind w:firstLine="720"/>
        <w:jc w:val="both"/>
      </w:pPr>
      <w:r>
        <w:t>Vidusskolas</w:t>
      </w:r>
      <w:r w:rsidRPr="00714735">
        <w:t xml:space="preserve"> </w:t>
      </w:r>
      <w:r w:rsidR="00B25773" w:rsidRPr="00714735">
        <w:t>kopējā telpu platība 2013.gadā bija 3 121 m</w:t>
      </w:r>
      <w:r w:rsidR="00B25773" w:rsidRPr="00714735">
        <w:rPr>
          <w:vertAlign w:val="superscript"/>
        </w:rPr>
        <w:t>2</w:t>
      </w:r>
      <w:r w:rsidR="00B25773" w:rsidRPr="00714735">
        <w:t xml:space="preserve">, </w:t>
      </w:r>
      <w:r>
        <w:t>t</w:t>
      </w:r>
      <w:r w:rsidR="00E43465">
        <w:t>ai</w:t>
      </w:r>
      <w:r>
        <w:t xml:space="preserve"> skaitā: </w:t>
      </w:r>
      <w:r w:rsidR="00B25773" w:rsidRPr="00714735">
        <w:t>mācību telpas un laboratorijas – 1 537,8 m</w:t>
      </w:r>
      <w:r w:rsidR="00B25773" w:rsidRPr="00714735">
        <w:rPr>
          <w:vertAlign w:val="superscript"/>
        </w:rPr>
        <w:t>2</w:t>
      </w:r>
      <w:r w:rsidR="00B25773" w:rsidRPr="00714735">
        <w:t>, mācību un ražošanas darbnīcas – 133 m</w:t>
      </w:r>
      <w:r w:rsidR="00B25773" w:rsidRPr="00714735">
        <w:rPr>
          <w:vertAlign w:val="superscript"/>
        </w:rPr>
        <w:t>2</w:t>
      </w:r>
      <w:r w:rsidR="00B25773" w:rsidRPr="00714735">
        <w:t>, dienesta viesnīcas – 416,3 m</w:t>
      </w:r>
      <w:r w:rsidR="00B25773" w:rsidRPr="00714735">
        <w:rPr>
          <w:vertAlign w:val="superscript"/>
        </w:rPr>
        <w:t>2</w:t>
      </w:r>
      <w:r w:rsidR="00B25773" w:rsidRPr="00714735">
        <w:t>, bibliotēkas telpas – 58,4 m</w:t>
      </w:r>
      <w:r w:rsidR="00B25773" w:rsidRPr="00714735">
        <w:rPr>
          <w:vertAlign w:val="superscript"/>
        </w:rPr>
        <w:t>2</w:t>
      </w:r>
      <w:r w:rsidR="00B25773" w:rsidRPr="00714735">
        <w:t xml:space="preserve"> un citas telpas – 995,5 m</w:t>
      </w:r>
      <w:r w:rsidR="00B25773" w:rsidRPr="00714735">
        <w:rPr>
          <w:vertAlign w:val="superscript"/>
        </w:rPr>
        <w:t>2</w:t>
      </w:r>
      <w:r w:rsidR="00B25773" w:rsidRPr="00714735">
        <w:t>.</w:t>
      </w:r>
    </w:p>
    <w:p w:rsidR="00C96DEE" w:rsidRDefault="00C96DEE">
      <w:pPr>
        <w:ind w:firstLine="720"/>
        <w:jc w:val="both"/>
      </w:pPr>
    </w:p>
    <w:p w:rsidR="006041FD" w:rsidRPr="00714735" w:rsidRDefault="006041FD">
      <w:pPr>
        <w:ind w:firstLine="720"/>
        <w:jc w:val="both"/>
      </w:pPr>
      <w:r w:rsidRPr="00714735">
        <w:t>Detalizēta informācija par pašreiz izmantotajām</w:t>
      </w:r>
      <w:r w:rsidR="00992406">
        <w:t xml:space="preserve"> vidusskolas</w:t>
      </w:r>
      <w:r w:rsidRPr="00714735">
        <w:t xml:space="preserve"> </w:t>
      </w:r>
      <w:r w:rsidR="0051333C">
        <w:t xml:space="preserve">pagaidu </w:t>
      </w:r>
      <w:r w:rsidRPr="00714735">
        <w:t>telpām</w:t>
      </w:r>
      <w:r w:rsidR="00EC7A0C">
        <w:t xml:space="preserve"> un dienesta </w:t>
      </w:r>
      <w:r w:rsidR="00992406">
        <w:t>viesnīcas telpām</w:t>
      </w:r>
      <w:r w:rsidR="00992406" w:rsidRPr="00714735">
        <w:t xml:space="preserve"> </w:t>
      </w:r>
      <w:r w:rsidRPr="00714735">
        <w:t xml:space="preserve">sniegta 1.tabulā. </w:t>
      </w:r>
    </w:p>
    <w:p w:rsidR="00E43465" w:rsidRPr="00E43465" w:rsidRDefault="00E43465" w:rsidP="00E43465">
      <w:pPr>
        <w:rPr>
          <w:lang w:eastAsia="en-US"/>
        </w:rPr>
      </w:pPr>
    </w:p>
    <w:p w:rsidR="00B25773" w:rsidRPr="00336942" w:rsidRDefault="00236EA2">
      <w:pPr>
        <w:pStyle w:val="Apakvirsraksts"/>
        <w:spacing w:before="0" w:after="0" w:line="240" w:lineRule="auto"/>
        <w:jc w:val="right"/>
        <w:rPr>
          <w:rFonts w:ascii="Times New Roman" w:hAnsi="Times New Roman" w:cs="Times New Roman"/>
          <w:color w:val="auto"/>
          <w:spacing w:val="0"/>
          <w:sz w:val="24"/>
        </w:rPr>
      </w:pPr>
      <w:r w:rsidRPr="00336942">
        <w:rPr>
          <w:rFonts w:ascii="Times New Roman" w:hAnsi="Times New Roman" w:cs="Times New Roman"/>
          <w:color w:val="auto"/>
          <w:spacing w:val="0"/>
          <w:sz w:val="24"/>
        </w:rPr>
        <w:t>1</w:t>
      </w:r>
      <w:r w:rsidR="00B25773" w:rsidRPr="00336942">
        <w:rPr>
          <w:rFonts w:ascii="Times New Roman" w:hAnsi="Times New Roman" w:cs="Times New Roman"/>
          <w:color w:val="auto"/>
          <w:spacing w:val="0"/>
          <w:sz w:val="24"/>
        </w:rPr>
        <w:t>.tabula</w:t>
      </w:r>
    </w:p>
    <w:p w:rsidR="00336942" w:rsidRPr="00336942" w:rsidRDefault="00336942" w:rsidP="00336942">
      <w:pPr>
        <w:rPr>
          <w:lang w:eastAsia="en-US"/>
        </w:rPr>
      </w:pPr>
    </w:p>
    <w:p w:rsidR="00B25773" w:rsidRPr="00336942" w:rsidRDefault="00B25773">
      <w:pPr>
        <w:jc w:val="center"/>
        <w:rPr>
          <w:rStyle w:val="ApakvirsrakstsRakstz"/>
          <w:rFonts w:ascii="Times New Roman" w:hAnsi="Times New Roman" w:cs="Times New Roman"/>
          <w:color w:val="auto"/>
          <w:spacing w:val="0"/>
          <w:sz w:val="24"/>
        </w:rPr>
      </w:pPr>
      <w:r w:rsidRPr="00336942">
        <w:rPr>
          <w:rStyle w:val="ApakvirsrakstsRakstz"/>
          <w:rFonts w:ascii="Times New Roman" w:hAnsi="Times New Roman" w:cs="Times New Roman"/>
          <w:color w:val="auto"/>
          <w:spacing w:val="0"/>
          <w:sz w:val="24"/>
        </w:rPr>
        <w:t>Ventspils Mūzikas vidusskolas nekustamā īpašuma uzsk</w:t>
      </w:r>
      <w:r w:rsidR="00236EA2" w:rsidRPr="00336942">
        <w:rPr>
          <w:rStyle w:val="ApakvirsrakstsRakstz"/>
          <w:rFonts w:ascii="Times New Roman" w:hAnsi="Times New Roman" w:cs="Times New Roman"/>
          <w:color w:val="auto"/>
          <w:spacing w:val="0"/>
          <w:sz w:val="24"/>
        </w:rPr>
        <w:t>a</w:t>
      </w:r>
      <w:r w:rsidR="006041FD" w:rsidRPr="00336942">
        <w:rPr>
          <w:rStyle w:val="ApakvirsrakstsRakstz"/>
          <w:rFonts w:ascii="Times New Roman" w:hAnsi="Times New Roman" w:cs="Times New Roman"/>
          <w:color w:val="auto"/>
          <w:spacing w:val="0"/>
          <w:sz w:val="24"/>
        </w:rPr>
        <w:t>i</w:t>
      </w:r>
      <w:r w:rsidR="00236EA2" w:rsidRPr="00336942">
        <w:rPr>
          <w:rStyle w:val="ApakvirsrakstsRakstz"/>
          <w:rFonts w:ascii="Times New Roman" w:hAnsi="Times New Roman" w:cs="Times New Roman"/>
          <w:color w:val="auto"/>
          <w:spacing w:val="0"/>
          <w:sz w:val="24"/>
        </w:rPr>
        <w:t>tījums un īss raksturojums 2015./2016</w:t>
      </w:r>
      <w:r w:rsidRPr="00336942">
        <w:rPr>
          <w:rStyle w:val="ApakvirsrakstsRakstz"/>
          <w:rFonts w:ascii="Times New Roman" w:hAnsi="Times New Roman" w:cs="Times New Roman"/>
          <w:color w:val="auto"/>
          <w:spacing w:val="0"/>
          <w:sz w:val="24"/>
        </w:rPr>
        <w:t xml:space="preserve">.mācību gadā </w:t>
      </w:r>
    </w:p>
    <w:p w:rsidR="00336942" w:rsidRPr="00714735" w:rsidRDefault="00336942">
      <w:pPr>
        <w:jc w:val="center"/>
        <w:rPr>
          <w:rStyle w:val="ApakvirsrakstsRakstz"/>
          <w:rFonts w:ascii="Times New Roman" w:hAnsi="Times New Roman" w:cs="Times New Roman"/>
          <w:color w:val="auto"/>
          <w:sz w:val="24"/>
        </w:rPr>
      </w:pPr>
    </w:p>
    <w:tbl>
      <w:tblPr>
        <w:tblStyle w:val="LightList-Accent12"/>
        <w:tblW w:w="9180" w:type="dxa"/>
        <w:tblLayout w:type="fixed"/>
        <w:tblLook w:val="0000"/>
      </w:tblPr>
      <w:tblGrid>
        <w:gridCol w:w="2802"/>
        <w:gridCol w:w="2126"/>
        <w:gridCol w:w="1701"/>
        <w:gridCol w:w="2551"/>
      </w:tblGrid>
      <w:tr w:rsidR="00B25773" w:rsidRPr="00336942" w:rsidTr="006B68C5">
        <w:trPr>
          <w:trHeight w:val="661"/>
          <w:tblHeader/>
        </w:trPr>
        <w:tc>
          <w:tcPr>
            <w:cnfStyle w:val="000010000000"/>
            <w:tcW w:w="2802" w:type="dxa"/>
            <w:shd w:val="clear" w:color="auto" w:fill="0099CC"/>
            <w:vAlign w:val="center"/>
          </w:tcPr>
          <w:p w:rsidR="00B25773" w:rsidRPr="00336942" w:rsidRDefault="006041FD" w:rsidP="00992406">
            <w:pPr>
              <w:jc w:val="center"/>
              <w:rPr>
                <w:b/>
                <w:sz w:val="24"/>
                <w:szCs w:val="24"/>
              </w:rPr>
            </w:pPr>
            <w:r w:rsidRPr="00336942">
              <w:rPr>
                <w:b/>
                <w:sz w:val="24"/>
                <w:szCs w:val="24"/>
              </w:rPr>
              <w:t>Nekusta</w:t>
            </w:r>
            <w:r w:rsidR="00B25773" w:rsidRPr="00336942">
              <w:rPr>
                <w:b/>
                <w:sz w:val="24"/>
                <w:szCs w:val="24"/>
              </w:rPr>
              <w:t>mā īpašuma objekta adrese</w:t>
            </w:r>
          </w:p>
        </w:tc>
        <w:tc>
          <w:tcPr>
            <w:tcW w:w="3827" w:type="dxa"/>
            <w:gridSpan w:val="2"/>
            <w:shd w:val="clear" w:color="auto" w:fill="0099CC"/>
            <w:vAlign w:val="center"/>
          </w:tcPr>
          <w:p w:rsidR="00B25773" w:rsidRPr="00336942" w:rsidRDefault="006041FD" w:rsidP="00992406">
            <w:pPr>
              <w:jc w:val="center"/>
              <w:cnfStyle w:val="000000000000"/>
              <w:rPr>
                <w:b/>
                <w:sz w:val="24"/>
                <w:szCs w:val="24"/>
              </w:rPr>
            </w:pPr>
            <w:r w:rsidRPr="00336942">
              <w:rPr>
                <w:b/>
                <w:sz w:val="24"/>
                <w:szCs w:val="24"/>
              </w:rPr>
              <w:t>Nekusta</w:t>
            </w:r>
            <w:r w:rsidR="00B25773" w:rsidRPr="00336942">
              <w:rPr>
                <w:b/>
                <w:sz w:val="24"/>
                <w:szCs w:val="24"/>
              </w:rPr>
              <w:t>mā īpašuma objekta izmantošanas veids</w:t>
            </w:r>
          </w:p>
        </w:tc>
        <w:tc>
          <w:tcPr>
            <w:cnfStyle w:val="000010000000"/>
            <w:tcW w:w="2551" w:type="dxa"/>
            <w:shd w:val="clear" w:color="auto" w:fill="0099CC"/>
            <w:vAlign w:val="center"/>
          </w:tcPr>
          <w:p w:rsidR="00B25773" w:rsidRPr="00336942" w:rsidRDefault="00B25773" w:rsidP="00992406">
            <w:pPr>
              <w:jc w:val="center"/>
              <w:rPr>
                <w:b/>
                <w:sz w:val="24"/>
                <w:szCs w:val="24"/>
              </w:rPr>
            </w:pPr>
            <w:r w:rsidRPr="00336942">
              <w:rPr>
                <w:b/>
                <w:sz w:val="24"/>
                <w:szCs w:val="24"/>
              </w:rPr>
              <w:t>Īpašuma tiesības</w:t>
            </w:r>
          </w:p>
        </w:tc>
      </w:tr>
      <w:tr w:rsidR="006041FD" w:rsidRPr="00336942" w:rsidTr="00B14FF7">
        <w:trPr>
          <w:trHeight w:val="391"/>
          <w:tblHeader/>
        </w:trPr>
        <w:tc>
          <w:tcPr>
            <w:cnfStyle w:val="000010000000"/>
            <w:tcW w:w="2802" w:type="dxa"/>
            <w:shd w:val="clear" w:color="auto" w:fill="B6DDE8" w:themeFill="accent5" w:themeFillTint="66"/>
          </w:tcPr>
          <w:p w:rsidR="006041FD" w:rsidRPr="00336942" w:rsidRDefault="006041FD" w:rsidP="00AE31D6">
            <w:pPr>
              <w:snapToGrid w:val="0"/>
              <w:rPr>
                <w:sz w:val="24"/>
                <w:szCs w:val="24"/>
              </w:rPr>
            </w:pPr>
          </w:p>
        </w:tc>
        <w:tc>
          <w:tcPr>
            <w:tcW w:w="2126" w:type="dxa"/>
            <w:shd w:val="clear" w:color="auto" w:fill="B6DDE8" w:themeFill="accent5" w:themeFillTint="66"/>
          </w:tcPr>
          <w:p w:rsidR="006041FD" w:rsidRPr="00336942" w:rsidRDefault="006041FD">
            <w:pPr>
              <w:snapToGrid w:val="0"/>
              <w:cnfStyle w:val="000000000000"/>
              <w:rPr>
                <w:b/>
                <w:sz w:val="24"/>
                <w:szCs w:val="24"/>
              </w:rPr>
            </w:pPr>
            <w:r w:rsidRPr="00336942">
              <w:rPr>
                <w:b/>
                <w:sz w:val="24"/>
                <w:szCs w:val="24"/>
              </w:rPr>
              <w:t>Izmantošanas veids</w:t>
            </w:r>
          </w:p>
        </w:tc>
        <w:tc>
          <w:tcPr>
            <w:cnfStyle w:val="000010000000"/>
            <w:tcW w:w="1701" w:type="dxa"/>
            <w:shd w:val="clear" w:color="auto" w:fill="B6DDE8" w:themeFill="accent5" w:themeFillTint="66"/>
          </w:tcPr>
          <w:p w:rsidR="006041FD" w:rsidRPr="00336942" w:rsidRDefault="006041FD">
            <w:pPr>
              <w:snapToGrid w:val="0"/>
              <w:rPr>
                <w:b/>
                <w:sz w:val="24"/>
                <w:szCs w:val="24"/>
              </w:rPr>
            </w:pPr>
            <w:r w:rsidRPr="00336942">
              <w:rPr>
                <w:b/>
                <w:sz w:val="24"/>
                <w:szCs w:val="24"/>
              </w:rPr>
              <w:t>Platība, m</w:t>
            </w:r>
            <w:r w:rsidRPr="00336942">
              <w:rPr>
                <w:b/>
                <w:sz w:val="24"/>
                <w:szCs w:val="24"/>
                <w:vertAlign w:val="superscript"/>
              </w:rPr>
              <w:t>2</w:t>
            </w:r>
          </w:p>
        </w:tc>
        <w:tc>
          <w:tcPr>
            <w:tcW w:w="2551" w:type="dxa"/>
            <w:shd w:val="clear" w:color="auto" w:fill="B6DDE8" w:themeFill="accent5" w:themeFillTint="66"/>
          </w:tcPr>
          <w:p w:rsidR="006041FD" w:rsidRPr="00336942" w:rsidRDefault="006041FD">
            <w:pPr>
              <w:snapToGrid w:val="0"/>
              <w:cnfStyle w:val="000000000000"/>
              <w:rPr>
                <w:sz w:val="24"/>
                <w:szCs w:val="24"/>
                <w:shd w:val="clear" w:color="auto" w:fill="FFFF00"/>
              </w:rPr>
            </w:pPr>
          </w:p>
        </w:tc>
      </w:tr>
      <w:tr w:rsidR="00B14FF7" w:rsidRPr="00336942" w:rsidTr="00992406">
        <w:trPr>
          <w:cnfStyle w:val="000000100000"/>
          <w:trHeight w:val="331"/>
        </w:trPr>
        <w:tc>
          <w:tcPr>
            <w:cnfStyle w:val="000010000000"/>
            <w:tcW w:w="9180" w:type="dxa"/>
            <w:gridSpan w:val="4"/>
          </w:tcPr>
          <w:p w:rsidR="00B14FF7" w:rsidRPr="00336942" w:rsidRDefault="00AD70AF">
            <w:pPr>
              <w:snapToGrid w:val="0"/>
              <w:rPr>
                <w:b/>
                <w:sz w:val="24"/>
                <w:szCs w:val="24"/>
              </w:rPr>
            </w:pPr>
            <w:r w:rsidRPr="00336942">
              <w:rPr>
                <w:b/>
                <w:sz w:val="24"/>
                <w:szCs w:val="24"/>
              </w:rPr>
              <w:t xml:space="preserve">Pagaidu </w:t>
            </w:r>
            <w:r w:rsidR="00AC5BD1" w:rsidRPr="00336942">
              <w:rPr>
                <w:b/>
                <w:sz w:val="24"/>
                <w:szCs w:val="24"/>
              </w:rPr>
              <w:t>ēkas (</w:t>
            </w:r>
            <w:r w:rsidRPr="00336942">
              <w:rPr>
                <w:b/>
                <w:sz w:val="24"/>
                <w:szCs w:val="24"/>
              </w:rPr>
              <w:t>telpas</w:t>
            </w:r>
            <w:r w:rsidR="00AC5BD1" w:rsidRPr="00336942">
              <w:rPr>
                <w:b/>
                <w:sz w:val="24"/>
                <w:szCs w:val="24"/>
              </w:rPr>
              <w:t>)</w:t>
            </w:r>
            <w:r w:rsidRPr="00336942">
              <w:rPr>
                <w:b/>
                <w:sz w:val="24"/>
                <w:szCs w:val="24"/>
              </w:rPr>
              <w:t>:</w:t>
            </w:r>
          </w:p>
        </w:tc>
      </w:tr>
      <w:tr w:rsidR="006041FD" w:rsidRPr="00336942" w:rsidTr="00992406">
        <w:trPr>
          <w:trHeight w:val="459"/>
        </w:trPr>
        <w:tc>
          <w:tcPr>
            <w:cnfStyle w:val="000010000000"/>
            <w:tcW w:w="2802" w:type="dxa"/>
            <w:vAlign w:val="center"/>
          </w:tcPr>
          <w:p w:rsidR="009830B5" w:rsidRPr="00336942" w:rsidRDefault="009830B5" w:rsidP="00336942">
            <w:pPr>
              <w:snapToGrid w:val="0"/>
              <w:jc w:val="both"/>
              <w:rPr>
                <w:sz w:val="24"/>
                <w:szCs w:val="24"/>
              </w:rPr>
            </w:pPr>
            <w:r w:rsidRPr="00336942">
              <w:rPr>
                <w:sz w:val="24"/>
                <w:szCs w:val="24"/>
              </w:rPr>
              <w:t>Lielā iela 7, Ventspils</w:t>
            </w:r>
          </w:p>
          <w:p w:rsidR="009830B5" w:rsidRPr="00336942" w:rsidRDefault="009830B5" w:rsidP="00336942">
            <w:pPr>
              <w:snapToGrid w:val="0"/>
              <w:jc w:val="both"/>
              <w:rPr>
                <w:sz w:val="24"/>
                <w:szCs w:val="24"/>
              </w:rPr>
            </w:pPr>
            <w:r w:rsidRPr="00336942">
              <w:rPr>
                <w:sz w:val="24"/>
                <w:szCs w:val="24"/>
              </w:rPr>
              <w:t>Mācību ēka</w:t>
            </w:r>
          </w:p>
        </w:tc>
        <w:tc>
          <w:tcPr>
            <w:tcW w:w="2126" w:type="dxa"/>
            <w:vAlign w:val="center"/>
          </w:tcPr>
          <w:p w:rsidR="006041FD" w:rsidRPr="00336942" w:rsidRDefault="009830B5" w:rsidP="00336942">
            <w:pPr>
              <w:snapToGrid w:val="0"/>
              <w:jc w:val="both"/>
              <w:cnfStyle w:val="000000000000"/>
              <w:rPr>
                <w:sz w:val="24"/>
                <w:szCs w:val="24"/>
              </w:rPr>
            </w:pPr>
            <w:r w:rsidRPr="00336942">
              <w:rPr>
                <w:sz w:val="24"/>
                <w:szCs w:val="24"/>
              </w:rPr>
              <w:t>Mācību procesa nodrošināšana</w:t>
            </w:r>
          </w:p>
        </w:tc>
        <w:tc>
          <w:tcPr>
            <w:cnfStyle w:val="000010000000"/>
            <w:tcW w:w="1701" w:type="dxa"/>
            <w:vAlign w:val="center"/>
          </w:tcPr>
          <w:p w:rsidR="006041FD" w:rsidRPr="00336942" w:rsidRDefault="009830B5" w:rsidP="00336942">
            <w:pPr>
              <w:snapToGrid w:val="0"/>
              <w:jc w:val="center"/>
              <w:rPr>
                <w:sz w:val="24"/>
                <w:szCs w:val="24"/>
              </w:rPr>
            </w:pPr>
            <w:r w:rsidRPr="00336942">
              <w:rPr>
                <w:sz w:val="24"/>
                <w:szCs w:val="24"/>
              </w:rPr>
              <w:t>1165,0</w:t>
            </w:r>
          </w:p>
        </w:tc>
        <w:tc>
          <w:tcPr>
            <w:tcW w:w="2551" w:type="dxa"/>
            <w:vAlign w:val="center"/>
          </w:tcPr>
          <w:p w:rsidR="006041FD" w:rsidRPr="00336942" w:rsidRDefault="009830B5" w:rsidP="00336942">
            <w:pPr>
              <w:snapToGrid w:val="0"/>
              <w:jc w:val="both"/>
              <w:cnfStyle w:val="000000000000"/>
              <w:rPr>
                <w:sz w:val="24"/>
                <w:szCs w:val="24"/>
              </w:rPr>
            </w:pPr>
            <w:r w:rsidRPr="00336942">
              <w:rPr>
                <w:sz w:val="24"/>
                <w:szCs w:val="24"/>
              </w:rPr>
              <w:t>Saņemtas lietošanā no PSIA „Ventspils nekustamie īpašumi”</w:t>
            </w:r>
          </w:p>
        </w:tc>
      </w:tr>
      <w:tr w:rsidR="006041FD" w:rsidRPr="00336942" w:rsidTr="00992406">
        <w:trPr>
          <w:cnfStyle w:val="000000100000"/>
          <w:trHeight w:val="704"/>
        </w:trPr>
        <w:tc>
          <w:tcPr>
            <w:cnfStyle w:val="000010000000"/>
            <w:tcW w:w="2802" w:type="dxa"/>
            <w:vAlign w:val="center"/>
          </w:tcPr>
          <w:p w:rsidR="006041FD" w:rsidRPr="00336942" w:rsidRDefault="006041FD" w:rsidP="00336942">
            <w:pPr>
              <w:snapToGrid w:val="0"/>
              <w:jc w:val="both"/>
              <w:rPr>
                <w:sz w:val="24"/>
                <w:szCs w:val="24"/>
              </w:rPr>
            </w:pPr>
            <w:r w:rsidRPr="00336942">
              <w:rPr>
                <w:sz w:val="24"/>
                <w:szCs w:val="24"/>
              </w:rPr>
              <w:t>Kuldīgas iela 3, Ventspils</w:t>
            </w:r>
          </w:p>
          <w:p w:rsidR="006041FD" w:rsidRPr="00336942" w:rsidRDefault="006041FD" w:rsidP="00336942">
            <w:pPr>
              <w:snapToGrid w:val="0"/>
              <w:jc w:val="both"/>
              <w:rPr>
                <w:sz w:val="24"/>
                <w:szCs w:val="24"/>
              </w:rPr>
            </w:pPr>
            <w:r w:rsidRPr="00336942">
              <w:rPr>
                <w:sz w:val="24"/>
                <w:szCs w:val="24"/>
              </w:rPr>
              <w:t>Mācību ēka</w:t>
            </w:r>
          </w:p>
        </w:tc>
        <w:tc>
          <w:tcPr>
            <w:tcW w:w="2126" w:type="dxa"/>
            <w:vAlign w:val="center"/>
          </w:tcPr>
          <w:p w:rsidR="006041FD" w:rsidRPr="00336942" w:rsidRDefault="006041FD" w:rsidP="00336942">
            <w:pPr>
              <w:snapToGrid w:val="0"/>
              <w:jc w:val="both"/>
              <w:cnfStyle w:val="000000100000"/>
              <w:rPr>
                <w:sz w:val="24"/>
                <w:szCs w:val="24"/>
              </w:rPr>
            </w:pPr>
            <w:r w:rsidRPr="00336942">
              <w:rPr>
                <w:sz w:val="24"/>
                <w:szCs w:val="24"/>
              </w:rPr>
              <w:t>Mācību procesa nodrošināšana</w:t>
            </w:r>
          </w:p>
        </w:tc>
        <w:tc>
          <w:tcPr>
            <w:cnfStyle w:val="000010000000"/>
            <w:tcW w:w="1701" w:type="dxa"/>
            <w:vAlign w:val="center"/>
          </w:tcPr>
          <w:p w:rsidR="006041FD" w:rsidRPr="00336942" w:rsidRDefault="009830B5" w:rsidP="00336942">
            <w:pPr>
              <w:snapToGrid w:val="0"/>
              <w:jc w:val="center"/>
              <w:rPr>
                <w:sz w:val="24"/>
                <w:szCs w:val="24"/>
              </w:rPr>
            </w:pPr>
            <w:r w:rsidRPr="00336942">
              <w:rPr>
                <w:sz w:val="24"/>
                <w:szCs w:val="24"/>
              </w:rPr>
              <w:t>256</w:t>
            </w:r>
            <w:r w:rsidR="006041FD" w:rsidRPr="00336942">
              <w:rPr>
                <w:sz w:val="24"/>
                <w:szCs w:val="24"/>
              </w:rPr>
              <w:t>,</w:t>
            </w:r>
            <w:r w:rsidRPr="00336942">
              <w:rPr>
                <w:sz w:val="24"/>
                <w:szCs w:val="24"/>
              </w:rPr>
              <w:t>6</w:t>
            </w:r>
          </w:p>
        </w:tc>
        <w:tc>
          <w:tcPr>
            <w:tcW w:w="2551" w:type="dxa"/>
            <w:vAlign w:val="center"/>
          </w:tcPr>
          <w:p w:rsidR="006041FD" w:rsidRPr="00336942" w:rsidRDefault="006041FD" w:rsidP="00336942">
            <w:pPr>
              <w:snapToGrid w:val="0"/>
              <w:jc w:val="both"/>
              <w:cnfStyle w:val="000000100000"/>
              <w:rPr>
                <w:sz w:val="24"/>
                <w:szCs w:val="24"/>
              </w:rPr>
            </w:pPr>
            <w:r w:rsidRPr="00336942">
              <w:rPr>
                <w:sz w:val="24"/>
                <w:szCs w:val="24"/>
              </w:rPr>
              <w:t>Saņemtas lietošanā no privātā sektora</w:t>
            </w:r>
          </w:p>
        </w:tc>
      </w:tr>
      <w:tr w:rsidR="006041FD" w:rsidRPr="00336942" w:rsidTr="00992406">
        <w:trPr>
          <w:trHeight w:val="451"/>
        </w:trPr>
        <w:tc>
          <w:tcPr>
            <w:cnfStyle w:val="000010000000"/>
            <w:tcW w:w="2802" w:type="dxa"/>
            <w:vAlign w:val="center"/>
          </w:tcPr>
          <w:p w:rsidR="006041FD" w:rsidRPr="00336942" w:rsidRDefault="006041FD" w:rsidP="00336942">
            <w:pPr>
              <w:snapToGrid w:val="0"/>
              <w:jc w:val="both"/>
              <w:rPr>
                <w:sz w:val="24"/>
                <w:szCs w:val="24"/>
              </w:rPr>
            </w:pPr>
            <w:r w:rsidRPr="00336942">
              <w:rPr>
                <w:sz w:val="24"/>
                <w:szCs w:val="24"/>
              </w:rPr>
              <w:lastRenderedPageBreak/>
              <w:t>Jūras iela 12, Ventspils</w:t>
            </w:r>
          </w:p>
          <w:p w:rsidR="006041FD" w:rsidRPr="00336942" w:rsidRDefault="006041FD" w:rsidP="00336942">
            <w:pPr>
              <w:snapToGrid w:val="0"/>
              <w:jc w:val="both"/>
              <w:rPr>
                <w:sz w:val="24"/>
                <w:szCs w:val="24"/>
              </w:rPr>
            </w:pPr>
            <w:r w:rsidRPr="00336942">
              <w:rPr>
                <w:sz w:val="24"/>
                <w:szCs w:val="24"/>
              </w:rPr>
              <w:t>Mācību ēka</w:t>
            </w:r>
          </w:p>
        </w:tc>
        <w:tc>
          <w:tcPr>
            <w:tcW w:w="2126" w:type="dxa"/>
            <w:vAlign w:val="center"/>
          </w:tcPr>
          <w:p w:rsidR="006041FD" w:rsidRPr="00336942" w:rsidRDefault="006041FD" w:rsidP="00336942">
            <w:pPr>
              <w:snapToGrid w:val="0"/>
              <w:jc w:val="both"/>
              <w:cnfStyle w:val="000000000000"/>
              <w:rPr>
                <w:sz w:val="24"/>
                <w:szCs w:val="24"/>
              </w:rPr>
            </w:pPr>
            <w:r w:rsidRPr="00336942">
              <w:rPr>
                <w:sz w:val="24"/>
                <w:szCs w:val="24"/>
              </w:rPr>
              <w:t>Mācību procesa nodrošināšana</w:t>
            </w:r>
          </w:p>
        </w:tc>
        <w:tc>
          <w:tcPr>
            <w:cnfStyle w:val="000010000000"/>
            <w:tcW w:w="1701" w:type="dxa"/>
            <w:vAlign w:val="center"/>
          </w:tcPr>
          <w:p w:rsidR="006041FD" w:rsidRPr="00336942" w:rsidRDefault="006041FD" w:rsidP="00336942">
            <w:pPr>
              <w:snapToGrid w:val="0"/>
              <w:jc w:val="center"/>
              <w:rPr>
                <w:sz w:val="24"/>
                <w:szCs w:val="24"/>
              </w:rPr>
            </w:pPr>
            <w:r w:rsidRPr="00336942">
              <w:rPr>
                <w:sz w:val="24"/>
                <w:szCs w:val="24"/>
              </w:rPr>
              <w:t>209,6</w:t>
            </w:r>
          </w:p>
        </w:tc>
        <w:tc>
          <w:tcPr>
            <w:tcW w:w="2551" w:type="dxa"/>
            <w:vAlign w:val="center"/>
          </w:tcPr>
          <w:p w:rsidR="006041FD" w:rsidRPr="00336942" w:rsidRDefault="006041FD" w:rsidP="00336942">
            <w:pPr>
              <w:snapToGrid w:val="0"/>
              <w:jc w:val="both"/>
              <w:cnfStyle w:val="000000000000"/>
              <w:rPr>
                <w:sz w:val="24"/>
                <w:szCs w:val="24"/>
              </w:rPr>
            </w:pPr>
            <w:r w:rsidRPr="00336942">
              <w:rPr>
                <w:sz w:val="24"/>
                <w:szCs w:val="24"/>
              </w:rPr>
              <w:t>Saņemtas lietošanā no privātā sektora</w:t>
            </w:r>
          </w:p>
        </w:tc>
      </w:tr>
      <w:tr w:rsidR="006041FD" w:rsidRPr="00336942" w:rsidTr="00992406">
        <w:trPr>
          <w:cnfStyle w:val="000000100000"/>
          <w:trHeight w:val="509"/>
        </w:trPr>
        <w:tc>
          <w:tcPr>
            <w:cnfStyle w:val="000010000000"/>
            <w:tcW w:w="2802" w:type="dxa"/>
            <w:vAlign w:val="center"/>
          </w:tcPr>
          <w:p w:rsidR="006041FD" w:rsidRPr="00336942" w:rsidRDefault="006041FD" w:rsidP="00336942">
            <w:pPr>
              <w:snapToGrid w:val="0"/>
              <w:jc w:val="both"/>
              <w:rPr>
                <w:sz w:val="24"/>
                <w:szCs w:val="24"/>
              </w:rPr>
            </w:pPr>
            <w:r w:rsidRPr="00336942">
              <w:rPr>
                <w:sz w:val="24"/>
                <w:szCs w:val="24"/>
              </w:rPr>
              <w:t>Ostas iela 23, Ventspils</w:t>
            </w:r>
          </w:p>
          <w:p w:rsidR="006041FD" w:rsidRPr="00336942" w:rsidRDefault="006041FD" w:rsidP="00336942">
            <w:pPr>
              <w:jc w:val="both"/>
              <w:rPr>
                <w:sz w:val="24"/>
                <w:szCs w:val="24"/>
              </w:rPr>
            </w:pPr>
            <w:r w:rsidRPr="00336942">
              <w:rPr>
                <w:sz w:val="24"/>
                <w:szCs w:val="24"/>
              </w:rPr>
              <w:t>Mācību ēka</w:t>
            </w:r>
          </w:p>
        </w:tc>
        <w:tc>
          <w:tcPr>
            <w:tcW w:w="2126" w:type="dxa"/>
            <w:vAlign w:val="center"/>
          </w:tcPr>
          <w:p w:rsidR="006041FD" w:rsidRPr="00336942" w:rsidRDefault="006041FD" w:rsidP="00336942">
            <w:pPr>
              <w:snapToGrid w:val="0"/>
              <w:jc w:val="both"/>
              <w:cnfStyle w:val="000000100000"/>
              <w:rPr>
                <w:sz w:val="24"/>
                <w:szCs w:val="24"/>
              </w:rPr>
            </w:pPr>
            <w:r w:rsidRPr="00336942">
              <w:rPr>
                <w:sz w:val="24"/>
                <w:szCs w:val="24"/>
              </w:rPr>
              <w:t>Mācību procesa nodrošināšana</w:t>
            </w:r>
          </w:p>
        </w:tc>
        <w:tc>
          <w:tcPr>
            <w:cnfStyle w:val="000010000000"/>
            <w:tcW w:w="1701" w:type="dxa"/>
            <w:vAlign w:val="center"/>
          </w:tcPr>
          <w:p w:rsidR="006041FD" w:rsidRPr="00336942" w:rsidRDefault="009830B5" w:rsidP="00336942">
            <w:pPr>
              <w:snapToGrid w:val="0"/>
              <w:jc w:val="center"/>
              <w:rPr>
                <w:sz w:val="24"/>
                <w:szCs w:val="24"/>
              </w:rPr>
            </w:pPr>
            <w:r w:rsidRPr="00336942">
              <w:rPr>
                <w:sz w:val="24"/>
                <w:szCs w:val="24"/>
              </w:rPr>
              <w:t>1031</w:t>
            </w:r>
            <w:r w:rsidR="006041FD" w:rsidRPr="00336942">
              <w:rPr>
                <w:sz w:val="24"/>
                <w:szCs w:val="24"/>
              </w:rPr>
              <w:t>,</w:t>
            </w:r>
            <w:r w:rsidRPr="00336942">
              <w:rPr>
                <w:sz w:val="24"/>
                <w:szCs w:val="24"/>
              </w:rPr>
              <w:t>50</w:t>
            </w:r>
          </w:p>
        </w:tc>
        <w:tc>
          <w:tcPr>
            <w:tcW w:w="2551" w:type="dxa"/>
            <w:vAlign w:val="center"/>
          </w:tcPr>
          <w:p w:rsidR="006041FD" w:rsidRPr="00336942" w:rsidRDefault="006041FD" w:rsidP="00336942">
            <w:pPr>
              <w:snapToGrid w:val="0"/>
              <w:jc w:val="both"/>
              <w:cnfStyle w:val="000000100000"/>
              <w:rPr>
                <w:sz w:val="24"/>
                <w:szCs w:val="24"/>
              </w:rPr>
            </w:pPr>
            <w:r w:rsidRPr="00336942">
              <w:rPr>
                <w:sz w:val="24"/>
                <w:szCs w:val="24"/>
              </w:rPr>
              <w:t>Saņemtas lietošanā no privātā sektora</w:t>
            </w:r>
          </w:p>
        </w:tc>
      </w:tr>
      <w:tr w:rsidR="006041FD" w:rsidRPr="00336942" w:rsidTr="00992406">
        <w:trPr>
          <w:trHeight w:val="545"/>
        </w:trPr>
        <w:tc>
          <w:tcPr>
            <w:cnfStyle w:val="000010000000"/>
            <w:tcW w:w="2802" w:type="dxa"/>
            <w:vAlign w:val="center"/>
          </w:tcPr>
          <w:p w:rsidR="006041FD" w:rsidRPr="00336942" w:rsidRDefault="006041FD" w:rsidP="00336942">
            <w:pPr>
              <w:snapToGrid w:val="0"/>
              <w:jc w:val="both"/>
              <w:rPr>
                <w:sz w:val="24"/>
                <w:szCs w:val="24"/>
              </w:rPr>
            </w:pPr>
            <w:r w:rsidRPr="00336942">
              <w:rPr>
                <w:sz w:val="24"/>
                <w:szCs w:val="24"/>
              </w:rPr>
              <w:t>Rīgas iela 12, Ventspils</w:t>
            </w:r>
          </w:p>
          <w:p w:rsidR="006041FD" w:rsidRPr="00336942" w:rsidRDefault="009830B5" w:rsidP="00336942">
            <w:pPr>
              <w:snapToGrid w:val="0"/>
              <w:jc w:val="both"/>
              <w:rPr>
                <w:sz w:val="24"/>
                <w:szCs w:val="24"/>
              </w:rPr>
            </w:pPr>
            <w:r w:rsidRPr="00336942">
              <w:rPr>
                <w:sz w:val="24"/>
                <w:szCs w:val="24"/>
              </w:rPr>
              <w:t>Sporta zāle</w:t>
            </w:r>
          </w:p>
        </w:tc>
        <w:tc>
          <w:tcPr>
            <w:tcW w:w="2126" w:type="dxa"/>
            <w:vAlign w:val="center"/>
          </w:tcPr>
          <w:p w:rsidR="006041FD" w:rsidRPr="00336942" w:rsidRDefault="006041FD" w:rsidP="00336942">
            <w:pPr>
              <w:snapToGrid w:val="0"/>
              <w:jc w:val="both"/>
              <w:cnfStyle w:val="000000000000"/>
              <w:rPr>
                <w:sz w:val="24"/>
                <w:szCs w:val="24"/>
              </w:rPr>
            </w:pPr>
            <w:r w:rsidRPr="00336942">
              <w:rPr>
                <w:sz w:val="24"/>
                <w:szCs w:val="24"/>
              </w:rPr>
              <w:t>Mācību procesa nodrošināšana</w:t>
            </w:r>
          </w:p>
        </w:tc>
        <w:tc>
          <w:tcPr>
            <w:cnfStyle w:val="000010000000"/>
            <w:tcW w:w="1701" w:type="dxa"/>
            <w:vAlign w:val="center"/>
          </w:tcPr>
          <w:p w:rsidR="006041FD" w:rsidRPr="00336942" w:rsidRDefault="00992406" w:rsidP="00336942">
            <w:pPr>
              <w:snapToGrid w:val="0"/>
              <w:jc w:val="center"/>
              <w:rPr>
                <w:sz w:val="24"/>
                <w:szCs w:val="24"/>
              </w:rPr>
            </w:pPr>
            <w:r w:rsidRPr="00336942">
              <w:rPr>
                <w:sz w:val="24"/>
                <w:szCs w:val="24"/>
              </w:rPr>
              <w:t>I</w:t>
            </w:r>
            <w:r w:rsidR="009830B5" w:rsidRPr="00336942">
              <w:rPr>
                <w:sz w:val="24"/>
                <w:szCs w:val="24"/>
              </w:rPr>
              <w:t xml:space="preserve">zmantota </w:t>
            </w:r>
            <w:r w:rsidRPr="00336942">
              <w:rPr>
                <w:sz w:val="24"/>
                <w:szCs w:val="24"/>
              </w:rPr>
              <w:t>četras reizes</w:t>
            </w:r>
            <w:r w:rsidR="009830B5" w:rsidRPr="00336942">
              <w:rPr>
                <w:sz w:val="24"/>
                <w:szCs w:val="24"/>
              </w:rPr>
              <w:t xml:space="preserve"> nedēļā</w:t>
            </w:r>
          </w:p>
        </w:tc>
        <w:tc>
          <w:tcPr>
            <w:tcW w:w="2551" w:type="dxa"/>
            <w:vAlign w:val="center"/>
          </w:tcPr>
          <w:p w:rsidR="006041FD" w:rsidRPr="00336942" w:rsidRDefault="00C211E5" w:rsidP="00336942">
            <w:pPr>
              <w:snapToGrid w:val="0"/>
              <w:jc w:val="both"/>
              <w:cnfStyle w:val="000000000000"/>
              <w:rPr>
                <w:sz w:val="24"/>
                <w:szCs w:val="24"/>
              </w:rPr>
            </w:pPr>
            <w:r w:rsidRPr="00336942">
              <w:rPr>
                <w:sz w:val="24"/>
                <w:szCs w:val="24"/>
              </w:rPr>
              <w:t xml:space="preserve">Ventspils pilsētas pašvaldības iestāde „Ventspils pilsētas domes izglītības pārvalde” </w:t>
            </w:r>
          </w:p>
        </w:tc>
      </w:tr>
      <w:tr w:rsidR="00C211E5" w:rsidRPr="00336942" w:rsidTr="00992406">
        <w:trPr>
          <w:cnfStyle w:val="000000100000"/>
          <w:trHeight w:val="545"/>
        </w:trPr>
        <w:tc>
          <w:tcPr>
            <w:cnfStyle w:val="000010000000"/>
            <w:tcW w:w="2802" w:type="dxa"/>
            <w:vAlign w:val="center"/>
          </w:tcPr>
          <w:p w:rsidR="00C211E5" w:rsidRPr="00336942" w:rsidRDefault="00796C2B" w:rsidP="00336942">
            <w:pPr>
              <w:snapToGrid w:val="0"/>
              <w:jc w:val="both"/>
              <w:rPr>
                <w:sz w:val="24"/>
                <w:szCs w:val="24"/>
              </w:rPr>
            </w:pPr>
            <w:r w:rsidRPr="00336942">
              <w:rPr>
                <w:sz w:val="24"/>
                <w:szCs w:val="24"/>
              </w:rPr>
              <w:t>Akmeņu iela 3, Ventspils</w:t>
            </w:r>
          </w:p>
          <w:p w:rsidR="00796C2B" w:rsidRPr="00336942" w:rsidRDefault="00796C2B" w:rsidP="00336942">
            <w:pPr>
              <w:snapToGrid w:val="0"/>
              <w:jc w:val="both"/>
              <w:rPr>
                <w:sz w:val="24"/>
                <w:szCs w:val="24"/>
              </w:rPr>
            </w:pPr>
            <w:r w:rsidRPr="00336942">
              <w:rPr>
                <w:sz w:val="24"/>
                <w:szCs w:val="24"/>
              </w:rPr>
              <w:t>Datorklase</w:t>
            </w:r>
          </w:p>
        </w:tc>
        <w:tc>
          <w:tcPr>
            <w:tcW w:w="2126" w:type="dxa"/>
            <w:vAlign w:val="center"/>
          </w:tcPr>
          <w:p w:rsidR="00C211E5" w:rsidRPr="00336942" w:rsidRDefault="00796C2B" w:rsidP="00336942">
            <w:pPr>
              <w:snapToGrid w:val="0"/>
              <w:jc w:val="both"/>
              <w:cnfStyle w:val="000000100000"/>
              <w:rPr>
                <w:sz w:val="24"/>
                <w:szCs w:val="24"/>
              </w:rPr>
            </w:pPr>
            <w:r w:rsidRPr="00336942">
              <w:rPr>
                <w:sz w:val="24"/>
                <w:szCs w:val="24"/>
              </w:rPr>
              <w:t xml:space="preserve">Mācību procesa nodrošināšana </w:t>
            </w:r>
          </w:p>
        </w:tc>
        <w:tc>
          <w:tcPr>
            <w:cnfStyle w:val="000010000000"/>
            <w:tcW w:w="1701" w:type="dxa"/>
            <w:vAlign w:val="center"/>
          </w:tcPr>
          <w:p w:rsidR="00C211E5" w:rsidRPr="00336942" w:rsidRDefault="00992406" w:rsidP="00336942">
            <w:pPr>
              <w:snapToGrid w:val="0"/>
              <w:jc w:val="center"/>
              <w:rPr>
                <w:sz w:val="24"/>
                <w:szCs w:val="24"/>
              </w:rPr>
            </w:pPr>
            <w:r w:rsidRPr="00336942">
              <w:rPr>
                <w:sz w:val="24"/>
                <w:szCs w:val="24"/>
              </w:rPr>
              <w:t>I</w:t>
            </w:r>
            <w:r w:rsidR="00796C2B" w:rsidRPr="00336942">
              <w:rPr>
                <w:sz w:val="24"/>
                <w:szCs w:val="24"/>
              </w:rPr>
              <w:t xml:space="preserve">zmantota </w:t>
            </w:r>
            <w:r w:rsidRPr="00336942">
              <w:rPr>
                <w:sz w:val="24"/>
                <w:szCs w:val="24"/>
              </w:rPr>
              <w:t xml:space="preserve">vienu reizi </w:t>
            </w:r>
            <w:r w:rsidR="00796C2B" w:rsidRPr="00336942">
              <w:rPr>
                <w:sz w:val="24"/>
                <w:szCs w:val="24"/>
              </w:rPr>
              <w:t>nedēļā</w:t>
            </w:r>
          </w:p>
        </w:tc>
        <w:tc>
          <w:tcPr>
            <w:tcW w:w="2551" w:type="dxa"/>
            <w:vAlign w:val="center"/>
          </w:tcPr>
          <w:p w:rsidR="00C211E5" w:rsidRPr="00336942" w:rsidRDefault="00796C2B" w:rsidP="00336942">
            <w:pPr>
              <w:snapToGrid w:val="0"/>
              <w:jc w:val="both"/>
              <w:cnfStyle w:val="000000100000"/>
              <w:rPr>
                <w:sz w:val="24"/>
                <w:szCs w:val="24"/>
              </w:rPr>
            </w:pPr>
            <w:r w:rsidRPr="00336942">
              <w:rPr>
                <w:sz w:val="24"/>
                <w:szCs w:val="24"/>
              </w:rPr>
              <w:t>Ventspils pilsētas pašvaldības iestāde „Ventspils Digitālais centrs”</w:t>
            </w:r>
          </w:p>
        </w:tc>
      </w:tr>
      <w:tr w:rsidR="00796C2B" w:rsidRPr="00336942" w:rsidTr="00992406">
        <w:trPr>
          <w:trHeight w:val="545"/>
        </w:trPr>
        <w:tc>
          <w:tcPr>
            <w:cnfStyle w:val="000010000000"/>
            <w:tcW w:w="2802" w:type="dxa"/>
            <w:vAlign w:val="center"/>
          </w:tcPr>
          <w:p w:rsidR="00796C2B" w:rsidRPr="00336942" w:rsidRDefault="00796C2B" w:rsidP="00992406">
            <w:pPr>
              <w:snapToGrid w:val="0"/>
              <w:rPr>
                <w:sz w:val="24"/>
                <w:szCs w:val="24"/>
              </w:rPr>
            </w:pPr>
            <w:r w:rsidRPr="00336942">
              <w:rPr>
                <w:sz w:val="24"/>
                <w:szCs w:val="24"/>
              </w:rPr>
              <w:t>Andreja iela 7/9, Ventspils</w:t>
            </w:r>
          </w:p>
        </w:tc>
        <w:tc>
          <w:tcPr>
            <w:tcW w:w="2126" w:type="dxa"/>
            <w:vAlign w:val="center"/>
          </w:tcPr>
          <w:p w:rsidR="00796C2B" w:rsidRPr="00336942" w:rsidRDefault="00796C2B" w:rsidP="00336942">
            <w:pPr>
              <w:snapToGrid w:val="0"/>
              <w:jc w:val="both"/>
              <w:cnfStyle w:val="000000000000"/>
              <w:rPr>
                <w:sz w:val="24"/>
                <w:szCs w:val="24"/>
              </w:rPr>
            </w:pPr>
            <w:r w:rsidRPr="00336942">
              <w:rPr>
                <w:sz w:val="24"/>
                <w:szCs w:val="24"/>
              </w:rPr>
              <w:t>Noliktava</w:t>
            </w:r>
          </w:p>
        </w:tc>
        <w:tc>
          <w:tcPr>
            <w:cnfStyle w:val="000010000000"/>
            <w:tcW w:w="1701" w:type="dxa"/>
            <w:vAlign w:val="center"/>
          </w:tcPr>
          <w:p w:rsidR="00796C2B" w:rsidRPr="00336942" w:rsidRDefault="00796C2B" w:rsidP="00336942">
            <w:pPr>
              <w:snapToGrid w:val="0"/>
              <w:jc w:val="center"/>
              <w:rPr>
                <w:sz w:val="24"/>
                <w:szCs w:val="24"/>
              </w:rPr>
            </w:pPr>
            <w:r w:rsidRPr="00336942">
              <w:rPr>
                <w:sz w:val="24"/>
                <w:szCs w:val="24"/>
              </w:rPr>
              <w:t>89,0</w:t>
            </w:r>
          </w:p>
        </w:tc>
        <w:tc>
          <w:tcPr>
            <w:tcW w:w="2551" w:type="dxa"/>
            <w:vAlign w:val="center"/>
          </w:tcPr>
          <w:p w:rsidR="00796C2B" w:rsidRPr="00336942" w:rsidRDefault="00796C2B" w:rsidP="00336942">
            <w:pPr>
              <w:snapToGrid w:val="0"/>
              <w:jc w:val="both"/>
              <w:cnfStyle w:val="000000000000"/>
              <w:rPr>
                <w:sz w:val="24"/>
                <w:szCs w:val="24"/>
              </w:rPr>
            </w:pPr>
            <w:r w:rsidRPr="00336942">
              <w:rPr>
                <w:sz w:val="24"/>
                <w:szCs w:val="24"/>
              </w:rPr>
              <w:t>PSIA „Vent</w:t>
            </w:r>
            <w:r w:rsidR="00723ED6" w:rsidRPr="00336942">
              <w:rPr>
                <w:sz w:val="24"/>
                <w:szCs w:val="24"/>
              </w:rPr>
              <w:t>s</w:t>
            </w:r>
            <w:r w:rsidRPr="00336942">
              <w:rPr>
                <w:sz w:val="24"/>
                <w:szCs w:val="24"/>
              </w:rPr>
              <w:t>pils nekustamie īpašumi”</w:t>
            </w:r>
          </w:p>
        </w:tc>
      </w:tr>
      <w:tr w:rsidR="00B14FF7" w:rsidRPr="00336942" w:rsidTr="00992406">
        <w:trPr>
          <w:cnfStyle w:val="000000100000"/>
          <w:trHeight w:val="279"/>
        </w:trPr>
        <w:tc>
          <w:tcPr>
            <w:cnfStyle w:val="000010000000"/>
            <w:tcW w:w="9180" w:type="dxa"/>
            <w:gridSpan w:val="4"/>
            <w:vAlign w:val="center"/>
          </w:tcPr>
          <w:p w:rsidR="00B14FF7" w:rsidRPr="00336942" w:rsidRDefault="00992406" w:rsidP="00992406">
            <w:pPr>
              <w:snapToGrid w:val="0"/>
              <w:rPr>
                <w:b/>
                <w:sz w:val="24"/>
                <w:szCs w:val="24"/>
              </w:rPr>
            </w:pPr>
            <w:r w:rsidRPr="00336942">
              <w:rPr>
                <w:b/>
                <w:sz w:val="24"/>
                <w:szCs w:val="24"/>
              </w:rPr>
              <w:t xml:space="preserve">Vidusskolas </w:t>
            </w:r>
            <w:r w:rsidR="00AD70AF" w:rsidRPr="00336942">
              <w:rPr>
                <w:b/>
                <w:sz w:val="24"/>
                <w:szCs w:val="24"/>
              </w:rPr>
              <w:t>dienesta viesnīca:</w:t>
            </w:r>
          </w:p>
        </w:tc>
      </w:tr>
      <w:tr w:rsidR="00B14FF7" w:rsidRPr="00336942" w:rsidTr="00992406">
        <w:trPr>
          <w:trHeight w:val="585"/>
        </w:trPr>
        <w:tc>
          <w:tcPr>
            <w:cnfStyle w:val="000010000000"/>
            <w:tcW w:w="2802" w:type="dxa"/>
            <w:vAlign w:val="center"/>
          </w:tcPr>
          <w:p w:rsidR="00B14FF7" w:rsidRPr="00336942" w:rsidRDefault="00B14FF7" w:rsidP="00336942">
            <w:pPr>
              <w:jc w:val="both"/>
              <w:rPr>
                <w:sz w:val="24"/>
                <w:szCs w:val="24"/>
              </w:rPr>
            </w:pPr>
            <w:r w:rsidRPr="00336942">
              <w:rPr>
                <w:sz w:val="24"/>
                <w:szCs w:val="24"/>
              </w:rPr>
              <w:t>Zvana iela 3, Ventspils</w:t>
            </w:r>
          </w:p>
        </w:tc>
        <w:tc>
          <w:tcPr>
            <w:tcW w:w="2126" w:type="dxa"/>
            <w:vAlign w:val="center"/>
          </w:tcPr>
          <w:p w:rsidR="00B14FF7" w:rsidRPr="00336942" w:rsidRDefault="00B14FF7" w:rsidP="00336942">
            <w:pPr>
              <w:snapToGrid w:val="0"/>
              <w:jc w:val="both"/>
              <w:cnfStyle w:val="000000000000"/>
              <w:rPr>
                <w:sz w:val="24"/>
                <w:szCs w:val="24"/>
              </w:rPr>
            </w:pPr>
            <w:r w:rsidRPr="00336942">
              <w:rPr>
                <w:sz w:val="24"/>
                <w:szCs w:val="24"/>
              </w:rPr>
              <w:t>Dienesta viesnīca ar 35 vietām</w:t>
            </w:r>
          </w:p>
        </w:tc>
        <w:tc>
          <w:tcPr>
            <w:cnfStyle w:val="000010000000"/>
            <w:tcW w:w="1701" w:type="dxa"/>
            <w:vAlign w:val="center"/>
          </w:tcPr>
          <w:p w:rsidR="00B14FF7" w:rsidRPr="00336942" w:rsidRDefault="00B14FF7" w:rsidP="00336942">
            <w:pPr>
              <w:snapToGrid w:val="0"/>
              <w:jc w:val="center"/>
              <w:rPr>
                <w:sz w:val="24"/>
                <w:szCs w:val="24"/>
              </w:rPr>
            </w:pPr>
            <w:r w:rsidRPr="00336942">
              <w:rPr>
                <w:sz w:val="24"/>
                <w:szCs w:val="24"/>
              </w:rPr>
              <w:t>416,3</w:t>
            </w:r>
          </w:p>
        </w:tc>
        <w:tc>
          <w:tcPr>
            <w:tcW w:w="2551" w:type="dxa"/>
            <w:vAlign w:val="center"/>
          </w:tcPr>
          <w:p w:rsidR="00B14FF7" w:rsidRPr="00336942" w:rsidRDefault="00992406" w:rsidP="00336942">
            <w:pPr>
              <w:snapToGrid w:val="0"/>
              <w:jc w:val="both"/>
              <w:cnfStyle w:val="000000000000"/>
              <w:rPr>
                <w:sz w:val="24"/>
                <w:szCs w:val="24"/>
              </w:rPr>
            </w:pPr>
            <w:r w:rsidRPr="00336942">
              <w:rPr>
                <w:sz w:val="24"/>
                <w:szCs w:val="24"/>
              </w:rPr>
              <w:t>VAS „</w:t>
            </w:r>
            <w:r w:rsidR="00B14FF7" w:rsidRPr="00336942">
              <w:rPr>
                <w:sz w:val="24"/>
                <w:szCs w:val="24"/>
              </w:rPr>
              <w:t>Valsts nekustamais īpašums</w:t>
            </w:r>
            <w:r w:rsidRPr="00336942">
              <w:rPr>
                <w:sz w:val="24"/>
                <w:szCs w:val="24"/>
              </w:rPr>
              <w:t>”</w:t>
            </w:r>
          </w:p>
        </w:tc>
      </w:tr>
    </w:tbl>
    <w:p w:rsidR="00B25773" w:rsidRPr="00714735" w:rsidRDefault="00B25773" w:rsidP="00AE31D6">
      <w:pPr>
        <w:pStyle w:val="parastais0"/>
        <w:spacing w:before="0" w:beforeAutospacing="0" w:after="0" w:afterAutospacing="0"/>
        <w:ind w:firstLine="720"/>
        <w:jc w:val="both"/>
      </w:pPr>
    </w:p>
    <w:p w:rsidR="005B78E4" w:rsidRDefault="00DB5069">
      <w:pPr>
        <w:pStyle w:val="parastais0"/>
        <w:spacing w:before="0" w:beforeAutospacing="0" w:after="0" w:afterAutospacing="0"/>
        <w:ind w:firstLine="720"/>
        <w:jc w:val="both"/>
      </w:pPr>
      <w:r w:rsidRPr="00714735">
        <w:rPr>
          <w:b/>
        </w:rPr>
        <w:t>V</w:t>
      </w:r>
      <w:r>
        <w:rPr>
          <w:b/>
        </w:rPr>
        <w:t>idusskolas</w:t>
      </w:r>
      <w:r w:rsidR="00992406" w:rsidRPr="00714735">
        <w:rPr>
          <w:b/>
        </w:rPr>
        <w:t xml:space="preserve"> </w:t>
      </w:r>
      <w:r w:rsidR="0040539D" w:rsidRPr="00714735">
        <w:rPr>
          <w:b/>
        </w:rPr>
        <w:t>izvietošana</w:t>
      </w:r>
      <w:r w:rsidR="00357828" w:rsidRPr="00714735">
        <w:rPr>
          <w:b/>
        </w:rPr>
        <w:t xml:space="preserve"> pagaidu </w:t>
      </w:r>
      <w:r>
        <w:rPr>
          <w:b/>
        </w:rPr>
        <w:t>telpās</w:t>
      </w:r>
      <w:r w:rsidRPr="00714735">
        <w:rPr>
          <w:b/>
        </w:rPr>
        <w:t xml:space="preserve"> </w:t>
      </w:r>
      <w:r w:rsidR="00F34750" w:rsidRPr="00714735">
        <w:rPr>
          <w:b/>
        </w:rPr>
        <w:t xml:space="preserve">nodrošināta kā </w:t>
      </w:r>
      <w:r w:rsidR="0040539D" w:rsidRPr="00714735">
        <w:rPr>
          <w:b/>
        </w:rPr>
        <w:t>pagaidu risinājums</w:t>
      </w:r>
      <w:r w:rsidR="00693B7E" w:rsidRPr="00714735">
        <w:rPr>
          <w:b/>
        </w:rPr>
        <w:t xml:space="preserve"> līdz 2018.gada</w:t>
      </w:r>
      <w:r w:rsidR="00723ED6">
        <w:rPr>
          <w:b/>
        </w:rPr>
        <w:t xml:space="preserve"> 1.septembrim</w:t>
      </w:r>
      <w:r w:rsidR="0040539D" w:rsidRPr="00714735">
        <w:t>, jo</w:t>
      </w:r>
      <w:r w:rsidR="005B78E4" w:rsidRPr="00714735">
        <w:t>:</w:t>
      </w:r>
    </w:p>
    <w:p w:rsidR="005B78E4" w:rsidRPr="00714735" w:rsidRDefault="005B78E4">
      <w:pPr>
        <w:pStyle w:val="parastais0"/>
        <w:spacing w:before="0" w:beforeAutospacing="0" w:after="0" w:afterAutospacing="0"/>
        <w:ind w:firstLine="720"/>
        <w:jc w:val="both"/>
      </w:pPr>
      <w:r w:rsidRPr="00714735">
        <w:t xml:space="preserve">1) pagaidu telpas </w:t>
      </w:r>
      <w:r w:rsidR="0040539D" w:rsidRPr="00714735">
        <w:t xml:space="preserve">nenodrošina pilnvērtīgu un mūsdienu kvalitātes prasībām atbilstošu mācību procesu, kuru plānošanā būtu ievērota </w:t>
      </w:r>
      <w:r w:rsidR="006045D3">
        <w:t>vidus</w:t>
      </w:r>
      <w:r w:rsidR="0040539D" w:rsidRPr="00714735">
        <w:t xml:space="preserve">skolas darbības specifika, sākot ar normatīvo aktu prasībām un standartiem atbilstošu telpu tehnisko un funkcionālo projektēšanu, telpu skaņas izolācijas un akustikas prasībām un beidzot ar muzikālo kolektīvu mēģinājumu un mācību orķestru, solistu </w:t>
      </w:r>
      <w:r w:rsidR="00DB5069">
        <w:t>–</w:t>
      </w:r>
      <w:r w:rsidR="0040539D" w:rsidRPr="00714735">
        <w:t xml:space="preserve"> izpildītāju koncertu prakses organizēšanas, pianīnu un flīģeļu izvietošanas u.</w:t>
      </w:r>
      <w:r w:rsidRPr="00714735">
        <w:t>c. specifisku prasību plānošanu;</w:t>
      </w:r>
    </w:p>
    <w:p w:rsidR="0040539D" w:rsidRPr="00714735" w:rsidRDefault="005B78E4">
      <w:pPr>
        <w:pStyle w:val="parastais0"/>
        <w:spacing w:before="0" w:beforeAutospacing="0" w:after="0" w:afterAutospacing="0"/>
        <w:ind w:firstLine="720"/>
        <w:jc w:val="both"/>
      </w:pPr>
      <w:r w:rsidRPr="00714735">
        <w:t>2) </w:t>
      </w:r>
      <w:r w:rsidR="0040539D" w:rsidRPr="00714735">
        <w:t xml:space="preserve"> pagaidu risinājuma gadījumā nav iespējams nodrošināt netraucētu mācību procesu ne </w:t>
      </w:r>
      <w:r w:rsidR="00DB5069">
        <w:t>vidusskolas</w:t>
      </w:r>
      <w:r w:rsidR="00DB5069" w:rsidRPr="00714735">
        <w:t xml:space="preserve"> </w:t>
      </w:r>
      <w:r w:rsidR="0040539D" w:rsidRPr="00714735">
        <w:t xml:space="preserve">audzēkņiem, ne </w:t>
      </w:r>
      <w:r w:rsidR="00DB5069">
        <w:t xml:space="preserve">attiecīgajai </w:t>
      </w:r>
      <w:r w:rsidR="0040539D" w:rsidRPr="00714735">
        <w:t>ie</w:t>
      </w:r>
      <w:r w:rsidRPr="00714735">
        <w:t xml:space="preserve">stādei, kurā </w:t>
      </w:r>
      <w:r w:rsidR="00DB5069">
        <w:t>vidusskola</w:t>
      </w:r>
      <w:r w:rsidR="00DB5069" w:rsidRPr="00714735">
        <w:t xml:space="preserve"> </w:t>
      </w:r>
      <w:r w:rsidRPr="00714735">
        <w:t xml:space="preserve">izvietota; </w:t>
      </w:r>
    </w:p>
    <w:p w:rsidR="005B78E4" w:rsidRPr="00714735" w:rsidRDefault="005B78E4">
      <w:pPr>
        <w:pStyle w:val="parastais0"/>
        <w:spacing w:before="0" w:beforeAutospacing="0" w:after="0" w:afterAutospacing="0"/>
        <w:ind w:firstLine="720"/>
        <w:jc w:val="both"/>
      </w:pPr>
      <w:r w:rsidRPr="00714735">
        <w:t>3) finansējums nomas maksas un komunālo maksājumu segšanai pagaidu t</w:t>
      </w:r>
      <w:r w:rsidR="006041FD" w:rsidRPr="00714735">
        <w:t>elpās piešķirts līdz 2018.gada</w:t>
      </w:r>
      <w:r w:rsidR="00723ED6">
        <w:t xml:space="preserve"> 1.septembrim</w:t>
      </w:r>
      <w:r w:rsidR="006041FD" w:rsidRPr="00714735">
        <w:t>.</w:t>
      </w:r>
    </w:p>
    <w:p w:rsidR="005B78E4" w:rsidRPr="00714735" w:rsidRDefault="005B78E4">
      <w:pPr>
        <w:pStyle w:val="parastais0"/>
        <w:spacing w:before="0" w:beforeAutospacing="0" w:after="0" w:afterAutospacing="0"/>
        <w:ind w:firstLine="720"/>
        <w:jc w:val="both"/>
      </w:pPr>
    </w:p>
    <w:p w:rsidR="006E7A83" w:rsidRPr="00301506" w:rsidRDefault="003D1BBA">
      <w:pPr>
        <w:ind w:firstLine="720"/>
        <w:jc w:val="both"/>
        <w:rPr>
          <w:b/>
        </w:rPr>
      </w:pPr>
      <w:r w:rsidRPr="00714735">
        <w:rPr>
          <w:b/>
        </w:rPr>
        <w:t xml:space="preserve">Lai </w:t>
      </w:r>
      <w:r w:rsidR="00DB5069">
        <w:rPr>
          <w:b/>
        </w:rPr>
        <w:t>vidusskola</w:t>
      </w:r>
      <w:r w:rsidR="00DB5069" w:rsidRPr="00714735">
        <w:rPr>
          <w:b/>
        </w:rPr>
        <w:t xml:space="preserve"> </w:t>
      </w:r>
      <w:r w:rsidRPr="00714735">
        <w:rPr>
          <w:b/>
        </w:rPr>
        <w:t xml:space="preserve">arī turpmāk varētu sniegt kvalitatīvus un pieprasījumam atbilstošus kultūrizglītības pakalpojumus un īstenot plānoto attīstību, izglītības iestādei ir nepieciešama kvalitatīva un mūsdienīga infrastruktūra. </w:t>
      </w:r>
      <w:r w:rsidR="006E7A83" w:rsidRPr="0059041E">
        <w:t xml:space="preserve">Šobrīd </w:t>
      </w:r>
      <w:r w:rsidR="00DB5069">
        <w:t>vidusskolas</w:t>
      </w:r>
      <w:r w:rsidR="00DB5069" w:rsidRPr="0059041E">
        <w:t xml:space="preserve"> </w:t>
      </w:r>
      <w:r w:rsidR="006E7A83" w:rsidRPr="0059041E">
        <w:t>telpu jautājuma risināšanai izlietoti</w:t>
      </w:r>
      <w:r w:rsidR="00DB5069">
        <w:t>e</w:t>
      </w:r>
      <w:r w:rsidR="006E7A83" w:rsidRPr="0059041E">
        <w:t xml:space="preserve"> valsts budžeta līdzekļi mācību procesa nodrošināšan</w:t>
      </w:r>
      <w:r w:rsidR="00301506">
        <w:t xml:space="preserve">ai pagaidu telpās </w:t>
      </w:r>
      <w:r w:rsidR="00DB5069" w:rsidRPr="0059041E">
        <w:t>ir</w:t>
      </w:r>
      <w:r w:rsidR="00DB5069">
        <w:t xml:space="preserve"> </w:t>
      </w:r>
      <w:r w:rsidR="00301506">
        <w:t xml:space="preserve">1 164 248 </w:t>
      </w:r>
      <w:r w:rsidR="00DB5069" w:rsidRPr="00DB5069">
        <w:rPr>
          <w:i/>
        </w:rPr>
        <w:t>euro</w:t>
      </w:r>
      <w:r w:rsidR="00301506">
        <w:t xml:space="preserve">. </w:t>
      </w:r>
    </w:p>
    <w:p w:rsidR="00FD1EB7" w:rsidRPr="00714735" w:rsidRDefault="00FD1EB7">
      <w:pPr>
        <w:ind w:firstLine="720"/>
        <w:jc w:val="both"/>
        <w:rPr>
          <w:b/>
          <w:highlight w:val="yellow"/>
        </w:rPr>
      </w:pPr>
    </w:p>
    <w:p w:rsidR="00FD1EB7" w:rsidRDefault="00E00945">
      <w:pPr>
        <w:ind w:firstLine="720"/>
        <w:jc w:val="both"/>
        <w:rPr>
          <w:b/>
        </w:rPr>
      </w:pPr>
      <w:r w:rsidRPr="00104870">
        <w:rPr>
          <w:b/>
        </w:rPr>
        <w:t xml:space="preserve">Ministru kabinets pieņēmis </w:t>
      </w:r>
      <w:r w:rsidR="008A17A6">
        <w:rPr>
          <w:b/>
        </w:rPr>
        <w:t>šādus</w:t>
      </w:r>
      <w:r w:rsidR="008A17A6" w:rsidRPr="00104870">
        <w:rPr>
          <w:b/>
        </w:rPr>
        <w:t xml:space="preserve"> </w:t>
      </w:r>
      <w:r w:rsidRPr="00104870">
        <w:rPr>
          <w:b/>
        </w:rPr>
        <w:t>lēmumus</w:t>
      </w:r>
      <w:r w:rsidR="00884F96">
        <w:rPr>
          <w:b/>
        </w:rPr>
        <w:t xml:space="preserve"> </w:t>
      </w:r>
      <w:r w:rsidRPr="00104870">
        <w:rPr>
          <w:b/>
        </w:rPr>
        <w:t xml:space="preserve">attiecībā uz </w:t>
      </w:r>
      <w:r w:rsidR="00DB5069">
        <w:rPr>
          <w:b/>
        </w:rPr>
        <w:t>vidusskolas</w:t>
      </w:r>
      <w:r w:rsidR="00DB5069" w:rsidRPr="00104870">
        <w:rPr>
          <w:b/>
        </w:rPr>
        <w:t xml:space="preserve"> </w:t>
      </w:r>
      <w:r w:rsidRPr="00104870">
        <w:rPr>
          <w:b/>
        </w:rPr>
        <w:t xml:space="preserve">tālāko attīstību: </w:t>
      </w:r>
    </w:p>
    <w:p w:rsidR="00336942" w:rsidRPr="00104870" w:rsidRDefault="00336942">
      <w:pPr>
        <w:ind w:firstLine="720"/>
        <w:jc w:val="both"/>
        <w:rPr>
          <w:b/>
        </w:rPr>
      </w:pPr>
    </w:p>
    <w:tbl>
      <w:tblPr>
        <w:tblStyle w:val="Reatabula"/>
        <w:tblW w:w="0" w:type="auto"/>
        <w:tblLook w:val="04A0"/>
      </w:tblPr>
      <w:tblGrid>
        <w:gridCol w:w="2533"/>
        <w:gridCol w:w="6754"/>
      </w:tblGrid>
      <w:tr w:rsidR="005E67E4" w:rsidRPr="00336942" w:rsidTr="006B68C5">
        <w:trPr>
          <w:tblHeader/>
        </w:trPr>
        <w:tc>
          <w:tcPr>
            <w:tcW w:w="2533" w:type="dxa"/>
            <w:shd w:val="clear" w:color="auto" w:fill="0099CC"/>
            <w:vAlign w:val="center"/>
          </w:tcPr>
          <w:p w:rsidR="005E67E4" w:rsidRPr="00336942" w:rsidRDefault="00F255B6" w:rsidP="00D72CAB">
            <w:pPr>
              <w:rPr>
                <w:b/>
                <w:sz w:val="24"/>
                <w:szCs w:val="24"/>
              </w:rPr>
            </w:pPr>
            <w:r w:rsidRPr="00336942">
              <w:rPr>
                <w:b/>
                <w:sz w:val="24"/>
                <w:szCs w:val="24"/>
              </w:rPr>
              <w:t>Ministru kabineta sēdes datums, protokols</w:t>
            </w:r>
          </w:p>
        </w:tc>
        <w:tc>
          <w:tcPr>
            <w:tcW w:w="6754" w:type="dxa"/>
            <w:shd w:val="clear" w:color="auto" w:fill="0099CC"/>
            <w:vAlign w:val="center"/>
          </w:tcPr>
          <w:p w:rsidR="005E67E4" w:rsidRPr="00336942" w:rsidRDefault="00F255B6" w:rsidP="00D72CAB">
            <w:pPr>
              <w:rPr>
                <w:b/>
                <w:sz w:val="24"/>
                <w:szCs w:val="24"/>
              </w:rPr>
            </w:pPr>
            <w:r w:rsidRPr="00336942">
              <w:rPr>
                <w:b/>
                <w:sz w:val="24"/>
                <w:szCs w:val="24"/>
              </w:rPr>
              <w:t>Pieņemtais lēmums</w:t>
            </w:r>
          </w:p>
        </w:tc>
      </w:tr>
      <w:tr w:rsidR="005E67E4" w:rsidRPr="00336942" w:rsidTr="00B06C30">
        <w:tc>
          <w:tcPr>
            <w:tcW w:w="2533" w:type="dxa"/>
          </w:tcPr>
          <w:p w:rsidR="00E813F6" w:rsidRPr="00336942" w:rsidRDefault="0036318D" w:rsidP="00AE31D6">
            <w:pPr>
              <w:jc w:val="both"/>
              <w:rPr>
                <w:b/>
                <w:sz w:val="24"/>
                <w:szCs w:val="24"/>
              </w:rPr>
            </w:pPr>
            <w:r w:rsidRPr="00336942">
              <w:rPr>
                <w:b/>
                <w:sz w:val="24"/>
                <w:szCs w:val="24"/>
              </w:rPr>
              <w:t>2014.</w:t>
            </w:r>
            <w:r w:rsidR="00D72CAB" w:rsidRPr="00336942">
              <w:rPr>
                <w:b/>
                <w:sz w:val="24"/>
                <w:szCs w:val="24"/>
              </w:rPr>
              <w:t xml:space="preserve">gada 11.februāris </w:t>
            </w:r>
          </w:p>
          <w:p w:rsidR="005E67E4" w:rsidRPr="00336942" w:rsidRDefault="0036318D" w:rsidP="00AE31D6">
            <w:pPr>
              <w:jc w:val="both"/>
              <w:rPr>
                <w:b/>
                <w:sz w:val="24"/>
                <w:szCs w:val="24"/>
              </w:rPr>
            </w:pPr>
            <w:r w:rsidRPr="00336942">
              <w:rPr>
                <w:b/>
                <w:sz w:val="24"/>
                <w:szCs w:val="24"/>
              </w:rPr>
              <w:lastRenderedPageBreak/>
              <w:t>(prot.</w:t>
            </w:r>
            <w:r w:rsidR="00E813F6" w:rsidRPr="00336942">
              <w:rPr>
                <w:b/>
                <w:sz w:val="24"/>
                <w:szCs w:val="24"/>
              </w:rPr>
              <w:t xml:space="preserve"> </w:t>
            </w:r>
            <w:r w:rsidRPr="00336942">
              <w:rPr>
                <w:b/>
                <w:sz w:val="24"/>
                <w:szCs w:val="24"/>
              </w:rPr>
              <w:t xml:space="preserve">Nr.8 </w:t>
            </w:r>
            <w:r w:rsidR="00AF719D" w:rsidRPr="00336942">
              <w:rPr>
                <w:b/>
                <w:sz w:val="24"/>
                <w:szCs w:val="24"/>
              </w:rPr>
              <w:t>29</w:t>
            </w:r>
            <w:r w:rsidRPr="00336942">
              <w:rPr>
                <w:b/>
                <w:sz w:val="24"/>
                <w:szCs w:val="24"/>
              </w:rPr>
              <w:t>.§)</w:t>
            </w:r>
          </w:p>
        </w:tc>
        <w:tc>
          <w:tcPr>
            <w:tcW w:w="6754" w:type="dxa"/>
          </w:tcPr>
          <w:p w:rsidR="00D72CAB" w:rsidRPr="00336942" w:rsidRDefault="00D72CAB">
            <w:pPr>
              <w:rPr>
                <w:sz w:val="24"/>
                <w:szCs w:val="24"/>
              </w:rPr>
            </w:pPr>
            <w:r w:rsidRPr="00336942">
              <w:rPr>
                <w:sz w:val="24"/>
                <w:szCs w:val="24"/>
              </w:rPr>
              <w:lastRenderedPageBreak/>
              <w:t>(..)</w:t>
            </w:r>
          </w:p>
          <w:tbl>
            <w:tblPr>
              <w:tblW w:w="5000" w:type="pct"/>
              <w:tblCellSpacing w:w="0" w:type="dxa"/>
              <w:tblCellMar>
                <w:left w:w="0" w:type="dxa"/>
                <w:right w:w="0" w:type="dxa"/>
              </w:tblCellMar>
              <w:tblLook w:val="04A0"/>
            </w:tblPr>
            <w:tblGrid>
              <w:gridCol w:w="6538"/>
            </w:tblGrid>
            <w:tr w:rsidR="00AF719D" w:rsidRPr="00336942" w:rsidTr="00AF719D">
              <w:trPr>
                <w:tblCellSpacing w:w="0" w:type="dxa"/>
              </w:trPr>
              <w:tc>
                <w:tcPr>
                  <w:tcW w:w="0" w:type="auto"/>
                  <w:tcMar>
                    <w:top w:w="0" w:type="dxa"/>
                    <w:left w:w="150" w:type="dxa"/>
                    <w:bottom w:w="0" w:type="dxa"/>
                    <w:right w:w="0" w:type="dxa"/>
                  </w:tcMar>
                  <w:hideMark/>
                </w:tcPr>
                <w:p w:rsidR="008E3744" w:rsidRPr="00336942" w:rsidRDefault="00AD70AF" w:rsidP="008E3744">
                  <w:pPr>
                    <w:ind w:left="-116"/>
                    <w:jc w:val="both"/>
                  </w:pPr>
                  <w:r w:rsidRPr="00336942">
                    <w:t xml:space="preserve">3. Izglītības un zinātnes ministrijai pēc profesionālās izglītības </w:t>
                  </w:r>
                  <w:r w:rsidRPr="00336942">
                    <w:lastRenderedPageBreak/>
                    <w:t>iestāžu priekšatlases kritēriju un projektu iesniegumu vērtēšanas kritēriju saskaņošanas Eiropas Savienības fondu uzraudzības komitejā vai pagaidu uzraudzības komitejā iesniegt Ministru kabinetā līdz 2014.gada 1.jūlijam noteikumu projektu par 8.1.3</w:t>
                  </w:r>
                  <w:r w:rsidR="008E3744" w:rsidRPr="00336942">
                    <w:t>.</w:t>
                  </w:r>
                  <w:r w:rsidRPr="00336942">
                    <w:t xml:space="preserve"> </w:t>
                  </w:r>
                  <w:r w:rsidR="00FB6B07" w:rsidRPr="00336942">
                    <w:t xml:space="preserve">specifiskā atbalsta mērķa </w:t>
                  </w:r>
                  <w:r w:rsidR="00D72CAB" w:rsidRPr="00336942">
                    <w:t>„</w:t>
                  </w:r>
                  <w:r w:rsidR="008E3744" w:rsidRPr="00336942">
                    <w:t>Palielināt modernizēto profesionālās izglītības iestāžu skaitu</w:t>
                  </w:r>
                  <w:r w:rsidR="00D72CAB" w:rsidRPr="00336942">
                    <w:t>”</w:t>
                  </w:r>
                  <w:r w:rsidRPr="00336942">
                    <w:t xml:space="preserve"> </w:t>
                  </w:r>
                  <w:r w:rsidR="008E3744" w:rsidRPr="00336942">
                    <w:t xml:space="preserve">(turpmāk – SAM 8.1.3.) </w:t>
                  </w:r>
                  <w:r w:rsidRPr="00336942">
                    <w:t>pirmās projektu iesniegumu atlases kārtas ieviešanu.</w:t>
                  </w:r>
                </w:p>
                <w:p w:rsidR="00251966" w:rsidRPr="00336942" w:rsidRDefault="00AD70AF" w:rsidP="008E3744">
                  <w:pPr>
                    <w:ind w:left="-116"/>
                    <w:jc w:val="both"/>
                  </w:pPr>
                  <w:r w:rsidRPr="00336942">
                    <w:t>4. Pēc attiecīgo lēmumu pieņemšanas Izglītības un zinātnes ministrijai vai Kultūras ministrijai iesniegt Finanšu ministrijai priekšlikumu finansējuma pārdalei no valsts budžeta programmas 80.00.00 „Nesadalītais finansējums Eiropas Savienības politiku instrumentu un pārējās ārvalstu finanšu palīdzības līdzfinansēto projektu un pasākumu īstenošanai” normatīvajos aktos noteiktā kārtībā.</w:t>
                  </w:r>
                  <w:r w:rsidR="00D72CAB" w:rsidRPr="00336942">
                    <w:t xml:space="preserve"> </w:t>
                  </w:r>
                </w:p>
              </w:tc>
            </w:tr>
          </w:tbl>
          <w:p w:rsidR="005E67E4" w:rsidRPr="00336942" w:rsidRDefault="005E67E4" w:rsidP="00AE31D6">
            <w:pPr>
              <w:jc w:val="both"/>
              <w:rPr>
                <w:b/>
                <w:sz w:val="24"/>
                <w:szCs w:val="24"/>
              </w:rPr>
            </w:pPr>
          </w:p>
        </w:tc>
      </w:tr>
      <w:tr w:rsidR="005E67E4" w:rsidRPr="00336942" w:rsidTr="00B06C30">
        <w:tc>
          <w:tcPr>
            <w:tcW w:w="2533" w:type="dxa"/>
          </w:tcPr>
          <w:p w:rsidR="005E67E4" w:rsidRPr="00336942" w:rsidRDefault="0036318D" w:rsidP="00AE31D6">
            <w:pPr>
              <w:jc w:val="both"/>
              <w:rPr>
                <w:b/>
                <w:sz w:val="24"/>
                <w:szCs w:val="24"/>
              </w:rPr>
            </w:pPr>
            <w:r w:rsidRPr="00336942">
              <w:rPr>
                <w:b/>
                <w:sz w:val="24"/>
                <w:szCs w:val="24"/>
              </w:rPr>
              <w:lastRenderedPageBreak/>
              <w:t>2014.</w:t>
            </w:r>
            <w:r w:rsidR="00D72CAB" w:rsidRPr="00336942">
              <w:rPr>
                <w:b/>
                <w:sz w:val="24"/>
                <w:szCs w:val="24"/>
              </w:rPr>
              <w:t>gada 11.marts</w:t>
            </w:r>
            <w:r w:rsidRPr="00336942">
              <w:rPr>
                <w:b/>
                <w:sz w:val="24"/>
                <w:szCs w:val="24"/>
              </w:rPr>
              <w:t xml:space="preserve"> (prot.</w:t>
            </w:r>
            <w:r w:rsidR="00E813F6" w:rsidRPr="00336942">
              <w:rPr>
                <w:b/>
                <w:sz w:val="24"/>
                <w:szCs w:val="24"/>
              </w:rPr>
              <w:t xml:space="preserve"> </w:t>
            </w:r>
            <w:r w:rsidRPr="00336942">
              <w:rPr>
                <w:b/>
                <w:sz w:val="24"/>
                <w:szCs w:val="24"/>
              </w:rPr>
              <w:t>Nr.16 38.§)</w:t>
            </w:r>
          </w:p>
        </w:tc>
        <w:tc>
          <w:tcPr>
            <w:tcW w:w="6754" w:type="dxa"/>
          </w:tcPr>
          <w:p w:rsidR="00FE3580" w:rsidRPr="00336942" w:rsidRDefault="00FE3580">
            <w:pPr>
              <w:jc w:val="both"/>
              <w:rPr>
                <w:sz w:val="24"/>
                <w:szCs w:val="24"/>
              </w:rPr>
            </w:pPr>
            <w:r w:rsidRPr="00336942">
              <w:rPr>
                <w:sz w:val="24"/>
                <w:szCs w:val="24"/>
              </w:rPr>
              <w:t>(..)</w:t>
            </w:r>
          </w:p>
          <w:p w:rsidR="00D72CAB" w:rsidRPr="00336942" w:rsidRDefault="00115E8F">
            <w:pPr>
              <w:jc w:val="both"/>
              <w:rPr>
                <w:sz w:val="24"/>
                <w:szCs w:val="24"/>
              </w:rPr>
            </w:pPr>
            <w:r w:rsidRPr="00336942">
              <w:rPr>
                <w:sz w:val="24"/>
                <w:szCs w:val="24"/>
              </w:rPr>
              <w:t>3. Noteikt, ka darbības programmas „Cilvēkresursi un nodarbinātība” un darbības programmas „Infrastruktūra un pakalpojumi” Eiropas Reģionālās attīstības fonda aktivitāšu, apakšaktivitāšu ietvaros atbildīgā iestāde vai sadarbības iestāde pēc 2014.gada 31.maija:</w:t>
            </w:r>
          </w:p>
          <w:p w:rsidR="00D72CAB" w:rsidRPr="00336942" w:rsidRDefault="00115E8F">
            <w:pPr>
              <w:jc w:val="both"/>
              <w:rPr>
                <w:sz w:val="24"/>
                <w:szCs w:val="24"/>
              </w:rPr>
            </w:pPr>
            <w:r w:rsidRPr="00336942">
              <w:rPr>
                <w:sz w:val="24"/>
                <w:szCs w:val="24"/>
              </w:rPr>
              <w:t>3.1. neizsludina jaunas projektu iesniegumu atlases;</w:t>
            </w:r>
          </w:p>
          <w:p w:rsidR="00115E8F" w:rsidRPr="00336942" w:rsidRDefault="00115E8F">
            <w:pPr>
              <w:jc w:val="both"/>
              <w:rPr>
                <w:sz w:val="24"/>
                <w:szCs w:val="24"/>
              </w:rPr>
            </w:pPr>
            <w:r w:rsidRPr="00336942">
              <w:rPr>
                <w:sz w:val="24"/>
                <w:szCs w:val="24"/>
              </w:rPr>
              <w:t>3.2. finansējuma un virssaistību ietaupījumu vai atlikumu saskaņā ar informatīvā ziņojumā sniegto skaidrojumu atstāj neizmantotu, nepārdala citiem projektiem, kā arī tam pašam projektam citām, sākotnēji projektā neparedzētām darbībām.</w:t>
            </w:r>
          </w:p>
          <w:p w:rsidR="00E813F6" w:rsidRPr="00336942" w:rsidRDefault="00E813F6">
            <w:pPr>
              <w:jc w:val="both"/>
              <w:rPr>
                <w:sz w:val="24"/>
                <w:szCs w:val="24"/>
              </w:rPr>
            </w:pPr>
            <w:r w:rsidRPr="00336942">
              <w:rPr>
                <w:sz w:val="24"/>
                <w:szCs w:val="24"/>
              </w:rPr>
              <w:t>4. Šī protokollēmuma 3.punktā noteiktajiem ierobežojumiem var paredzēt izņēmumu par jaunas projektu iesniegumu atlases kārtas izsludināšanu vai projekta atlikuma (vai ietaupījuma) izmantošanu tā paša projekta ietvaros pēc 2014.gada 31.maija, ja pastāv kāds no zemāk minētajiem gadījumiem un par to ir pieņemts attiecīgs Ministru kabineta lēmums:</w:t>
            </w:r>
          </w:p>
          <w:p w:rsidR="00E813F6" w:rsidRPr="00336942" w:rsidRDefault="00E813F6">
            <w:pPr>
              <w:jc w:val="both"/>
              <w:rPr>
                <w:sz w:val="24"/>
                <w:szCs w:val="24"/>
              </w:rPr>
            </w:pPr>
            <w:r w:rsidRPr="00336942">
              <w:rPr>
                <w:sz w:val="24"/>
                <w:szCs w:val="24"/>
              </w:rPr>
              <w:t>4.1. pastāv augsts risks zaudēt Eiropas Savienības fondu finansējumu attiecīgajā fondā vai darbības programmā un nav citu efektīvāku un fiskālās disciplīnas principiem atbilstošu risinājumu risku mazināšanai, novēršanai;</w:t>
            </w:r>
          </w:p>
          <w:p w:rsidR="00E813F6" w:rsidRPr="00336942" w:rsidRDefault="00E813F6">
            <w:pPr>
              <w:jc w:val="both"/>
              <w:rPr>
                <w:sz w:val="24"/>
                <w:szCs w:val="24"/>
              </w:rPr>
            </w:pPr>
            <w:r w:rsidRPr="00336942">
              <w:rPr>
                <w:sz w:val="24"/>
                <w:szCs w:val="24"/>
              </w:rPr>
              <w:t>4.2. papildus izdevumi kritiski nepieciešami attiecināmajām izmaksām uzsākto projektu sekmīgai pabeigšanai, ņemot vērā no finansējuma saņēmēja objektīvi neatkarīgus un neparedzamus apstākļus.</w:t>
            </w:r>
          </w:p>
          <w:p w:rsidR="00115E8F" w:rsidRPr="00336942" w:rsidRDefault="00115E8F">
            <w:pPr>
              <w:jc w:val="both"/>
              <w:rPr>
                <w:sz w:val="24"/>
                <w:szCs w:val="24"/>
              </w:rPr>
            </w:pPr>
            <w:r w:rsidRPr="00336942">
              <w:rPr>
                <w:sz w:val="24"/>
                <w:szCs w:val="24"/>
              </w:rPr>
              <w:t>(..)</w:t>
            </w:r>
          </w:p>
          <w:p w:rsidR="005E67E4" w:rsidRPr="00336942" w:rsidRDefault="00FE3580">
            <w:pPr>
              <w:jc w:val="both"/>
              <w:rPr>
                <w:sz w:val="24"/>
                <w:szCs w:val="24"/>
              </w:rPr>
            </w:pPr>
            <w:r w:rsidRPr="00336942">
              <w:rPr>
                <w:sz w:val="24"/>
                <w:szCs w:val="24"/>
              </w:rPr>
              <w:t>13. Atbalstīt šādu Eiropas Savienības fondu 2014.</w:t>
            </w:r>
            <w:r w:rsidR="00D72CAB" w:rsidRPr="00336942">
              <w:rPr>
                <w:sz w:val="24"/>
                <w:szCs w:val="24"/>
              </w:rPr>
              <w:t>–</w:t>
            </w:r>
            <w:r w:rsidRPr="00336942">
              <w:rPr>
                <w:sz w:val="24"/>
                <w:szCs w:val="24"/>
              </w:rPr>
              <w:t xml:space="preserve">2020.gada plānošanas perioda </w:t>
            </w:r>
            <w:r w:rsidR="00D72CAB" w:rsidRPr="00336942">
              <w:rPr>
                <w:sz w:val="24"/>
                <w:szCs w:val="24"/>
              </w:rPr>
              <w:t>d</w:t>
            </w:r>
            <w:r w:rsidRPr="00336942">
              <w:rPr>
                <w:sz w:val="24"/>
                <w:szCs w:val="24"/>
              </w:rPr>
              <w:t>arbības programmas „Izaugsme un nodarbinātība” specifisko atbalsta mērķu īstenošanas uzsākšanu 2014.gadā:</w:t>
            </w:r>
          </w:p>
          <w:p w:rsidR="00FE3580" w:rsidRPr="00336942" w:rsidRDefault="00FE3580">
            <w:pPr>
              <w:jc w:val="both"/>
              <w:rPr>
                <w:sz w:val="24"/>
                <w:szCs w:val="24"/>
              </w:rPr>
            </w:pPr>
            <w:r w:rsidRPr="00336942">
              <w:rPr>
                <w:sz w:val="24"/>
                <w:szCs w:val="24"/>
              </w:rPr>
              <w:t>(..)</w:t>
            </w:r>
          </w:p>
          <w:p w:rsidR="00FE3580" w:rsidRPr="00336942" w:rsidRDefault="00FE3580">
            <w:pPr>
              <w:jc w:val="both"/>
              <w:rPr>
                <w:sz w:val="24"/>
                <w:szCs w:val="24"/>
              </w:rPr>
            </w:pPr>
            <w:r w:rsidRPr="00336942">
              <w:rPr>
                <w:sz w:val="24"/>
                <w:szCs w:val="24"/>
              </w:rPr>
              <w:t xml:space="preserve">13.9. </w:t>
            </w:r>
            <w:r w:rsidR="008E3744" w:rsidRPr="00336942">
              <w:rPr>
                <w:sz w:val="24"/>
                <w:szCs w:val="24"/>
              </w:rPr>
              <w:t>SAM 8.1.3.</w:t>
            </w:r>
            <w:r w:rsidRPr="00336942">
              <w:rPr>
                <w:sz w:val="24"/>
                <w:szCs w:val="24"/>
              </w:rPr>
              <w:t xml:space="preserve"> pēc tam, kad Eiropas Komisijā ir apstiprināta </w:t>
            </w:r>
            <w:r w:rsidR="00D72CAB" w:rsidRPr="00336942">
              <w:rPr>
                <w:sz w:val="24"/>
                <w:szCs w:val="24"/>
              </w:rPr>
              <w:t>d</w:t>
            </w:r>
            <w:r w:rsidRPr="00336942">
              <w:rPr>
                <w:sz w:val="24"/>
                <w:szCs w:val="24"/>
              </w:rPr>
              <w:t xml:space="preserve">arbības programma </w:t>
            </w:r>
            <w:r w:rsidR="00D72CAB" w:rsidRPr="00336942">
              <w:rPr>
                <w:sz w:val="24"/>
                <w:szCs w:val="24"/>
              </w:rPr>
              <w:t>„</w:t>
            </w:r>
            <w:r w:rsidRPr="00336942">
              <w:rPr>
                <w:sz w:val="24"/>
                <w:szCs w:val="24"/>
              </w:rPr>
              <w:t>Izaugsme un nodarbinātība</w:t>
            </w:r>
            <w:r w:rsidR="00D72CAB" w:rsidRPr="00336942">
              <w:rPr>
                <w:sz w:val="24"/>
                <w:szCs w:val="24"/>
              </w:rPr>
              <w:t>”</w:t>
            </w:r>
            <w:r w:rsidRPr="00336942">
              <w:rPr>
                <w:sz w:val="24"/>
                <w:szCs w:val="24"/>
              </w:rPr>
              <w:t xml:space="preserve">, Izglītības un zinātnes ministrija ir izstrādājusi infrastruktūras ieguldījumu </w:t>
            </w:r>
            <w:r w:rsidRPr="00336942">
              <w:rPr>
                <w:sz w:val="24"/>
                <w:szCs w:val="24"/>
              </w:rPr>
              <w:lastRenderedPageBreak/>
              <w:t>kartējumu 2014</w:t>
            </w:r>
            <w:r w:rsidR="00D72CAB" w:rsidRPr="00336942">
              <w:rPr>
                <w:sz w:val="24"/>
                <w:szCs w:val="24"/>
              </w:rPr>
              <w:t>.</w:t>
            </w:r>
            <w:r w:rsidRPr="00336942">
              <w:rPr>
                <w:sz w:val="24"/>
                <w:szCs w:val="24"/>
              </w:rPr>
              <w:t>–2020.gadam, izpildīti 2014.gada 11.februāra Ministru kabineta protokola Nr.8 29.§ noteiktie uzdevumi, kā arī nodrošināta izstrādāto nosacījumu, ieviešanas sistēmas un pašvaldību attīstības stratēģiju atbilstība 2013.gada 17.decembra regulā Nr.1301/2013 par Eiropas Reģionālās attīstības fondu un īpašajiem noteikumiem attiecībā uz mērķi „Investīcijas izaugsmei un nodarbinātībai” un ar ko atceļ regulu Nr. 1080/2006 7.pantā noteiktajām prasībām, veicot ieguldījumus pilsētvides attīstībā.</w:t>
            </w:r>
          </w:p>
          <w:p w:rsidR="00FE3580" w:rsidRPr="00336942" w:rsidRDefault="00FE3580" w:rsidP="00D72CAB">
            <w:pPr>
              <w:jc w:val="both"/>
              <w:rPr>
                <w:b/>
                <w:sz w:val="24"/>
                <w:szCs w:val="24"/>
                <w:highlight w:val="yellow"/>
              </w:rPr>
            </w:pPr>
            <w:r w:rsidRPr="00336942">
              <w:rPr>
                <w:sz w:val="24"/>
                <w:szCs w:val="24"/>
              </w:rPr>
              <w:t>(..)</w:t>
            </w:r>
          </w:p>
        </w:tc>
      </w:tr>
      <w:tr w:rsidR="005E67E4" w:rsidRPr="00336942" w:rsidTr="00B06C30">
        <w:trPr>
          <w:trHeight w:val="3034"/>
        </w:trPr>
        <w:tc>
          <w:tcPr>
            <w:tcW w:w="2533" w:type="dxa"/>
          </w:tcPr>
          <w:p w:rsidR="005E67E4" w:rsidRPr="00336942" w:rsidRDefault="0036318D" w:rsidP="00AE31D6">
            <w:pPr>
              <w:jc w:val="both"/>
              <w:rPr>
                <w:b/>
                <w:sz w:val="24"/>
                <w:szCs w:val="24"/>
                <w:highlight w:val="yellow"/>
              </w:rPr>
            </w:pPr>
            <w:r w:rsidRPr="00336942">
              <w:rPr>
                <w:b/>
                <w:sz w:val="24"/>
                <w:szCs w:val="24"/>
              </w:rPr>
              <w:lastRenderedPageBreak/>
              <w:t>2014.</w:t>
            </w:r>
            <w:r w:rsidR="00D72CAB" w:rsidRPr="00336942">
              <w:rPr>
                <w:b/>
                <w:sz w:val="24"/>
                <w:szCs w:val="24"/>
              </w:rPr>
              <w:t xml:space="preserve">gada 9.jūnijs </w:t>
            </w:r>
            <w:r w:rsidRPr="00336942">
              <w:rPr>
                <w:b/>
                <w:sz w:val="24"/>
                <w:szCs w:val="24"/>
              </w:rPr>
              <w:t>(prot.</w:t>
            </w:r>
            <w:r w:rsidR="00E813F6" w:rsidRPr="00336942">
              <w:rPr>
                <w:b/>
                <w:sz w:val="24"/>
                <w:szCs w:val="24"/>
              </w:rPr>
              <w:t xml:space="preserve"> </w:t>
            </w:r>
            <w:r w:rsidRPr="00336942">
              <w:rPr>
                <w:b/>
                <w:sz w:val="24"/>
                <w:szCs w:val="24"/>
              </w:rPr>
              <w:t>Nr.32 31.§)</w:t>
            </w:r>
          </w:p>
        </w:tc>
        <w:tc>
          <w:tcPr>
            <w:tcW w:w="6754" w:type="dxa"/>
          </w:tcPr>
          <w:p w:rsidR="006B639D" w:rsidRPr="00336942" w:rsidRDefault="006B639D">
            <w:pPr>
              <w:jc w:val="both"/>
              <w:rPr>
                <w:sz w:val="24"/>
                <w:szCs w:val="24"/>
              </w:rPr>
            </w:pPr>
            <w:r w:rsidRPr="00336942">
              <w:rPr>
                <w:sz w:val="24"/>
                <w:szCs w:val="24"/>
              </w:rPr>
              <w:t>(..)</w:t>
            </w:r>
          </w:p>
          <w:p w:rsidR="005E67E4" w:rsidRPr="00336942" w:rsidRDefault="006B639D" w:rsidP="00884F96">
            <w:pPr>
              <w:jc w:val="both"/>
              <w:rPr>
                <w:b/>
                <w:sz w:val="24"/>
                <w:szCs w:val="24"/>
                <w:highlight w:val="yellow"/>
              </w:rPr>
            </w:pPr>
            <w:r w:rsidRPr="00336942">
              <w:rPr>
                <w:sz w:val="24"/>
                <w:szCs w:val="24"/>
              </w:rPr>
              <w:t xml:space="preserve">6. Pieņemt zināšanai, ka Ministru kabineta 2014.gada 11.marta sēdes protokollēmuma (prot. Nr.16 38.§) 3.punktā noteiktais nav attiecināms uz vidusskolas projekta I kārtas (par </w:t>
            </w:r>
            <w:r w:rsidR="00D72CAB" w:rsidRPr="00336942">
              <w:rPr>
                <w:sz w:val="24"/>
                <w:szCs w:val="24"/>
              </w:rPr>
              <w:t>Eiropas Reģionālās attīstības fonda</w:t>
            </w:r>
            <w:r w:rsidRPr="00336942">
              <w:rPr>
                <w:sz w:val="24"/>
                <w:szCs w:val="24"/>
              </w:rPr>
              <w:t xml:space="preserve"> finansējuma apjomu 3 023 906 </w:t>
            </w:r>
            <w:r w:rsidR="00D72CAB" w:rsidRPr="00336942">
              <w:rPr>
                <w:i/>
                <w:sz w:val="24"/>
                <w:szCs w:val="24"/>
              </w:rPr>
              <w:t>euro</w:t>
            </w:r>
            <w:r w:rsidRPr="00336942">
              <w:rPr>
                <w:sz w:val="24"/>
                <w:szCs w:val="24"/>
              </w:rPr>
              <w:t xml:space="preserve">) īstenošanu darbības programmas </w:t>
            </w:r>
            <w:r w:rsidR="00D72CAB" w:rsidRPr="00336942">
              <w:rPr>
                <w:sz w:val="24"/>
                <w:szCs w:val="24"/>
              </w:rPr>
              <w:t>„</w:t>
            </w:r>
            <w:r w:rsidRPr="00336942">
              <w:rPr>
                <w:sz w:val="24"/>
                <w:szCs w:val="24"/>
              </w:rPr>
              <w:t xml:space="preserve">Infrastruktūra un pakalpojumi” papildinājuma 3.6.1.1.aktivitātes </w:t>
            </w:r>
            <w:r w:rsidR="00D72CAB" w:rsidRPr="00336942">
              <w:rPr>
                <w:sz w:val="24"/>
                <w:szCs w:val="24"/>
              </w:rPr>
              <w:t>„</w:t>
            </w:r>
            <w:r w:rsidRPr="00336942">
              <w:rPr>
                <w:sz w:val="24"/>
                <w:szCs w:val="24"/>
              </w:rPr>
              <w:t>Nacionālas un reģionālas nozīmes attīstības centru izaugsmes veicināšana līdzsvarotai valsts attīstībai” ietvaros, ņemot vērā Ministru kabineta 2014.gada 11.februāra sēdē (prot. Nr.8 29. §) izskatītajā informatīvajā ziņojumā „Par Ventspils Mūzikas vidusskolas turpmākās darbības nodrošināšanu” un Ministru kabineta 2014.gada 11.marta sēdes protokollēmuma (prot. Nr.16. 38.§) 4.punktā noteikto.</w:t>
            </w:r>
          </w:p>
        </w:tc>
      </w:tr>
      <w:tr w:rsidR="005E67E4" w:rsidRPr="00336942" w:rsidTr="00B06C30">
        <w:tc>
          <w:tcPr>
            <w:tcW w:w="2533" w:type="dxa"/>
          </w:tcPr>
          <w:p w:rsidR="00E813F6" w:rsidRPr="00336942" w:rsidRDefault="00BD6C58" w:rsidP="00AE31D6">
            <w:pPr>
              <w:jc w:val="both"/>
              <w:rPr>
                <w:b/>
                <w:sz w:val="24"/>
                <w:szCs w:val="24"/>
              </w:rPr>
            </w:pPr>
            <w:r w:rsidRPr="00336942">
              <w:rPr>
                <w:b/>
                <w:sz w:val="24"/>
                <w:szCs w:val="24"/>
              </w:rPr>
              <w:t>2015.</w:t>
            </w:r>
            <w:r w:rsidR="00E813F6" w:rsidRPr="00336942">
              <w:rPr>
                <w:b/>
                <w:sz w:val="24"/>
                <w:szCs w:val="24"/>
              </w:rPr>
              <w:t xml:space="preserve">gada 24.februāris </w:t>
            </w:r>
          </w:p>
          <w:p w:rsidR="005E67E4" w:rsidRPr="00336942" w:rsidRDefault="00BD6C58" w:rsidP="00AE31D6">
            <w:pPr>
              <w:jc w:val="both"/>
              <w:rPr>
                <w:b/>
                <w:sz w:val="24"/>
                <w:szCs w:val="24"/>
              </w:rPr>
            </w:pPr>
            <w:r w:rsidRPr="00336942">
              <w:rPr>
                <w:b/>
                <w:sz w:val="24"/>
                <w:szCs w:val="24"/>
              </w:rPr>
              <w:t>(prot.</w:t>
            </w:r>
            <w:r w:rsidR="00E813F6" w:rsidRPr="00336942">
              <w:rPr>
                <w:b/>
                <w:sz w:val="24"/>
                <w:szCs w:val="24"/>
              </w:rPr>
              <w:t xml:space="preserve"> </w:t>
            </w:r>
            <w:r w:rsidRPr="00336942">
              <w:rPr>
                <w:b/>
                <w:sz w:val="24"/>
                <w:szCs w:val="24"/>
              </w:rPr>
              <w:t>Nr.10 42.§)</w:t>
            </w:r>
          </w:p>
        </w:tc>
        <w:tc>
          <w:tcPr>
            <w:tcW w:w="6754" w:type="dxa"/>
          </w:tcPr>
          <w:p w:rsidR="005E67E4" w:rsidRPr="00336942" w:rsidRDefault="00AD70AF" w:rsidP="00AE31D6">
            <w:pPr>
              <w:jc w:val="both"/>
              <w:rPr>
                <w:sz w:val="24"/>
                <w:szCs w:val="24"/>
              </w:rPr>
            </w:pPr>
            <w:r w:rsidRPr="00336942">
              <w:rPr>
                <w:sz w:val="24"/>
                <w:szCs w:val="24"/>
              </w:rPr>
              <w:t>(..)</w:t>
            </w:r>
          </w:p>
          <w:p w:rsidR="00D9467D" w:rsidRPr="00336942" w:rsidRDefault="00D9467D">
            <w:pPr>
              <w:jc w:val="both"/>
              <w:rPr>
                <w:sz w:val="24"/>
                <w:szCs w:val="24"/>
              </w:rPr>
            </w:pPr>
            <w:r w:rsidRPr="00336942">
              <w:rPr>
                <w:sz w:val="24"/>
                <w:szCs w:val="24"/>
              </w:rPr>
              <w:t xml:space="preserve">2. Izglītības un zinātnes ministrijai un Kultūras ministrijai līdz 2015.gada 30.martam noteikt </w:t>
            </w:r>
            <w:r w:rsidR="008E3744" w:rsidRPr="00336942">
              <w:rPr>
                <w:sz w:val="24"/>
                <w:szCs w:val="24"/>
              </w:rPr>
              <w:t xml:space="preserve">SAM 8.1.3. </w:t>
            </w:r>
            <w:r w:rsidRPr="00336942">
              <w:rPr>
                <w:sz w:val="24"/>
                <w:szCs w:val="24"/>
              </w:rPr>
              <w:t>potenciālo finansējuma saņēmēju loku Izglītības attīstības pamatnostādņu 2014.</w:t>
            </w:r>
            <w:r w:rsidR="00E813F6" w:rsidRPr="00336942">
              <w:rPr>
                <w:sz w:val="24"/>
                <w:szCs w:val="24"/>
              </w:rPr>
              <w:t>–</w:t>
            </w:r>
            <w:r w:rsidRPr="00336942">
              <w:rPr>
                <w:sz w:val="24"/>
                <w:szCs w:val="24"/>
              </w:rPr>
              <w:t>2020.gadam īstenošanas plānā 2015.–2017.gadam un Kultūras ministrijas padotībā esošo profesionālās vidējās kultūrizglītības iestāžu attīstības koncepcijā.</w:t>
            </w:r>
          </w:p>
          <w:p w:rsidR="00D9467D" w:rsidRPr="00336942" w:rsidRDefault="00D9467D">
            <w:pPr>
              <w:jc w:val="both"/>
              <w:rPr>
                <w:sz w:val="24"/>
                <w:szCs w:val="24"/>
              </w:rPr>
            </w:pPr>
            <w:r w:rsidRPr="00336942">
              <w:rPr>
                <w:sz w:val="24"/>
                <w:szCs w:val="24"/>
              </w:rPr>
              <w:t xml:space="preserve">(..) </w:t>
            </w:r>
          </w:p>
          <w:p w:rsidR="00D9467D" w:rsidRPr="00336942" w:rsidRDefault="00D9467D">
            <w:pPr>
              <w:jc w:val="both"/>
              <w:rPr>
                <w:sz w:val="24"/>
                <w:szCs w:val="24"/>
              </w:rPr>
            </w:pPr>
            <w:r w:rsidRPr="00336942">
              <w:rPr>
                <w:sz w:val="24"/>
                <w:szCs w:val="24"/>
              </w:rPr>
              <w:t xml:space="preserve">7. Izglītības un zinātnes ministrijai sadarbībā ar Kultūras ministriju divu mēnešu laikā pēc Ministru kabineta noteikumu, kas paredzēs </w:t>
            </w:r>
            <w:r w:rsidR="00E813F6" w:rsidRPr="00336942">
              <w:rPr>
                <w:sz w:val="24"/>
                <w:szCs w:val="24"/>
              </w:rPr>
              <w:t>profesionālās izglītības kompeten</w:t>
            </w:r>
            <w:r w:rsidR="00884F96" w:rsidRPr="00336942">
              <w:rPr>
                <w:sz w:val="24"/>
                <w:szCs w:val="24"/>
              </w:rPr>
              <w:t>ces</w:t>
            </w:r>
            <w:r w:rsidR="00E813F6" w:rsidRPr="00336942">
              <w:rPr>
                <w:sz w:val="24"/>
                <w:szCs w:val="24"/>
              </w:rPr>
              <w:t xml:space="preserve"> centra</w:t>
            </w:r>
            <w:r w:rsidRPr="00336942">
              <w:rPr>
                <w:sz w:val="24"/>
                <w:szCs w:val="24"/>
              </w:rPr>
              <w:t xml:space="preserve"> statusa piešķiršanas un anulēšanas kārtību un kritērijus </w:t>
            </w:r>
            <w:r w:rsidR="00E813F6" w:rsidRPr="00336942">
              <w:rPr>
                <w:sz w:val="24"/>
                <w:szCs w:val="24"/>
              </w:rPr>
              <w:t>profesionālās izglītības kompeten</w:t>
            </w:r>
            <w:r w:rsidR="00884F96" w:rsidRPr="00336942">
              <w:rPr>
                <w:sz w:val="24"/>
                <w:szCs w:val="24"/>
              </w:rPr>
              <w:t>ces</w:t>
            </w:r>
            <w:r w:rsidR="00E813F6" w:rsidRPr="00336942">
              <w:rPr>
                <w:sz w:val="24"/>
                <w:szCs w:val="24"/>
              </w:rPr>
              <w:t xml:space="preserve"> centra</w:t>
            </w:r>
            <w:r w:rsidRPr="00336942">
              <w:rPr>
                <w:sz w:val="24"/>
                <w:szCs w:val="24"/>
              </w:rPr>
              <w:t xml:space="preserve"> izveidei profesionālās vidējās kultūrizglītības iestādēs, apstiprināšanas Ministru kabinetā iesniegt </w:t>
            </w:r>
            <w:r w:rsidR="008E3744" w:rsidRPr="00336942">
              <w:rPr>
                <w:sz w:val="24"/>
                <w:szCs w:val="24"/>
              </w:rPr>
              <w:t>SAM 8.1.3.</w:t>
            </w:r>
            <w:r w:rsidRPr="00336942">
              <w:rPr>
                <w:sz w:val="24"/>
                <w:szCs w:val="24"/>
              </w:rPr>
              <w:t xml:space="preserve"> trešās kārtas projektu iesniegumu vērtēšanas kritērijus apstiprināšanai Eiropas Savienības fondu Uzraudzības komitejā, paredzot, ka kritērijs par vidējām indikatīvajām profesionālās izglītības iestāžu modernizācijas izmaksām uz vienu audzēkni Kultūras ministrijas padotībā esošajām vidējās kultūrizglītības iestādēm netiek noteikts kā ierobežojošs un/vai izslēdzošs.</w:t>
            </w:r>
          </w:p>
          <w:p w:rsidR="00D9467D" w:rsidRPr="00336942" w:rsidRDefault="00D9467D" w:rsidP="008E3744">
            <w:pPr>
              <w:jc w:val="both"/>
              <w:rPr>
                <w:sz w:val="24"/>
                <w:szCs w:val="24"/>
              </w:rPr>
            </w:pPr>
            <w:r w:rsidRPr="00336942">
              <w:rPr>
                <w:sz w:val="24"/>
                <w:szCs w:val="24"/>
              </w:rPr>
              <w:t xml:space="preserve">8. Pagarināt Ministru kabineta 2014.gada 11.februāra sēdes protokollēmuma (prot. Nr.8 29.§) „Informatīvais ziņojums „Par Ventspils Mūzikas vidusskolas turpmākās darbības nodrošināšanu”” 3. un 4.punktā doto uzdevumu izpildes termiņu, nosakot, ka darbības programmas „Izaugsme un nodarbinātība” </w:t>
            </w:r>
            <w:r w:rsidR="008E3744" w:rsidRPr="00336942">
              <w:rPr>
                <w:sz w:val="24"/>
                <w:szCs w:val="24"/>
              </w:rPr>
              <w:t>SAM 8.1.3.</w:t>
            </w:r>
            <w:r w:rsidRPr="00336942">
              <w:rPr>
                <w:sz w:val="24"/>
                <w:szCs w:val="24"/>
              </w:rPr>
              <w:t xml:space="preserve"> otrās</w:t>
            </w:r>
            <w:r w:rsidR="00E73B48" w:rsidRPr="00336942">
              <w:rPr>
                <w:sz w:val="24"/>
                <w:szCs w:val="24"/>
              </w:rPr>
              <w:t xml:space="preserve"> un trešās kārtas īstenošana jāuzsāk līdz 2015.gada </w:t>
            </w:r>
            <w:r w:rsidR="00E73B48" w:rsidRPr="00336942">
              <w:rPr>
                <w:sz w:val="24"/>
                <w:szCs w:val="24"/>
              </w:rPr>
              <w:lastRenderedPageBreak/>
              <w:t>30.decembrim.</w:t>
            </w:r>
          </w:p>
        </w:tc>
      </w:tr>
      <w:tr w:rsidR="00BD6C58" w:rsidRPr="00336942" w:rsidTr="00B06C30">
        <w:tc>
          <w:tcPr>
            <w:tcW w:w="2533" w:type="dxa"/>
          </w:tcPr>
          <w:p w:rsidR="00884F96" w:rsidRPr="00336942" w:rsidRDefault="00BD6C58" w:rsidP="00AE31D6">
            <w:pPr>
              <w:jc w:val="both"/>
              <w:rPr>
                <w:b/>
                <w:sz w:val="24"/>
                <w:szCs w:val="24"/>
              </w:rPr>
            </w:pPr>
            <w:r w:rsidRPr="00336942">
              <w:rPr>
                <w:b/>
                <w:sz w:val="24"/>
                <w:szCs w:val="24"/>
              </w:rPr>
              <w:lastRenderedPageBreak/>
              <w:t>2015.</w:t>
            </w:r>
            <w:r w:rsidR="00884F96" w:rsidRPr="00336942">
              <w:rPr>
                <w:b/>
                <w:sz w:val="24"/>
                <w:szCs w:val="24"/>
              </w:rPr>
              <w:t>gada 24.februāris</w:t>
            </w:r>
          </w:p>
          <w:p w:rsidR="00BD6C58" w:rsidRPr="00336942" w:rsidRDefault="00BD6C58" w:rsidP="00AE31D6">
            <w:pPr>
              <w:jc w:val="both"/>
              <w:rPr>
                <w:b/>
                <w:sz w:val="24"/>
                <w:szCs w:val="24"/>
                <w:highlight w:val="yellow"/>
              </w:rPr>
            </w:pPr>
            <w:r w:rsidRPr="00336942">
              <w:rPr>
                <w:b/>
                <w:sz w:val="24"/>
                <w:szCs w:val="24"/>
              </w:rPr>
              <w:t>(prot.Nr.10 43.§)</w:t>
            </w:r>
          </w:p>
        </w:tc>
        <w:tc>
          <w:tcPr>
            <w:tcW w:w="6754" w:type="dxa"/>
          </w:tcPr>
          <w:p w:rsidR="00BD6FA1" w:rsidRPr="00336942" w:rsidRDefault="00BD6FA1">
            <w:pPr>
              <w:jc w:val="both"/>
              <w:rPr>
                <w:sz w:val="24"/>
                <w:szCs w:val="24"/>
              </w:rPr>
            </w:pPr>
            <w:r w:rsidRPr="00336942">
              <w:rPr>
                <w:sz w:val="24"/>
                <w:szCs w:val="24"/>
              </w:rPr>
              <w:t xml:space="preserve">(..) </w:t>
            </w:r>
          </w:p>
          <w:p w:rsidR="00BD6FA1" w:rsidRPr="00336942" w:rsidRDefault="00BD6FA1">
            <w:pPr>
              <w:jc w:val="both"/>
              <w:rPr>
                <w:sz w:val="24"/>
                <w:szCs w:val="24"/>
              </w:rPr>
            </w:pPr>
            <w:r w:rsidRPr="00336942">
              <w:rPr>
                <w:sz w:val="24"/>
                <w:szCs w:val="24"/>
              </w:rPr>
              <w:t>3. Izglītības un zinātnes ministrijai sadarbībā ar Kultūras ministriju:</w:t>
            </w:r>
            <w:r w:rsidRPr="00336942">
              <w:rPr>
                <w:sz w:val="24"/>
                <w:szCs w:val="24"/>
              </w:rPr>
              <w:br/>
              <w:t>3.1. nodrošināt Ministru kabineta noteikumu par specifiskā atbalsta mērķa</w:t>
            </w:r>
            <w:r w:rsidR="00884F96" w:rsidRPr="00336942">
              <w:rPr>
                <w:sz w:val="24"/>
                <w:szCs w:val="24"/>
              </w:rPr>
              <w:t xml:space="preserve"> </w:t>
            </w:r>
            <w:r w:rsidRPr="00336942">
              <w:rPr>
                <w:sz w:val="24"/>
                <w:szCs w:val="24"/>
              </w:rPr>
              <w:t xml:space="preserve">8.1.3. </w:t>
            </w:r>
            <w:r w:rsidR="00884F96" w:rsidRPr="00336942">
              <w:rPr>
                <w:sz w:val="24"/>
                <w:szCs w:val="24"/>
              </w:rPr>
              <w:t>„</w:t>
            </w:r>
            <w:r w:rsidRPr="00336942">
              <w:rPr>
                <w:sz w:val="24"/>
                <w:szCs w:val="24"/>
              </w:rPr>
              <w:t xml:space="preserve">Palielināt modernizēto profesionālās izglītības iestāžu skaitu” īstenošanu un projektu iesniegumu atlases kritēriju izstrādi, lai līdz 2015.gada 30.decembrim nodrošinātu </w:t>
            </w:r>
            <w:r w:rsidR="008E3744" w:rsidRPr="00336942">
              <w:rPr>
                <w:sz w:val="24"/>
                <w:szCs w:val="24"/>
              </w:rPr>
              <w:t>SAM</w:t>
            </w:r>
            <w:r w:rsidRPr="00336942">
              <w:rPr>
                <w:sz w:val="24"/>
                <w:szCs w:val="24"/>
              </w:rPr>
              <w:t xml:space="preserve"> 8.1.3. </w:t>
            </w:r>
            <w:r w:rsidR="00884F96" w:rsidRPr="00336942">
              <w:rPr>
                <w:sz w:val="24"/>
                <w:szCs w:val="24"/>
              </w:rPr>
              <w:t xml:space="preserve">trešās </w:t>
            </w:r>
            <w:r w:rsidRPr="00336942">
              <w:rPr>
                <w:sz w:val="24"/>
                <w:szCs w:val="24"/>
              </w:rPr>
              <w:t>kārtas īstenošanas uzsākšanu;</w:t>
            </w:r>
          </w:p>
          <w:p w:rsidR="00BD6C58" w:rsidRPr="00336942" w:rsidRDefault="00BD6FA1" w:rsidP="008E3744">
            <w:pPr>
              <w:jc w:val="both"/>
              <w:rPr>
                <w:b/>
                <w:sz w:val="24"/>
                <w:szCs w:val="24"/>
                <w:highlight w:val="yellow"/>
              </w:rPr>
            </w:pPr>
            <w:r w:rsidRPr="00336942">
              <w:rPr>
                <w:sz w:val="24"/>
                <w:szCs w:val="24"/>
              </w:rPr>
              <w:t xml:space="preserve">3.2. izstrādāt nosacījumus </w:t>
            </w:r>
            <w:r w:rsidR="008E3744" w:rsidRPr="00336942">
              <w:rPr>
                <w:sz w:val="24"/>
                <w:szCs w:val="24"/>
              </w:rPr>
              <w:t>SAM</w:t>
            </w:r>
            <w:r w:rsidR="00884F96" w:rsidRPr="00336942">
              <w:rPr>
                <w:sz w:val="24"/>
                <w:szCs w:val="24"/>
              </w:rPr>
              <w:t xml:space="preserve"> </w:t>
            </w:r>
            <w:r w:rsidRPr="00336942">
              <w:rPr>
                <w:sz w:val="24"/>
                <w:szCs w:val="24"/>
              </w:rPr>
              <w:t xml:space="preserve">8.1.3. īstenošanai, paredzot iespēju saņemt Eiropas Reģionālās attīstības fonda atbalstu 2014. – 2020.gada plānošanas perioda ietvaros vidusskolas infrastruktūras attīstības projektam, kura īstenošana jānodrošina līdz 2018.gada septembrim, ņemot vērā Ministru kabineta 2014.gada 11.februāra sēdes protokollēmumu (prot. Nr.8 29.§) „Informatīvais ziņojums </w:t>
            </w:r>
            <w:r w:rsidR="00884F96" w:rsidRPr="00336942">
              <w:rPr>
                <w:sz w:val="24"/>
                <w:szCs w:val="24"/>
              </w:rPr>
              <w:t>„</w:t>
            </w:r>
            <w:r w:rsidRPr="00336942">
              <w:rPr>
                <w:sz w:val="24"/>
                <w:szCs w:val="24"/>
              </w:rPr>
              <w:t>Par Ventspils Mūzikas vidusskolas turpmākās darbības nodrošināšanu</w:t>
            </w:r>
            <w:r w:rsidR="000E3481" w:rsidRPr="00336942">
              <w:rPr>
                <w:sz w:val="24"/>
                <w:szCs w:val="24"/>
              </w:rPr>
              <w:t xml:space="preserve">„” </w:t>
            </w:r>
            <w:r w:rsidRPr="00336942">
              <w:rPr>
                <w:sz w:val="24"/>
                <w:szCs w:val="24"/>
              </w:rPr>
              <w:t>un Ministru kabineta 2014.gada 13.februāra rīkojumu Nr.69 „Par finansējuma piešķiršanu Ventspils Mūzikas vidusskolai pārcelšanās izdevumu segšanai”.</w:t>
            </w:r>
          </w:p>
        </w:tc>
      </w:tr>
    </w:tbl>
    <w:p w:rsidR="00FD1EB7" w:rsidRDefault="00FD1EB7" w:rsidP="00AE31D6">
      <w:pPr>
        <w:ind w:firstLine="720"/>
        <w:jc w:val="both"/>
        <w:rPr>
          <w:b/>
        </w:rPr>
      </w:pPr>
    </w:p>
    <w:p w:rsidR="00884F96" w:rsidRPr="00884F96" w:rsidRDefault="00884F96" w:rsidP="00884F96">
      <w:pPr>
        <w:ind w:firstLine="709"/>
        <w:jc w:val="both"/>
      </w:pPr>
      <w:r>
        <w:t xml:space="preserve">Ar </w:t>
      </w:r>
      <w:r w:rsidRPr="0034288C">
        <w:t>Ministru kabineta 2016.gada 27.janvāra rīkojumu</w:t>
      </w:r>
      <w:r>
        <w:t xml:space="preserve"> Nr.36</w:t>
      </w:r>
      <w:r w:rsidRPr="0034288C">
        <w:t xml:space="preserve"> </w:t>
      </w:r>
      <w:r w:rsidRPr="00884F96">
        <w:t>„Par profesionālās izglītības kompetences centra statusa piešķiršanu Ventspils Mūzikas vidusskolai”</w:t>
      </w:r>
      <w:r w:rsidRPr="0034288C">
        <w:rPr>
          <w:i/>
        </w:rPr>
        <w:t xml:space="preserve"> </w:t>
      </w:r>
      <w:r>
        <w:t xml:space="preserve">(turpmāk – </w:t>
      </w:r>
      <w:r w:rsidR="006045D3">
        <w:t xml:space="preserve">MK </w:t>
      </w:r>
      <w:r w:rsidRPr="00B06C30">
        <w:t>rīkojums</w:t>
      </w:r>
      <w:r w:rsidR="000F7AC7">
        <w:t xml:space="preserve"> Nr.36</w:t>
      </w:r>
      <w:r w:rsidRPr="00B06C30">
        <w:t xml:space="preserve">) </w:t>
      </w:r>
      <w:r w:rsidR="00B06C30">
        <w:t xml:space="preserve">Ventspils Mūzikas vidusskolai </w:t>
      </w:r>
      <w:r w:rsidRPr="0034288C">
        <w:t xml:space="preserve">piešķirts profesionālās izglītības kompetences centra statuss. </w:t>
      </w:r>
      <w:r w:rsidR="006045D3">
        <w:t>MK r</w:t>
      </w:r>
      <w:r w:rsidRPr="0034288C">
        <w:t>īkojuma</w:t>
      </w:r>
      <w:r w:rsidR="000F7AC7">
        <w:t xml:space="preserve"> Nr.36 </w:t>
      </w:r>
      <w:r w:rsidRPr="0034288C">
        <w:t>3.punkts paredz</w:t>
      </w:r>
      <w:r>
        <w:t>, ka</w:t>
      </w:r>
      <w:r w:rsidRPr="0034288C">
        <w:t xml:space="preserve"> a</w:t>
      </w:r>
      <w:r w:rsidRPr="0034288C">
        <w:rPr>
          <w:color w:val="414142"/>
        </w:rPr>
        <w:t xml:space="preserve">r </w:t>
      </w:r>
      <w:r w:rsidRPr="00884F96">
        <w:rPr>
          <w:color w:val="000000" w:themeColor="text1"/>
        </w:rPr>
        <w:t>profesionālās izglītības kompetences centra statusa pie</w:t>
      </w:r>
      <w:r w:rsidR="006045D3">
        <w:rPr>
          <w:color w:val="000000" w:themeColor="text1"/>
        </w:rPr>
        <w:t>šķiršanu saistītos izdevumus sedz</w:t>
      </w:r>
      <w:r w:rsidRPr="00884F96">
        <w:rPr>
          <w:color w:val="000000" w:themeColor="text1"/>
        </w:rPr>
        <w:t xml:space="preserve"> no Kultūras ministrijai piešķirtajiem valsts budžeta līdzekļiem. Jautājumu par nepieciešamo papildu finansējumu profesionālās izglītības kompetences centr</w:t>
      </w:r>
      <w:r>
        <w:rPr>
          <w:color w:val="000000" w:themeColor="text1"/>
        </w:rPr>
        <w:t>a</w:t>
      </w:r>
      <w:r w:rsidRPr="00884F96">
        <w:rPr>
          <w:color w:val="000000" w:themeColor="text1"/>
        </w:rPr>
        <w:t xml:space="preserve"> funkciju nodrošināšanai 2017.gadā un turpmākajos gados </w:t>
      </w:r>
      <w:r w:rsidR="006045D3">
        <w:rPr>
          <w:color w:val="000000" w:themeColor="text1"/>
        </w:rPr>
        <w:t xml:space="preserve">paredzēts </w:t>
      </w:r>
      <w:r w:rsidRPr="00884F96">
        <w:rPr>
          <w:color w:val="000000" w:themeColor="text1"/>
        </w:rPr>
        <w:t>izskatīt Ministru kabinetā, sagatavojot likumprojektu par vidēja termiņa budžeta ietvaru 2017., 2018. un 2019.gadam un likumprojektu par valsts budžetu 2017.gadam, kopā ar visu ministriju un centrālo valsts iestāžu jauno politikas iniciatīvu pieprasījumiem.</w:t>
      </w:r>
      <w:r>
        <w:t xml:space="preserve"> </w:t>
      </w:r>
      <w:r w:rsidR="006045D3">
        <w:t>MK r</w:t>
      </w:r>
      <w:r w:rsidRPr="00884F96">
        <w:rPr>
          <w:color w:val="000000" w:themeColor="text1"/>
        </w:rPr>
        <w:t>īkojuma</w:t>
      </w:r>
      <w:r w:rsidR="00EE463A">
        <w:rPr>
          <w:color w:val="000000" w:themeColor="text1"/>
        </w:rPr>
        <w:t xml:space="preserve"> Nr.36</w:t>
      </w:r>
      <w:r w:rsidRPr="00884F96">
        <w:rPr>
          <w:color w:val="000000" w:themeColor="text1"/>
        </w:rPr>
        <w:t xml:space="preserve"> 4.punkts nosaka</w:t>
      </w:r>
      <w:r w:rsidR="006045D3">
        <w:rPr>
          <w:color w:val="000000" w:themeColor="text1"/>
        </w:rPr>
        <w:t>, ka Kultūras ministrija</w:t>
      </w:r>
      <w:r w:rsidRPr="00884F96">
        <w:rPr>
          <w:color w:val="000000" w:themeColor="text1"/>
        </w:rPr>
        <w:t xml:space="preserve"> (</w:t>
      </w:r>
      <w:r>
        <w:rPr>
          <w:color w:val="000000" w:themeColor="text1"/>
        </w:rPr>
        <w:t>vidusskola</w:t>
      </w:r>
      <w:r w:rsidR="006045D3">
        <w:rPr>
          <w:color w:val="000000" w:themeColor="text1"/>
        </w:rPr>
        <w:t>) piesaista</w:t>
      </w:r>
      <w:r w:rsidRPr="00884F96">
        <w:rPr>
          <w:color w:val="000000" w:themeColor="text1"/>
        </w:rPr>
        <w:t xml:space="preserve"> Ventspils pilsētas pašvaldību kā sadarbības partneri </w:t>
      </w:r>
      <w:r>
        <w:rPr>
          <w:color w:val="000000" w:themeColor="text1"/>
        </w:rPr>
        <w:t>vidusskolas</w:t>
      </w:r>
      <w:r w:rsidRPr="00884F96">
        <w:rPr>
          <w:color w:val="000000" w:themeColor="text1"/>
        </w:rPr>
        <w:t xml:space="preserve"> turpmākās attīstības un darbības nodrošināšanai.</w:t>
      </w:r>
    </w:p>
    <w:p w:rsidR="00884F96" w:rsidRPr="00104870" w:rsidRDefault="00884F96" w:rsidP="00AE31D6">
      <w:pPr>
        <w:ind w:firstLine="720"/>
        <w:jc w:val="both"/>
        <w:rPr>
          <w:b/>
        </w:rPr>
      </w:pPr>
    </w:p>
    <w:p w:rsidR="00251966" w:rsidRDefault="00B06C30" w:rsidP="00B06C30">
      <w:pPr>
        <w:ind w:firstLine="709"/>
        <w:jc w:val="both"/>
        <w:rPr>
          <w:b/>
        </w:rPr>
      </w:pPr>
      <w:r>
        <w:rPr>
          <w:b/>
        </w:rPr>
        <w:t>Vidusskola</w:t>
      </w:r>
      <w:r w:rsidRPr="00104870">
        <w:rPr>
          <w:b/>
        </w:rPr>
        <w:t xml:space="preserve"> </w:t>
      </w:r>
      <w:r w:rsidR="005677DC" w:rsidRPr="00104870">
        <w:rPr>
          <w:b/>
        </w:rPr>
        <w:t xml:space="preserve">šobrīd ir vienīgā valsts mūzikas vidusskola, kurai nav savu telpu mācību procesa nodrošināšanai. </w:t>
      </w:r>
      <w:r w:rsidR="00513FA1" w:rsidRPr="00104870">
        <w:rPr>
          <w:b/>
        </w:rPr>
        <w:t xml:space="preserve">Pagaidu lietošanā esošās telpas neatbilst izglītības jomu regulējušajiem normatīvajiem aktiem un prasībām. </w:t>
      </w:r>
      <w:r w:rsidR="005677DC" w:rsidRPr="00104870">
        <w:rPr>
          <w:b/>
        </w:rPr>
        <w:t xml:space="preserve">Jaunā </w:t>
      </w:r>
      <w:r>
        <w:rPr>
          <w:b/>
        </w:rPr>
        <w:t>vidusskolas</w:t>
      </w:r>
      <w:r w:rsidRPr="00104870">
        <w:rPr>
          <w:b/>
        </w:rPr>
        <w:t xml:space="preserve"> </w:t>
      </w:r>
      <w:r w:rsidR="005677DC" w:rsidRPr="00104870">
        <w:rPr>
          <w:b/>
        </w:rPr>
        <w:t>ēka</w:t>
      </w:r>
      <w:r w:rsidR="00510EC1">
        <w:rPr>
          <w:b/>
        </w:rPr>
        <w:t xml:space="preserve"> Lielajā laukumā Nr.1,</w:t>
      </w:r>
      <w:r w:rsidRPr="00B06C30">
        <w:rPr>
          <w:b/>
        </w:rPr>
        <w:t xml:space="preserve"> Ventspilī</w:t>
      </w:r>
      <w:r w:rsidRPr="00104870">
        <w:rPr>
          <w:b/>
        </w:rPr>
        <w:t xml:space="preserve"> </w:t>
      </w:r>
      <w:r w:rsidR="005677DC" w:rsidRPr="00104870">
        <w:rPr>
          <w:b/>
        </w:rPr>
        <w:t>būs viens no Latvijas simtgades objektiem.</w:t>
      </w:r>
      <w:r w:rsidR="005677DC" w:rsidRPr="00714735">
        <w:rPr>
          <w:b/>
        </w:rPr>
        <w:t xml:space="preserve"> </w:t>
      </w:r>
    </w:p>
    <w:p w:rsidR="00064D68" w:rsidRDefault="00064D68" w:rsidP="00AE31D6">
      <w:pPr>
        <w:pStyle w:val="parastais0"/>
        <w:spacing w:before="0" w:beforeAutospacing="0" w:after="0" w:afterAutospacing="0"/>
        <w:rPr>
          <w:rStyle w:val="izc0113lumschar"/>
        </w:rPr>
      </w:pPr>
    </w:p>
    <w:p w:rsidR="005116B5" w:rsidRDefault="007A36B8" w:rsidP="00321259">
      <w:pPr>
        <w:jc w:val="center"/>
        <w:rPr>
          <w:b/>
        </w:rPr>
      </w:pPr>
      <w:r w:rsidRPr="00714735">
        <w:rPr>
          <w:b/>
        </w:rPr>
        <w:t>2.</w:t>
      </w:r>
      <w:r w:rsidR="00336942">
        <w:rPr>
          <w:b/>
        </w:rPr>
        <w:t xml:space="preserve"> </w:t>
      </w:r>
      <w:r w:rsidRPr="00714735">
        <w:rPr>
          <w:b/>
        </w:rPr>
        <w:t xml:space="preserve">Politikas plānošanas dokumenti </w:t>
      </w:r>
    </w:p>
    <w:p w:rsidR="00A6262A" w:rsidRDefault="00A6262A" w:rsidP="005116B5">
      <w:pPr>
        <w:ind w:firstLine="720"/>
        <w:rPr>
          <w:b/>
        </w:rPr>
      </w:pPr>
    </w:p>
    <w:p w:rsidR="007A36B8" w:rsidRDefault="00A6262A" w:rsidP="00B94B2A">
      <w:pPr>
        <w:ind w:firstLine="720"/>
        <w:rPr>
          <w:b/>
        </w:rPr>
      </w:pPr>
      <w:r>
        <w:rPr>
          <w:b/>
        </w:rPr>
        <w:t>2.1.</w:t>
      </w:r>
      <w:r w:rsidR="00336942">
        <w:rPr>
          <w:b/>
        </w:rPr>
        <w:t xml:space="preserve"> </w:t>
      </w:r>
      <w:r w:rsidRPr="00714735">
        <w:rPr>
          <w:b/>
        </w:rPr>
        <w:t xml:space="preserve">Politikas plānošanas dokumenti </w:t>
      </w:r>
      <w:r w:rsidR="007A36B8" w:rsidRPr="00B06C30">
        <w:rPr>
          <w:b/>
        </w:rPr>
        <w:t xml:space="preserve">nacionālā </w:t>
      </w:r>
      <w:r w:rsidR="007A36B8" w:rsidRPr="00714735">
        <w:rPr>
          <w:b/>
        </w:rPr>
        <w:t>līmenī</w:t>
      </w:r>
    </w:p>
    <w:p w:rsidR="00336942" w:rsidRDefault="00336942" w:rsidP="00A6262A">
      <w:pPr>
        <w:rPr>
          <w:b/>
        </w:rPr>
      </w:pPr>
    </w:p>
    <w:p w:rsidR="00403ECB" w:rsidRDefault="00B06C30" w:rsidP="00B06C30">
      <w:pPr>
        <w:pStyle w:val="parastais0"/>
        <w:spacing w:before="0" w:beforeAutospacing="0" w:after="0" w:afterAutospacing="0"/>
        <w:ind w:firstLine="720"/>
        <w:jc w:val="both"/>
        <w:rPr>
          <w:rStyle w:val="izc0113lumschar"/>
        </w:rPr>
      </w:pPr>
      <w:r>
        <w:rPr>
          <w:rStyle w:val="izc0113lumschar"/>
        </w:rPr>
        <w:t>Vidusskolas</w:t>
      </w:r>
      <w:r w:rsidRPr="00714735">
        <w:rPr>
          <w:rStyle w:val="izc0113lumschar"/>
        </w:rPr>
        <w:t xml:space="preserve"> tālākā attīstība iezīmēta </w:t>
      </w:r>
      <w:r>
        <w:rPr>
          <w:rStyle w:val="izc0113lumschar"/>
        </w:rPr>
        <w:t>šādos</w:t>
      </w:r>
      <w:r w:rsidRPr="00714735">
        <w:rPr>
          <w:rStyle w:val="izc0113lumschar"/>
        </w:rPr>
        <w:t xml:space="preserve"> nacionāla līmeņa politikas plānošanas dokumentos: </w:t>
      </w:r>
    </w:p>
    <w:p w:rsidR="00EA1DD7" w:rsidRDefault="00EA1DD7" w:rsidP="00B06C30">
      <w:pPr>
        <w:pStyle w:val="parastais0"/>
        <w:spacing w:before="0" w:beforeAutospacing="0" w:after="0" w:afterAutospacing="0"/>
        <w:ind w:firstLine="720"/>
        <w:jc w:val="both"/>
        <w:rPr>
          <w:rStyle w:val="izc0113lumschar"/>
        </w:rPr>
      </w:pPr>
    </w:p>
    <w:p w:rsidR="00061DD8" w:rsidRPr="00714735" w:rsidRDefault="00061DD8">
      <w:pPr>
        <w:ind w:firstLine="720"/>
        <w:jc w:val="both"/>
        <w:rPr>
          <w:rStyle w:val="Izteiksmgs"/>
          <w:b w:val="0"/>
          <w:sz w:val="22"/>
          <w:szCs w:val="22"/>
        </w:rPr>
      </w:pPr>
      <w:r w:rsidRPr="00714735">
        <w:rPr>
          <w:rStyle w:val="Izteiksmgs"/>
        </w:rPr>
        <w:t>Latvijas ilgtspējīgas attīstības stratēģija līdz 2030.</w:t>
      </w:r>
      <w:r w:rsidR="00415A6A" w:rsidRPr="00714735">
        <w:rPr>
          <w:rStyle w:val="Izteiksmgs"/>
        </w:rPr>
        <w:t>g</w:t>
      </w:r>
      <w:r w:rsidRPr="00714735">
        <w:rPr>
          <w:rStyle w:val="Izteiksmgs"/>
        </w:rPr>
        <w:t>adam</w:t>
      </w:r>
      <w:r w:rsidR="00415A6A" w:rsidRPr="00714735">
        <w:rPr>
          <w:rStyle w:val="Izteiksmgs"/>
        </w:rPr>
        <w:t xml:space="preserve"> </w:t>
      </w:r>
      <w:r w:rsidR="00415A6A" w:rsidRPr="00714735">
        <w:rPr>
          <w:rStyle w:val="Izteiksmgs"/>
          <w:b w:val="0"/>
        </w:rPr>
        <w:t>par 1.prioritāti</w:t>
      </w:r>
      <w:r w:rsidR="00B06C30">
        <w:rPr>
          <w:rStyle w:val="Izteiksmgs"/>
          <w:b w:val="0"/>
        </w:rPr>
        <w:t xml:space="preserve"> „Kultūras telpas attīstība”</w:t>
      </w:r>
      <w:r w:rsidR="00415A6A" w:rsidRPr="00714735">
        <w:rPr>
          <w:rStyle w:val="Izteiksmgs"/>
          <w:b w:val="0"/>
        </w:rPr>
        <w:t xml:space="preserve"> atzīst Kultūras telpas </w:t>
      </w:r>
      <w:r w:rsidR="003C292C">
        <w:rPr>
          <w:rStyle w:val="Izteiksmgs"/>
          <w:b w:val="0"/>
        </w:rPr>
        <w:t xml:space="preserve">saglabāšanu, mijiedarbību un bagātināšanu </w:t>
      </w:r>
      <w:r w:rsidR="00415A6A" w:rsidRPr="00714735">
        <w:rPr>
          <w:rStyle w:val="Izteiksmgs"/>
          <w:b w:val="0"/>
        </w:rPr>
        <w:t>ar mērķi – saglabāt un attīstīt Latvijas kultūras kapitālu un veicināt piederības izjūtu Latvijai</w:t>
      </w:r>
      <w:r w:rsidR="003C292C">
        <w:rPr>
          <w:rStyle w:val="Izteiksmgs"/>
          <w:b w:val="0"/>
        </w:rPr>
        <w:t>,</w:t>
      </w:r>
      <w:r w:rsidR="00415A6A" w:rsidRPr="00714735">
        <w:rPr>
          <w:rStyle w:val="Izteiksmgs"/>
          <w:b w:val="0"/>
        </w:rPr>
        <w:t xml:space="preserve"> attīstot </w:t>
      </w:r>
      <w:r w:rsidR="00415A6A" w:rsidRPr="00714735">
        <w:rPr>
          <w:rStyle w:val="Izteiksmgs"/>
          <w:b w:val="0"/>
        </w:rPr>
        <w:lastRenderedPageBreak/>
        <w:t xml:space="preserve">sabiedrības radošumā balstītu konkurētspējīgu nacionālo identitāti un veicināt kvalitatīvu kultūrvidi. </w:t>
      </w:r>
    </w:p>
    <w:p w:rsidR="00415A6A" w:rsidRPr="00714735" w:rsidRDefault="00415A6A" w:rsidP="003C292C">
      <w:pPr>
        <w:ind w:firstLine="720"/>
        <w:jc w:val="both"/>
      </w:pPr>
      <w:r w:rsidRPr="00714735">
        <w:rPr>
          <w:bCs/>
        </w:rPr>
        <w:t>Latvijas ilgtspējīgas attīstības stratēģij</w:t>
      </w:r>
      <w:r w:rsidR="003C292C">
        <w:rPr>
          <w:bCs/>
        </w:rPr>
        <w:t xml:space="preserve">ā līdz 2030.gadam kā vienu no iespējamiem risinājumiem piederības izjūtas Latvijas kultūras telpai stiprināšanai paredz </w:t>
      </w:r>
      <w:r w:rsidRPr="00714735">
        <w:rPr>
          <w:bCs/>
        </w:rPr>
        <w:t xml:space="preserve">(57) </w:t>
      </w:r>
      <w:r w:rsidRPr="00714735">
        <w:rPr>
          <w:bCs/>
          <w:i/>
        </w:rPr>
        <w:t xml:space="preserve">Kultūras eksporta un kultūras diplomātijas </w:t>
      </w:r>
      <w:r w:rsidR="003C292C" w:rsidRPr="00714735">
        <w:rPr>
          <w:bCs/>
          <w:i/>
        </w:rPr>
        <w:t>veicināšan</w:t>
      </w:r>
      <w:r w:rsidR="003C292C">
        <w:rPr>
          <w:bCs/>
          <w:i/>
        </w:rPr>
        <w:t xml:space="preserve">u: </w:t>
      </w:r>
      <w:r w:rsidRPr="00714735">
        <w:t>(..) Veidojot konkurētspējīgu kultūrizglītības programmu piedāvājumu mūzikā, vizuālajā mākslā, kino, arhitektūrā u.c., Latvijai paveras salīdzinoši labas iespējas eksportēt arī profesionālo vidēju un augstāko izglītību kultūras un radošajās profesijās</w:t>
      </w:r>
      <w:r w:rsidR="003C292C">
        <w:t xml:space="preserve">, un </w:t>
      </w:r>
      <w:r w:rsidR="003C292C">
        <w:rPr>
          <w:bCs/>
        </w:rPr>
        <w:t>kā vienu no iespējamiem risinājumiem radošās sabiedrības veidošanā paredz</w:t>
      </w:r>
      <w:r w:rsidR="003C292C">
        <w:rPr>
          <w:i/>
        </w:rPr>
        <w:t xml:space="preserve"> </w:t>
      </w:r>
      <w:r w:rsidRPr="00714735">
        <w:rPr>
          <w:i/>
        </w:rPr>
        <w:t>(58) Kultūrizglītība ikviena indivīda radošo spēju attīstīšanai</w:t>
      </w:r>
      <w:r w:rsidR="00220065">
        <w:rPr>
          <w:i/>
        </w:rPr>
        <w:t xml:space="preserve">: </w:t>
      </w:r>
      <w:r w:rsidRPr="00714735">
        <w:t xml:space="preserve">Viens no svarīgākajiem līdzekļiem radoša indivīda un radošas </w:t>
      </w:r>
      <w:r w:rsidR="005F6116" w:rsidRPr="00714735">
        <w:t>sabied</w:t>
      </w:r>
      <w:r w:rsidR="005F6116">
        <w:t>rī</w:t>
      </w:r>
      <w:r w:rsidR="005F6116" w:rsidRPr="00714735">
        <w:t xml:space="preserve">bas </w:t>
      </w:r>
      <w:r w:rsidRPr="00714735">
        <w:t>veidošanā ir kultūrizglītība. Māksla un kultūra ir ātrākais veids, kā atvērt un attīstīt cilvēka radošās spējas. Mūzikas un mākslas skola ir nozīmīga kultūrizglītības sastāvdaļa Latvijā. Kultūrizglītība plašā izpratnē aptver ne tikai profesionālo izglītību mūzikas, mākslas un kultūras nozarēs, bet nodrošina arī indivīda mūžizglītības vajadzības</w:t>
      </w:r>
      <w:r w:rsidR="00321259">
        <w:t xml:space="preserve"> </w:t>
      </w:r>
      <w:r w:rsidR="005116B5">
        <w:t>(..)</w:t>
      </w:r>
      <w:r w:rsidRPr="00714735">
        <w:t>.</w:t>
      </w:r>
      <w:r w:rsidR="00220065">
        <w:t xml:space="preserve"> </w:t>
      </w:r>
    </w:p>
    <w:p w:rsidR="00415A6A" w:rsidRPr="00714735" w:rsidRDefault="00415A6A">
      <w:pPr>
        <w:ind w:firstLine="720"/>
        <w:jc w:val="both"/>
      </w:pPr>
    </w:p>
    <w:p w:rsidR="0009758B" w:rsidRPr="00714735" w:rsidRDefault="00403ECB" w:rsidP="00321259">
      <w:pPr>
        <w:ind w:firstLine="720"/>
        <w:jc w:val="both"/>
        <w:rPr>
          <w:b/>
          <w:bCs/>
        </w:rPr>
      </w:pPr>
      <w:r w:rsidRPr="00714735">
        <w:rPr>
          <w:b/>
        </w:rPr>
        <w:t xml:space="preserve">Nacionālais attīstības plāns </w:t>
      </w:r>
      <w:r w:rsidR="00321259">
        <w:rPr>
          <w:b/>
          <w:bCs/>
        </w:rPr>
        <w:t xml:space="preserve">2014. – </w:t>
      </w:r>
      <w:r w:rsidR="0009758B" w:rsidRPr="00714735">
        <w:rPr>
          <w:b/>
          <w:bCs/>
        </w:rPr>
        <w:t xml:space="preserve">2020.gadam </w:t>
      </w:r>
    </w:p>
    <w:p w:rsidR="00EF6240" w:rsidRPr="00714735" w:rsidRDefault="00220065" w:rsidP="00220065">
      <w:pPr>
        <w:ind w:firstLine="720"/>
        <w:jc w:val="both"/>
      </w:pPr>
      <w:r>
        <w:rPr>
          <w:bCs/>
        </w:rPr>
        <w:t xml:space="preserve">[289] </w:t>
      </w:r>
      <w:r w:rsidR="0009758B" w:rsidRPr="00714735">
        <w:rPr>
          <w:bCs/>
        </w:rPr>
        <w:t xml:space="preserve">Rīcības </w:t>
      </w:r>
      <w:r w:rsidRPr="00714735">
        <w:rPr>
          <w:bCs/>
        </w:rPr>
        <w:t>virzien</w:t>
      </w:r>
      <w:r>
        <w:rPr>
          <w:bCs/>
        </w:rPr>
        <w:t>a „</w:t>
      </w:r>
      <w:r w:rsidR="0009758B" w:rsidRPr="00714735">
        <w:rPr>
          <w:bCs/>
        </w:rPr>
        <w:t>Kompetenču attīstība</w:t>
      </w:r>
      <w:r>
        <w:rPr>
          <w:bCs/>
        </w:rPr>
        <w:t>”</w:t>
      </w:r>
      <w:r w:rsidR="005F6116" w:rsidRPr="00714735">
        <w:rPr>
          <w:bCs/>
        </w:rPr>
        <w:t xml:space="preserve"> </w:t>
      </w:r>
      <w:r>
        <w:rPr>
          <w:bCs/>
        </w:rPr>
        <w:t xml:space="preserve">ietvaros veicamais </w:t>
      </w:r>
      <w:r w:rsidR="00EF6240" w:rsidRPr="00714735">
        <w:rPr>
          <w:bCs/>
        </w:rPr>
        <w:t>uzdevums</w:t>
      </w:r>
      <w:r w:rsidR="0009758B" w:rsidRPr="00714735">
        <w:rPr>
          <w:bCs/>
        </w:rPr>
        <w:t xml:space="preserve"> </w:t>
      </w:r>
      <w:r>
        <w:rPr>
          <w:bCs/>
        </w:rPr>
        <w:t>Nr.2 [291] „</w:t>
      </w:r>
      <w:r w:rsidR="0009758B" w:rsidRPr="00714735">
        <w:rPr>
          <w:bCs/>
        </w:rPr>
        <w:t>Iespēju radīšana talantu atklāšanai un izkopšanai, t.sk. atbalsts jauniešu tehniskās jaunrades centriem, skolēnu vasaras mācību nometņu, zinātnisko semināru, konkursu un zinātnisko projektu nodrošināšana</w:t>
      </w:r>
      <w:r>
        <w:rPr>
          <w:bCs/>
        </w:rPr>
        <w:t>”</w:t>
      </w:r>
      <w:r w:rsidR="005F6116" w:rsidRPr="00714735">
        <w:t xml:space="preserve">, </w:t>
      </w:r>
      <w:r w:rsidR="00EF6240" w:rsidRPr="00714735">
        <w:t xml:space="preserve">kā arī </w:t>
      </w:r>
      <w:r>
        <w:t>uzdevums Nr.1 [290] „I</w:t>
      </w:r>
      <w:r w:rsidR="00EF6240" w:rsidRPr="00714735">
        <w:t>novatīvu mācību satura un darba formu ieviešana radošuma un uzņēmējspēju veicināšanai pamatizglītībā un vispārējā vidējā izglītībā – digitālā mācību, mūsdienīga svešvalodu apguve, dabas zinātņu un sociālo zinātņu mācību satura pilnveidošana, karjeras izglītības sistēmas nostiprināšana</w:t>
      </w:r>
      <w:r>
        <w:t>”</w:t>
      </w:r>
      <w:r w:rsidR="00EF6240" w:rsidRPr="00714735">
        <w:t xml:space="preserve">. </w:t>
      </w:r>
    </w:p>
    <w:p w:rsidR="00403ECB" w:rsidRPr="00714735" w:rsidRDefault="00403ECB">
      <w:pPr>
        <w:ind w:firstLine="720"/>
        <w:jc w:val="both"/>
        <w:rPr>
          <w:b/>
        </w:rPr>
      </w:pPr>
    </w:p>
    <w:p w:rsidR="00064D68" w:rsidRPr="00714735" w:rsidRDefault="00064D68">
      <w:pPr>
        <w:ind w:firstLine="720"/>
        <w:jc w:val="both"/>
      </w:pPr>
      <w:r w:rsidRPr="00714735">
        <w:rPr>
          <w:b/>
        </w:rPr>
        <w:t xml:space="preserve">Kultūrpolitikas pamatnostādnes 2014. – 2020.gadam „Radošā Latvija” </w:t>
      </w:r>
      <w:r w:rsidRPr="00714735">
        <w:t xml:space="preserve">(turpmāk </w:t>
      </w:r>
      <w:r w:rsidRPr="00714735">
        <w:rPr>
          <w:bCs/>
        </w:rPr>
        <w:t>– pamatnostādnes</w:t>
      </w:r>
      <w:r w:rsidRPr="00714735">
        <w:t>) ir vidēja termiņa politikas plānošanas dokuments, kas nosaka valsts kultūrpolitikas mērķus un prioritātes laika periodam līdz 2020.gadam un sekmē valsts ilgtermiņa un vidēja termiņa politikas plānošanas dokumentos izvirzīto mērķu sasniegšanu.</w:t>
      </w:r>
    </w:p>
    <w:p w:rsidR="00064D68" w:rsidRPr="00714735" w:rsidRDefault="00064D68" w:rsidP="005116B5">
      <w:pPr>
        <w:ind w:firstLine="709"/>
        <w:jc w:val="both"/>
        <w:rPr>
          <w:b/>
        </w:rPr>
      </w:pPr>
      <w:r w:rsidRPr="00714735">
        <w:t>Pamatnostādņu virsmērķis</w:t>
      </w:r>
      <w:r w:rsidRPr="00714735">
        <w:rPr>
          <w:b/>
        </w:rPr>
        <w:t xml:space="preserve"> </w:t>
      </w:r>
      <w:r w:rsidRPr="00714735">
        <w:t>ir veidot</w:t>
      </w:r>
      <w:r w:rsidRPr="00714735">
        <w:rPr>
          <w:b/>
        </w:rPr>
        <w:t xml:space="preserve"> </w:t>
      </w:r>
      <w:r w:rsidRPr="00714735">
        <w:t>Latviju par zemi ar bagātu un koptu kultūras mantojumu, vitālu un daudzveidīgu kultūras dzīvi, radošiem cilvēkiem, konkurētspējīgām radošajām industrijām un augšupejošu dzīves kvalitāti ikvienam</w:t>
      </w:r>
      <w:r w:rsidRPr="00714735">
        <w:rPr>
          <w:b/>
        </w:rPr>
        <w:t>.</w:t>
      </w:r>
    </w:p>
    <w:p w:rsidR="00064D68" w:rsidRPr="00714735" w:rsidRDefault="00064D68">
      <w:pPr>
        <w:ind w:firstLine="720"/>
        <w:jc w:val="both"/>
      </w:pPr>
      <w:r w:rsidRPr="00714735">
        <w:t xml:space="preserve">Pamatnostādnēs ir definētas četras prioritātes (stratēģiskie mērķi) politikas mērķa sasniegšanai. </w:t>
      </w:r>
    </w:p>
    <w:p w:rsidR="00064D68" w:rsidRPr="00714735" w:rsidRDefault="005116B5">
      <w:pPr>
        <w:ind w:firstLine="720"/>
        <w:jc w:val="both"/>
        <w:rPr>
          <w:iCs/>
        </w:rPr>
      </w:pPr>
      <w:r>
        <w:rPr>
          <w:iCs/>
        </w:rPr>
        <w:t>Vidusskolas</w:t>
      </w:r>
      <w:r w:rsidRPr="00714735">
        <w:rPr>
          <w:iCs/>
        </w:rPr>
        <w:t xml:space="preserve"> </w:t>
      </w:r>
      <w:r w:rsidR="00064D68" w:rsidRPr="00714735">
        <w:rPr>
          <w:iCs/>
        </w:rPr>
        <w:t xml:space="preserve">stratēģijas 2015. – 2020.gadam atbilstība </w:t>
      </w:r>
      <w:r>
        <w:rPr>
          <w:iCs/>
        </w:rPr>
        <w:t>p</w:t>
      </w:r>
      <w:r w:rsidR="00064D68" w:rsidRPr="00714735">
        <w:rPr>
          <w:iCs/>
        </w:rPr>
        <w:t xml:space="preserve">amatnostādņu prioritātēm un </w:t>
      </w:r>
      <w:r w:rsidR="006421C0" w:rsidRPr="00714735">
        <w:rPr>
          <w:iCs/>
        </w:rPr>
        <w:t>rīcības virzieniem ir apkopota 2</w:t>
      </w:r>
      <w:r w:rsidR="00064D68" w:rsidRPr="00714735">
        <w:rPr>
          <w:iCs/>
        </w:rPr>
        <w:t>.tabulā.</w:t>
      </w:r>
    </w:p>
    <w:p w:rsidR="00E43465" w:rsidRDefault="00E43465">
      <w:pPr>
        <w:numPr>
          <w:ilvl w:val="1"/>
          <w:numId w:val="0"/>
        </w:numPr>
        <w:jc w:val="right"/>
        <w:rPr>
          <w:b/>
          <w:iCs/>
          <w:spacing w:val="15"/>
        </w:rPr>
      </w:pPr>
    </w:p>
    <w:p w:rsidR="00064D68" w:rsidRPr="00336942" w:rsidRDefault="0089631D">
      <w:pPr>
        <w:numPr>
          <w:ilvl w:val="1"/>
          <w:numId w:val="0"/>
        </w:numPr>
        <w:jc w:val="right"/>
        <w:rPr>
          <w:b/>
          <w:iCs/>
        </w:rPr>
      </w:pPr>
      <w:r w:rsidRPr="00336942">
        <w:rPr>
          <w:b/>
          <w:iCs/>
        </w:rPr>
        <w:t>2</w:t>
      </w:r>
      <w:r w:rsidR="00064D68" w:rsidRPr="00336942">
        <w:rPr>
          <w:b/>
          <w:iCs/>
        </w:rPr>
        <w:t>.tabula</w:t>
      </w:r>
    </w:p>
    <w:p w:rsidR="00336942" w:rsidRPr="00336942" w:rsidRDefault="00336942">
      <w:pPr>
        <w:numPr>
          <w:ilvl w:val="1"/>
          <w:numId w:val="0"/>
        </w:numPr>
        <w:jc w:val="right"/>
        <w:rPr>
          <w:b/>
          <w:iCs/>
        </w:rPr>
      </w:pPr>
    </w:p>
    <w:p w:rsidR="00064D68" w:rsidRPr="00336942" w:rsidRDefault="005116B5">
      <w:pPr>
        <w:jc w:val="center"/>
        <w:rPr>
          <w:b/>
          <w:iCs/>
        </w:rPr>
      </w:pPr>
      <w:r w:rsidRPr="00336942">
        <w:rPr>
          <w:b/>
        </w:rPr>
        <w:t>Kultūrpolitikas pamatnostādņu 2014. – 2020.gadam</w:t>
      </w:r>
      <w:r w:rsidRPr="00336942">
        <w:rPr>
          <w:b/>
          <w:iCs/>
        </w:rPr>
        <w:t xml:space="preserve"> </w:t>
      </w:r>
      <w:r w:rsidR="00064D68" w:rsidRPr="00336942">
        <w:rPr>
          <w:b/>
          <w:iCs/>
        </w:rPr>
        <w:t>„Radošā Latvija” prioritātes un atbilstīgie rīcības virzieni</w:t>
      </w:r>
    </w:p>
    <w:p w:rsidR="00336942" w:rsidRPr="00714735" w:rsidRDefault="00336942">
      <w:pPr>
        <w:jc w:val="center"/>
        <w:rPr>
          <w:iCs/>
        </w:rPr>
      </w:pPr>
    </w:p>
    <w:tbl>
      <w:tblPr>
        <w:tblStyle w:val="Gaissarakstsizclums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237"/>
      </w:tblGrid>
      <w:tr w:rsidR="00064D68" w:rsidRPr="00336942" w:rsidTr="006B68C5">
        <w:trPr>
          <w:cnfStyle w:val="100000000000"/>
          <w:tblHeader/>
        </w:trPr>
        <w:tc>
          <w:tcPr>
            <w:cnfStyle w:val="001000000000"/>
            <w:tcW w:w="2943" w:type="dxa"/>
            <w:shd w:val="clear" w:color="auto" w:fill="0099CC"/>
          </w:tcPr>
          <w:p w:rsidR="00064D68" w:rsidRPr="00336942" w:rsidRDefault="00064D68">
            <w:pPr>
              <w:jc w:val="center"/>
              <w:rPr>
                <w:iCs/>
                <w:color w:val="auto"/>
                <w:sz w:val="24"/>
                <w:szCs w:val="24"/>
              </w:rPr>
            </w:pPr>
            <w:r w:rsidRPr="00336942">
              <w:rPr>
                <w:iCs/>
                <w:color w:val="auto"/>
                <w:sz w:val="24"/>
                <w:szCs w:val="24"/>
              </w:rPr>
              <w:t>Prioritāte</w:t>
            </w:r>
          </w:p>
        </w:tc>
        <w:tc>
          <w:tcPr>
            <w:tcW w:w="6237" w:type="dxa"/>
            <w:shd w:val="clear" w:color="auto" w:fill="0099CC"/>
          </w:tcPr>
          <w:p w:rsidR="00064D68" w:rsidRPr="00336942" w:rsidRDefault="00064D68">
            <w:pPr>
              <w:jc w:val="center"/>
              <w:cnfStyle w:val="100000000000"/>
              <w:rPr>
                <w:iCs/>
                <w:color w:val="auto"/>
                <w:sz w:val="24"/>
                <w:szCs w:val="24"/>
              </w:rPr>
            </w:pPr>
            <w:r w:rsidRPr="00336942">
              <w:rPr>
                <w:iCs/>
                <w:color w:val="auto"/>
                <w:sz w:val="24"/>
                <w:szCs w:val="24"/>
              </w:rPr>
              <w:t>Atbilstīgie rīcības virzieni</w:t>
            </w:r>
          </w:p>
        </w:tc>
      </w:tr>
      <w:tr w:rsidR="00064D68" w:rsidRPr="00336942" w:rsidTr="00336942">
        <w:trPr>
          <w:cnfStyle w:val="000000100000"/>
        </w:trPr>
        <w:tc>
          <w:tcPr>
            <w:cnfStyle w:val="001000000000"/>
            <w:tcW w:w="2943" w:type="dxa"/>
            <w:tcBorders>
              <w:top w:val="none" w:sz="0" w:space="0" w:color="auto"/>
              <w:left w:val="none" w:sz="0" w:space="0" w:color="auto"/>
              <w:bottom w:val="none" w:sz="0" w:space="0" w:color="auto"/>
            </w:tcBorders>
          </w:tcPr>
          <w:p w:rsidR="00064D68" w:rsidRPr="00336942" w:rsidRDefault="00064D68" w:rsidP="005116B5">
            <w:pPr>
              <w:jc w:val="both"/>
              <w:rPr>
                <w:iCs/>
                <w:sz w:val="24"/>
                <w:szCs w:val="24"/>
              </w:rPr>
            </w:pPr>
            <w:r w:rsidRPr="00336942">
              <w:rPr>
                <w:sz w:val="24"/>
                <w:szCs w:val="24"/>
              </w:rPr>
              <w:t>Kultūras kapitāla saglabāšana un attīstība, sabiedrībai līdzdarbojoties kultūras procesos</w:t>
            </w:r>
          </w:p>
        </w:tc>
        <w:tc>
          <w:tcPr>
            <w:tcW w:w="6237" w:type="dxa"/>
            <w:tcBorders>
              <w:top w:val="none" w:sz="0" w:space="0" w:color="auto"/>
              <w:bottom w:val="none" w:sz="0" w:space="0" w:color="auto"/>
              <w:right w:val="none" w:sz="0" w:space="0" w:color="auto"/>
            </w:tcBorders>
          </w:tcPr>
          <w:p w:rsidR="00251966" w:rsidRPr="00336942" w:rsidRDefault="00064D68" w:rsidP="00336942">
            <w:pPr>
              <w:numPr>
                <w:ilvl w:val="0"/>
                <w:numId w:val="9"/>
              </w:numPr>
              <w:ind w:left="0"/>
              <w:contextualSpacing/>
              <w:jc w:val="both"/>
              <w:cnfStyle w:val="000000100000"/>
              <w:rPr>
                <w:sz w:val="24"/>
                <w:szCs w:val="24"/>
              </w:rPr>
            </w:pPr>
            <w:r w:rsidRPr="00336942">
              <w:rPr>
                <w:sz w:val="24"/>
                <w:szCs w:val="24"/>
              </w:rPr>
              <w:t>Labvēlīgas vides veidošana jaunu kultūras vērtību radīšanai, mantoto kultūras vērtību saglabāšanai un pieejamībai</w:t>
            </w:r>
            <w:r w:rsidR="00336942">
              <w:rPr>
                <w:sz w:val="24"/>
                <w:szCs w:val="24"/>
              </w:rPr>
              <w:t>.</w:t>
            </w:r>
          </w:p>
          <w:p w:rsidR="00251966" w:rsidRPr="00336942" w:rsidRDefault="00064D68" w:rsidP="00336942">
            <w:pPr>
              <w:numPr>
                <w:ilvl w:val="0"/>
                <w:numId w:val="9"/>
              </w:numPr>
              <w:ind w:left="0"/>
              <w:contextualSpacing/>
              <w:jc w:val="both"/>
              <w:cnfStyle w:val="000000100000"/>
              <w:rPr>
                <w:iCs/>
                <w:sz w:val="24"/>
                <w:szCs w:val="24"/>
              </w:rPr>
            </w:pPr>
            <w:r w:rsidRPr="00336942">
              <w:rPr>
                <w:bCs/>
                <w:sz w:val="24"/>
                <w:szCs w:val="24"/>
              </w:rPr>
              <w:t xml:space="preserve">Cilvēkresursu attīstība un efektīva </w:t>
            </w:r>
            <w:r w:rsidRPr="00336942">
              <w:rPr>
                <w:sz w:val="24"/>
                <w:szCs w:val="24"/>
              </w:rPr>
              <w:t>kultūrpārvaldība</w:t>
            </w:r>
            <w:r w:rsidR="00336942">
              <w:rPr>
                <w:sz w:val="24"/>
                <w:szCs w:val="24"/>
              </w:rPr>
              <w:t>.</w:t>
            </w:r>
          </w:p>
        </w:tc>
      </w:tr>
      <w:tr w:rsidR="00064D68" w:rsidRPr="00336942" w:rsidTr="00336942">
        <w:tc>
          <w:tcPr>
            <w:cnfStyle w:val="001000000000"/>
            <w:tcW w:w="2943" w:type="dxa"/>
          </w:tcPr>
          <w:p w:rsidR="00064D68" w:rsidRPr="00336942" w:rsidRDefault="00064D68" w:rsidP="005116B5">
            <w:pPr>
              <w:jc w:val="both"/>
              <w:rPr>
                <w:iCs/>
                <w:sz w:val="24"/>
                <w:szCs w:val="24"/>
              </w:rPr>
            </w:pPr>
            <w:r w:rsidRPr="00336942">
              <w:rPr>
                <w:sz w:val="24"/>
                <w:szCs w:val="24"/>
              </w:rPr>
              <w:t>Radošums mūžizglītībā un uz darba tirgu orientēta kultūrizglītība</w:t>
            </w:r>
          </w:p>
        </w:tc>
        <w:tc>
          <w:tcPr>
            <w:tcW w:w="6237" w:type="dxa"/>
          </w:tcPr>
          <w:p w:rsidR="00251966" w:rsidRPr="00336942" w:rsidRDefault="00064D68" w:rsidP="00336942">
            <w:pPr>
              <w:numPr>
                <w:ilvl w:val="0"/>
                <w:numId w:val="11"/>
              </w:numPr>
              <w:ind w:left="0"/>
              <w:contextualSpacing/>
              <w:jc w:val="both"/>
              <w:cnfStyle w:val="000000000000"/>
              <w:rPr>
                <w:sz w:val="24"/>
                <w:szCs w:val="24"/>
              </w:rPr>
            </w:pPr>
            <w:r w:rsidRPr="00336942">
              <w:rPr>
                <w:sz w:val="24"/>
                <w:szCs w:val="24"/>
              </w:rPr>
              <w:t>Personību attīstoša mūžizglītība, īpaši radošuma attīstīšana bērnu un jauniešu    vispārējā formālajā un neformālajā izglītībā</w:t>
            </w:r>
            <w:r w:rsidR="00336942">
              <w:rPr>
                <w:sz w:val="24"/>
                <w:szCs w:val="24"/>
              </w:rPr>
              <w:t>.</w:t>
            </w:r>
          </w:p>
          <w:p w:rsidR="00251966" w:rsidRPr="00336942" w:rsidRDefault="00064D68" w:rsidP="00336942">
            <w:pPr>
              <w:numPr>
                <w:ilvl w:val="0"/>
                <w:numId w:val="11"/>
              </w:numPr>
              <w:ind w:left="0"/>
              <w:contextualSpacing/>
              <w:jc w:val="both"/>
              <w:cnfStyle w:val="000000000000"/>
              <w:rPr>
                <w:sz w:val="24"/>
                <w:szCs w:val="24"/>
              </w:rPr>
            </w:pPr>
            <w:r w:rsidRPr="00336942">
              <w:rPr>
                <w:sz w:val="24"/>
                <w:szCs w:val="24"/>
              </w:rPr>
              <w:t>Kvalitāte un izcilība vidējā profesionālajā kultūrizglītībā</w:t>
            </w:r>
            <w:r w:rsidR="00336942">
              <w:rPr>
                <w:sz w:val="24"/>
                <w:szCs w:val="24"/>
              </w:rPr>
              <w:t>.</w:t>
            </w:r>
          </w:p>
          <w:p w:rsidR="00251966" w:rsidRPr="00336942" w:rsidRDefault="00064D68" w:rsidP="00336942">
            <w:pPr>
              <w:numPr>
                <w:ilvl w:val="0"/>
                <w:numId w:val="11"/>
              </w:numPr>
              <w:ind w:left="0"/>
              <w:contextualSpacing/>
              <w:jc w:val="both"/>
              <w:cnfStyle w:val="000000000000"/>
              <w:rPr>
                <w:iCs/>
                <w:sz w:val="24"/>
                <w:szCs w:val="24"/>
              </w:rPr>
            </w:pPr>
            <w:r w:rsidRPr="00336942">
              <w:rPr>
                <w:sz w:val="24"/>
                <w:szCs w:val="24"/>
              </w:rPr>
              <w:lastRenderedPageBreak/>
              <w:t>Darba tirgum pielāgota profesionālā tālākizglītība</w:t>
            </w:r>
            <w:r w:rsidR="00336942">
              <w:rPr>
                <w:sz w:val="24"/>
                <w:szCs w:val="24"/>
              </w:rPr>
              <w:t>.</w:t>
            </w:r>
          </w:p>
        </w:tc>
      </w:tr>
      <w:tr w:rsidR="00064D68" w:rsidRPr="00336942" w:rsidTr="00336942">
        <w:trPr>
          <w:cnfStyle w:val="000000100000"/>
        </w:trPr>
        <w:tc>
          <w:tcPr>
            <w:cnfStyle w:val="001000000000"/>
            <w:tcW w:w="2943" w:type="dxa"/>
            <w:tcBorders>
              <w:top w:val="none" w:sz="0" w:space="0" w:color="auto"/>
              <w:left w:val="none" w:sz="0" w:space="0" w:color="auto"/>
              <w:bottom w:val="none" w:sz="0" w:space="0" w:color="auto"/>
            </w:tcBorders>
          </w:tcPr>
          <w:p w:rsidR="00064D68" w:rsidRPr="00336942" w:rsidRDefault="00064D68" w:rsidP="005116B5">
            <w:pPr>
              <w:jc w:val="both"/>
              <w:rPr>
                <w:iCs/>
                <w:sz w:val="24"/>
                <w:szCs w:val="24"/>
              </w:rPr>
            </w:pPr>
            <w:r w:rsidRPr="00336942">
              <w:rPr>
                <w:sz w:val="24"/>
                <w:szCs w:val="24"/>
              </w:rPr>
              <w:lastRenderedPageBreak/>
              <w:t>Konkurētspējīgas kultūras un radošās industrijas</w:t>
            </w:r>
          </w:p>
        </w:tc>
        <w:tc>
          <w:tcPr>
            <w:tcW w:w="6237" w:type="dxa"/>
            <w:tcBorders>
              <w:top w:val="none" w:sz="0" w:space="0" w:color="auto"/>
              <w:bottom w:val="none" w:sz="0" w:space="0" w:color="auto"/>
              <w:right w:val="none" w:sz="0" w:space="0" w:color="auto"/>
            </w:tcBorders>
          </w:tcPr>
          <w:p w:rsidR="00251966" w:rsidRPr="00336942" w:rsidRDefault="00064D68" w:rsidP="00336942">
            <w:pPr>
              <w:numPr>
                <w:ilvl w:val="0"/>
                <w:numId w:val="12"/>
              </w:numPr>
              <w:ind w:left="0"/>
              <w:contextualSpacing/>
              <w:jc w:val="both"/>
              <w:cnfStyle w:val="000000100000"/>
              <w:rPr>
                <w:sz w:val="24"/>
                <w:szCs w:val="24"/>
              </w:rPr>
            </w:pPr>
            <w:r w:rsidRPr="00336942">
              <w:rPr>
                <w:sz w:val="24"/>
                <w:szCs w:val="24"/>
              </w:rPr>
              <w:t>Radošo industriju sektora konkurētspēja un eksports.</w:t>
            </w:r>
          </w:p>
          <w:p w:rsidR="00251966" w:rsidRPr="00336942" w:rsidRDefault="00064D68" w:rsidP="00336942">
            <w:pPr>
              <w:numPr>
                <w:ilvl w:val="0"/>
                <w:numId w:val="12"/>
              </w:numPr>
              <w:ind w:left="0"/>
              <w:contextualSpacing/>
              <w:jc w:val="both"/>
              <w:cnfStyle w:val="000000100000"/>
              <w:rPr>
                <w:iCs/>
                <w:sz w:val="24"/>
                <w:szCs w:val="24"/>
              </w:rPr>
            </w:pPr>
            <w:r w:rsidRPr="00336942">
              <w:rPr>
                <w:sz w:val="24"/>
                <w:szCs w:val="24"/>
              </w:rPr>
              <w:t>Inovācijām labvēlīgas infrastruktūras un vides attīstība</w:t>
            </w:r>
          </w:p>
        </w:tc>
      </w:tr>
      <w:tr w:rsidR="00064D68" w:rsidRPr="00336942" w:rsidTr="00336942">
        <w:tc>
          <w:tcPr>
            <w:cnfStyle w:val="001000000000"/>
            <w:tcW w:w="2943" w:type="dxa"/>
          </w:tcPr>
          <w:p w:rsidR="00064D68" w:rsidRPr="00336942" w:rsidRDefault="00064D68" w:rsidP="005116B5">
            <w:pPr>
              <w:jc w:val="both"/>
              <w:rPr>
                <w:iCs/>
                <w:sz w:val="24"/>
                <w:szCs w:val="24"/>
              </w:rPr>
            </w:pPr>
            <w:r w:rsidRPr="00336942">
              <w:rPr>
                <w:sz w:val="24"/>
                <w:szCs w:val="24"/>
              </w:rPr>
              <w:t>Radošas teritorijas un kultūras pakalpojumu pieejamība</w:t>
            </w:r>
          </w:p>
        </w:tc>
        <w:tc>
          <w:tcPr>
            <w:tcW w:w="6237" w:type="dxa"/>
          </w:tcPr>
          <w:p w:rsidR="00251966" w:rsidRPr="00336942" w:rsidRDefault="00064D68" w:rsidP="00336942">
            <w:pPr>
              <w:numPr>
                <w:ilvl w:val="0"/>
                <w:numId w:val="13"/>
              </w:numPr>
              <w:ind w:left="0"/>
              <w:contextualSpacing/>
              <w:jc w:val="both"/>
              <w:cnfStyle w:val="000000000000"/>
              <w:rPr>
                <w:sz w:val="24"/>
                <w:szCs w:val="24"/>
              </w:rPr>
            </w:pPr>
            <w:r w:rsidRPr="00336942">
              <w:rPr>
                <w:sz w:val="24"/>
                <w:szCs w:val="24"/>
              </w:rPr>
              <w:t>Radošu un ekonomiski aktīvu cilvēkresursu piesaistes sekmēšana un radošas vides veidošana ārpus Rīgas.</w:t>
            </w:r>
          </w:p>
        </w:tc>
      </w:tr>
    </w:tbl>
    <w:p w:rsidR="00064D68" w:rsidRPr="00714735" w:rsidRDefault="00064D68" w:rsidP="00AE31D6"/>
    <w:p w:rsidR="00863E06" w:rsidRDefault="00863E06">
      <w:pPr>
        <w:ind w:firstLine="720"/>
        <w:jc w:val="both"/>
        <w:rPr>
          <w:b/>
        </w:rPr>
      </w:pPr>
      <w:r w:rsidRPr="00714735">
        <w:rPr>
          <w:b/>
        </w:rPr>
        <w:t>2.2.</w:t>
      </w:r>
      <w:r w:rsidR="00336942">
        <w:rPr>
          <w:b/>
        </w:rPr>
        <w:t xml:space="preserve"> </w:t>
      </w:r>
      <w:r w:rsidRPr="00714735">
        <w:rPr>
          <w:b/>
        </w:rPr>
        <w:t>Politikas plānošanas do</w:t>
      </w:r>
      <w:r w:rsidR="0089631D" w:rsidRPr="00714735">
        <w:rPr>
          <w:b/>
        </w:rPr>
        <w:t>kumenti nozaru politikas līmenī</w:t>
      </w:r>
    </w:p>
    <w:p w:rsidR="00336942" w:rsidRPr="00714735" w:rsidRDefault="00336942">
      <w:pPr>
        <w:ind w:firstLine="720"/>
        <w:jc w:val="both"/>
        <w:rPr>
          <w:b/>
        </w:rPr>
      </w:pPr>
    </w:p>
    <w:p w:rsidR="00064D68" w:rsidRPr="00714735" w:rsidRDefault="00D63C73">
      <w:pPr>
        <w:ind w:firstLine="720"/>
        <w:jc w:val="both"/>
      </w:pPr>
      <w:r w:rsidRPr="00714735">
        <w:t>Ministru kabinets 2015.</w:t>
      </w:r>
      <w:r w:rsidR="00A6262A">
        <w:t>gada 4.martā</w:t>
      </w:r>
      <w:r w:rsidRPr="00714735">
        <w:t xml:space="preserve"> ar rīkojumu Nr.110 „Par Kultūras ministrijas padotībā esošo profesionālās vidējās kultūrizglītības iestāžu attīstības koncepciju” </w:t>
      </w:r>
      <w:r w:rsidR="00BB760D">
        <w:t>(t</w:t>
      </w:r>
      <w:r w:rsidR="00B94B2A">
        <w:t>urpmāk – k</w:t>
      </w:r>
      <w:r w:rsidR="00BB760D">
        <w:t xml:space="preserve">oncepcija) </w:t>
      </w:r>
      <w:r w:rsidRPr="00714735">
        <w:t xml:space="preserve">apstiprināja </w:t>
      </w:r>
      <w:r w:rsidR="00A6262A" w:rsidRPr="00A6262A">
        <w:t xml:space="preserve">Kultūras ministrijas </w:t>
      </w:r>
      <w:r w:rsidR="00064D68" w:rsidRPr="00A6262A">
        <w:t>padotībā esošo profesionālās vidējās kultū</w:t>
      </w:r>
      <w:r w:rsidR="00336942">
        <w:t>rizglītības iestāžu attīstības k</w:t>
      </w:r>
      <w:r w:rsidR="00064D68" w:rsidRPr="00A6262A">
        <w:t>oncepciju.</w:t>
      </w:r>
      <w:r w:rsidR="00064D68" w:rsidRPr="00714735">
        <w:t xml:space="preserve"> </w:t>
      </w:r>
      <w:r w:rsidR="00A6262A">
        <w:t>Kultūras ministrija</w:t>
      </w:r>
      <w:r w:rsidR="00A6262A" w:rsidRPr="00714735">
        <w:t xml:space="preserve"> </w:t>
      </w:r>
      <w:r w:rsidR="00064D68" w:rsidRPr="00714735">
        <w:t>paredz laikā līdz 2020.gadam Latvijā izveidot sešus profesionālās kultūrizglītības kompetences centrus, kas ļaus piesaistīt finansējumu atbilstoši E</w:t>
      </w:r>
      <w:r w:rsidR="00B94B2A">
        <w:t xml:space="preserve">iropas </w:t>
      </w:r>
      <w:r w:rsidR="00064D68" w:rsidRPr="00714735">
        <w:t>S</w:t>
      </w:r>
      <w:r w:rsidR="00B94B2A">
        <w:t>avienības</w:t>
      </w:r>
      <w:r w:rsidR="00064D68" w:rsidRPr="00714735">
        <w:t xml:space="preserve"> fondu </w:t>
      </w:r>
      <w:r w:rsidR="00B94B2A" w:rsidRPr="00A6262A">
        <w:t>2014.</w:t>
      </w:r>
      <w:r w:rsidR="00B94B2A">
        <w:t xml:space="preserve"> </w:t>
      </w:r>
      <w:r w:rsidR="00B94B2A" w:rsidRPr="00A6262A">
        <w:t xml:space="preserve">– 2020.gada </w:t>
      </w:r>
      <w:r w:rsidR="00064D68" w:rsidRPr="00714735">
        <w:t xml:space="preserve">plānošanas perioda prasībām. </w:t>
      </w:r>
    </w:p>
    <w:p w:rsidR="00A6262A" w:rsidRDefault="00A6262A">
      <w:pPr>
        <w:ind w:firstLine="720"/>
        <w:jc w:val="both"/>
      </w:pPr>
      <w:r>
        <w:t>P</w:t>
      </w:r>
      <w:r w:rsidRPr="00714735">
        <w:t>rofesionālās kul</w:t>
      </w:r>
      <w:r>
        <w:t>tūrizglītības kompetences centri</w:t>
      </w:r>
      <w:r w:rsidR="00064D68" w:rsidRPr="00714735">
        <w:t xml:space="preserve"> paredz radīt kvalitatīvu vidi Latvijas kultūras kapitāla bagātināšanai, izkopt jaunos talantus un izcilību mākslās un mūzikā, stimulēt radošo daudzveidību un radīt priekšnoteikumus starptautiski konkurētspējīgu radošo industriju attīstībai.</w:t>
      </w:r>
    </w:p>
    <w:p w:rsidR="00064D68" w:rsidRPr="00714735" w:rsidRDefault="00064D68">
      <w:pPr>
        <w:ind w:firstLine="720"/>
        <w:jc w:val="both"/>
      </w:pPr>
      <w:r w:rsidRPr="00714735">
        <w:t xml:space="preserve">Īpašu nozīmi </w:t>
      </w:r>
      <w:r w:rsidR="00A6262A">
        <w:t>p</w:t>
      </w:r>
      <w:r w:rsidR="00A6262A" w:rsidRPr="00714735">
        <w:t>rofesionālās kul</w:t>
      </w:r>
      <w:r w:rsidR="00A6262A">
        <w:t>tūrizglītības kompetences centru</w:t>
      </w:r>
      <w:r w:rsidRPr="00714735">
        <w:t xml:space="preserve"> izveidei </w:t>
      </w:r>
      <w:r w:rsidR="00A6262A">
        <w:t>Kultūras ministrija</w:t>
      </w:r>
      <w:r w:rsidR="00A6262A" w:rsidRPr="00714735">
        <w:t xml:space="preserve"> </w:t>
      </w:r>
      <w:r w:rsidRPr="00714735">
        <w:t xml:space="preserve">saskata reģionu attīstības kontekstā, jo četri no jaunveidojamajiem </w:t>
      </w:r>
      <w:r w:rsidR="00A6262A">
        <w:t>p</w:t>
      </w:r>
      <w:r w:rsidR="00A6262A" w:rsidRPr="00714735">
        <w:t>rofesionālās kul</w:t>
      </w:r>
      <w:r w:rsidR="00A6262A">
        <w:t>tūrizglītības kompetences centriem</w:t>
      </w:r>
      <w:r w:rsidRPr="00714735">
        <w:t xml:space="preserve"> būs izvietoti Latvijas reģionos</w:t>
      </w:r>
      <w:r w:rsidR="00AE31D6">
        <w:t xml:space="preserve"> </w:t>
      </w:r>
      <w:r w:rsidR="00A6262A">
        <w:t>–</w:t>
      </w:r>
      <w:r w:rsidRPr="00714735">
        <w:t xml:space="preserve"> Kurzemē atradīsies </w:t>
      </w:r>
      <w:r w:rsidR="00A6262A">
        <w:t>vidusskola</w:t>
      </w:r>
      <w:r w:rsidR="00A6262A" w:rsidRPr="00714735">
        <w:t xml:space="preserve"> </w:t>
      </w:r>
      <w:r w:rsidRPr="00714735">
        <w:t xml:space="preserve">un Liepājas Mūzikas, mākslas un dizaina vidusskola. </w:t>
      </w:r>
    </w:p>
    <w:p w:rsidR="00064D68" w:rsidRDefault="00064D68" w:rsidP="00E653B3">
      <w:pPr>
        <w:ind w:firstLine="720"/>
        <w:jc w:val="both"/>
      </w:pPr>
      <w:r w:rsidRPr="00714735">
        <w:t xml:space="preserve">Koncepcija paredz </w:t>
      </w:r>
      <w:r w:rsidR="00A6262A">
        <w:t>vidusskolas</w:t>
      </w:r>
      <w:r w:rsidR="00A6262A" w:rsidRPr="00714735">
        <w:t xml:space="preserve"> </w:t>
      </w:r>
      <w:r w:rsidRPr="00714735">
        <w:t xml:space="preserve">kā </w:t>
      </w:r>
      <w:r w:rsidR="00A6262A">
        <w:t>p</w:t>
      </w:r>
      <w:r w:rsidR="00A6262A" w:rsidRPr="00714735">
        <w:t>rofesionālās kul</w:t>
      </w:r>
      <w:r w:rsidR="00A6262A">
        <w:t>tūrizglītības kompetences cent</w:t>
      </w:r>
      <w:r w:rsidR="00E653B3">
        <w:t>r</w:t>
      </w:r>
      <w:r w:rsidR="00A6262A">
        <w:t>a</w:t>
      </w:r>
      <w:r w:rsidRPr="00714735">
        <w:t xml:space="preserve"> izveidi ar specializāciju sadarbībā ar Ventspils Augstskolu IT un mākslas sintēzē un attīstīs skaņu digitālas apstrādes segmentu.</w:t>
      </w:r>
      <w:r w:rsidR="007A36B8" w:rsidRPr="00714735">
        <w:t xml:space="preserve"> Ventspilī ir labi attīstīts mācību prakšu vietu un kultūras industriju institūciju tīkls </w:t>
      </w:r>
      <w:r w:rsidR="00A6262A">
        <w:t>–</w:t>
      </w:r>
      <w:r w:rsidR="007A36B8" w:rsidRPr="00714735">
        <w:t xml:space="preserve"> aktīvi darbojas Ventspils Augstskola, Pārventas bibliotēka, teātra nams </w:t>
      </w:r>
      <w:r w:rsidR="00A6262A">
        <w:t>„</w:t>
      </w:r>
      <w:r w:rsidR="007A36B8" w:rsidRPr="00714735">
        <w:t>Jūras vārti</w:t>
      </w:r>
      <w:r w:rsidR="00BB760D">
        <w:t>”</w:t>
      </w:r>
      <w:r w:rsidR="007A36B8" w:rsidRPr="00714735">
        <w:t>, ir atjaunots Latviešu biedrības nams un Kultūras centrs.</w:t>
      </w:r>
    </w:p>
    <w:p w:rsidR="00BB760D" w:rsidRPr="00714735" w:rsidRDefault="00BB760D">
      <w:pPr>
        <w:ind w:firstLine="720"/>
        <w:jc w:val="both"/>
      </w:pPr>
      <w:r>
        <w:t>Ņ</w:t>
      </w:r>
      <w:r w:rsidR="00AD70AF" w:rsidRPr="00AD70AF">
        <w:t xml:space="preserve">emot vērā kritisko situāciju </w:t>
      </w:r>
      <w:r w:rsidR="00A6262A">
        <w:t>vidusskolas</w:t>
      </w:r>
      <w:r w:rsidR="00A6262A" w:rsidRPr="00AD70AF">
        <w:t xml:space="preserve"> </w:t>
      </w:r>
      <w:r w:rsidR="00AD70AF" w:rsidRPr="00AD70AF">
        <w:t>darbības nodrošināšanai</w:t>
      </w:r>
      <w:r w:rsidR="00AD70AF" w:rsidRPr="00A6262A">
        <w:t xml:space="preserve">, nepieciešams piešķirt visaugstāko prioritāti </w:t>
      </w:r>
      <w:r w:rsidR="00B94B2A" w:rsidRPr="00AD70AF">
        <w:t xml:space="preserve">Eiropas Savienības </w:t>
      </w:r>
      <w:r w:rsidR="00B94B2A">
        <w:t xml:space="preserve">fondu </w:t>
      </w:r>
      <w:r w:rsidR="00AD70AF" w:rsidRPr="00A6262A">
        <w:t>2014</w:t>
      </w:r>
      <w:r w:rsidR="00A6262A" w:rsidRPr="00A6262A">
        <w:t>.</w:t>
      </w:r>
      <w:r w:rsidR="00336942">
        <w:t xml:space="preserve"> </w:t>
      </w:r>
      <w:r w:rsidR="00A6262A" w:rsidRPr="00A6262A">
        <w:t xml:space="preserve">– </w:t>
      </w:r>
      <w:r w:rsidR="00AD70AF" w:rsidRPr="00A6262A">
        <w:t>2020.gada pl</w:t>
      </w:r>
      <w:r w:rsidR="00AD70AF" w:rsidRPr="00AD70AF">
        <w:t xml:space="preserve">ānošanas perioda finansējuma saņemšanai </w:t>
      </w:r>
      <w:r w:rsidR="00A6262A">
        <w:t>vidusskolas</w:t>
      </w:r>
      <w:r w:rsidR="00A6262A" w:rsidRPr="00AD70AF">
        <w:t xml:space="preserve"> </w:t>
      </w:r>
      <w:r w:rsidR="00AD70AF" w:rsidRPr="00AD70AF">
        <w:t>infrastruktūras nodrošināšanai.</w:t>
      </w:r>
    </w:p>
    <w:p w:rsidR="00064D68" w:rsidRPr="00714735" w:rsidRDefault="00064D68">
      <w:pPr>
        <w:jc w:val="both"/>
      </w:pPr>
    </w:p>
    <w:p w:rsidR="00064D68" w:rsidRDefault="0089631D">
      <w:pPr>
        <w:ind w:firstLine="720"/>
        <w:rPr>
          <w:b/>
        </w:rPr>
      </w:pPr>
      <w:r w:rsidRPr="00714735">
        <w:rPr>
          <w:b/>
        </w:rPr>
        <w:t>2.3. </w:t>
      </w:r>
      <w:r w:rsidR="00064D68" w:rsidRPr="00714735">
        <w:rPr>
          <w:b/>
        </w:rPr>
        <w:t>Politikas plānošanas dokumenti reģionālā līmenī</w:t>
      </w:r>
    </w:p>
    <w:p w:rsidR="00336942" w:rsidRPr="00714735" w:rsidRDefault="00336942">
      <w:pPr>
        <w:ind w:firstLine="720"/>
        <w:rPr>
          <w:b/>
        </w:rPr>
      </w:pPr>
    </w:p>
    <w:p w:rsidR="00064D68" w:rsidRPr="00714735" w:rsidRDefault="00064D68">
      <w:pPr>
        <w:ind w:firstLine="720"/>
        <w:jc w:val="both"/>
        <w:rPr>
          <w:iCs/>
        </w:rPr>
      </w:pPr>
      <w:r w:rsidRPr="00714735">
        <w:rPr>
          <w:iCs/>
        </w:rPr>
        <w:t xml:space="preserve">Kurzemes plānošanas reģiona </w:t>
      </w:r>
      <w:r w:rsidRPr="00A6262A">
        <w:rPr>
          <w:iCs/>
        </w:rPr>
        <w:t>Rīcības plāns 2010. – 2014.gadam</w:t>
      </w:r>
      <w:r w:rsidRPr="00714735">
        <w:rPr>
          <w:b/>
          <w:iCs/>
          <w:vertAlign w:val="superscript"/>
        </w:rPr>
        <w:footnoteReference w:id="1"/>
      </w:r>
      <w:r w:rsidR="00A6262A">
        <w:rPr>
          <w:iCs/>
        </w:rPr>
        <w:t xml:space="preserve"> (turpmāk – rīcības plāns)</w:t>
      </w:r>
      <w:r w:rsidRPr="00714735">
        <w:rPr>
          <w:b/>
          <w:iCs/>
        </w:rPr>
        <w:t xml:space="preserve"> </w:t>
      </w:r>
      <w:r w:rsidRPr="00714735">
        <w:rPr>
          <w:iCs/>
        </w:rPr>
        <w:t xml:space="preserve">šobrīd ir stratēģiskais Kurzemes teritorijas attīstības plānošanas dokuments, kurā definētas reģiona attīstības prioritātes un noteikti rīcības virzieni izvirzīto mērķu un uzdevumu sasniegšanai. </w:t>
      </w:r>
    </w:p>
    <w:p w:rsidR="00064D68" w:rsidRPr="00714735" w:rsidRDefault="00A6262A" w:rsidP="00A6262A">
      <w:pPr>
        <w:ind w:firstLine="720"/>
        <w:jc w:val="both"/>
        <w:rPr>
          <w:iCs/>
        </w:rPr>
      </w:pPr>
      <w:r>
        <w:rPr>
          <w:iCs/>
        </w:rPr>
        <w:t>Rīcības plānā</w:t>
      </w:r>
      <w:r w:rsidRPr="00714735">
        <w:rPr>
          <w:iCs/>
        </w:rPr>
        <w:t xml:space="preserve"> </w:t>
      </w:r>
      <w:r w:rsidR="00064D68" w:rsidRPr="00714735">
        <w:rPr>
          <w:iCs/>
        </w:rPr>
        <w:t xml:space="preserve">ir noteiktas piecas ilgtermiņa attīstības prioritātes un rīcības virzieni, </w:t>
      </w:r>
      <w:r w:rsidR="006B0A06">
        <w:rPr>
          <w:iCs/>
        </w:rPr>
        <w:t>kas īstenojami</w:t>
      </w:r>
      <w:r w:rsidR="00064D68" w:rsidRPr="00714735">
        <w:rPr>
          <w:iCs/>
        </w:rPr>
        <w:t xml:space="preserve"> 20 gadu perspektīvā. </w:t>
      </w:r>
    </w:p>
    <w:p w:rsidR="00251966" w:rsidRDefault="00A6262A">
      <w:pPr>
        <w:ind w:firstLine="720"/>
        <w:jc w:val="both"/>
        <w:rPr>
          <w:iCs/>
        </w:rPr>
      </w:pPr>
      <w:r>
        <w:rPr>
          <w:iCs/>
        </w:rPr>
        <w:t>Vidusskolas</w:t>
      </w:r>
      <w:r w:rsidRPr="00714735">
        <w:rPr>
          <w:iCs/>
        </w:rPr>
        <w:t xml:space="preserve"> </w:t>
      </w:r>
      <w:r w:rsidR="00064D68" w:rsidRPr="00714735">
        <w:rPr>
          <w:iCs/>
        </w:rPr>
        <w:t xml:space="preserve">stratēģijas 2015. – 2020.gadam atbilstība </w:t>
      </w:r>
      <w:r w:rsidR="000F7AC7">
        <w:rPr>
          <w:iCs/>
        </w:rPr>
        <w:t>r</w:t>
      </w:r>
      <w:r>
        <w:rPr>
          <w:iCs/>
        </w:rPr>
        <w:t>īcības plāna</w:t>
      </w:r>
      <w:r w:rsidRPr="00714735">
        <w:rPr>
          <w:iCs/>
        </w:rPr>
        <w:t xml:space="preserve"> </w:t>
      </w:r>
      <w:r w:rsidR="00064D68" w:rsidRPr="00714735">
        <w:rPr>
          <w:iCs/>
        </w:rPr>
        <w:t>prioritārajiem attīstības virzieniem ir apkopot</w:t>
      </w:r>
      <w:r w:rsidR="00E61DFE" w:rsidRPr="00714735">
        <w:rPr>
          <w:iCs/>
        </w:rPr>
        <w:t>a 3</w:t>
      </w:r>
      <w:r w:rsidR="00064D68" w:rsidRPr="00714735">
        <w:rPr>
          <w:iCs/>
        </w:rPr>
        <w:t>.tabulā.</w:t>
      </w:r>
    </w:p>
    <w:p w:rsidR="00E43465" w:rsidRDefault="00E43465" w:rsidP="00AE31D6">
      <w:pPr>
        <w:numPr>
          <w:ilvl w:val="1"/>
          <w:numId w:val="0"/>
        </w:numPr>
        <w:jc w:val="right"/>
        <w:rPr>
          <w:b/>
          <w:iCs/>
          <w:spacing w:val="15"/>
        </w:rPr>
      </w:pPr>
      <w:bookmarkStart w:id="4" w:name="_Toc336534910"/>
    </w:p>
    <w:p w:rsidR="00EA1DD7" w:rsidRDefault="00EA1DD7" w:rsidP="00AE31D6">
      <w:pPr>
        <w:numPr>
          <w:ilvl w:val="1"/>
          <w:numId w:val="0"/>
        </w:numPr>
        <w:jc w:val="right"/>
        <w:rPr>
          <w:b/>
          <w:iCs/>
          <w:spacing w:val="15"/>
        </w:rPr>
      </w:pPr>
    </w:p>
    <w:p w:rsidR="00EA1DD7" w:rsidRDefault="00EA1DD7" w:rsidP="00AE31D6">
      <w:pPr>
        <w:numPr>
          <w:ilvl w:val="1"/>
          <w:numId w:val="0"/>
        </w:numPr>
        <w:jc w:val="right"/>
        <w:rPr>
          <w:b/>
          <w:iCs/>
          <w:spacing w:val="15"/>
        </w:rPr>
      </w:pPr>
    </w:p>
    <w:p w:rsidR="00EA1DD7" w:rsidRDefault="00EA1DD7" w:rsidP="00AE31D6">
      <w:pPr>
        <w:numPr>
          <w:ilvl w:val="1"/>
          <w:numId w:val="0"/>
        </w:numPr>
        <w:jc w:val="right"/>
        <w:rPr>
          <w:b/>
          <w:iCs/>
          <w:spacing w:val="15"/>
        </w:rPr>
      </w:pPr>
    </w:p>
    <w:p w:rsidR="00064D68" w:rsidRPr="00336942" w:rsidRDefault="0089631D" w:rsidP="00AE31D6">
      <w:pPr>
        <w:numPr>
          <w:ilvl w:val="1"/>
          <w:numId w:val="0"/>
        </w:numPr>
        <w:jc w:val="right"/>
        <w:rPr>
          <w:b/>
          <w:iCs/>
        </w:rPr>
      </w:pPr>
      <w:r w:rsidRPr="00336942">
        <w:rPr>
          <w:b/>
          <w:iCs/>
        </w:rPr>
        <w:lastRenderedPageBreak/>
        <w:t>3</w:t>
      </w:r>
      <w:r w:rsidR="00064D68" w:rsidRPr="00336942">
        <w:rPr>
          <w:b/>
          <w:iCs/>
        </w:rPr>
        <w:t>.tabula</w:t>
      </w:r>
      <w:bookmarkEnd w:id="4"/>
    </w:p>
    <w:p w:rsidR="00336942" w:rsidRPr="00336942" w:rsidRDefault="00336942" w:rsidP="00AE31D6">
      <w:pPr>
        <w:numPr>
          <w:ilvl w:val="1"/>
          <w:numId w:val="0"/>
        </w:numPr>
        <w:jc w:val="right"/>
        <w:rPr>
          <w:b/>
          <w:iCs/>
        </w:rPr>
      </w:pPr>
    </w:p>
    <w:p w:rsidR="00064D68" w:rsidRPr="00336942" w:rsidRDefault="00A6262A">
      <w:pPr>
        <w:jc w:val="center"/>
        <w:rPr>
          <w:b/>
          <w:iCs/>
        </w:rPr>
      </w:pPr>
      <w:r w:rsidRPr="00336942">
        <w:rPr>
          <w:b/>
          <w:iCs/>
        </w:rPr>
        <w:t xml:space="preserve">Rīcības plāna </w:t>
      </w:r>
      <w:r w:rsidR="00064D68" w:rsidRPr="00336942">
        <w:rPr>
          <w:b/>
          <w:iCs/>
        </w:rPr>
        <w:t>prioritātes un atbilstīgie rīcības virzieni</w:t>
      </w:r>
    </w:p>
    <w:p w:rsidR="00336942" w:rsidRPr="00714735" w:rsidRDefault="00336942">
      <w:pPr>
        <w:jc w:val="center"/>
        <w:rPr>
          <w:iCs/>
        </w:rPr>
      </w:pPr>
    </w:p>
    <w:tbl>
      <w:tblPr>
        <w:tblStyle w:val="Gaissarakstsizclums51"/>
        <w:tblW w:w="0" w:type="auto"/>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3"/>
        <w:gridCol w:w="5538"/>
      </w:tblGrid>
      <w:tr w:rsidR="00064D68" w:rsidRPr="00336942" w:rsidTr="006B68C5">
        <w:trPr>
          <w:cnfStyle w:val="100000000000"/>
          <w:tblHeader/>
          <w:jc w:val="center"/>
        </w:trPr>
        <w:tc>
          <w:tcPr>
            <w:cnfStyle w:val="001000000000"/>
            <w:tcW w:w="3643" w:type="dxa"/>
            <w:shd w:val="clear" w:color="auto" w:fill="0099CC"/>
          </w:tcPr>
          <w:p w:rsidR="00064D68" w:rsidRPr="00336942" w:rsidRDefault="00064D68">
            <w:pPr>
              <w:jc w:val="center"/>
              <w:rPr>
                <w:iCs/>
                <w:color w:val="auto"/>
                <w:sz w:val="24"/>
                <w:szCs w:val="24"/>
              </w:rPr>
            </w:pPr>
            <w:r w:rsidRPr="00336942">
              <w:rPr>
                <w:iCs/>
                <w:color w:val="auto"/>
                <w:sz w:val="24"/>
                <w:szCs w:val="24"/>
              </w:rPr>
              <w:t>Prioritāte</w:t>
            </w:r>
          </w:p>
        </w:tc>
        <w:tc>
          <w:tcPr>
            <w:tcW w:w="5538" w:type="dxa"/>
            <w:shd w:val="clear" w:color="auto" w:fill="0099CC"/>
          </w:tcPr>
          <w:p w:rsidR="00064D68" w:rsidRPr="00336942" w:rsidRDefault="00064D68">
            <w:pPr>
              <w:jc w:val="center"/>
              <w:cnfStyle w:val="100000000000"/>
              <w:rPr>
                <w:iCs/>
                <w:color w:val="auto"/>
                <w:sz w:val="24"/>
                <w:szCs w:val="24"/>
              </w:rPr>
            </w:pPr>
            <w:r w:rsidRPr="00336942">
              <w:rPr>
                <w:iCs/>
                <w:color w:val="auto"/>
                <w:sz w:val="24"/>
                <w:szCs w:val="24"/>
              </w:rPr>
              <w:t>Atbilstīgie rīcības virzieni</w:t>
            </w:r>
          </w:p>
        </w:tc>
      </w:tr>
      <w:tr w:rsidR="00064D68" w:rsidRPr="00336942" w:rsidTr="00336942">
        <w:trPr>
          <w:cnfStyle w:val="000000100000"/>
          <w:jc w:val="center"/>
        </w:trPr>
        <w:tc>
          <w:tcPr>
            <w:cnfStyle w:val="001000000000"/>
            <w:tcW w:w="3643" w:type="dxa"/>
            <w:tcBorders>
              <w:top w:val="none" w:sz="0" w:space="0" w:color="auto"/>
              <w:left w:val="none" w:sz="0" w:space="0" w:color="auto"/>
              <w:bottom w:val="none" w:sz="0" w:space="0" w:color="auto"/>
            </w:tcBorders>
          </w:tcPr>
          <w:p w:rsidR="00064D68" w:rsidRPr="00336942" w:rsidRDefault="00064D68" w:rsidP="00A6262A">
            <w:pPr>
              <w:jc w:val="both"/>
              <w:rPr>
                <w:iCs/>
                <w:sz w:val="24"/>
                <w:szCs w:val="24"/>
              </w:rPr>
            </w:pPr>
            <w:r w:rsidRPr="00336942">
              <w:rPr>
                <w:iCs/>
                <w:sz w:val="24"/>
                <w:szCs w:val="24"/>
              </w:rPr>
              <w:t>Prioritāte Nr.1 – Reģiona apdzīvotības struktūras saglabāšana</w:t>
            </w:r>
          </w:p>
        </w:tc>
        <w:tc>
          <w:tcPr>
            <w:tcW w:w="5538" w:type="dxa"/>
            <w:tcBorders>
              <w:top w:val="none" w:sz="0" w:space="0" w:color="auto"/>
              <w:bottom w:val="none" w:sz="0" w:space="0" w:color="auto"/>
              <w:right w:val="none" w:sz="0" w:space="0" w:color="auto"/>
            </w:tcBorders>
          </w:tcPr>
          <w:p w:rsidR="00251966" w:rsidRPr="00336942" w:rsidRDefault="00064D68" w:rsidP="00A6262A">
            <w:pPr>
              <w:numPr>
                <w:ilvl w:val="0"/>
                <w:numId w:val="9"/>
              </w:numPr>
              <w:ind w:left="0"/>
              <w:contextualSpacing/>
              <w:jc w:val="both"/>
              <w:cnfStyle w:val="000000100000"/>
              <w:rPr>
                <w:iCs/>
                <w:sz w:val="24"/>
                <w:szCs w:val="24"/>
              </w:rPr>
            </w:pPr>
            <w:r w:rsidRPr="00336942">
              <w:rPr>
                <w:iCs/>
                <w:sz w:val="24"/>
                <w:szCs w:val="24"/>
              </w:rPr>
              <w:t>Veicināt reģiona attīstības dzinējspēku – Liepājas un Ventspils – izaugsmi</w:t>
            </w:r>
            <w:r w:rsidR="00A650E0" w:rsidRPr="00336942">
              <w:rPr>
                <w:iCs/>
                <w:sz w:val="24"/>
                <w:szCs w:val="24"/>
              </w:rPr>
              <w:t>.</w:t>
            </w:r>
            <w:r w:rsidRPr="00336942">
              <w:rPr>
                <w:iCs/>
                <w:sz w:val="24"/>
                <w:szCs w:val="24"/>
              </w:rPr>
              <w:t xml:space="preserve"> </w:t>
            </w:r>
          </w:p>
        </w:tc>
      </w:tr>
      <w:tr w:rsidR="00064D68" w:rsidRPr="00336942" w:rsidTr="00336942">
        <w:trPr>
          <w:jc w:val="center"/>
        </w:trPr>
        <w:tc>
          <w:tcPr>
            <w:cnfStyle w:val="001000000000"/>
            <w:tcW w:w="3643" w:type="dxa"/>
          </w:tcPr>
          <w:p w:rsidR="00064D68" w:rsidRPr="00336942" w:rsidRDefault="00064D68" w:rsidP="00A6262A">
            <w:pPr>
              <w:jc w:val="both"/>
              <w:rPr>
                <w:iCs/>
                <w:sz w:val="24"/>
                <w:szCs w:val="24"/>
              </w:rPr>
            </w:pPr>
            <w:r w:rsidRPr="00336942">
              <w:rPr>
                <w:iCs/>
                <w:sz w:val="24"/>
                <w:szCs w:val="24"/>
              </w:rPr>
              <w:t>Prioritāte Nr.2 – Daudzveidīgu un konkurētspējīgu pakalpojumu attīstība un to pieejamības uzlabošana reģionā</w:t>
            </w:r>
          </w:p>
        </w:tc>
        <w:tc>
          <w:tcPr>
            <w:tcW w:w="5538" w:type="dxa"/>
          </w:tcPr>
          <w:p w:rsidR="00251966" w:rsidRPr="00336942" w:rsidRDefault="00064D68" w:rsidP="00A6262A">
            <w:pPr>
              <w:numPr>
                <w:ilvl w:val="0"/>
                <w:numId w:val="9"/>
              </w:numPr>
              <w:ind w:left="0"/>
              <w:contextualSpacing/>
              <w:jc w:val="both"/>
              <w:cnfStyle w:val="000000000000"/>
              <w:rPr>
                <w:iCs/>
                <w:sz w:val="24"/>
                <w:szCs w:val="24"/>
              </w:rPr>
            </w:pPr>
            <w:r w:rsidRPr="00336942">
              <w:rPr>
                <w:iCs/>
                <w:sz w:val="24"/>
                <w:szCs w:val="24"/>
              </w:rPr>
              <w:t>Nodrošināt reģiona ilgtermiņa vajadzībām atbilstošu augtākās izglītības un profesionālās izglītības kvalitatīvu un daudzveidīgu piedāvājumu</w:t>
            </w:r>
            <w:r w:rsidR="00336942">
              <w:rPr>
                <w:iCs/>
                <w:sz w:val="24"/>
                <w:szCs w:val="24"/>
              </w:rPr>
              <w:t>.</w:t>
            </w:r>
            <w:r w:rsidRPr="00336942">
              <w:rPr>
                <w:iCs/>
                <w:sz w:val="24"/>
                <w:szCs w:val="24"/>
              </w:rPr>
              <w:t xml:space="preserve"> </w:t>
            </w:r>
          </w:p>
          <w:p w:rsidR="00251966" w:rsidRPr="00336942" w:rsidRDefault="00064D68" w:rsidP="00A6262A">
            <w:pPr>
              <w:numPr>
                <w:ilvl w:val="0"/>
                <w:numId w:val="9"/>
              </w:numPr>
              <w:ind w:left="0"/>
              <w:contextualSpacing/>
              <w:jc w:val="both"/>
              <w:cnfStyle w:val="000000000000"/>
              <w:rPr>
                <w:iCs/>
                <w:sz w:val="24"/>
                <w:szCs w:val="24"/>
              </w:rPr>
            </w:pPr>
            <w:r w:rsidRPr="00336942">
              <w:rPr>
                <w:iCs/>
                <w:sz w:val="24"/>
                <w:szCs w:val="24"/>
              </w:rPr>
              <w:t>Nodrošināt profesionālās vidējās, augstākās izglītības un mūžizglītības integrāciju un attīstību</w:t>
            </w:r>
            <w:r w:rsidR="00336942">
              <w:rPr>
                <w:iCs/>
                <w:sz w:val="24"/>
                <w:szCs w:val="24"/>
              </w:rPr>
              <w:t>.</w:t>
            </w:r>
          </w:p>
          <w:p w:rsidR="00251966" w:rsidRPr="00336942" w:rsidRDefault="00064D68" w:rsidP="00A6262A">
            <w:pPr>
              <w:numPr>
                <w:ilvl w:val="0"/>
                <w:numId w:val="9"/>
              </w:numPr>
              <w:ind w:left="0"/>
              <w:contextualSpacing/>
              <w:jc w:val="both"/>
              <w:cnfStyle w:val="000000000000"/>
              <w:rPr>
                <w:iCs/>
                <w:sz w:val="24"/>
                <w:szCs w:val="24"/>
              </w:rPr>
            </w:pPr>
            <w:r w:rsidRPr="00336942">
              <w:rPr>
                <w:iCs/>
                <w:sz w:val="24"/>
                <w:szCs w:val="24"/>
              </w:rPr>
              <w:t>Nodrošināt kultūras vērtību, mantojuma un tradīciju saglabāšanu, izkopšanu un attīstību</w:t>
            </w:r>
            <w:r w:rsidR="00A650E0" w:rsidRPr="00336942">
              <w:rPr>
                <w:iCs/>
                <w:sz w:val="24"/>
                <w:szCs w:val="24"/>
              </w:rPr>
              <w:t>.</w:t>
            </w:r>
          </w:p>
        </w:tc>
      </w:tr>
      <w:tr w:rsidR="00064D68" w:rsidRPr="00336942" w:rsidTr="00336942">
        <w:trPr>
          <w:cnfStyle w:val="000000100000"/>
          <w:jc w:val="center"/>
        </w:trPr>
        <w:tc>
          <w:tcPr>
            <w:cnfStyle w:val="001000000000"/>
            <w:tcW w:w="3643" w:type="dxa"/>
            <w:tcBorders>
              <w:top w:val="none" w:sz="0" w:space="0" w:color="auto"/>
              <w:left w:val="none" w:sz="0" w:space="0" w:color="auto"/>
              <w:bottom w:val="none" w:sz="0" w:space="0" w:color="auto"/>
            </w:tcBorders>
          </w:tcPr>
          <w:p w:rsidR="00064D68" w:rsidRPr="00336942" w:rsidRDefault="00064D68" w:rsidP="00A6262A">
            <w:pPr>
              <w:jc w:val="both"/>
              <w:rPr>
                <w:iCs/>
                <w:sz w:val="24"/>
                <w:szCs w:val="24"/>
              </w:rPr>
            </w:pPr>
            <w:r w:rsidRPr="00336942">
              <w:rPr>
                <w:iCs/>
                <w:sz w:val="24"/>
                <w:szCs w:val="24"/>
              </w:rPr>
              <w:t xml:space="preserve">Prioritāte Nr.3. – Energoefektīvas un ilgtspējīgas saimniekošanas veicināšana reģionā </w:t>
            </w:r>
          </w:p>
        </w:tc>
        <w:tc>
          <w:tcPr>
            <w:tcW w:w="5538" w:type="dxa"/>
            <w:tcBorders>
              <w:top w:val="none" w:sz="0" w:space="0" w:color="auto"/>
              <w:bottom w:val="none" w:sz="0" w:space="0" w:color="auto"/>
              <w:right w:val="none" w:sz="0" w:space="0" w:color="auto"/>
            </w:tcBorders>
          </w:tcPr>
          <w:p w:rsidR="00251966" w:rsidRPr="00336942" w:rsidRDefault="00064D68" w:rsidP="00A6262A">
            <w:pPr>
              <w:numPr>
                <w:ilvl w:val="0"/>
                <w:numId w:val="10"/>
              </w:numPr>
              <w:ind w:left="0"/>
              <w:contextualSpacing/>
              <w:jc w:val="both"/>
              <w:cnfStyle w:val="000000100000"/>
              <w:rPr>
                <w:iCs/>
                <w:sz w:val="24"/>
                <w:szCs w:val="24"/>
              </w:rPr>
            </w:pPr>
            <w:r w:rsidRPr="00336942">
              <w:rPr>
                <w:iCs/>
                <w:sz w:val="24"/>
                <w:szCs w:val="24"/>
              </w:rPr>
              <w:t>Nodrošināt enerģiju taupošu tehnoloģiju ieviešanu</w:t>
            </w:r>
            <w:r w:rsidR="00A650E0" w:rsidRPr="00336942">
              <w:rPr>
                <w:iCs/>
                <w:sz w:val="24"/>
                <w:szCs w:val="24"/>
              </w:rPr>
              <w:t>.</w:t>
            </w:r>
          </w:p>
        </w:tc>
      </w:tr>
    </w:tbl>
    <w:p w:rsidR="003D1BBA" w:rsidRPr="00714735" w:rsidRDefault="003D1BBA" w:rsidP="00AE31D6">
      <w:pPr>
        <w:pStyle w:val="parastais0"/>
        <w:spacing w:before="0" w:beforeAutospacing="0" w:after="0" w:afterAutospacing="0"/>
        <w:ind w:firstLine="567"/>
        <w:jc w:val="center"/>
        <w:rPr>
          <w:rStyle w:val="izc0113lumschar"/>
          <w:b/>
          <w:highlight w:val="yellow"/>
        </w:rPr>
      </w:pPr>
    </w:p>
    <w:p w:rsidR="005A57E9" w:rsidRPr="00714735" w:rsidRDefault="0089631D">
      <w:pPr>
        <w:ind w:firstLine="720"/>
        <w:jc w:val="both"/>
      </w:pPr>
      <w:r w:rsidRPr="00714735">
        <w:rPr>
          <w:b/>
        </w:rPr>
        <w:t>2.4. </w:t>
      </w:r>
      <w:r w:rsidR="005A57E9" w:rsidRPr="00714735">
        <w:rPr>
          <w:b/>
        </w:rPr>
        <w:t>Ventspi</w:t>
      </w:r>
      <w:r w:rsidR="008043D7" w:rsidRPr="00714735">
        <w:rPr>
          <w:b/>
        </w:rPr>
        <w:t>ls pilsētas attīstības programma</w:t>
      </w:r>
      <w:r w:rsidR="005A57E9" w:rsidRPr="00714735">
        <w:rPr>
          <w:b/>
        </w:rPr>
        <w:t xml:space="preserve"> 2014. – 2020.gadam</w:t>
      </w:r>
      <w:r w:rsidR="005A57E9" w:rsidRPr="00714735">
        <w:rPr>
          <w:b/>
          <w:vertAlign w:val="superscript"/>
        </w:rPr>
        <w:footnoteReference w:id="2"/>
      </w:r>
      <w:r w:rsidR="005A57E9" w:rsidRPr="00714735">
        <w:t xml:space="preserve"> ir </w:t>
      </w:r>
      <w:r w:rsidR="008043D7" w:rsidRPr="00714735">
        <w:t xml:space="preserve">Ventspils pilsētas </w:t>
      </w:r>
      <w:r w:rsidR="005A57E9" w:rsidRPr="00714735">
        <w:t xml:space="preserve">pašvaldības vidēja termiņa attīstības plānošanas dokuments, kurā noteiktas prioritātes, rīcības virzieni, uzdevumi un veicamie pasākumi, kas vērsti uz pilsētas stratēģisko mērķu sasniegšanu. </w:t>
      </w:r>
    </w:p>
    <w:p w:rsidR="005A57E9" w:rsidRPr="00714735" w:rsidRDefault="005A57E9" w:rsidP="008E3744">
      <w:pPr>
        <w:ind w:firstLine="709"/>
        <w:jc w:val="both"/>
      </w:pPr>
      <w:r w:rsidRPr="00714735">
        <w:t>Ventspils pilsētas pašvaldības virsmērķis ir iedzīvotāju skaita palielināšanās pilsētā.</w:t>
      </w:r>
    </w:p>
    <w:p w:rsidR="005A57E9" w:rsidRPr="00714735" w:rsidRDefault="008E3744" w:rsidP="008E3744">
      <w:pPr>
        <w:ind w:firstLine="709"/>
        <w:jc w:val="both"/>
        <w:rPr>
          <w:iCs/>
        </w:rPr>
      </w:pPr>
      <w:r>
        <w:rPr>
          <w:iCs/>
        </w:rPr>
        <w:t>Vidusskolas</w:t>
      </w:r>
      <w:r w:rsidR="005A57E9" w:rsidRPr="00714735">
        <w:rPr>
          <w:iCs/>
        </w:rPr>
        <w:t xml:space="preserve"> stratēģijas 2015. – 2020.gadam atbilstība Ventspils pilsētas attīstības mērķiem un atbilstošajiem </w:t>
      </w:r>
      <w:r w:rsidR="0089631D" w:rsidRPr="00714735">
        <w:rPr>
          <w:iCs/>
        </w:rPr>
        <w:t>rīcības virzieniem ir apkopota 4</w:t>
      </w:r>
      <w:r w:rsidR="005A57E9" w:rsidRPr="00714735">
        <w:rPr>
          <w:iCs/>
        </w:rPr>
        <w:t>.tabulā.</w:t>
      </w:r>
    </w:p>
    <w:p w:rsidR="00E43465" w:rsidRDefault="00E43465">
      <w:pPr>
        <w:numPr>
          <w:ilvl w:val="1"/>
          <w:numId w:val="0"/>
        </w:numPr>
        <w:jc w:val="right"/>
        <w:rPr>
          <w:b/>
          <w:iCs/>
          <w:spacing w:val="15"/>
        </w:rPr>
      </w:pPr>
    </w:p>
    <w:p w:rsidR="005A57E9" w:rsidRPr="00336942" w:rsidRDefault="0089631D">
      <w:pPr>
        <w:numPr>
          <w:ilvl w:val="1"/>
          <w:numId w:val="0"/>
        </w:numPr>
        <w:jc w:val="right"/>
        <w:rPr>
          <w:b/>
          <w:iCs/>
        </w:rPr>
      </w:pPr>
      <w:r w:rsidRPr="00336942">
        <w:rPr>
          <w:b/>
          <w:iCs/>
        </w:rPr>
        <w:t>4</w:t>
      </w:r>
      <w:r w:rsidR="005A57E9" w:rsidRPr="00336942">
        <w:rPr>
          <w:b/>
          <w:iCs/>
        </w:rPr>
        <w:t>.tabula</w:t>
      </w:r>
    </w:p>
    <w:p w:rsidR="00336942" w:rsidRPr="00336942" w:rsidRDefault="00336942">
      <w:pPr>
        <w:numPr>
          <w:ilvl w:val="1"/>
          <w:numId w:val="0"/>
        </w:numPr>
        <w:jc w:val="right"/>
        <w:rPr>
          <w:b/>
          <w:iCs/>
        </w:rPr>
      </w:pPr>
    </w:p>
    <w:p w:rsidR="005A57E9" w:rsidRPr="00336942" w:rsidRDefault="005A57E9">
      <w:pPr>
        <w:jc w:val="center"/>
        <w:rPr>
          <w:b/>
          <w:iCs/>
        </w:rPr>
      </w:pPr>
      <w:r w:rsidRPr="00336942">
        <w:rPr>
          <w:b/>
          <w:iCs/>
        </w:rPr>
        <w:t>Ventspils pilsētas attīstības mērķi un atbilstīgie rīcības virzieni</w:t>
      </w:r>
    </w:p>
    <w:p w:rsidR="00336942" w:rsidRPr="00603645" w:rsidRDefault="00336942">
      <w:pPr>
        <w:jc w:val="center"/>
        <w:rPr>
          <w:iCs/>
        </w:rPr>
      </w:pPr>
    </w:p>
    <w:tbl>
      <w:tblPr>
        <w:tblStyle w:val="Gaissarakstsizclums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04"/>
      </w:tblGrid>
      <w:tr w:rsidR="005A57E9" w:rsidRPr="00336942" w:rsidTr="006B68C5">
        <w:trPr>
          <w:cnfStyle w:val="100000000000"/>
          <w:tblHeader/>
          <w:jc w:val="center"/>
        </w:trPr>
        <w:tc>
          <w:tcPr>
            <w:cnfStyle w:val="001000000000"/>
            <w:tcW w:w="2376" w:type="dxa"/>
            <w:shd w:val="clear" w:color="auto" w:fill="0099CC"/>
          </w:tcPr>
          <w:p w:rsidR="005A57E9" w:rsidRPr="00336942" w:rsidRDefault="005A57E9">
            <w:pPr>
              <w:jc w:val="center"/>
              <w:rPr>
                <w:iCs/>
                <w:color w:val="auto"/>
                <w:sz w:val="24"/>
                <w:szCs w:val="24"/>
              </w:rPr>
            </w:pPr>
            <w:r w:rsidRPr="00336942">
              <w:rPr>
                <w:iCs/>
                <w:color w:val="auto"/>
                <w:sz w:val="24"/>
                <w:szCs w:val="24"/>
              </w:rPr>
              <w:t>Attīstības mērķis</w:t>
            </w:r>
          </w:p>
        </w:tc>
        <w:tc>
          <w:tcPr>
            <w:tcW w:w="6804" w:type="dxa"/>
            <w:shd w:val="clear" w:color="auto" w:fill="0099CC"/>
          </w:tcPr>
          <w:p w:rsidR="005A57E9" w:rsidRPr="00336942" w:rsidRDefault="005A57E9">
            <w:pPr>
              <w:jc w:val="center"/>
              <w:cnfStyle w:val="100000000000"/>
              <w:rPr>
                <w:iCs/>
                <w:color w:val="auto"/>
                <w:sz w:val="24"/>
                <w:szCs w:val="24"/>
              </w:rPr>
            </w:pPr>
            <w:r w:rsidRPr="00336942">
              <w:rPr>
                <w:iCs/>
                <w:color w:val="auto"/>
                <w:sz w:val="24"/>
                <w:szCs w:val="24"/>
              </w:rPr>
              <w:t>Atbilstīgie rīcības virzieni</w:t>
            </w:r>
          </w:p>
        </w:tc>
      </w:tr>
      <w:tr w:rsidR="005A57E9" w:rsidRPr="00336942" w:rsidTr="00336942">
        <w:trPr>
          <w:cnfStyle w:val="000000100000"/>
          <w:jc w:val="center"/>
        </w:trPr>
        <w:tc>
          <w:tcPr>
            <w:cnfStyle w:val="001000000000"/>
            <w:tcW w:w="2376" w:type="dxa"/>
            <w:tcBorders>
              <w:top w:val="none" w:sz="0" w:space="0" w:color="auto"/>
              <w:left w:val="none" w:sz="0" w:space="0" w:color="auto"/>
              <w:bottom w:val="none" w:sz="0" w:space="0" w:color="auto"/>
            </w:tcBorders>
          </w:tcPr>
          <w:p w:rsidR="008043D7" w:rsidRPr="00336942" w:rsidRDefault="008043D7" w:rsidP="00AE31D6">
            <w:pPr>
              <w:rPr>
                <w:iCs/>
                <w:sz w:val="24"/>
                <w:szCs w:val="24"/>
              </w:rPr>
            </w:pPr>
            <w:r w:rsidRPr="00336942">
              <w:rPr>
                <w:iCs/>
                <w:sz w:val="24"/>
                <w:szCs w:val="24"/>
              </w:rPr>
              <w:t xml:space="preserve">Mērķis – Sabiedrība (S) </w:t>
            </w:r>
          </w:p>
          <w:p w:rsidR="005A57E9" w:rsidRPr="00336942" w:rsidRDefault="005A57E9">
            <w:pPr>
              <w:rPr>
                <w:iCs/>
                <w:sz w:val="24"/>
                <w:szCs w:val="24"/>
              </w:rPr>
            </w:pPr>
            <w:r w:rsidRPr="00336942">
              <w:rPr>
                <w:iCs/>
                <w:sz w:val="24"/>
                <w:szCs w:val="24"/>
              </w:rPr>
              <w:t xml:space="preserve">Izglītota, radoša, aktīva, veselīga, ģimeniska un pārtikusi sabiedrība </w:t>
            </w:r>
          </w:p>
        </w:tc>
        <w:tc>
          <w:tcPr>
            <w:tcW w:w="6804" w:type="dxa"/>
            <w:tcBorders>
              <w:top w:val="none" w:sz="0" w:space="0" w:color="auto"/>
              <w:bottom w:val="none" w:sz="0" w:space="0" w:color="auto"/>
              <w:right w:val="none" w:sz="0" w:space="0" w:color="auto"/>
            </w:tcBorders>
          </w:tcPr>
          <w:p w:rsidR="00251966" w:rsidRPr="00336942" w:rsidRDefault="008043D7">
            <w:pPr>
              <w:numPr>
                <w:ilvl w:val="0"/>
                <w:numId w:val="9"/>
              </w:numPr>
              <w:ind w:left="0"/>
              <w:contextualSpacing/>
              <w:jc w:val="both"/>
              <w:cnfStyle w:val="000000100000"/>
              <w:rPr>
                <w:iCs/>
                <w:sz w:val="24"/>
                <w:szCs w:val="24"/>
              </w:rPr>
            </w:pPr>
            <w:r w:rsidRPr="00336942">
              <w:rPr>
                <w:iCs/>
                <w:sz w:val="24"/>
                <w:szCs w:val="24"/>
              </w:rPr>
              <w:t xml:space="preserve">Rīcības virzieni S-2 </w:t>
            </w:r>
            <w:r w:rsidR="005A57E9" w:rsidRPr="00336942">
              <w:rPr>
                <w:iCs/>
                <w:sz w:val="24"/>
                <w:szCs w:val="24"/>
              </w:rPr>
              <w:t>Tirgus pieprasījumam atbilstošs profesionālās, augstākās un mūžizglītības piedāvājums, zinātnes un pētniecības attīstība</w:t>
            </w:r>
            <w:r w:rsidR="00A650E0" w:rsidRPr="00336942">
              <w:rPr>
                <w:iCs/>
                <w:sz w:val="24"/>
                <w:szCs w:val="24"/>
              </w:rPr>
              <w:t>.</w:t>
            </w:r>
          </w:p>
          <w:p w:rsidR="00251966" w:rsidRPr="00336942" w:rsidRDefault="008043D7">
            <w:pPr>
              <w:numPr>
                <w:ilvl w:val="0"/>
                <w:numId w:val="9"/>
              </w:numPr>
              <w:ind w:left="0"/>
              <w:contextualSpacing/>
              <w:jc w:val="both"/>
              <w:cnfStyle w:val="000000100000"/>
              <w:rPr>
                <w:iCs/>
                <w:sz w:val="24"/>
                <w:szCs w:val="24"/>
              </w:rPr>
            </w:pPr>
            <w:r w:rsidRPr="00336942">
              <w:rPr>
                <w:iCs/>
                <w:sz w:val="24"/>
                <w:szCs w:val="24"/>
              </w:rPr>
              <w:t xml:space="preserve">Uzdevumi </w:t>
            </w:r>
          </w:p>
          <w:p w:rsidR="00251966" w:rsidRPr="00336942" w:rsidRDefault="008043D7">
            <w:pPr>
              <w:numPr>
                <w:ilvl w:val="0"/>
                <w:numId w:val="9"/>
              </w:numPr>
              <w:ind w:left="0"/>
              <w:contextualSpacing/>
              <w:jc w:val="both"/>
              <w:cnfStyle w:val="000000100000"/>
              <w:rPr>
                <w:iCs/>
                <w:sz w:val="24"/>
                <w:szCs w:val="24"/>
              </w:rPr>
            </w:pPr>
            <w:r w:rsidRPr="00336942">
              <w:rPr>
                <w:iCs/>
                <w:sz w:val="24"/>
                <w:szCs w:val="24"/>
              </w:rPr>
              <w:t>S-2-3 Pilnveidot kvalitatīvas profesionālās un profesionāli orientētas mākslas un sporta izglītības apguvi</w:t>
            </w:r>
            <w:r w:rsidR="00A650E0" w:rsidRPr="00336942">
              <w:rPr>
                <w:iCs/>
                <w:sz w:val="24"/>
                <w:szCs w:val="24"/>
              </w:rPr>
              <w:t>.</w:t>
            </w:r>
          </w:p>
          <w:p w:rsidR="00251966" w:rsidRPr="00336942" w:rsidRDefault="008043D7">
            <w:pPr>
              <w:numPr>
                <w:ilvl w:val="0"/>
                <w:numId w:val="9"/>
              </w:numPr>
              <w:ind w:left="0"/>
              <w:contextualSpacing/>
              <w:jc w:val="both"/>
              <w:cnfStyle w:val="000000100000"/>
              <w:rPr>
                <w:iCs/>
                <w:sz w:val="24"/>
                <w:szCs w:val="24"/>
              </w:rPr>
            </w:pPr>
            <w:r w:rsidRPr="00336942">
              <w:rPr>
                <w:iCs/>
                <w:sz w:val="24"/>
                <w:szCs w:val="24"/>
              </w:rPr>
              <w:t>S-2-3-1 Jaunas Ventspils Mūzikas vidusskolas ēkas būvniecība ar koncertzāles funkciju</w:t>
            </w:r>
            <w:r w:rsidR="00A650E0" w:rsidRPr="00336942">
              <w:rPr>
                <w:iCs/>
                <w:sz w:val="24"/>
                <w:szCs w:val="24"/>
              </w:rPr>
              <w:t>.</w:t>
            </w:r>
          </w:p>
          <w:p w:rsidR="00251966" w:rsidRPr="00336942" w:rsidRDefault="008043D7">
            <w:pPr>
              <w:numPr>
                <w:ilvl w:val="0"/>
                <w:numId w:val="9"/>
              </w:numPr>
              <w:ind w:left="0"/>
              <w:contextualSpacing/>
              <w:jc w:val="both"/>
              <w:cnfStyle w:val="000000100000"/>
              <w:rPr>
                <w:iCs/>
                <w:sz w:val="24"/>
                <w:szCs w:val="24"/>
              </w:rPr>
            </w:pPr>
            <w:r w:rsidRPr="00336942">
              <w:rPr>
                <w:iCs/>
                <w:sz w:val="24"/>
                <w:szCs w:val="24"/>
              </w:rPr>
              <w:t>S-2-3-2 Ventspils Mūzikas vidusskolas piedāvāto izglītības programmu pilnveide atbilstoši darba tirgus pieprasījumam</w:t>
            </w:r>
            <w:r w:rsidR="00A650E0" w:rsidRPr="00336942">
              <w:rPr>
                <w:iCs/>
                <w:sz w:val="24"/>
                <w:szCs w:val="24"/>
              </w:rPr>
              <w:t>.</w:t>
            </w:r>
          </w:p>
          <w:p w:rsidR="00251966" w:rsidRPr="00336942" w:rsidRDefault="008043D7">
            <w:pPr>
              <w:numPr>
                <w:ilvl w:val="0"/>
                <w:numId w:val="9"/>
              </w:numPr>
              <w:ind w:left="0"/>
              <w:contextualSpacing/>
              <w:jc w:val="both"/>
              <w:cnfStyle w:val="000000100000"/>
              <w:rPr>
                <w:iCs/>
                <w:sz w:val="24"/>
                <w:szCs w:val="24"/>
              </w:rPr>
            </w:pPr>
            <w:r w:rsidRPr="00336942">
              <w:rPr>
                <w:iCs/>
                <w:sz w:val="24"/>
                <w:szCs w:val="24"/>
              </w:rPr>
              <w:t>S-2-3-3- Ventspils Mūzikas vidusskolas dienesta viesnīcas (internāta) izveide</w:t>
            </w:r>
            <w:r w:rsidR="00A650E0" w:rsidRPr="00336942">
              <w:rPr>
                <w:iCs/>
                <w:sz w:val="24"/>
                <w:szCs w:val="24"/>
              </w:rPr>
              <w:t>.</w:t>
            </w:r>
          </w:p>
          <w:p w:rsidR="00251966" w:rsidRPr="00336942" w:rsidRDefault="008043D7">
            <w:pPr>
              <w:numPr>
                <w:ilvl w:val="0"/>
                <w:numId w:val="9"/>
              </w:numPr>
              <w:ind w:left="0"/>
              <w:contextualSpacing/>
              <w:jc w:val="both"/>
              <w:cnfStyle w:val="000000100000"/>
              <w:rPr>
                <w:iCs/>
                <w:sz w:val="24"/>
                <w:szCs w:val="24"/>
              </w:rPr>
            </w:pPr>
            <w:r w:rsidRPr="00336942">
              <w:rPr>
                <w:iCs/>
                <w:sz w:val="24"/>
                <w:szCs w:val="24"/>
              </w:rPr>
              <w:t xml:space="preserve">S-3 Daudzveidīga, </w:t>
            </w:r>
            <w:r w:rsidR="005A57E9" w:rsidRPr="00336942">
              <w:rPr>
                <w:iCs/>
                <w:sz w:val="24"/>
                <w:szCs w:val="24"/>
              </w:rPr>
              <w:t>intensīva iedzīvotājus un apmeklētājus saistoša kultūras dzīve</w:t>
            </w:r>
            <w:r w:rsidR="00A650E0" w:rsidRPr="00336942">
              <w:rPr>
                <w:iCs/>
                <w:sz w:val="24"/>
                <w:szCs w:val="24"/>
              </w:rPr>
              <w:t>.</w:t>
            </w:r>
          </w:p>
          <w:p w:rsidR="00251966" w:rsidRPr="00336942" w:rsidRDefault="008043D7">
            <w:pPr>
              <w:numPr>
                <w:ilvl w:val="0"/>
                <w:numId w:val="9"/>
              </w:numPr>
              <w:ind w:left="0"/>
              <w:contextualSpacing/>
              <w:jc w:val="both"/>
              <w:cnfStyle w:val="000000100000"/>
              <w:rPr>
                <w:iCs/>
                <w:sz w:val="24"/>
                <w:szCs w:val="24"/>
              </w:rPr>
            </w:pPr>
            <w:r w:rsidRPr="00336942">
              <w:rPr>
                <w:iCs/>
                <w:sz w:val="24"/>
                <w:szCs w:val="24"/>
              </w:rPr>
              <w:t xml:space="preserve">-Uzdevumi </w:t>
            </w:r>
          </w:p>
          <w:p w:rsidR="00251966" w:rsidRPr="00336942" w:rsidRDefault="008043D7">
            <w:pPr>
              <w:numPr>
                <w:ilvl w:val="0"/>
                <w:numId w:val="9"/>
              </w:numPr>
              <w:ind w:left="0"/>
              <w:contextualSpacing/>
              <w:jc w:val="both"/>
              <w:cnfStyle w:val="000000100000"/>
              <w:rPr>
                <w:iCs/>
                <w:sz w:val="24"/>
                <w:szCs w:val="24"/>
              </w:rPr>
            </w:pPr>
            <w:r w:rsidRPr="00336942">
              <w:rPr>
                <w:iCs/>
                <w:sz w:val="24"/>
                <w:szCs w:val="24"/>
              </w:rPr>
              <w:lastRenderedPageBreak/>
              <w:t>S-3-7 Profesionālās mūzikas infrastruktūras attīstība</w:t>
            </w:r>
            <w:r w:rsidR="00A650E0" w:rsidRPr="00336942">
              <w:rPr>
                <w:iCs/>
                <w:sz w:val="24"/>
                <w:szCs w:val="24"/>
              </w:rPr>
              <w:t>.</w:t>
            </w:r>
          </w:p>
          <w:p w:rsidR="00251966" w:rsidRPr="00336942" w:rsidRDefault="008043D7">
            <w:pPr>
              <w:numPr>
                <w:ilvl w:val="0"/>
                <w:numId w:val="9"/>
              </w:numPr>
              <w:ind w:left="0"/>
              <w:contextualSpacing/>
              <w:jc w:val="both"/>
              <w:cnfStyle w:val="000000100000"/>
              <w:rPr>
                <w:iCs/>
                <w:sz w:val="24"/>
                <w:szCs w:val="24"/>
              </w:rPr>
            </w:pPr>
            <w:r w:rsidRPr="00336942">
              <w:rPr>
                <w:iCs/>
                <w:sz w:val="24"/>
                <w:szCs w:val="24"/>
              </w:rPr>
              <w:t>S-3-7-1 Jaunas Mūzikas vidusskolas ēkas būvniecība ar koncertzāles funkciju</w:t>
            </w:r>
            <w:r w:rsidR="00A650E0" w:rsidRPr="00336942">
              <w:rPr>
                <w:iCs/>
                <w:sz w:val="24"/>
                <w:szCs w:val="24"/>
              </w:rPr>
              <w:t>.</w:t>
            </w:r>
          </w:p>
        </w:tc>
      </w:tr>
    </w:tbl>
    <w:p w:rsidR="000F7AC7" w:rsidRDefault="000F7AC7" w:rsidP="009C0249">
      <w:pPr>
        <w:pStyle w:val="parastais0"/>
        <w:spacing w:before="0" w:beforeAutospacing="0" w:after="0" w:afterAutospacing="0"/>
        <w:ind w:firstLine="709"/>
        <w:jc w:val="both"/>
        <w:rPr>
          <w:rStyle w:val="izc0113lumschar"/>
          <w:b/>
        </w:rPr>
      </w:pPr>
    </w:p>
    <w:p w:rsidR="0089631D" w:rsidRPr="000F7AC7" w:rsidRDefault="0089631D" w:rsidP="009C0249">
      <w:pPr>
        <w:pStyle w:val="parastais0"/>
        <w:spacing w:before="0" w:beforeAutospacing="0" w:after="0" w:afterAutospacing="0"/>
        <w:ind w:firstLine="709"/>
        <w:jc w:val="both"/>
        <w:rPr>
          <w:rStyle w:val="izc0113lumschar"/>
          <w:sz w:val="22"/>
          <w:szCs w:val="22"/>
        </w:rPr>
      </w:pPr>
      <w:r w:rsidRPr="000F7AC7">
        <w:rPr>
          <w:rStyle w:val="izc0113lumschar"/>
        </w:rPr>
        <w:t xml:space="preserve">Ņemot vērā iepriekš minētos plānošanas dokumentus, </w:t>
      </w:r>
      <w:r w:rsidR="00A6262A" w:rsidRPr="000F7AC7">
        <w:rPr>
          <w:rStyle w:val="izc0113lumschar"/>
        </w:rPr>
        <w:t xml:space="preserve">vidusskolas </w:t>
      </w:r>
      <w:r w:rsidRPr="000F7AC7">
        <w:rPr>
          <w:rStyle w:val="izc0113lumschar"/>
        </w:rPr>
        <w:t>tālāka attīstība ir noteikta visu līmeņu p</w:t>
      </w:r>
      <w:r w:rsidR="008043D7" w:rsidRPr="000F7AC7">
        <w:rPr>
          <w:rStyle w:val="izc0113lumschar"/>
        </w:rPr>
        <w:t>olitikas plānošanas dokumentos, tai skaitā paredzēta arī Vent</w:t>
      </w:r>
      <w:r w:rsidR="00557B16" w:rsidRPr="000F7AC7">
        <w:rPr>
          <w:rStyle w:val="izc0113lumschar"/>
        </w:rPr>
        <w:t>s</w:t>
      </w:r>
      <w:r w:rsidR="008043D7" w:rsidRPr="000F7AC7">
        <w:rPr>
          <w:rStyle w:val="izc0113lumschar"/>
        </w:rPr>
        <w:t xml:space="preserve">pils pilsētas pašvaldības attīstības plānošanas dokumentos. </w:t>
      </w:r>
    </w:p>
    <w:p w:rsidR="00E531AA" w:rsidRDefault="00E531AA" w:rsidP="00A6262A">
      <w:pPr>
        <w:ind w:firstLine="720"/>
        <w:jc w:val="center"/>
        <w:rPr>
          <w:rStyle w:val="izc0113lumschar"/>
          <w:b/>
        </w:rPr>
      </w:pPr>
    </w:p>
    <w:p w:rsidR="00094313" w:rsidRDefault="0089631D" w:rsidP="00094313">
      <w:pPr>
        <w:jc w:val="center"/>
        <w:rPr>
          <w:rStyle w:val="izc0113lumschar"/>
          <w:b/>
        </w:rPr>
      </w:pPr>
      <w:r w:rsidRPr="00714735">
        <w:rPr>
          <w:rStyle w:val="izc0113lumschar"/>
          <w:b/>
        </w:rPr>
        <w:t>3. </w:t>
      </w:r>
      <w:r w:rsidR="00EE463A">
        <w:rPr>
          <w:rStyle w:val="izc0113lumschar"/>
          <w:b/>
        </w:rPr>
        <w:t>Vidusskolas</w:t>
      </w:r>
      <w:r w:rsidR="003D09C6" w:rsidRPr="00714735">
        <w:rPr>
          <w:rStyle w:val="izc0113lumschar"/>
          <w:b/>
        </w:rPr>
        <w:t xml:space="preserve"> </w:t>
      </w:r>
      <w:r w:rsidR="005F62CB">
        <w:rPr>
          <w:rStyle w:val="izc0113lumschar"/>
          <w:b/>
        </w:rPr>
        <w:t xml:space="preserve">darbības </w:t>
      </w:r>
      <w:r w:rsidR="003D09C6" w:rsidRPr="00714735">
        <w:rPr>
          <w:rStyle w:val="izc0113lumschar"/>
          <w:b/>
        </w:rPr>
        <w:t>raksturojums</w:t>
      </w:r>
      <w:r w:rsidR="004F69CD">
        <w:rPr>
          <w:rStyle w:val="izc0113lumschar"/>
          <w:b/>
        </w:rPr>
        <w:t xml:space="preserve"> un </w:t>
      </w:r>
      <w:r w:rsidR="00EE463A">
        <w:rPr>
          <w:rStyle w:val="izc0113lumschar"/>
          <w:b/>
        </w:rPr>
        <w:t>p</w:t>
      </w:r>
      <w:r w:rsidR="00EE463A" w:rsidRPr="000F7AC7">
        <w:rPr>
          <w:rStyle w:val="izc0113lumschar"/>
          <w:b/>
        </w:rPr>
        <w:t xml:space="preserve">rofesionālās izglītības </w:t>
      </w:r>
    </w:p>
    <w:p w:rsidR="00A6262A" w:rsidRDefault="00EE463A" w:rsidP="00094313">
      <w:pPr>
        <w:jc w:val="center"/>
        <w:rPr>
          <w:rStyle w:val="izc0113lumschar"/>
          <w:b/>
        </w:rPr>
      </w:pPr>
      <w:r w:rsidRPr="000F7AC7">
        <w:rPr>
          <w:rStyle w:val="izc0113lumschar"/>
          <w:b/>
        </w:rPr>
        <w:t>kompetences cent</w:t>
      </w:r>
      <w:r w:rsidR="00E653B3">
        <w:rPr>
          <w:rStyle w:val="izc0113lumschar"/>
          <w:b/>
        </w:rPr>
        <w:t>r</w:t>
      </w:r>
      <w:r w:rsidRPr="000F7AC7">
        <w:rPr>
          <w:rStyle w:val="izc0113lumschar"/>
          <w:b/>
        </w:rPr>
        <w:t>a</w:t>
      </w:r>
      <w:r w:rsidR="004F69CD">
        <w:rPr>
          <w:rStyle w:val="izc0113lumschar"/>
          <w:b/>
        </w:rPr>
        <w:t xml:space="preserve"> statusa piešķiršana</w:t>
      </w:r>
      <w:r w:rsidR="003D09C6" w:rsidRPr="00714735">
        <w:rPr>
          <w:rStyle w:val="izc0113lumschar"/>
          <w:b/>
        </w:rPr>
        <w:t xml:space="preserve"> </w:t>
      </w:r>
    </w:p>
    <w:p w:rsidR="00A6262A" w:rsidRDefault="00A6262A" w:rsidP="00A6262A">
      <w:pPr>
        <w:ind w:firstLine="720"/>
        <w:jc w:val="center"/>
        <w:rPr>
          <w:rStyle w:val="izc0113lumschar"/>
          <w:b/>
        </w:rPr>
      </w:pPr>
    </w:p>
    <w:p w:rsidR="000B42FA" w:rsidRDefault="00A6262A" w:rsidP="00AE31D6">
      <w:pPr>
        <w:ind w:firstLine="720"/>
        <w:jc w:val="both"/>
      </w:pPr>
      <w:r>
        <w:t>Vidusskola</w:t>
      </w:r>
      <w:r w:rsidRPr="00714735">
        <w:t xml:space="preserve"> </w:t>
      </w:r>
      <w:r w:rsidR="00B74806" w:rsidRPr="00714735">
        <w:t>ir lielākā Kultūras ministrijas pārziņā esoš</w:t>
      </w:r>
      <w:r w:rsidR="009C0249">
        <w:t>ā</w:t>
      </w:r>
      <w:r w:rsidR="00B74806" w:rsidRPr="00714735">
        <w:t xml:space="preserve"> kult</w:t>
      </w:r>
      <w:r w:rsidR="008B6FC2">
        <w:t>ūrizglītības iestāde ārpus Rīga</w:t>
      </w:r>
      <w:r w:rsidR="00B5702E">
        <w:t>s</w:t>
      </w:r>
      <w:r w:rsidR="008B6FC2">
        <w:t>.</w:t>
      </w:r>
      <w:r w:rsidR="00B74806" w:rsidRPr="00714735">
        <w:t xml:space="preserve"> </w:t>
      </w:r>
      <w:r w:rsidR="00094313">
        <w:t>Vidusskolā</w:t>
      </w:r>
      <w:r w:rsidR="00B74806" w:rsidRPr="00714735">
        <w:t xml:space="preserve"> </w:t>
      </w:r>
      <w:r w:rsidR="00CD7C0D" w:rsidRPr="00714735">
        <w:t>201</w:t>
      </w:r>
      <w:r w:rsidR="00CD7C0D">
        <w:t>5</w:t>
      </w:r>
      <w:r w:rsidR="00CD7C0D" w:rsidRPr="00714735">
        <w:t>./201</w:t>
      </w:r>
      <w:r w:rsidR="00CD7C0D">
        <w:t>6</w:t>
      </w:r>
      <w:r w:rsidR="00CD7C0D" w:rsidRPr="00714735">
        <w:t>.mācību</w:t>
      </w:r>
      <w:r w:rsidR="00B74806" w:rsidRPr="00714735">
        <w:t xml:space="preserve"> gada sākumā mācās </w:t>
      </w:r>
      <w:r w:rsidR="00CD7C0D">
        <w:t>476</w:t>
      </w:r>
      <w:r w:rsidR="00CD7C0D" w:rsidRPr="00714735">
        <w:t xml:space="preserve"> </w:t>
      </w:r>
      <w:r w:rsidR="00B74806" w:rsidRPr="00714735">
        <w:t xml:space="preserve">audzēkņi, tostarp </w:t>
      </w:r>
      <w:r w:rsidR="00CD7C0D">
        <w:t>91</w:t>
      </w:r>
      <w:r w:rsidR="00094313">
        <w:t> </w:t>
      </w:r>
      <w:r w:rsidR="00B74806" w:rsidRPr="00714735">
        <w:t>izglītojam</w:t>
      </w:r>
      <w:r w:rsidR="00094313">
        <w:t>ais</w:t>
      </w:r>
      <w:r w:rsidR="00B74806" w:rsidRPr="00714735">
        <w:t xml:space="preserve"> profesionālās izglītības programmās, </w:t>
      </w:r>
      <w:r w:rsidR="00CD7C0D">
        <w:t>385</w:t>
      </w:r>
      <w:r w:rsidR="00CD7C0D" w:rsidRPr="00714735">
        <w:t xml:space="preserve"> </w:t>
      </w:r>
      <w:r w:rsidR="00B74806" w:rsidRPr="00714735">
        <w:t>audzēkņi – profesionālās ievirzes izglītības programmās, kā arī strādā</w:t>
      </w:r>
      <w:r w:rsidR="0067235C" w:rsidRPr="00714735">
        <w:t xml:space="preserve"> 98</w:t>
      </w:r>
      <w:r w:rsidR="00B74806" w:rsidRPr="00714735">
        <w:t xml:space="preserve"> pedagogi</w:t>
      </w:r>
      <w:r w:rsidR="00AF5434">
        <w:t xml:space="preserve"> (93 pedagogi un </w:t>
      </w:r>
      <w:r w:rsidR="00094313">
        <w:t>pieci</w:t>
      </w:r>
      <w:r w:rsidR="00AF5434">
        <w:t xml:space="preserve"> pedagoģiskie darbinieki)</w:t>
      </w:r>
      <w:r w:rsidR="00B74806" w:rsidRPr="00714735">
        <w:t xml:space="preserve">. </w:t>
      </w:r>
      <w:r w:rsidR="009C0249">
        <w:t>Vidusskola</w:t>
      </w:r>
      <w:r w:rsidR="009C0249" w:rsidRPr="00714735">
        <w:t xml:space="preserve"> </w:t>
      </w:r>
      <w:r w:rsidR="00B74806" w:rsidRPr="00714735">
        <w:t xml:space="preserve">īsteno profesionālās vidējās, profesionālās ievirzes, interešu izglītības, mūžizglītības un tālākizglītības programmas. </w:t>
      </w:r>
    </w:p>
    <w:p w:rsidR="00251966" w:rsidRDefault="009C0249" w:rsidP="00E43465">
      <w:pPr>
        <w:ind w:firstLine="709"/>
        <w:jc w:val="both"/>
      </w:pPr>
      <w:r>
        <w:t>Vidusskola</w:t>
      </w:r>
      <w:r w:rsidRPr="00714735">
        <w:t xml:space="preserve"> </w:t>
      </w:r>
      <w:r w:rsidR="00121120" w:rsidRPr="00714735">
        <w:t>īsteno profesionālās vidējās, profesionālās ievirzes, interešu, mūžizglītības un tālākizglītības programmas, tai skaitā:</w:t>
      </w:r>
    </w:p>
    <w:p w:rsidR="00251966" w:rsidRPr="009C0249" w:rsidRDefault="00121120" w:rsidP="00E43465">
      <w:pPr>
        <w:pStyle w:val="Sarakstarindkopa"/>
        <w:numPr>
          <w:ilvl w:val="1"/>
          <w:numId w:val="26"/>
        </w:numPr>
        <w:spacing w:after="0" w:line="240" w:lineRule="auto"/>
        <w:ind w:left="851" w:hanging="142"/>
        <w:jc w:val="both"/>
        <w:rPr>
          <w:rFonts w:ascii="Times New Roman" w:eastAsia="Times New Roman" w:hAnsi="Times New Roman"/>
          <w:sz w:val="24"/>
          <w:szCs w:val="24"/>
          <w:lang w:eastAsia="lv-LV"/>
        </w:rPr>
      </w:pPr>
      <w:r w:rsidRPr="009C0249">
        <w:rPr>
          <w:rFonts w:ascii="Times New Roman" w:eastAsia="Times New Roman" w:hAnsi="Times New Roman"/>
          <w:sz w:val="24"/>
          <w:szCs w:val="24"/>
          <w:lang w:eastAsia="lv-LV"/>
        </w:rPr>
        <w:t>Mūzikas skolas programmas – Taustiņinstrumentu spēle, Stīgu instrumentu spēle, Pūšaminstrumentu un sitaminstrumentu spēle, Estrādes un džeza mūzika, Kora klase;</w:t>
      </w:r>
    </w:p>
    <w:p w:rsidR="00121120" w:rsidRPr="009C0249" w:rsidRDefault="00121120" w:rsidP="00E43465">
      <w:pPr>
        <w:pStyle w:val="Sarakstarindkopa"/>
        <w:numPr>
          <w:ilvl w:val="1"/>
          <w:numId w:val="26"/>
        </w:numPr>
        <w:spacing w:after="0" w:line="240" w:lineRule="auto"/>
        <w:ind w:left="851" w:hanging="142"/>
        <w:jc w:val="both"/>
        <w:rPr>
          <w:rFonts w:ascii="Times New Roman" w:eastAsia="Times New Roman" w:hAnsi="Times New Roman"/>
          <w:sz w:val="24"/>
          <w:szCs w:val="24"/>
          <w:lang w:eastAsia="lv-LV"/>
        </w:rPr>
      </w:pPr>
      <w:r w:rsidRPr="009C0249">
        <w:rPr>
          <w:rFonts w:ascii="Times New Roman" w:eastAsia="Times New Roman" w:hAnsi="Times New Roman"/>
          <w:sz w:val="24"/>
          <w:szCs w:val="24"/>
          <w:lang w:eastAsia="lv-LV"/>
        </w:rPr>
        <w:t xml:space="preserve">Mūzikas vidusskolas programmas </w:t>
      </w:r>
      <w:r w:rsidR="00094313" w:rsidRPr="009C0249">
        <w:rPr>
          <w:rFonts w:ascii="Times New Roman" w:eastAsia="Times New Roman" w:hAnsi="Times New Roman"/>
          <w:sz w:val="24"/>
          <w:szCs w:val="24"/>
          <w:lang w:eastAsia="lv-LV"/>
        </w:rPr>
        <w:t>–</w:t>
      </w:r>
      <w:r w:rsidRPr="009C0249">
        <w:rPr>
          <w:rFonts w:ascii="Times New Roman" w:eastAsia="Times New Roman" w:hAnsi="Times New Roman"/>
          <w:sz w:val="24"/>
          <w:szCs w:val="24"/>
          <w:lang w:eastAsia="lv-LV"/>
        </w:rPr>
        <w:t xml:space="preserve"> Taustiņinstrumentu spēle, Stīgu instrumentu spēle, Pūšaminstrumentu un sitaminstrumentu spēle, Diriģēšanas nodaļa, Vokālās mūzikas nodaļa, Mūzikas vēstures un teorijas nodaļa, Mūzikas (estrādes un džeza mūzikas) nodaļa; Mūziķis – skaņu operators (tikai Ventspilī);</w:t>
      </w:r>
    </w:p>
    <w:p w:rsidR="000B42FA" w:rsidRPr="009C0249" w:rsidRDefault="00121120" w:rsidP="00E43465">
      <w:pPr>
        <w:pStyle w:val="Sarakstarindkopa"/>
        <w:numPr>
          <w:ilvl w:val="1"/>
          <w:numId w:val="26"/>
        </w:numPr>
        <w:spacing w:after="0" w:line="240" w:lineRule="auto"/>
        <w:ind w:left="851" w:hanging="142"/>
        <w:jc w:val="both"/>
        <w:rPr>
          <w:rFonts w:ascii="Times New Roman" w:eastAsia="Times New Roman" w:hAnsi="Times New Roman"/>
          <w:sz w:val="24"/>
          <w:szCs w:val="24"/>
          <w:lang w:eastAsia="lv-LV"/>
        </w:rPr>
      </w:pPr>
      <w:r w:rsidRPr="009C0249">
        <w:rPr>
          <w:rFonts w:ascii="Times New Roman" w:eastAsia="Times New Roman" w:hAnsi="Times New Roman"/>
          <w:sz w:val="24"/>
          <w:szCs w:val="24"/>
          <w:lang w:eastAsia="lv-LV"/>
        </w:rPr>
        <w:t>Interešu izglītību ikvienam interesentam izvēlētajā specialitātē, t</w:t>
      </w:r>
      <w:r w:rsidR="00E43465">
        <w:rPr>
          <w:rFonts w:ascii="Times New Roman" w:eastAsia="Times New Roman" w:hAnsi="Times New Roman"/>
          <w:sz w:val="24"/>
          <w:szCs w:val="24"/>
          <w:lang w:eastAsia="lv-LV"/>
        </w:rPr>
        <w:t>ai</w:t>
      </w:r>
      <w:r w:rsidR="009C0249">
        <w:rPr>
          <w:rFonts w:ascii="Times New Roman" w:eastAsia="Times New Roman" w:hAnsi="Times New Roman"/>
          <w:sz w:val="24"/>
          <w:szCs w:val="24"/>
          <w:lang w:eastAsia="lv-LV"/>
        </w:rPr>
        <w:t xml:space="preserve"> skaitā</w:t>
      </w:r>
      <w:r w:rsidRPr="009C0249">
        <w:rPr>
          <w:rFonts w:ascii="Times New Roman" w:eastAsia="Times New Roman" w:hAnsi="Times New Roman"/>
          <w:sz w:val="24"/>
          <w:szCs w:val="24"/>
          <w:lang w:eastAsia="lv-LV"/>
        </w:rPr>
        <w:t xml:space="preserve"> bērniem pirmsskolas vecumā.</w:t>
      </w:r>
    </w:p>
    <w:p w:rsidR="000B42FA" w:rsidRDefault="00B74806" w:rsidP="00AE31D6">
      <w:pPr>
        <w:ind w:firstLine="720"/>
        <w:jc w:val="both"/>
      </w:pPr>
      <w:r w:rsidRPr="00714735">
        <w:t xml:space="preserve">Saskaņā ar Izglītības attīstības pamatnostādnēs 2014. – 2020.gadam prognozēto, valstī plāno panākt izglītojamo skaita proporcijas maiņu vidējā vispārējā izglītībā par labu profesionālajai izglītībai (50/50). </w:t>
      </w:r>
      <w:r w:rsidR="00A650E0">
        <w:t>Šāds mērķis ir</w:t>
      </w:r>
      <w:r w:rsidRPr="00714735">
        <w:t xml:space="preserve"> arī Ventspils pilsētas pašvaldībai. Īstenojot šo mērķi, līdz 2025.gadam tiks sekmēts audzēkņu skaita pieaugums profesionālās mācību iestādēs par aptuveni 14%, salīdzinot ar 2013./2014.m</w:t>
      </w:r>
      <w:r w:rsidR="00A650E0">
        <w:t xml:space="preserve">ācību </w:t>
      </w:r>
      <w:r w:rsidRPr="00714735">
        <w:t>g</w:t>
      </w:r>
      <w:r w:rsidR="00A650E0">
        <w:t>adu</w:t>
      </w:r>
      <w:r w:rsidRPr="00714735">
        <w:t xml:space="preserve">. Lai sasniegtu šo mērķi, profesionālās izglītības iestādēm ir jānodrošina esošo izglītības programmu pārskatīšana, jaunu izglītības programmu veidošana, kā arī infrastruktūras un materiāli tehniskās bāzes uzlabošana, veicinot profesionālās izglītības </w:t>
      </w:r>
      <w:r w:rsidR="00E61DFE" w:rsidRPr="00714735">
        <w:t>iestāžu popularitāti. Līdz 2025.</w:t>
      </w:r>
      <w:r w:rsidRPr="00714735">
        <w:t>gadam tiek plānots palielināt profesionālās izglītības programmu audzēkņu skaitu līdz 130. Audzēkņu skaita pieaugums plānots</w:t>
      </w:r>
      <w:r w:rsidR="00A650E0">
        <w:t>,</w:t>
      </w:r>
      <w:r w:rsidRPr="00714735">
        <w:t xml:space="preserve"> ieviešot skatuves gaismas dizaina un ērģeļspēles programmas, attīstot mūzikas tehnoloģiju programmu, kā arī uzņemot audzēkņus darba tirgū pieprasītajās pūtēju un stīdzinieku programmās, kurās šobrīd audzēkņu skaits ir salīdzinoši neliels.</w:t>
      </w:r>
    </w:p>
    <w:p w:rsidR="000B42FA" w:rsidRDefault="009C0249" w:rsidP="00AE31D6">
      <w:pPr>
        <w:ind w:firstLine="720"/>
        <w:jc w:val="both"/>
      </w:pPr>
      <w:r>
        <w:t>Vidusskolas</w:t>
      </w:r>
      <w:r w:rsidRPr="00714735">
        <w:t xml:space="preserve"> </w:t>
      </w:r>
      <w:r w:rsidR="00A650E0">
        <w:t>darbība</w:t>
      </w:r>
      <w:r w:rsidR="00A650E0" w:rsidRPr="00714735">
        <w:t xml:space="preserve"> </w:t>
      </w:r>
      <w:r w:rsidR="00774AB9" w:rsidRPr="00714735">
        <w:t xml:space="preserve">radīs priekšnosacījumus izglītības un kultūras pakalpojumu pieejamības uzlabošanai Ventspils pilsētā un Kurzemes reģionā. Tas ietver gan </w:t>
      </w:r>
      <w:r w:rsidR="008E3744">
        <w:t>vidusskolas</w:t>
      </w:r>
      <w:r w:rsidR="00774AB9" w:rsidRPr="00714735">
        <w:t xml:space="preserve"> infrastruktūras attīstību, lai nākotnē varētu nodrošināt kvalitatīvu valsts profesionālās izglītības iestādes mācību procesu, gan kultūras pakalpojumu klāsta un kvalitātes uzlabojumu.</w:t>
      </w:r>
    </w:p>
    <w:p w:rsidR="000B42FA" w:rsidRDefault="009C0249" w:rsidP="00AE31D6">
      <w:pPr>
        <w:ind w:firstLine="720"/>
        <w:jc w:val="both"/>
      </w:pPr>
      <w:r>
        <w:t>Vidusskola</w:t>
      </w:r>
      <w:r w:rsidRPr="00714735">
        <w:t xml:space="preserve"> </w:t>
      </w:r>
      <w:r w:rsidR="00A650E0">
        <w:t>darbojas</w:t>
      </w:r>
      <w:r w:rsidR="00A650E0" w:rsidRPr="00714735">
        <w:t xml:space="preserve"> </w:t>
      </w:r>
      <w:r w:rsidR="00774AB9" w:rsidRPr="00714735">
        <w:t xml:space="preserve">arī kā Ziemeļkurzemes metodiskais centrs, apvienojot 12 mūzikas skolas. To vidū ir Kandavas, Sabiles, Talsu, Valdemārpils, Dundagas, Rojas, Mērsraga, Kolkas, Piltenes, Ugāles, Kuldīgas un Ventspils Mūzikas skolas. </w:t>
      </w:r>
    </w:p>
    <w:p w:rsidR="000B42FA" w:rsidRDefault="005F62CB">
      <w:pPr>
        <w:ind w:firstLine="720"/>
        <w:jc w:val="both"/>
      </w:pPr>
      <w:r>
        <w:t>No 2015./2016.mācību gad</w:t>
      </w:r>
      <w:r w:rsidR="008205D2">
        <w:t>a</w:t>
      </w:r>
      <w:r w:rsidR="007B7CD2">
        <w:t xml:space="preserve"> licencēta un uzņemti audzēkņi jaunā Latvijā unikālā</w:t>
      </w:r>
      <w:r>
        <w:t xml:space="preserve"> </w:t>
      </w:r>
      <w:r w:rsidRPr="005F62CB">
        <w:t>profesionālās vidējās izglītības programm</w:t>
      </w:r>
      <w:r w:rsidR="008205D2">
        <w:t>ā</w:t>
      </w:r>
      <w:r w:rsidRPr="005F62CB">
        <w:t xml:space="preserve"> Latvijā – </w:t>
      </w:r>
      <w:r w:rsidR="008205D2">
        <w:t>„</w:t>
      </w:r>
      <w:r w:rsidR="00AD70AF" w:rsidRPr="00AD70AF">
        <w:rPr>
          <w:i/>
        </w:rPr>
        <w:t>Mūziķ</w:t>
      </w:r>
      <w:r w:rsidR="008205D2">
        <w:rPr>
          <w:i/>
        </w:rPr>
        <w:t>is</w:t>
      </w:r>
      <w:r w:rsidR="00557CDB">
        <w:rPr>
          <w:i/>
        </w:rPr>
        <w:t xml:space="preserve"> </w:t>
      </w:r>
      <w:r w:rsidR="00AD70AF" w:rsidRPr="00AD70AF">
        <w:rPr>
          <w:i/>
        </w:rPr>
        <w:t>–</w:t>
      </w:r>
      <w:r w:rsidR="00557CDB">
        <w:rPr>
          <w:i/>
        </w:rPr>
        <w:t xml:space="preserve"> </w:t>
      </w:r>
      <w:r w:rsidR="00AD70AF" w:rsidRPr="00AD70AF">
        <w:rPr>
          <w:i/>
        </w:rPr>
        <w:t>ērģelniek</w:t>
      </w:r>
      <w:r w:rsidR="008205D2">
        <w:rPr>
          <w:i/>
        </w:rPr>
        <w:t>s”</w:t>
      </w:r>
      <w:r w:rsidR="008205D2" w:rsidRPr="00557CDB">
        <w:t>,</w:t>
      </w:r>
      <w:r w:rsidR="008205D2">
        <w:rPr>
          <w:i/>
        </w:rPr>
        <w:t xml:space="preserve"> </w:t>
      </w:r>
      <w:r w:rsidR="00AD70AF" w:rsidRPr="00AD70AF">
        <w:t>kā arī uzņemti audzēkņi ar specializāciju</w:t>
      </w:r>
      <w:r w:rsidRPr="008205D2">
        <w:t xml:space="preserve"> </w:t>
      </w:r>
      <w:r w:rsidR="009C0249" w:rsidRPr="009C0249">
        <w:rPr>
          <w:i/>
        </w:rPr>
        <w:t>„</w:t>
      </w:r>
      <w:r w:rsidR="008205D2" w:rsidRPr="009C0249">
        <w:rPr>
          <w:i/>
        </w:rPr>
        <w:t>Skatuves gaismu dizain</w:t>
      </w:r>
      <w:r w:rsidR="00C053DD" w:rsidRPr="009C0249">
        <w:rPr>
          <w:i/>
        </w:rPr>
        <w:t>ā</w:t>
      </w:r>
      <w:r w:rsidR="009C0249" w:rsidRPr="009C0249">
        <w:rPr>
          <w:i/>
        </w:rPr>
        <w:t>”</w:t>
      </w:r>
      <w:r w:rsidR="00774AB9" w:rsidRPr="00714735">
        <w:t xml:space="preserve">, tādējādi sekmējot izglītības iestādes </w:t>
      </w:r>
      <w:r w:rsidR="00774AB9" w:rsidRPr="00714735">
        <w:lastRenderedPageBreak/>
        <w:t>profilēšanos par audiovizuālās mākslas kompetenču centru un attīstot specializāciju informāciju tehnoloģiju un mākslas sintēzē un skaņas digitālajā apstrādē.</w:t>
      </w:r>
    </w:p>
    <w:p w:rsidR="000B42FA" w:rsidRDefault="00774AB9">
      <w:pPr>
        <w:ind w:firstLine="720"/>
        <w:jc w:val="both"/>
      </w:pPr>
      <w:r w:rsidRPr="00714735">
        <w:t xml:space="preserve">Ventspils pilsētas pašvaldība saņēmusi atbalsta vēstules, kas pauž nepieciešamību pēc profesionāliem ērģelniekiem un mūsdienu ērģeļu izbūves, no Jāzepa Vītola Mūzikas akadēmijas, Rīgas Metropolijas Romas katoļu kūrijas, Latvijas </w:t>
      </w:r>
      <w:r w:rsidR="00E653B3" w:rsidRPr="00714735">
        <w:t>evaņģēliski</w:t>
      </w:r>
      <w:r w:rsidRPr="00714735">
        <w:t xml:space="preserve"> luteriskās Baznīcas Ventspils evaņģēliski luteriskās draudzes, Latvijas evaņģēliski luteriskās Baznīcas Mūzikas un liturģijas nozares un Latvijas Baptistu draudžu savienības.</w:t>
      </w:r>
    </w:p>
    <w:p w:rsidR="00E653B3" w:rsidRDefault="00E653B3">
      <w:pPr>
        <w:jc w:val="both"/>
        <w:rPr>
          <w:rStyle w:val="izc0113lumschar"/>
          <w:b/>
        </w:rPr>
      </w:pPr>
    </w:p>
    <w:p w:rsidR="00251966" w:rsidRDefault="000F7AC7">
      <w:pPr>
        <w:jc w:val="both"/>
        <w:rPr>
          <w:szCs w:val="28"/>
        </w:rPr>
      </w:pPr>
      <w:r>
        <w:rPr>
          <w:rStyle w:val="izc0113lumschar"/>
          <w:b/>
        </w:rPr>
        <w:t>P</w:t>
      </w:r>
      <w:r w:rsidRPr="000F7AC7">
        <w:rPr>
          <w:rStyle w:val="izc0113lumschar"/>
          <w:b/>
        </w:rPr>
        <w:t>rofesionālās izglītības kompetences cent</w:t>
      </w:r>
      <w:r w:rsidR="00E653B3">
        <w:rPr>
          <w:rStyle w:val="izc0113lumschar"/>
          <w:b/>
        </w:rPr>
        <w:t>r</w:t>
      </w:r>
      <w:r w:rsidRPr="000F7AC7">
        <w:rPr>
          <w:rStyle w:val="izc0113lumschar"/>
          <w:b/>
        </w:rPr>
        <w:t>a</w:t>
      </w:r>
      <w:r w:rsidR="00493E21">
        <w:rPr>
          <w:rStyle w:val="izc0113lumschar"/>
          <w:b/>
        </w:rPr>
        <w:t xml:space="preserve"> statusa piešķiršana</w:t>
      </w:r>
    </w:p>
    <w:p w:rsidR="00493E21" w:rsidRDefault="00493E21" w:rsidP="00AE31D6">
      <w:pPr>
        <w:ind w:firstLine="567"/>
        <w:jc w:val="both"/>
        <w:rPr>
          <w:szCs w:val="28"/>
        </w:rPr>
      </w:pPr>
    </w:p>
    <w:p w:rsidR="00094AFE" w:rsidRPr="00557CDB" w:rsidRDefault="00557B16" w:rsidP="00AE31D6">
      <w:pPr>
        <w:ind w:firstLine="567"/>
        <w:jc w:val="both"/>
        <w:rPr>
          <w:bCs/>
          <w:szCs w:val="28"/>
        </w:rPr>
      </w:pPr>
      <w:r>
        <w:rPr>
          <w:szCs w:val="28"/>
        </w:rPr>
        <w:t>A</w:t>
      </w:r>
      <w:r w:rsidRPr="00E466DE">
        <w:rPr>
          <w:szCs w:val="28"/>
        </w:rPr>
        <w:t>tbilstoši Profesionālās izglītības likuma 15.¹</w:t>
      </w:r>
      <w:r w:rsidR="00557CDB">
        <w:rPr>
          <w:szCs w:val="28"/>
        </w:rPr>
        <w:t xml:space="preserve"> </w:t>
      </w:r>
      <w:r w:rsidRPr="00E466DE">
        <w:rPr>
          <w:szCs w:val="28"/>
        </w:rPr>
        <w:t xml:space="preserve">panta trešajai un ceturtajai daļai, kā arī atbilstoši Ministru kabineta 2015.gada 25.augusta noteikumiem Nr.495 „Kārtība, kādā piešķir un anulē profesionālās izglītības kompetences centra statusu mākslas, mūzikas vai dejas </w:t>
      </w:r>
      <w:r w:rsidRPr="00557CDB">
        <w:rPr>
          <w:szCs w:val="28"/>
        </w:rPr>
        <w:t>jomā”</w:t>
      </w:r>
      <w:r w:rsidR="00CC3B3D" w:rsidRPr="00557CDB">
        <w:rPr>
          <w:szCs w:val="28"/>
        </w:rPr>
        <w:t xml:space="preserve"> (turpmāk – MK noteikumi Nr.495)</w:t>
      </w:r>
      <w:r w:rsidRPr="00557CDB">
        <w:rPr>
          <w:szCs w:val="28"/>
        </w:rPr>
        <w:t xml:space="preserve">, </w:t>
      </w:r>
      <w:r w:rsidR="00557CDB" w:rsidRPr="00557CDB">
        <w:rPr>
          <w:bCs/>
          <w:szCs w:val="28"/>
        </w:rPr>
        <w:t>Kultūras ministrijā</w:t>
      </w:r>
      <w:r w:rsidRPr="00557CDB">
        <w:rPr>
          <w:bCs/>
          <w:szCs w:val="28"/>
        </w:rPr>
        <w:t xml:space="preserve"> 2015.gada 23.novembrī </w:t>
      </w:r>
      <w:r w:rsidR="004F69CD" w:rsidRPr="00557CDB">
        <w:rPr>
          <w:bCs/>
          <w:szCs w:val="28"/>
        </w:rPr>
        <w:t xml:space="preserve">tika saņemts </w:t>
      </w:r>
      <w:r w:rsidR="000F7AC7" w:rsidRPr="00557CDB">
        <w:rPr>
          <w:bCs/>
          <w:szCs w:val="28"/>
        </w:rPr>
        <w:t xml:space="preserve">vidusskolas </w:t>
      </w:r>
      <w:r w:rsidRPr="00557CDB">
        <w:rPr>
          <w:bCs/>
          <w:szCs w:val="28"/>
        </w:rPr>
        <w:t xml:space="preserve">2015.gada 19.novembra </w:t>
      </w:r>
      <w:r w:rsidR="004F69CD" w:rsidRPr="00557CDB">
        <w:rPr>
          <w:bCs/>
          <w:szCs w:val="28"/>
        </w:rPr>
        <w:t xml:space="preserve">iesniegums </w:t>
      </w:r>
      <w:r w:rsidRPr="00557CDB">
        <w:rPr>
          <w:bCs/>
          <w:szCs w:val="28"/>
        </w:rPr>
        <w:t xml:space="preserve">Nr.1-16/104 ar lūgumu izskatīt jautājumu par profesionālās izglītības kompetences centra statusa piešķiršanu. </w:t>
      </w:r>
    </w:p>
    <w:p w:rsidR="00557B16" w:rsidRPr="00557CDB" w:rsidRDefault="006C5A41" w:rsidP="00AE31D6">
      <w:pPr>
        <w:ind w:firstLine="567"/>
        <w:jc w:val="both"/>
        <w:rPr>
          <w:szCs w:val="28"/>
        </w:rPr>
      </w:pPr>
      <w:r w:rsidRPr="00557CDB">
        <w:rPr>
          <w:bCs/>
          <w:szCs w:val="28"/>
        </w:rPr>
        <w:t xml:space="preserve">Iesniegumam tika </w:t>
      </w:r>
      <w:r w:rsidR="00557B16" w:rsidRPr="00557CDB">
        <w:rPr>
          <w:bCs/>
          <w:szCs w:val="28"/>
        </w:rPr>
        <w:t xml:space="preserve">pievienoti dokumenti, kas apliecina </w:t>
      </w:r>
      <w:r w:rsidR="000F7AC7" w:rsidRPr="00557CDB">
        <w:rPr>
          <w:bCs/>
          <w:szCs w:val="28"/>
        </w:rPr>
        <w:t>vidusskolas</w:t>
      </w:r>
      <w:r w:rsidR="00557B16" w:rsidRPr="00557CDB">
        <w:rPr>
          <w:bCs/>
          <w:szCs w:val="28"/>
        </w:rPr>
        <w:t xml:space="preserve"> atbilstību M</w:t>
      </w:r>
      <w:r w:rsidR="00EE463A" w:rsidRPr="00557CDB">
        <w:rPr>
          <w:bCs/>
          <w:szCs w:val="28"/>
        </w:rPr>
        <w:t>inistru kabineta</w:t>
      </w:r>
      <w:r w:rsidR="00557B16" w:rsidRPr="00557CDB">
        <w:rPr>
          <w:bCs/>
          <w:szCs w:val="28"/>
        </w:rPr>
        <w:t xml:space="preserve"> </w:t>
      </w:r>
      <w:r w:rsidR="00557B16" w:rsidRPr="00557CDB">
        <w:rPr>
          <w:szCs w:val="28"/>
        </w:rPr>
        <w:t xml:space="preserve">noteikumu Nr.495 </w:t>
      </w:r>
      <w:r w:rsidR="00557B16" w:rsidRPr="00557CDB">
        <w:rPr>
          <w:bCs/>
          <w:szCs w:val="28"/>
        </w:rPr>
        <w:t xml:space="preserve">2.punktā noteiktajiem kritērijiem. </w:t>
      </w:r>
      <w:r w:rsidR="00557B16" w:rsidRPr="00557CDB">
        <w:t xml:space="preserve">Izvērtējot </w:t>
      </w:r>
      <w:r w:rsidR="000F7AC7" w:rsidRPr="00557CDB">
        <w:t>vidusskolas</w:t>
      </w:r>
      <w:r w:rsidR="00CC3B3D" w:rsidRPr="00557CDB">
        <w:t xml:space="preserve"> </w:t>
      </w:r>
      <w:r w:rsidR="00557B16" w:rsidRPr="00557CDB">
        <w:t xml:space="preserve">iesniegtā apliecinājuma atbilstību, </w:t>
      </w:r>
      <w:r w:rsidR="00557CDB" w:rsidRPr="00557CDB">
        <w:t xml:space="preserve">Kultūras </w:t>
      </w:r>
      <w:r w:rsidR="00557B16" w:rsidRPr="00557CDB">
        <w:t xml:space="preserve">ministrija, pamatojoties uz Latvijas Nacionālā kultūras centra 2015.gada 11.decembra atzinumu Nr.1 „Par profesionālās izglītības kompetences centra statusa piešķiršanu Ventspils Mūzikas vidusskolai”, kas pieņemts, balstoties uz Latvijas Nacionālā kultūras centra profesionālās izglītības  kompetences centra statusa piešķiršanas un </w:t>
      </w:r>
      <w:r w:rsidR="00E653B3" w:rsidRPr="00557CDB">
        <w:t xml:space="preserve">anulēšanas komisijas (izveidota </w:t>
      </w:r>
      <w:r w:rsidR="00557CDB" w:rsidRPr="00557CDB">
        <w:t xml:space="preserve">ar Latvijas Nacionālā kultūras centra </w:t>
      </w:r>
      <w:r w:rsidR="00557B16" w:rsidRPr="00557CDB">
        <w:t>2015.</w:t>
      </w:r>
      <w:r w:rsidR="00557CDB" w:rsidRPr="00557CDB">
        <w:t>gada 29.septembra rīkojumu</w:t>
      </w:r>
      <w:r w:rsidR="00557B16" w:rsidRPr="00557CDB">
        <w:t xml:space="preserve"> Nr.157) 2015.gada 1</w:t>
      </w:r>
      <w:r w:rsidR="00E653B3" w:rsidRPr="00557CDB">
        <w:t xml:space="preserve">1.decembra sēdē pieņemto </w:t>
      </w:r>
      <w:r w:rsidR="00557CDB">
        <w:t xml:space="preserve">lēmumu </w:t>
      </w:r>
      <w:r w:rsidR="00E653B3" w:rsidRPr="00557CDB">
        <w:t>(</w:t>
      </w:r>
      <w:r w:rsidR="00557B16" w:rsidRPr="00557CDB">
        <w:t>2015.</w:t>
      </w:r>
      <w:r w:rsidR="00E653B3" w:rsidRPr="00557CDB">
        <w:t>gada 11.decembra</w:t>
      </w:r>
      <w:r w:rsidR="00557CDB">
        <w:t xml:space="preserve"> protokols N</w:t>
      </w:r>
      <w:r w:rsidR="00557B16" w:rsidRPr="00557CDB">
        <w:t>r.1), konstatē</w:t>
      </w:r>
      <w:r w:rsidR="00557CDB">
        <w:t>ja</w:t>
      </w:r>
      <w:r w:rsidR="00557B16" w:rsidRPr="00557CDB">
        <w:t xml:space="preserve">, ka </w:t>
      </w:r>
      <w:r w:rsidR="000F7AC7" w:rsidRPr="00557CDB">
        <w:t>vidusskola</w:t>
      </w:r>
      <w:r w:rsidR="00CC3B3D" w:rsidRPr="00557CDB">
        <w:t xml:space="preserve"> </w:t>
      </w:r>
      <w:r w:rsidR="00557B16" w:rsidRPr="00557CDB">
        <w:t xml:space="preserve">kvalificējas </w:t>
      </w:r>
      <w:r w:rsidR="00EE463A" w:rsidRPr="00557CDB">
        <w:rPr>
          <w:bCs/>
          <w:szCs w:val="28"/>
        </w:rPr>
        <w:t xml:space="preserve">profesionālās izglītības </w:t>
      </w:r>
      <w:r w:rsidR="00557B16" w:rsidRPr="00557CDB">
        <w:rPr>
          <w:szCs w:val="28"/>
        </w:rPr>
        <w:t>kompetences centra statusa ieguvei</w:t>
      </w:r>
      <w:r w:rsidR="00094AFE" w:rsidRPr="00557CDB">
        <w:rPr>
          <w:szCs w:val="28"/>
        </w:rPr>
        <w:t xml:space="preserve">. </w:t>
      </w:r>
    </w:p>
    <w:p w:rsidR="00094AFE" w:rsidRDefault="00EE463A" w:rsidP="00AE31D6">
      <w:pPr>
        <w:ind w:firstLine="567"/>
        <w:jc w:val="both"/>
        <w:rPr>
          <w:b/>
          <w:bCs/>
        </w:rPr>
      </w:pPr>
      <w:r w:rsidRPr="00557CDB">
        <w:rPr>
          <w:b/>
          <w:szCs w:val="28"/>
        </w:rPr>
        <w:t>Pamatojoties uz</w:t>
      </w:r>
      <w:r w:rsidR="0005629B" w:rsidRPr="00557CDB">
        <w:rPr>
          <w:b/>
          <w:szCs w:val="28"/>
        </w:rPr>
        <w:t xml:space="preserve"> </w:t>
      </w:r>
      <w:r w:rsidR="00557CDB">
        <w:rPr>
          <w:b/>
          <w:szCs w:val="28"/>
        </w:rPr>
        <w:t xml:space="preserve">MK </w:t>
      </w:r>
      <w:r w:rsidR="0005629B" w:rsidRPr="00557CDB">
        <w:rPr>
          <w:b/>
          <w:szCs w:val="28"/>
        </w:rPr>
        <w:t>rīkojumu</w:t>
      </w:r>
      <w:r w:rsidR="000F7AC7" w:rsidRPr="00557CDB">
        <w:rPr>
          <w:b/>
          <w:szCs w:val="28"/>
        </w:rPr>
        <w:t xml:space="preserve"> Nr.</w:t>
      </w:r>
      <w:r w:rsidRPr="00557CDB">
        <w:rPr>
          <w:b/>
          <w:szCs w:val="28"/>
        </w:rPr>
        <w:t>36</w:t>
      </w:r>
      <w:r w:rsidR="0005629B" w:rsidRPr="00557CDB">
        <w:rPr>
          <w:b/>
          <w:szCs w:val="28"/>
        </w:rPr>
        <w:t xml:space="preserve">, </w:t>
      </w:r>
      <w:r w:rsidR="00557CDB">
        <w:rPr>
          <w:b/>
          <w:szCs w:val="28"/>
        </w:rPr>
        <w:t>vidusskola</w:t>
      </w:r>
      <w:r w:rsidR="00557CDB" w:rsidRPr="00557CDB">
        <w:rPr>
          <w:b/>
          <w:szCs w:val="28"/>
        </w:rPr>
        <w:t xml:space="preserve"> </w:t>
      </w:r>
      <w:r w:rsidR="0005629B" w:rsidRPr="00557CDB">
        <w:rPr>
          <w:b/>
          <w:szCs w:val="28"/>
        </w:rPr>
        <w:t>profesionālās</w:t>
      </w:r>
      <w:r w:rsidR="0005629B">
        <w:rPr>
          <w:b/>
          <w:szCs w:val="28"/>
        </w:rPr>
        <w:t xml:space="preserve"> izglītības kompetences centra statusu </w:t>
      </w:r>
      <w:r w:rsidR="00CC3B3D">
        <w:rPr>
          <w:b/>
          <w:szCs w:val="28"/>
        </w:rPr>
        <w:t xml:space="preserve">ieguvusi </w:t>
      </w:r>
      <w:r w:rsidR="0005629B">
        <w:rPr>
          <w:b/>
          <w:szCs w:val="28"/>
        </w:rPr>
        <w:t xml:space="preserve">ar 2016.gada 1.martu. </w:t>
      </w:r>
      <w:r w:rsidR="004610D5">
        <w:rPr>
          <w:b/>
        </w:rPr>
        <w:t>Vidusskola</w:t>
      </w:r>
      <w:r w:rsidR="004610D5" w:rsidRPr="00301506">
        <w:rPr>
          <w:b/>
        </w:rPr>
        <w:t xml:space="preserve"> </w:t>
      </w:r>
      <w:r w:rsidR="004B059C" w:rsidRPr="00301506">
        <w:rPr>
          <w:b/>
        </w:rPr>
        <w:t>var pretendēt uz d</w:t>
      </w:r>
      <w:r w:rsidR="004B059C" w:rsidRPr="00301506">
        <w:rPr>
          <w:b/>
          <w:bCs/>
        </w:rPr>
        <w:t xml:space="preserve">arbības programmas „Izaugsme un nodarbinātība” </w:t>
      </w:r>
      <w:r w:rsidR="008E3744">
        <w:rPr>
          <w:b/>
          <w:bCs/>
        </w:rPr>
        <w:t>SAM</w:t>
      </w:r>
      <w:r w:rsidR="004B059C" w:rsidRPr="00301506">
        <w:rPr>
          <w:b/>
          <w:bCs/>
        </w:rPr>
        <w:t xml:space="preserve"> 8.1.3</w:t>
      </w:r>
      <w:r w:rsidR="00336942">
        <w:rPr>
          <w:b/>
          <w:bCs/>
        </w:rPr>
        <w:t xml:space="preserve">. </w:t>
      </w:r>
      <w:r>
        <w:rPr>
          <w:b/>
          <w:bCs/>
        </w:rPr>
        <w:t xml:space="preserve">ietvaros </w:t>
      </w:r>
      <w:r w:rsidR="004B059C" w:rsidRPr="00301506">
        <w:rPr>
          <w:b/>
          <w:bCs/>
        </w:rPr>
        <w:t xml:space="preserve">paredzēto finansējumu </w:t>
      </w:r>
      <w:r w:rsidRPr="00A315FA">
        <w:rPr>
          <w:b/>
          <w:bCs/>
        </w:rPr>
        <w:t xml:space="preserve">profesionālās izglītības </w:t>
      </w:r>
      <w:r w:rsidR="004B059C" w:rsidRPr="00301506">
        <w:rPr>
          <w:b/>
          <w:bCs/>
        </w:rPr>
        <w:t>kompetences centra attīstībai</w:t>
      </w:r>
      <w:r w:rsidR="00A315FA">
        <w:rPr>
          <w:b/>
          <w:bCs/>
        </w:rPr>
        <w:t>, atbilstoši Ministru kabineta noteikumu „Darbības programmas „Izaugsme un nodarbinātība”</w:t>
      </w:r>
      <w:r w:rsidR="00A315FA" w:rsidRPr="00A315FA">
        <w:rPr>
          <w:b/>
          <w:bCs/>
        </w:rPr>
        <w:t xml:space="preserve"> 8.1.3.specifiskā atbalsta mērķa </w:t>
      </w:r>
      <w:r w:rsidR="00A315FA">
        <w:rPr>
          <w:b/>
          <w:bCs/>
        </w:rPr>
        <w:t>„</w:t>
      </w:r>
      <w:r w:rsidR="00A315FA" w:rsidRPr="00A315FA">
        <w:rPr>
          <w:b/>
          <w:bCs/>
        </w:rPr>
        <w:t>Palielināt modernizēto profesionālās izglītības iestāž</w:t>
      </w:r>
      <w:r w:rsidR="00A315FA">
        <w:rPr>
          <w:b/>
          <w:bCs/>
        </w:rPr>
        <w:t>u skaitu” īstenošanas noteikumi” (</w:t>
      </w:r>
      <w:r w:rsidR="004610D5">
        <w:rPr>
          <w:b/>
          <w:bCs/>
        </w:rPr>
        <w:t>pieņemti</w:t>
      </w:r>
      <w:r w:rsidR="00A315FA">
        <w:rPr>
          <w:b/>
          <w:bCs/>
        </w:rPr>
        <w:t xml:space="preserve"> Ministru kabineta </w:t>
      </w:r>
      <w:r w:rsidR="004610D5">
        <w:rPr>
          <w:b/>
          <w:bCs/>
        </w:rPr>
        <w:t>2016.gada 19.aprīļa sēdē</w:t>
      </w:r>
      <w:r w:rsidR="00A315FA">
        <w:rPr>
          <w:b/>
          <w:bCs/>
        </w:rPr>
        <w:t>) nosacījumiem</w:t>
      </w:r>
      <w:r w:rsidR="007D35FF">
        <w:rPr>
          <w:b/>
          <w:bCs/>
        </w:rPr>
        <w:t>.</w:t>
      </w:r>
    </w:p>
    <w:p w:rsidR="00831560" w:rsidRPr="00831560" w:rsidRDefault="008E3744" w:rsidP="00AE31D6">
      <w:pPr>
        <w:ind w:firstLine="567"/>
        <w:jc w:val="both"/>
      </w:pPr>
      <w:r>
        <w:rPr>
          <w:bCs/>
        </w:rPr>
        <w:t>SAM</w:t>
      </w:r>
      <w:r w:rsidR="00CC3B3D" w:rsidRPr="00831560">
        <w:rPr>
          <w:bCs/>
        </w:rPr>
        <w:t xml:space="preserve"> </w:t>
      </w:r>
      <w:r w:rsidR="00831560" w:rsidRPr="00831560">
        <w:rPr>
          <w:bCs/>
        </w:rPr>
        <w:t>8.1.3.</w:t>
      </w:r>
      <w:r w:rsidR="00EE463A">
        <w:rPr>
          <w:bCs/>
        </w:rPr>
        <w:t xml:space="preserve"> </w:t>
      </w:r>
      <w:r w:rsidR="00A315FA">
        <w:rPr>
          <w:bCs/>
        </w:rPr>
        <w:t xml:space="preserve">ietvaros </w:t>
      </w:r>
      <w:r w:rsidR="00831560" w:rsidRPr="00831560">
        <w:t xml:space="preserve">ieguldījumi tiek plānoti galvenokārt profesionālās izglītības kompetences centru infrastruktūrā un mācību aprīkojuma modernizēšanā. </w:t>
      </w:r>
      <w:r w:rsidR="00CC3B3D">
        <w:rPr>
          <w:bCs/>
        </w:rPr>
        <w:t>SAM 8.1.3.</w:t>
      </w:r>
      <w:r w:rsidR="00831560" w:rsidRPr="00831560">
        <w:rPr>
          <w:bCs/>
        </w:rPr>
        <w:t xml:space="preserve"> mērķis ir </w:t>
      </w:r>
      <w:r w:rsidR="00831560" w:rsidRPr="00831560">
        <w:t>modernizēt profesionālās izglītības iestādes, nodrošinot mācību vides atbilstību tautsaimniecības nozaru attīstībai un uzlabojot profesionālās izglītības pieejamību.</w:t>
      </w:r>
    </w:p>
    <w:p w:rsidR="00831560" w:rsidRPr="000B42FA" w:rsidRDefault="00CC3B3D" w:rsidP="00AE31D6">
      <w:pPr>
        <w:ind w:firstLine="567"/>
        <w:jc w:val="both"/>
      </w:pPr>
      <w:r>
        <w:rPr>
          <w:bCs/>
        </w:rPr>
        <w:t>SAM 8.1.3. ietvaros</w:t>
      </w:r>
      <w:r w:rsidR="00831560" w:rsidRPr="00831560">
        <w:rPr>
          <w:bCs/>
        </w:rPr>
        <w:t xml:space="preserve"> plānotais kopējais attiecināmais finansējums </w:t>
      </w:r>
      <w:r w:rsidR="00831560" w:rsidRPr="00831560">
        <w:t xml:space="preserve">ir 104 786 645 </w:t>
      </w:r>
      <w:r w:rsidR="00831560" w:rsidRPr="00831560">
        <w:rPr>
          <w:i/>
          <w:iCs/>
        </w:rPr>
        <w:t>euro</w:t>
      </w:r>
      <w:r w:rsidR="00831560" w:rsidRPr="00831560">
        <w:t xml:space="preserve">, tai skaitā </w:t>
      </w:r>
      <w:r w:rsidR="00831560" w:rsidRPr="00831560">
        <w:rPr>
          <w:bCs/>
        </w:rPr>
        <w:t>Eiropas Reģionālās attīstības fonda</w:t>
      </w:r>
      <w:r w:rsidR="00EE463A">
        <w:rPr>
          <w:bCs/>
        </w:rPr>
        <w:t xml:space="preserve"> </w:t>
      </w:r>
      <w:r w:rsidR="00831560" w:rsidRPr="00831560">
        <w:t xml:space="preserve">finansējums  89 068 648 </w:t>
      </w:r>
      <w:r w:rsidR="00831560" w:rsidRPr="00831560">
        <w:rPr>
          <w:bCs/>
          <w:i/>
        </w:rPr>
        <w:t>euro</w:t>
      </w:r>
      <w:r w:rsidR="004C1E0F">
        <w:t xml:space="preserve"> un</w:t>
      </w:r>
      <w:r w:rsidR="00831560" w:rsidRPr="00831560">
        <w:t xml:space="preserve"> </w:t>
      </w:r>
      <w:r w:rsidR="004C1E0F">
        <w:t xml:space="preserve">nacionālais </w:t>
      </w:r>
      <w:r w:rsidR="004C1E0F" w:rsidRPr="00B4613C">
        <w:rPr>
          <w:szCs w:val="28"/>
        </w:rPr>
        <w:t>publisk</w:t>
      </w:r>
      <w:r w:rsidR="004C1E0F">
        <w:rPr>
          <w:szCs w:val="28"/>
        </w:rPr>
        <w:t>ais</w:t>
      </w:r>
      <w:r w:rsidR="004C1E0F" w:rsidRPr="00B4613C">
        <w:rPr>
          <w:szCs w:val="28"/>
        </w:rPr>
        <w:t xml:space="preserve"> līdzfinansējumu 15 717 997 </w:t>
      </w:r>
      <w:r w:rsidR="004C1E0F" w:rsidRPr="004C1E0F">
        <w:rPr>
          <w:i/>
          <w:szCs w:val="28"/>
        </w:rPr>
        <w:t>euro</w:t>
      </w:r>
      <w:r w:rsidR="00831560" w:rsidRPr="00831560">
        <w:t>.</w:t>
      </w:r>
      <w:r w:rsidR="000B42FA">
        <w:t xml:space="preserve"> </w:t>
      </w:r>
      <w:r w:rsidR="00EE463A">
        <w:t>SAM 8.1.3. ietvaros</w:t>
      </w:r>
      <w:r w:rsidR="000B42FA">
        <w:t xml:space="preserve"> pieejamais kopējais attiecināmais Eiropas </w:t>
      </w:r>
      <w:r w:rsidR="00FE07E1">
        <w:t>Reģionālās</w:t>
      </w:r>
      <w:r w:rsidR="000B42FA">
        <w:t xml:space="preserve"> attīstības fonda finansējums, lai slēgtu vienošanās par projektu īstenošanu, līdz 2018.gada 31.decembrim ir 98 394 660 </w:t>
      </w:r>
      <w:r w:rsidR="00AD70AF" w:rsidRPr="00AD70AF">
        <w:rPr>
          <w:i/>
        </w:rPr>
        <w:t>euro</w:t>
      </w:r>
      <w:r w:rsidR="000B42FA">
        <w:t xml:space="preserve">. No 2019.gada 1.janvāra atbildīgā iestāde pēc Eiropas Komisijas lēmuma par snieguma ietvara izpildi var ierosināt palielināt pieejamo attiecināmo finansējumu līdz specifiskajam atbalstam plānotajam finansējuma apmēram. </w:t>
      </w:r>
    </w:p>
    <w:p w:rsidR="00831560" w:rsidRDefault="00CC3B3D">
      <w:pPr>
        <w:ind w:firstLine="567"/>
        <w:jc w:val="both"/>
      </w:pPr>
      <w:r>
        <w:t>SAM 8.1.3. ietvaros</w:t>
      </w:r>
      <w:r w:rsidR="00831560" w:rsidRPr="00831560">
        <w:t xml:space="preserve"> </w:t>
      </w:r>
      <w:r w:rsidR="00831560" w:rsidRPr="00831560">
        <w:rPr>
          <w:bCs/>
        </w:rPr>
        <w:t xml:space="preserve">projektu iesniegumu atlasi </w:t>
      </w:r>
      <w:r w:rsidR="002331AD">
        <w:rPr>
          <w:bCs/>
        </w:rPr>
        <w:t xml:space="preserve">plānots </w:t>
      </w:r>
      <w:r w:rsidR="00831560" w:rsidRPr="00831560">
        <w:rPr>
          <w:bCs/>
        </w:rPr>
        <w:t>īsteno</w:t>
      </w:r>
      <w:r w:rsidR="002331AD">
        <w:rPr>
          <w:bCs/>
        </w:rPr>
        <w:t>t</w:t>
      </w:r>
      <w:r w:rsidR="00831560" w:rsidRPr="00831560">
        <w:rPr>
          <w:bCs/>
        </w:rPr>
        <w:t xml:space="preserve"> ne vēlāk kā līdz 201</w:t>
      </w:r>
      <w:r w:rsidR="006F41B7">
        <w:rPr>
          <w:bCs/>
        </w:rPr>
        <w:t>9</w:t>
      </w:r>
      <w:r w:rsidR="00831560" w:rsidRPr="00831560">
        <w:rPr>
          <w:bCs/>
        </w:rPr>
        <w:t>.gada 31.decembrim</w:t>
      </w:r>
      <w:r w:rsidR="00EE463A">
        <w:rPr>
          <w:bCs/>
        </w:rPr>
        <w:t>. P</w:t>
      </w:r>
      <w:r w:rsidR="00EE463A" w:rsidRPr="00EE463A">
        <w:rPr>
          <w:bCs/>
          <w:szCs w:val="28"/>
        </w:rPr>
        <w:t xml:space="preserve">rofesionālās izglītības </w:t>
      </w:r>
      <w:r w:rsidR="00EE463A" w:rsidRPr="00EE463A">
        <w:rPr>
          <w:bCs/>
        </w:rPr>
        <w:t>kompetences centra</w:t>
      </w:r>
      <w:r w:rsidR="00831560" w:rsidRPr="00831560">
        <w:rPr>
          <w:bCs/>
        </w:rPr>
        <w:t xml:space="preserve"> izveidei atbilstoši iepriekš minētajiem plānošanas dokumentiem kopumā šobrīd indikatīvi plānoti finanšu līdzekļi 23 167 </w:t>
      </w:r>
      <w:r w:rsidR="004C1E0F" w:rsidRPr="00831560">
        <w:rPr>
          <w:bCs/>
        </w:rPr>
        <w:t>26</w:t>
      </w:r>
      <w:r w:rsidR="004C1E0F">
        <w:rPr>
          <w:bCs/>
        </w:rPr>
        <w:t>2</w:t>
      </w:r>
      <w:r w:rsidR="004C1E0F" w:rsidRPr="00831560">
        <w:rPr>
          <w:bCs/>
        </w:rPr>
        <w:t xml:space="preserve"> </w:t>
      </w:r>
      <w:r w:rsidR="00EE463A" w:rsidRPr="00EE463A">
        <w:rPr>
          <w:bCs/>
          <w:i/>
        </w:rPr>
        <w:t>euro</w:t>
      </w:r>
      <w:r w:rsidR="00831560" w:rsidRPr="00831560">
        <w:rPr>
          <w:bCs/>
        </w:rPr>
        <w:t xml:space="preserve"> apmērā (tai skaitā </w:t>
      </w:r>
      <w:r w:rsidR="00EE463A">
        <w:t>Eiropas Reģionālās attīstības fonda</w:t>
      </w:r>
      <w:r w:rsidR="00831560" w:rsidRPr="00831560">
        <w:rPr>
          <w:bCs/>
        </w:rPr>
        <w:t xml:space="preserve"> un projektu līdzfinansējums valsts vai pašvaldības budžetā). Ņemot vērā, ka finansējums plānojams </w:t>
      </w:r>
      <w:r w:rsidR="00831560" w:rsidRPr="00831560">
        <w:lastRenderedPageBreak/>
        <w:t xml:space="preserve">koncepcijā </w:t>
      </w:r>
      <w:r w:rsidR="007D35FF">
        <w:t>minētajiem</w:t>
      </w:r>
      <w:r w:rsidR="00831560" w:rsidRPr="00831560">
        <w:t xml:space="preserve"> </w:t>
      </w:r>
      <w:r w:rsidR="007D35FF">
        <w:rPr>
          <w:bCs/>
        </w:rPr>
        <w:t>p</w:t>
      </w:r>
      <w:r w:rsidR="007D35FF" w:rsidRPr="00EE463A">
        <w:rPr>
          <w:bCs/>
          <w:szCs w:val="28"/>
        </w:rPr>
        <w:t xml:space="preserve">rofesionālās izglītības </w:t>
      </w:r>
      <w:r w:rsidR="007D35FF">
        <w:rPr>
          <w:bCs/>
        </w:rPr>
        <w:t>kompetences centriem</w:t>
      </w:r>
      <w:r w:rsidR="00831560" w:rsidRPr="00831560">
        <w:t>, tā indikatīvajam sadalījumam Kultūras ministrija izveidoja komisiju, piesaistot mākslas augstskolu pārstāvjus, kura</w:t>
      </w:r>
      <w:r w:rsidR="007D35FF">
        <w:t>,</w:t>
      </w:r>
      <w:r w:rsidR="00831560" w:rsidRPr="00831560">
        <w:t xml:space="preserve"> balstoties uz </w:t>
      </w:r>
      <w:r w:rsidR="007D35FF">
        <w:t>izglītības iestāžu</w:t>
      </w:r>
      <w:r w:rsidR="00831560" w:rsidRPr="00831560">
        <w:t xml:space="preserve"> – nākotnes </w:t>
      </w:r>
      <w:r w:rsidR="00EE463A">
        <w:rPr>
          <w:bCs/>
        </w:rPr>
        <w:t>p</w:t>
      </w:r>
      <w:r w:rsidR="00EE463A" w:rsidRPr="00EE463A">
        <w:rPr>
          <w:bCs/>
          <w:szCs w:val="28"/>
        </w:rPr>
        <w:t xml:space="preserve">rofesionālās izglītības </w:t>
      </w:r>
      <w:r w:rsidR="00EE463A" w:rsidRPr="00EE463A">
        <w:rPr>
          <w:bCs/>
        </w:rPr>
        <w:t>kompetences centra</w:t>
      </w:r>
      <w:r w:rsidR="00831560" w:rsidRPr="00831560">
        <w:t xml:space="preserve"> iesniegtajām stratēģijām</w:t>
      </w:r>
      <w:r w:rsidR="007D35FF">
        <w:t>,</w:t>
      </w:r>
      <w:r w:rsidR="00831560" w:rsidRPr="00831560">
        <w:t xml:space="preserve"> ir indikatīvi noteikusi plānojamo finansējuma sadalījumu un tā izlietojumu. </w:t>
      </w:r>
      <w:r w:rsidR="00FC6E03">
        <w:t>SAM 8.1.3.</w:t>
      </w:r>
      <w:r w:rsidR="00831560" w:rsidRPr="00831560">
        <w:t xml:space="preserve"> ietvaros </w:t>
      </w:r>
      <w:r w:rsidR="004E13F4">
        <w:t xml:space="preserve">vidusskolai </w:t>
      </w:r>
      <w:r w:rsidR="00831560" w:rsidRPr="00831560">
        <w:t>indikatīv</w:t>
      </w:r>
      <w:r w:rsidR="006F41B7">
        <w:t>i plānotais</w:t>
      </w:r>
      <w:r w:rsidR="00831560" w:rsidRPr="00831560">
        <w:t xml:space="preserve"> </w:t>
      </w:r>
      <w:r w:rsidR="0016785D">
        <w:t xml:space="preserve">attiecināmais </w:t>
      </w:r>
      <w:r w:rsidR="00831560" w:rsidRPr="00831560">
        <w:t xml:space="preserve">finansējums </w:t>
      </w:r>
      <w:r w:rsidR="006F41B7">
        <w:t xml:space="preserve">nepārsniedz </w:t>
      </w:r>
      <w:r w:rsidR="00AD70AF" w:rsidRPr="00AD70AF">
        <w:rPr>
          <w:b/>
        </w:rPr>
        <w:t>10 949</w:t>
      </w:r>
      <w:r w:rsidR="00336942">
        <w:rPr>
          <w:b/>
        </w:rPr>
        <w:t> </w:t>
      </w:r>
      <w:r w:rsidR="00AD70AF" w:rsidRPr="00AD70AF">
        <w:rPr>
          <w:b/>
        </w:rPr>
        <w:t>856</w:t>
      </w:r>
      <w:r w:rsidR="00336942">
        <w:rPr>
          <w:b/>
        </w:rPr>
        <w:t> </w:t>
      </w:r>
      <w:r w:rsidR="00EE463A" w:rsidRPr="00EE463A">
        <w:rPr>
          <w:b/>
          <w:bCs/>
          <w:i/>
        </w:rPr>
        <w:t>euro</w:t>
      </w:r>
      <w:r w:rsidR="00831560" w:rsidRPr="00EE463A">
        <w:rPr>
          <w:b/>
        </w:rPr>
        <w:t xml:space="preserve"> </w:t>
      </w:r>
      <w:r w:rsidR="00831560" w:rsidRPr="00EE463A">
        <w:t>(</w:t>
      </w:r>
      <w:r w:rsidR="00E43465">
        <w:t>tai</w:t>
      </w:r>
      <w:r w:rsidR="00831560" w:rsidRPr="00831560">
        <w:t xml:space="preserve"> skaitā </w:t>
      </w:r>
      <w:r w:rsidR="00EE463A">
        <w:t>Eiropas Reģionālās attīstības fonda</w:t>
      </w:r>
      <w:r w:rsidR="004E13F4">
        <w:t xml:space="preserve"> finansējums līdz 9 </w:t>
      </w:r>
      <w:r w:rsidR="00831560" w:rsidRPr="00831560">
        <w:t>307 3</w:t>
      </w:r>
      <w:r w:rsidR="00F541D1">
        <w:t>78</w:t>
      </w:r>
      <w:r w:rsidR="00831560" w:rsidRPr="00831560">
        <w:t xml:space="preserve"> </w:t>
      </w:r>
      <w:r w:rsidR="00EE463A" w:rsidRPr="00EE463A">
        <w:rPr>
          <w:bCs/>
          <w:i/>
        </w:rPr>
        <w:t>euro</w:t>
      </w:r>
      <w:r w:rsidR="00831560" w:rsidRPr="00831560">
        <w:t>).</w:t>
      </w:r>
    </w:p>
    <w:p w:rsidR="00AE333E" w:rsidRDefault="00AE333E">
      <w:pPr>
        <w:ind w:firstLine="567"/>
        <w:jc w:val="both"/>
      </w:pPr>
      <w:r>
        <w:t xml:space="preserve">Atbilstoši izstrādātajai būvprojekta </w:t>
      </w:r>
      <w:r w:rsidRPr="00AD370E">
        <w:t xml:space="preserve">„Ventspils Mūzikas vidusskola ar koncertzāles funkciju” </w:t>
      </w:r>
      <w:r>
        <w:t xml:space="preserve">tehniskajai dokumentācijai būvdarbu </w:t>
      </w:r>
      <w:r w:rsidRPr="000A17D2">
        <w:t>indikatīvās izmaksas norādītas 5.tabulā. Iepirkumu rezultātā attiecīgās izmaksas var mainīties un šobrīd norādītas provizoriski. Tāpat 5.tabulā norādīti šobrīd identificētie indikatīvie</w:t>
      </w:r>
      <w:r>
        <w:t xml:space="preserve"> finanšu avoti būvdarbu īstenošanai.</w:t>
      </w:r>
    </w:p>
    <w:p w:rsidR="00EE463A" w:rsidRPr="00301506" w:rsidRDefault="00EE463A" w:rsidP="00AE31D6">
      <w:pPr>
        <w:ind w:firstLine="567"/>
        <w:jc w:val="both"/>
        <w:rPr>
          <w:b/>
        </w:rPr>
      </w:pPr>
    </w:p>
    <w:p w:rsidR="00ED4452" w:rsidRPr="00714735" w:rsidRDefault="00B74806" w:rsidP="004E13F4">
      <w:pPr>
        <w:pStyle w:val="Bezatstarpm"/>
        <w:ind w:firstLine="0"/>
        <w:jc w:val="center"/>
        <w:rPr>
          <w:rFonts w:ascii="Times New Roman" w:eastAsia="Times New Roman" w:hAnsi="Times New Roman"/>
          <w:b/>
          <w:sz w:val="24"/>
          <w:szCs w:val="24"/>
          <w:lang w:eastAsia="lv-LV"/>
        </w:rPr>
      </w:pPr>
      <w:r w:rsidRPr="00714735">
        <w:rPr>
          <w:rFonts w:ascii="Times New Roman" w:eastAsia="Times New Roman" w:hAnsi="Times New Roman"/>
          <w:b/>
          <w:sz w:val="24"/>
          <w:szCs w:val="24"/>
          <w:lang w:eastAsia="lv-LV"/>
        </w:rPr>
        <w:t>4. </w:t>
      </w:r>
      <w:r w:rsidR="00EE463A">
        <w:rPr>
          <w:rFonts w:ascii="Times New Roman" w:eastAsia="Times New Roman" w:hAnsi="Times New Roman"/>
          <w:b/>
          <w:sz w:val="24"/>
          <w:szCs w:val="24"/>
          <w:lang w:eastAsia="lv-LV"/>
        </w:rPr>
        <w:t>Vidusskolas</w:t>
      </w:r>
      <w:r w:rsidRPr="00714735">
        <w:rPr>
          <w:rFonts w:ascii="Times New Roman" w:eastAsia="Times New Roman" w:hAnsi="Times New Roman"/>
          <w:b/>
          <w:sz w:val="24"/>
          <w:szCs w:val="24"/>
          <w:lang w:eastAsia="lv-LV"/>
        </w:rPr>
        <w:t xml:space="preserve"> ēkas ar </w:t>
      </w:r>
      <w:r w:rsidR="00ED4452" w:rsidRPr="00714735">
        <w:rPr>
          <w:rFonts w:ascii="Times New Roman" w:eastAsia="Times New Roman" w:hAnsi="Times New Roman"/>
          <w:b/>
          <w:sz w:val="24"/>
          <w:szCs w:val="24"/>
          <w:lang w:eastAsia="lv-LV"/>
        </w:rPr>
        <w:t xml:space="preserve">koncertzāles </w:t>
      </w:r>
      <w:r w:rsidRPr="00714735">
        <w:rPr>
          <w:rFonts w:ascii="Times New Roman" w:eastAsia="Times New Roman" w:hAnsi="Times New Roman"/>
          <w:b/>
          <w:sz w:val="24"/>
          <w:szCs w:val="24"/>
          <w:lang w:eastAsia="lv-LV"/>
        </w:rPr>
        <w:t xml:space="preserve">funkciju </w:t>
      </w:r>
      <w:r w:rsidR="00ED4452" w:rsidRPr="00714735">
        <w:rPr>
          <w:rFonts w:ascii="Times New Roman" w:eastAsia="Times New Roman" w:hAnsi="Times New Roman"/>
          <w:b/>
          <w:sz w:val="24"/>
          <w:szCs w:val="24"/>
          <w:lang w:eastAsia="lv-LV"/>
        </w:rPr>
        <w:t>projekts</w:t>
      </w:r>
    </w:p>
    <w:p w:rsidR="00B74806" w:rsidRPr="00714735" w:rsidRDefault="00B74806" w:rsidP="00AE31D6"/>
    <w:p w:rsidR="00E61DFE" w:rsidRPr="00714735" w:rsidRDefault="00EE463A" w:rsidP="00AE31D6">
      <w:pPr>
        <w:ind w:firstLine="720"/>
        <w:jc w:val="both"/>
      </w:pPr>
      <w:r>
        <w:t>Vidusskolas</w:t>
      </w:r>
      <w:r w:rsidR="00E61DFE" w:rsidRPr="00714735">
        <w:t xml:space="preserve"> ēkas ar koncertzāles funkciju p</w:t>
      </w:r>
      <w:r w:rsidR="00B25773" w:rsidRPr="00714735">
        <w:t xml:space="preserve">rojekts </w:t>
      </w:r>
      <w:r w:rsidR="005F4139">
        <w:t xml:space="preserve">(turpmāk – projekts) </w:t>
      </w:r>
      <w:r w:rsidR="00B25773" w:rsidRPr="00714735">
        <w:t xml:space="preserve">paredz mūzikas skolas un koncertzāles kompleksu izbūvēt Lielajā laukumā, kas atrodas </w:t>
      </w:r>
      <w:r w:rsidR="00631EC3">
        <w:t xml:space="preserve">Ventspils </w:t>
      </w:r>
      <w:r w:rsidR="00B25773" w:rsidRPr="00714735">
        <w:t xml:space="preserve">pilsētas centrā galveno maģistrālo ielu krustojumā. </w:t>
      </w:r>
      <w:r w:rsidR="00E61DFE" w:rsidRPr="00714735">
        <w:t xml:space="preserve">Šāds risinājums (kultūrizglītības iestāžu izvietojums reģionu daudzfunkcionālajos centros) ir izmantots arī iepriekšējā </w:t>
      </w:r>
      <w:r w:rsidR="00B43CF5">
        <w:t xml:space="preserve">Eiropas Savienības </w:t>
      </w:r>
      <w:r w:rsidR="00E61DFE" w:rsidRPr="00714735">
        <w:t xml:space="preserve">fondu plānošanas periodā Liepājā un Cēsīs. </w:t>
      </w:r>
    </w:p>
    <w:p w:rsidR="00B25773" w:rsidRPr="00714735" w:rsidRDefault="00B25773" w:rsidP="00336942">
      <w:pPr>
        <w:ind w:firstLine="720"/>
        <w:jc w:val="both"/>
      </w:pPr>
      <w:r w:rsidRPr="00714735">
        <w:t>Ventspi</w:t>
      </w:r>
      <w:r w:rsidR="00336942">
        <w:t xml:space="preserve">ls Teritorijas plānojumā (2006. – </w:t>
      </w:r>
      <w:r w:rsidRPr="00714735">
        <w:t>2018.) ar grozījumiem Lielais laukums</w:t>
      </w:r>
      <w:r w:rsidR="00EE463A">
        <w:t>, Ventspilī</w:t>
      </w:r>
      <w:r w:rsidRPr="00714735">
        <w:t xml:space="preserve"> ir sabiedrisko iestāžu teritorija. Lielais laukums</w:t>
      </w:r>
      <w:r w:rsidR="00EE463A">
        <w:t>, Ventspilī</w:t>
      </w:r>
      <w:r w:rsidRPr="00714735">
        <w:t xml:space="preserve"> – pilsētas centra parks – izvietojas starp Lielo prospektu, Kuldīgas, Ganību un Pāvila ielām</w:t>
      </w:r>
      <w:r w:rsidR="00EE463A">
        <w:t>, Ventspilī</w:t>
      </w:r>
      <w:r w:rsidRPr="00714735">
        <w:t>. Teritorija ir viegli sasniedzama gan ar sabiedrisko, gan personīgo transportu (tuvumā pieejamas auto novietnes), un nav apgrūtinājumu piegādes transportam. Piegulošajos kvartālos izvietojas sabiedriskās ēdināšanas un tirdzniecības iestādes, olimpiskais sporta komplekss ar plašām autostāvvietām, vispārizglītojoša skola ar sporta laukumiem un sporta zāli, kā arī viesnīca. Turklāt Lielais laukums</w:t>
      </w:r>
      <w:r w:rsidR="005F4139">
        <w:t>, Ventspilī</w:t>
      </w:r>
      <w:r w:rsidRPr="00714735">
        <w:t xml:space="preserve"> tiek veidots kā pilsētas parks ar augstvērtīgu labiekārtojumu, kas nodrošina dažāda rakstura masu pasākumu organizēšanas iespējas visa gada garumā. </w:t>
      </w:r>
    </w:p>
    <w:p w:rsidR="006A52B0" w:rsidRPr="00714735" w:rsidRDefault="00EE463A" w:rsidP="000A17D2">
      <w:pPr>
        <w:ind w:firstLine="709"/>
        <w:jc w:val="both"/>
      </w:pPr>
      <w:r>
        <w:t>Vidusskolas</w:t>
      </w:r>
      <w:r w:rsidR="00B25773" w:rsidRPr="00714735">
        <w:t xml:space="preserve"> ar koncertzāles funkciju priekšrocības, izbūvējot to Lielajā laukumā</w:t>
      </w:r>
      <w:r w:rsidR="000A17D2">
        <w:t>, Ventspilī</w:t>
      </w:r>
      <w:r w:rsidR="00B25773" w:rsidRPr="00714735">
        <w:t>:</w:t>
      </w:r>
    </w:p>
    <w:p w:rsidR="006A52B0" w:rsidRPr="00EE463A" w:rsidRDefault="00B25773" w:rsidP="000A17D2">
      <w:pPr>
        <w:pStyle w:val="Sarakstarindkopa"/>
        <w:numPr>
          <w:ilvl w:val="0"/>
          <w:numId w:val="27"/>
        </w:numPr>
        <w:spacing w:after="0" w:line="240" w:lineRule="auto"/>
        <w:ind w:left="993" w:hanging="284"/>
        <w:jc w:val="both"/>
        <w:rPr>
          <w:rFonts w:ascii="Times New Roman" w:eastAsia="Times New Roman" w:hAnsi="Times New Roman"/>
          <w:sz w:val="24"/>
          <w:szCs w:val="24"/>
          <w:lang w:eastAsia="lv-LV"/>
        </w:rPr>
      </w:pPr>
      <w:r w:rsidRPr="00EE463A">
        <w:rPr>
          <w:rFonts w:ascii="Times New Roman" w:eastAsia="Times New Roman" w:hAnsi="Times New Roman"/>
          <w:sz w:val="24"/>
          <w:szCs w:val="24"/>
          <w:lang w:eastAsia="lv-LV"/>
        </w:rPr>
        <w:t xml:space="preserve">kvalitatīva pilsētvide, kas ir atbilstoša izglītības un kultūras </w:t>
      </w:r>
      <w:r w:rsidR="00464D12" w:rsidRPr="00EE463A">
        <w:rPr>
          <w:rFonts w:ascii="Times New Roman" w:eastAsia="Times New Roman" w:hAnsi="Times New Roman"/>
          <w:sz w:val="24"/>
          <w:szCs w:val="24"/>
          <w:lang w:eastAsia="lv-LV"/>
        </w:rPr>
        <w:t xml:space="preserve">funkcijām; </w:t>
      </w:r>
    </w:p>
    <w:p w:rsidR="006A52B0" w:rsidRPr="00EE463A" w:rsidRDefault="00B25773" w:rsidP="000A17D2">
      <w:pPr>
        <w:pStyle w:val="Sarakstarindkopa"/>
        <w:numPr>
          <w:ilvl w:val="0"/>
          <w:numId w:val="27"/>
        </w:numPr>
        <w:spacing w:after="0" w:line="240" w:lineRule="auto"/>
        <w:ind w:left="993" w:hanging="284"/>
        <w:jc w:val="both"/>
        <w:rPr>
          <w:rFonts w:ascii="Times New Roman" w:eastAsia="Times New Roman" w:hAnsi="Times New Roman"/>
          <w:sz w:val="24"/>
          <w:szCs w:val="24"/>
          <w:lang w:eastAsia="lv-LV"/>
        </w:rPr>
      </w:pPr>
      <w:r w:rsidRPr="00EE463A">
        <w:rPr>
          <w:rFonts w:ascii="Times New Roman" w:eastAsia="Times New Roman" w:hAnsi="Times New Roman"/>
          <w:sz w:val="24"/>
          <w:szCs w:val="24"/>
          <w:lang w:eastAsia="lv-LV"/>
        </w:rPr>
        <w:t>netiek radīta papildus slodze pilsētas infrastruktūrai, bet gan tā tiek racionāli papildināta;</w:t>
      </w:r>
    </w:p>
    <w:p w:rsidR="000A17D2" w:rsidRDefault="00B25773" w:rsidP="000A17D2">
      <w:pPr>
        <w:pStyle w:val="Sarakstarindkopa"/>
        <w:numPr>
          <w:ilvl w:val="0"/>
          <w:numId w:val="27"/>
        </w:numPr>
        <w:spacing w:after="0" w:line="240" w:lineRule="auto"/>
        <w:ind w:left="993" w:hanging="284"/>
        <w:jc w:val="both"/>
        <w:rPr>
          <w:rFonts w:ascii="Times New Roman" w:eastAsia="Times New Roman" w:hAnsi="Times New Roman"/>
          <w:sz w:val="24"/>
          <w:szCs w:val="24"/>
          <w:lang w:eastAsia="lv-LV"/>
        </w:rPr>
      </w:pPr>
      <w:r w:rsidRPr="00EE463A">
        <w:rPr>
          <w:rFonts w:ascii="Times New Roman" w:eastAsia="Times New Roman" w:hAnsi="Times New Roman"/>
          <w:sz w:val="24"/>
          <w:szCs w:val="24"/>
          <w:lang w:eastAsia="lv-LV"/>
        </w:rPr>
        <w:t xml:space="preserve">izvietojums pilsētas centrā un tā infrastruktūra (ielu tīkls, transports) nodrošina ērtu piekļūšanu šai vietai gan pilsētas iedzīvotājiem, gan arī Ventspils viesiem; </w:t>
      </w:r>
    </w:p>
    <w:p w:rsidR="006A52B0" w:rsidRPr="00EE463A" w:rsidRDefault="00B25773" w:rsidP="000A17D2">
      <w:pPr>
        <w:pStyle w:val="Sarakstarindkopa"/>
        <w:numPr>
          <w:ilvl w:val="0"/>
          <w:numId w:val="27"/>
        </w:numPr>
        <w:spacing w:after="0" w:line="240" w:lineRule="auto"/>
        <w:ind w:left="993" w:hanging="284"/>
        <w:jc w:val="both"/>
        <w:rPr>
          <w:rFonts w:ascii="Times New Roman" w:eastAsia="Times New Roman" w:hAnsi="Times New Roman"/>
          <w:sz w:val="24"/>
          <w:szCs w:val="24"/>
          <w:lang w:eastAsia="lv-LV"/>
        </w:rPr>
      </w:pPr>
      <w:r w:rsidRPr="00EE463A">
        <w:rPr>
          <w:rFonts w:ascii="Times New Roman" w:eastAsia="Times New Roman" w:hAnsi="Times New Roman"/>
          <w:sz w:val="24"/>
          <w:szCs w:val="24"/>
          <w:lang w:eastAsia="lv-LV"/>
        </w:rPr>
        <w:t>labas piegādes organizēšanas iespējas, nodrošinājums ar autostāvvietām;</w:t>
      </w:r>
    </w:p>
    <w:p w:rsidR="006A52B0" w:rsidRPr="00EE463A" w:rsidRDefault="006A52B0" w:rsidP="000A17D2">
      <w:pPr>
        <w:pStyle w:val="Sarakstarindkopa"/>
        <w:numPr>
          <w:ilvl w:val="0"/>
          <w:numId w:val="27"/>
        </w:numPr>
        <w:spacing w:after="0" w:line="240" w:lineRule="auto"/>
        <w:ind w:left="993" w:hanging="284"/>
        <w:jc w:val="both"/>
        <w:rPr>
          <w:rFonts w:ascii="Times New Roman" w:eastAsia="Times New Roman" w:hAnsi="Times New Roman"/>
          <w:sz w:val="24"/>
          <w:szCs w:val="24"/>
          <w:lang w:eastAsia="lv-LV"/>
        </w:rPr>
      </w:pPr>
      <w:r w:rsidRPr="00EE463A">
        <w:rPr>
          <w:rFonts w:ascii="Times New Roman" w:eastAsia="Times New Roman" w:hAnsi="Times New Roman"/>
          <w:sz w:val="24"/>
          <w:szCs w:val="24"/>
          <w:lang w:eastAsia="lv-LV"/>
        </w:rPr>
        <w:t>blakus Lielaja</w:t>
      </w:r>
      <w:r w:rsidR="00B25773" w:rsidRPr="00EE463A">
        <w:rPr>
          <w:rFonts w:ascii="Times New Roman" w:eastAsia="Times New Roman" w:hAnsi="Times New Roman"/>
          <w:sz w:val="24"/>
          <w:szCs w:val="24"/>
          <w:lang w:eastAsia="lv-LV"/>
        </w:rPr>
        <w:t>m laukumam</w:t>
      </w:r>
      <w:r w:rsidR="000A17D2">
        <w:rPr>
          <w:rFonts w:ascii="Times New Roman" w:eastAsia="Times New Roman" w:hAnsi="Times New Roman"/>
          <w:sz w:val="24"/>
          <w:szCs w:val="24"/>
          <w:lang w:eastAsia="lv-LV"/>
        </w:rPr>
        <w:t>, Ventspilī</w:t>
      </w:r>
      <w:r w:rsidR="00B25773" w:rsidRPr="00EE463A">
        <w:rPr>
          <w:rFonts w:ascii="Times New Roman" w:eastAsia="Times New Roman" w:hAnsi="Times New Roman"/>
          <w:sz w:val="24"/>
          <w:szCs w:val="24"/>
          <w:lang w:eastAsia="lv-LV"/>
        </w:rPr>
        <w:t xml:space="preserve"> izvietotie objekti labi papildina atsevišķas funkcijas mācību iestādes vajadzībām, piemēram, vispārējās izglītības nodarbību telpas</w:t>
      </w:r>
      <w:r w:rsidR="00B43CF5">
        <w:rPr>
          <w:rFonts w:ascii="Times New Roman" w:eastAsia="Times New Roman" w:hAnsi="Times New Roman"/>
          <w:sz w:val="24"/>
          <w:szCs w:val="24"/>
          <w:lang w:eastAsia="lv-LV"/>
        </w:rPr>
        <w:t xml:space="preserve"> (racionālāka telpu izmantošana bez</w:t>
      </w:r>
      <w:r w:rsidR="00B25773" w:rsidRPr="00EE463A">
        <w:rPr>
          <w:rFonts w:ascii="Times New Roman" w:eastAsia="Times New Roman" w:hAnsi="Times New Roman"/>
          <w:sz w:val="24"/>
          <w:szCs w:val="24"/>
          <w:lang w:eastAsia="lv-LV"/>
        </w:rPr>
        <w:t xml:space="preserve"> dublēšanās);</w:t>
      </w:r>
    </w:p>
    <w:p w:rsidR="006A52B0" w:rsidRPr="00EE463A" w:rsidRDefault="00B25773" w:rsidP="000A17D2">
      <w:pPr>
        <w:pStyle w:val="Sarakstarindkopa"/>
        <w:numPr>
          <w:ilvl w:val="0"/>
          <w:numId w:val="27"/>
        </w:numPr>
        <w:spacing w:after="0" w:line="240" w:lineRule="auto"/>
        <w:ind w:left="993" w:hanging="284"/>
        <w:jc w:val="both"/>
        <w:rPr>
          <w:rFonts w:ascii="Times New Roman" w:eastAsia="Times New Roman" w:hAnsi="Times New Roman"/>
          <w:sz w:val="24"/>
          <w:szCs w:val="24"/>
          <w:lang w:eastAsia="lv-LV"/>
        </w:rPr>
      </w:pPr>
      <w:r w:rsidRPr="00EE463A">
        <w:rPr>
          <w:rFonts w:ascii="Times New Roman" w:eastAsia="Times New Roman" w:hAnsi="Times New Roman"/>
          <w:sz w:val="24"/>
          <w:szCs w:val="24"/>
          <w:lang w:eastAsia="lv-LV"/>
        </w:rPr>
        <w:t>pilsētas centrs papildinās ar sabiedriski nozīmīgu un augstvērtīgas arhitektūras izglītības un kultūras objektu;</w:t>
      </w:r>
    </w:p>
    <w:p w:rsidR="006A52B0" w:rsidRPr="00EE463A" w:rsidRDefault="00B25773" w:rsidP="000A17D2">
      <w:pPr>
        <w:pStyle w:val="Sarakstarindkopa"/>
        <w:numPr>
          <w:ilvl w:val="0"/>
          <w:numId w:val="27"/>
        </w:numPr>
        <w:spacing w:after="0" w:line="240" w:lineRule="auto"/>
        <w:ind w:left="993" w:hanging="284"/>
        <w:jc w:val="both"/>
        <w:rPr>
          <w:rFonts w:ascii="Times New Roman" w:eastAsia="Times New Roman" w:hAnsi="Times New Roman"/>
          <w:sz w:val="24"/>
          <w:szCs w:val="24"/>
          <w:lang w:eastAsia="lv-LV"/>
        </w:rPr>
      </w:pPr>
      <w:r w:rsidRPr="00EE463A">
        <w:rPr>
          <w:rFonts w:ascii="Times New Roman" w:eastAsia="Times New Roman" w:hAnsi="Times New Roman"/>
          <w:sz w:val="24"/>
          <w:szCs w:val="24"/>
          <w:lang w:eastAsia="lv-LV"/>
        </w:rPr>
        <w:t xml:space="preserve">daļu no telpām var izmantot gan </w:t>
      </w:r>
      <w:r w:rsidR="000A17D2">
        <w:rPr>
          <w:rFonts w:ascii="Times New Roman" w:eastAsia="Times New Roman" w:hAnsi="Times New Roman"/>
          <w:sz w:val="24"/>
          <w:szCs w:val="24"/>
          <w:lang w:eastAsia="lv-LV"/>
        </w:rPr>
        <w:t>vidusskola</w:t>
      </w:r>
      <w:r w:rsidRPr="00EE463A">
        <w:rPr>
          <w:rFonts w:ascii="Times New Roman" w:eastAsia="Times New Roman" w:hAnsi="Times New Roman"/>
          <w:sz w:val="24"/>
          <w:szCs w:val="24"/>
          <w:lang w:eastAsia="lv-LV"/>
        </w:rPr>
        <w:t>, gan koncertzāle;</w:t>
      </w:r>
    </w:p>
    <w:p w:rsidR="006A52B0" w:rsidRPr="00EE463A" w:rsidRDefault="00B25773" w:rsidP="000A17D2">
      <w:pPr>
        <w:pStyle w:val="Sarakstarindkopa"/>
        <w:numPr>
          <w:ilvl w:val="0"/>
          <w:numId w:val="27"/>
        </w:numPr>
        <w:spacing w:after="0" w:line="240" w:lineRule="auto"/>
        <w:ind w:left="993" w:hanging="284"/>
        <w:jc w:val="both"/>
        <w:rPr>
          <w:rFonts w:ascii="Times New Roman" w:eastAsia="Times New Roman" w:hAnsi="Times New Roman"/>
          <w:sz w:val="24"/>
          <w:szCs w:val="24"/>
          <w:lang w:eastAsia="lv-LV"/>
        </w:rPr>
      </w:pPr>
      <w:r w:rsidRPr="00EE463A">
        <w:rPr>
          <w:rFonts w:ascii="Times New Roman" w:eastAsia="Times New Roman" w:hAnsi="Times New Roman"/>
          <w:sz w:val="24"/>
          <w:szCs w:val="24"/>
          <w:lang w:eastAsia="lv-LV"/>
        </w:rPr>
        <w:t>mācību iestādes un koncertzāles apvienojums vienā objektā ievērojami samazina būvniecības, kā arī ekspluatācijas izmaksas salīdzinājumā ar divu atsevišķu objektu celtniecību un ekspluatāciju;</w:t>
      </w:r>
    </w:p>
    <w:p w:rsidR="00B25773" w:rsidRPr="00EE463A" w:rsidRDefault="00B25773" w:rsidP="000A17D2">
      <w:pPr>
        <w:pStyle w:val="Sarakstarindkopa"/>
        <w:numPr>
          <w:ilvl w:val="0"/>
          <w:numId w:val="27"/>
        </w:numPr>
        <w:spacing w:after="0" w:line="240" w:lineRule="auto"/>
        <w:ind w:left="993" w:hanging="284"/>
        <w:jc w:val="both"/>
        <w:rPr>
          <w:rFonts w:ascii="Times New Roman" w:eastAsia="Times New Roman" w:hAnsi="Times New Roman"/>
          <w:sz w:val="24"/>
          <w:szCs w:val="24"/>
          <w:lang w:eastAsia="lv-LV"/>
        </w:rPr>
      </w:pPr>
      <w:r w:rsidRPr="00EE463A">
        <w:rPr>
          <w:rFonts w:ascii="Times New Roman" w:eastAsia="Times New Roman" w:hAnsi="Times New Roman"/>
          <w:sz w:val="24"/>
          <w:szCs w:val="24"/>
          <w:lang w:eastAsia="lv-LV"/>
        </w:rPr>
        <w:t>topošo mūziķu ciešs kontakts ar profesionālajiem māksliniekiem veicina skolas izglītības praktisko kvalitāti.</w:t>
      </w:r>
    </w:p>
    <w:p w:rsidR="00464D12" w:rsidRPr="00714735" w:rsidRDefault="00A808A3">
      <w:pPr>
        <w:ind w:firstLine="720"/>
        <w:jc w:val="both"/>
      </w:pPr>
      <w:r>
        <w:t>P</w:t>
      </w:r>
      <w:r w:rsidRPr="00714735">
        <w:t xml:space="preserve">ēc </w:t>
      </w:r>
      <w:r w:rsidR="000A17D2">
        <w:t>vidusskolas</w:t>
      </w:r>
      <w:r w:rsidRPr="00714735">
        <w:t xml:space="preserve"> ar koncertzāles funkciju </w:t>
      </w:r>
      <w:r>
        <w:t xml:space="preserve">ēkas būvdarbu </w:t>
      </w:r>
      <w:r w:rsidRPr="00714735">
        <w:t>pabeigšanas</w:t>
      </w:r>
      <w:r w:rsidR="009717F2">
        <w:t xml:space="preserve"> </w:t>
      </w:r>
      <w:r w:rsidR="000A17D2">
        <w:t>vidusskola</w:t>
      </w:r>
      <w:r>
        <w:t xml:space="preserve"> atradīsies vienā ēkā un tajā tiks īstenotas </w:t>
      </w:r>
      <w:r w:rsidRPr="00714735">
        <w:t xml:space="preserve">gan profesionālās vidējās, gan profesionālās ievirzes </w:t>
      </w:r>
      <w:r w:rsidRPr="00714735">
        <w:lastRenderedPageBreak/>
        <w:t>izglītības programmas.</w:t>
      </w:r>
      <w:r w:rsidR="005F4139">
        <w:t xml:space="preserve"> </w:t>
      </w:r>
      <w:r w:rsidR="00E51B48">
        <w:t>Ēkas</w:t>
      </w:r>
      <w:r w:rsidR="00B25773" w:rsidRPr="00714735">
        <w:t xml:space="preserve"> atrašanās vieta ir vērtējama kā ļoti laba </w:t>
      </w:r>
      <w:r w:rsidR="00E51B48">
        <w:t xml:space="preserve">arī </w:t>
      </w:r>
      <w:r w:rsidR="00B25773" w:rsidRPr="00714735">
        <w:t xml:space="preserve">no sasniedzamības aspektiem, kas ir svarīgi potenciālajiem izglītojamajiem no citām </w:t>
      </w:r>
      <w:r w:rsidR="00E51B48">
        <w:t>vietām</w:t>
      </w:r>
      <w:r w:rsidR="00B25773" w:rsidRPr="00714735">
        <w:t xml:space="preserve">. </w:t>
      </w:r>
    </w:p>
    <w:p w:rsidR="00464D12" w:rsidRPr="00714735" w:rsidRDefault="00464D12" w:rsidP="009717F2">
      <w:pPr>
        <w:ind w:firstLine="720"/>
        <w:jc w:val="both"/>
      </w:pPr>
      <w:r w:rsidRPr="00714735">
        <w:rPr>
          <w:rStyle w:val="table0020normalchar1"/>
        </w:rPr>
        <w:t>Ņ</w:t>
      </w:r>
      <w:r w:rsidRPr="00714735">
        <w:rPr>
          <w:rStyle w:val="normalchar1"/>
        </w:rPr>
        <w:t xml:space="preserve">emot vērā, ka finansējums </w:t>
      </w:r>
      <w:r w:rsidR="000A17D2">
        <w:rPr>
          <w:rStyle w:val="normalchar1"/>
        </w:rPr>
        <w:t>vidusskolas darbības</w:t>
      </w:r>
      <w:r w:rsidRPr="00714735">
        <w:rPr>
          <w:rStyle w:val="normalchar1"/>
        </w:rPr>
        <w:t xml:space="preserve"> nodrošināšanai citās telpās paredzēts līdz 2018.gada </w:t>
      </w:r>
      <w:r w:rsidR="00E007AE" w:rsidRPr="00714735">
        <w:rPr>
          <w:rStyle w:val="normalchar1"/>
        </w:rPr>
        <w:t>31</w:t>
      </w:r>
      <w:r w:rsidRPr="00714735">
        <w:rPr>
          <w:rStyle w:val="normalchar1"/>
        </w:rPr>
        <w:t>.</w:t>
      </w:r>
      <w:r w:rsidR="00E007AE" w:rsidRPr="00714735">
        <w:rPr>
          <w:rStyle w:val="normalchar1"/>
        </w:rPr>
        <w:t xml:space="preserve">augustam </w:t>
      </w:r>
      <w:r w:rsidRPr="00714735">
        <w:rPr>
          <w:rStyle w:val="normalchar1"/>
        </w:rPr>
        <w:t>un ņemot vērā Ministru kabi</w:t>
      </w:r>
      <w:r w:rsidR="00E007AE" w:rsidRPr="00714735">
        <w:rPr>
          <w:rStyle w:val="normalchar1"/>
        </w:rPr>
        <w:t>neta 2006.gada 16.maija rīkojumā</w:t>
      </w:r>
      <w:r w:rsidRPr="00714735">
        <w:rPr>
          <w:rStyle w:val="normalchar1"/>
        </w:rPr>
        <w:t xml:space="preserve"> Nr.347 </w:t>
      </w:r>
      <w:r w:rsidR="00E007AE" w:rsidRPr="00714735">
        <w:rPr>
          <w:rStyle w:val="normalchar1"/>
        </w:rPr>
        <w:t xml:space="preserve">„Par programmu </w:t>
      </w:r>
      <w:r w:rsidRPr="00714735">
        <w:rPr>
          <w:rStyle w:val="normalchar1"/>
        </w:rPr>
        <w:t xml:space="preserve">„Mantojums </w:t>
      </w:r>
      <w:r w:rsidR="000A17D2">
        <w:rPr>
          <w:rStyle w:val="normalchar1"/>
        </w:rPr>
        <w:t>–</w:t>
      </w:r>
      <w:r w:rsidRPr="00714735">
        <w:rPr>
          <w:rStyle w:val="normalchar1"/>
        </w:rPr>
        <w:t xml:space="preserve"> 2018. Kultūras infrastruktū</w:t>
      </w:r>
      <w:r w:rsidR="009717F2">
        <w:rPr>
          <w:rStyle w:val="normalchar1"/>
        </w:rPr>
        <w:t xml:space="preserve">ras uzlabošanas programma 2006. – </w:t>
      </w:r>
      <w:r w:rsidRPr="00714735">
        <w:rPr>
          <w:rStyle w:val="normalchar1"/>
        </w:rPr>
        <w:t xml:space="preserve">2018.gadam” </w:t>
      </w:r>
      <w:r w:rsidR="00E007AE" w:rsidRPr="00714735">
        <w:rPr>
          <w:rStyle w:val="normalchar1"/>
        </w:rPr>
        <w:t xml:space="preserve">paredzētās </w:t>
      </w:r>
      <w:r w:rsidRPr="00714735">
        <w:rPr>
          <w:rStyle w:val="normalchar1"/>
        </w:rPr>
        <w:t>nostādnes, jāveic nepieciešamās darbības, lai nodrošinātu izglītības iestādes ilgtspēju un darbības nepārtrauktību, kā arī finanšu līdzekļu racionālu izmantošanu.</w:t>
      </w:r>
    </w:p>
    <w:p w:rsidR="009C3E71" w:rsidRPr="00714735" w:rsidRDefault="009C3E71">
      <w:pPr>
        <w:pStyle w:val="Bezatstarpm"/>
        <w:rPr>
          <w:rFonts w:ascii="Times New Roman" w:eastAsia="Times New Roman" w:hAnsi="Times New Roman"/>
          <w:sz w:val="24"/>
          <w:szCs w:val="24"/>
          <w:lang w:eastAsia="lv-LV"/>
        </w:rPr>
      </w:pPr>
    </w:p>
    <w:p w:rsidR="00464D12" w:rsidRDefault="00464D12" w:rsidP="005F4139">
      <w:pPr>
        <w:pStyle w:val="Bezatstarpm"/>
        <w:ind w:firstLine="0"/>
        <w:rPr>
          <w:rFonts w:ascii="Times New Roman" w:eastAsia="Times New Roman" w:hAnsi="Times New Roman"/>
          <w:b/>
          <w:sz w:val="24"/>
          <w:szCs w:val="24"/>
          <w:lang w:eastAsia="lv-LV"/>
        </w:rPr>
      </w:pPr>
      <w:r w:rsidRPr="00714735">
        <w:rPr>
          <w:rFonts w:ascii="Times New Roman" w:eastAsia="Times New Roman" w:hAnsi="Times New Roman"/>
          <w:b/>
          <w:sz w:val="24"/>
          <w:szCs w:val="24"/>
          <w:lang w:eastAsia="lv-LV"/>
        </w:rPr>
        <w:t>Līdzšinējā projekta virzība</w:t>
      </w:r>
    </w:p>
    <w:p w:rsidR="005F4139" w:rsidRPr="00714735" w:rsidRDefault="005F4139">
      <w:pPr>
        <w:pStyle w:val="Bezatstarpm"/>
        <w:rPr>
          <w:rFonts w:ascii="Times New Roman" w:eastAsia="Times New Roman" w:hAnsi="Times New Roman"/>
          <w:b/>
          <w:sz w:val="24"/>
          <w:szCs w:val="24"/>
          <w:lang w:eastAsia="lv-LV"/>
        </w:rPr>
      </w:pPr>
    </w:p>
    <w:p w:rsidR="00ED4452" w:rsidRPr="00714735" w:rsidRDefault="00ED4452">
      <w:pPr>
        <w:pStyle w:val="Bezatstarpm"/>
        <w:rPr>
          <w:rFonts w:ascii="Times New Roman" w:eastAsia="Times New Roman" w:hAnsi="Times New Roman"/>
          <w:sz w:val="24"/>
          <w:szCs w:val="24"/>
          <w:lang w:eastAsia="lv-LV"/>
        </w:rPr>
      </w:pPr>
      <w:r w:rsidRPr="00714735">
        <w:rPr>
          <w:rFonts w:ascii="Times New Roman" w:eastAsia="Times New Roman" w:hAnsi="Times New Roman"/>
          <w:sz w:val="24"/>
          <w:szCs w:val="24"/>
          <w:lang w:eastAsia="lv-LV"/>
        </w:rPr>
        <w:t>2005.gadā Ventspils pilsētas pašvaldība organizēja starptautisku plenēru, kura ietvaros tika piedāvāta ideja labiekārtot Ventspils pilsētas Lielo laukumu ar koncertzāles izbūvi. Plenērā piedalījās deviņi arhitektu biroji no Latvijas, Vācijas, Holandes, Īrijas, Igaunijas un Lietuvas.</w:t>
      </w:r>
      <w:r w:rsidR="00C07229">
        <w:rPr>
          <w:rFonts w:ascii="Times New Roman" w:eastAsia="Times New Roman" w:hAnsi="Times New Roman"/>
          <w:sz w:val="24"/>
          <w:szCs w:val="24"/>
          <w:lang w:eastAsia="lv-LV"/>
        </w:rPr>
        <w:t xml:space="preserve"> </w:t>
      </w:r>
      <w:r w:rsidRPr="00714735">
        <w:rPr>
          <w:rFonts w:ascii="Times New Roman" w:eastAsia="Times New Roman" w:hAnsi="Times New Roman"/>
          <w:sz w:val="24"/>
          <w:szCs w:val="24"/>
          <w:lang w:eastAsia="lv-LV"/>
        </w:rPr>
        <w:t>2006.gadā notika ideju skiču projektu konkurss</w:t>
      </w:r>
      <w:r w:rsidR="00280750">
        <w:rPr>
          <w:rFonts w:ascii="Times New Roman" w:eastAsia="Times New Roman" w:hAnsi="Times New Roman"/>
          <w:sz w:val="24"/>
          <w:szCs w:val="24"/>
          <w:lang w:eastAsia="lv-LV"/>
        </w:rPr>
        <w:t>.</w:t>
      </w:r>
      <w:r w:rsidR="000A17D2">
        <w:rPr>
          <w:rFonts w:ascii="Times New Roman" w:eastAsia="Times New Roman" w:hAnsi="Times New Roman"/>
          <w:sz w:val="24"/>
          <w:szCs w:val="24"/>
          <w:lang w:eastAsia="lv-LV"/>
        </w:rPr>
        <w:t xml:space="preserve"> </w:t>
      </w:r>
      <w:r w:rsidRPr="00714735">
        <w:rPr>
          <w:rFonts w:ascii="Times New Roman" w:eastAsia="Times New Roman" w:hAnsi="Times New Roman"/>
          <w:sz w:val="24"/>
          <w:szCs w:val="24"/>
          <w:lang w:eastAsia="lv-LV"/>
        </w:rPr>
        <w:t xml:space="preserve">2007.gadā paredzētās būvniecības idejas publiskā apspriešana un konkurss par tehniskā projekta izstrādi. Iepriekš minētā rezultātā 2007.gada 25.oktobrī starp Ventspils pašvaldības iestādi „Komunālā pārvalde” un </w:t>
      </w:r>
      <w:r w:rsidRPr="00603645">
        <w:rPr>
          <w:rFonts w:ascii="Times New Roman" w:eastAsia="Times New Roman" w:hAnsi="Times New Roman"/>
          <w:sz w:val="24"/>
          <w:szCs w:val="24"/>
          <w:lang w:eastAsia="lv-LV"/>
        </w:rPr>
        <w:t xml:space="preserve">Vācijas projektēšanas uzņēmumu „Behnisch Arhitekten” tika noslēgs līgums Nr.465p par „Ventspils akustiskās koncertzāles projekta un Lielā laukuma labiekārtojuma priekšlikuma izstrādi” par kopējo summu 3 023 905 </w:t>
      </w:r>
      <w:r w:rsidRPr="00603645">
        <w:rPr>
          <w:rFonts w:ascii="Times New Roman" w:eastAsia="Times New Roman" w:hAnsi="Times New Roman"/>
          <w:i/>
          <w:sz w:val="24"/>
          <w:szCs w:val="24"/>
          <w:lang w:eastAsia="lv-LV"/>
        </w:rPr>
        <w:t>euro</w:t>
      </w:r>
      <w:r w:rsidRPr="00603645">
        <w:rPr>
          <w:rFonts w:ascii="Times New Roman" w:eastAsia="Times New Roman" w:hAnsi="Times New Roman"/>
          <w:sz w:val="24"/>
          <w:szCs w:val="24"/>
          <w:lang w:eastAsia="lv-LV"/>
        </w:rPr>
        <w:t xml:space="preserve">  ar PVN , kas paredz, ka būvprojekts izstrādājams divās stadijās – skiču projekta stadijā (Skiču projekts) un tehniskā projekta stadijā (Tehniskais projekts). Lai nodrošinātu būvniecības tehniskās dokumentācijas gatavību Skiču projekta stadijā </w:t>
      </w:r>
      <w:r w:rsidR="008E3744" w:rsidRPr="00714735">
        <w:rPr>
          <w:rFonts w:ascii="Times New Roman" w:eastAsia="Times New Roman" w:hAnsi="Times New Roman"/>
          <w:sz w:val="24"/>
          <w:szCs w:val="24"/>
          <w:lang w:eastAsia="lv-LV"/>
        </w:rPr>
        <w:t xml:space="preserve">Ventspils pilsētas </w:t>
      </w:r>
      <w:r w:rsidRPr="00603645">
        <w:rPr>
          <w:rFonts w:ascii="Times New Roman" w:eastAsia="Times New Roman" w:hAnsi="Times New Roman"/>
          <w:sz w:val="24"/>
          <w:szCs w:val="24"/>
          <w:lang w:eastAsia="lv-LV"/>
        </w:rPr>
        <w:t>pašvaldība ir ieguldījusi līdzekļus 1</w:t>
      </w:r>
      <w:r w:rsidR="001D288D" w:rsidRPr="00603645">
        <w:rPr>
          <w:rFonts w:ascii="Times New Roman" w:eastAsia="Times New Roman" w:hAnsi="Times New Roman"/>
          <w:sz w:val="24"/>
          <w:szCs w:val="24"/>
          <w:lang w:eastAsia="lv-LV"/>
        </w:rPr>
        <w:t> 215 784</w:t>
      </w:r>
      <w:r w:rsidRPr="00603645">
        <w:rPr>
          <w:rFonts w:ascii="Times New Roman" w:eastAsia="Times New Roman" w:hAnsi="Times New Roman"/>
          <w:sz w:val="24"/>
          <w:szCs w:val="24"/>
          <w:lang w:eastAsia="lv-LV"/>
        </w:rPr>
        <w:t xml:space="preserve"> </w:t>
      </w:r>
      <w:r w:rsidR="000A17D2" w:rsidRPr="00603645">
        <w:rPr>
          <w:rFonts w:ascii="Times New Roman" w:eastAsia="Times New Roman" w:hAnsi="Times New Roman"/>
          <w:i/>
          <w:sz w:val="24"/>
          <w:szCs w:val="24"/>
          <w:lang w:eastAsia="lv-LV"/>
        </w:rPr>
        <w:t>euro</w:t>
      </w:r>
      <w:r w:rsidR="001D288D" w:rsidRPr="00603645">
        <w:rPr>
          <w:rFonts w:ascii="Times New Roman" w:eastAsia="Times New Roman" w:hAnsi="Times New Roman"/>
          <w:sz w:val="24"/>
          <w:szCs w:val="24"/>
          <w:lang w:eastAsia="lv-LV"/>
        </w:rPr>
        <w:t xml:space="preserve"> </w:t>
      </w:r>
      <w:r w:rsidRPr="00603645">
        <w:rPr>
          <w:rFonts w:ascii="Times New Roman" w:eastAsia="Times New Roman" w:hAnsi="Times New Roman"/>
          <w:sz w:val="24"/>
          <w:szCs w:val="24"/>
          <w:lang w:eastAsia="lv-LV"/>
        </w:rPr>
        <w:t>apmērā.</w:t>
      </w:r>
    </w:p>
    <w:p w:rsidR="00464D12" w:rsidRPr="00714735" w:rsidRDefault="00ED4452" w:rsidP="00336942">
      <w:pPr>
        <w:ind w:firstLine="720"/>
        <w:jc w:val="both"/>
      </w:pPr>
      <w:r w:rsidRPr="00714735">
        <w:t xml:space="preserve">Izvērtējot pieejamos Eiropas Savienības fondu </w:t>
      </w:r>
      <w:r w:rsidR="00C07229" w:rsidRPr="00714735">
        <w:t>2007.</w:t>
      </w:r>
      <w:r w:rsidR="00C07229">
        <w:t xml:space="preserve"> – </w:t>
      </w:r>
      <w:r w:rsidR="00C07229" w:rsidRPr="00714735">
        <w:t>2013.gada plānošanas period</w:t>
      </w:r>
      <w:r w:rsidR="00C07229">
        <w:t>a</w:t>
      </w:r>
      <w:r w:rsidR="00C07229" w:rsidRPr="00714735">
        <w:t xml:space="preserve"> </w:t>
      </w:r>
      <w:r w:rsidRPr="00714735">
        <w:t xml:space="preserve">finanšu līdzekļus pašvaldības publiskās infrastruktūras pilnveidei, Ventspils pilsētas pašvaldība darbības programmas „Infrastruktūra un pakalpojumi” papildinājuma 3.6.1.1.aktivitātes „Nacionālas un reģionālas nozīmes attīstības centru izaugsmes veicināšana līdzsvarotai valsts attīstībai” ietvaros </w:t>
      </w:r>
      <w:r w:rsidR="00F541D1">
        <w:t>līdz 2015</w:t>
      </w:r>
      <w:r w:rsidRPr="00714735">
        <w:t xml:space="preserve">.gada </w:t>
      </w:r>
      <w:r w:rsidR="00F541D1">
        <w:t>15</w:t>
      </w:r>
      <w:r w:rsidRPr="00714735">
        <w:t>.</w:t>
      </w:r>
      <w:r w:rsidR="002A6EC1">
        <w:t>jūlijam</w:t>
      </w:r>
      <w:r w:rsidRPr="00714735">
        <w:t xml:space="preserve"> īsteno</w:t>
      </w:r>
      <w:r w:rsidR="00F541D1">
        <w:t>ja</w:t>
      </w:r>
      <w:r w:rsidRPr="00714735">
        <w:t xml:space="preserve"> Lielā laukuma</w:t>
      </w:r>
      <w:r w:rsidR="005F4139">
        <w:t>, Ventspilī</w:t>
      </w:r>
      <w:r w:rsidRPr="00714735">
        <w:t xml:space="preserve"> labiekārtojuma rekonstrukcijas izbūves darbus (Projekts „Ventspils publiskās infrastruktūras attīstība un kvalitātes uzlabošana, pilnveidojot uzņēmējdarbības vidi pilsētā” (Nr.3DP/3.6.1.1.0</w:t>
      </w:r>
      <w:r w:rsidR="000A17D2">
        <w:t>/12/IPIA/VRAA/014) (turpmāk – Eiropas Savienības</w:t>
      </w:r>
      <w:r w:rsidRPr="00714735">
        <w:t xml:space="preserve"> fonda līdzfinansēts projekts)). Kopējās attiecināmās E</w:t>
      </w:r>
      <w:r w:rsidR="005F4139">
        <w:t>iropas Savienības</w:t>
      </w:r>
      <w:r w:rsidRPr="00714735">
        <w:t xml:space="preserve"> fonda līdzfinansētā projekta izmaksas veido </w:t>
      </w:r>
      <w:r w:rsidR="008B7DD8">
        <w:t>3 420 204,44</w:t>
      </w:r>
      <w:r w:rsidR="000A17D2">
        <w:t xml:space="preserve"> </w:t>
      </w:r>
      <w:r w:rsidRPr="00714735">
        <w:rPr>
          <w:i/>
        </w:rPr>
        <w:t>euro</w:t>
      </w:r>
      <w:r w:rsidRPr="00714735">
        <w:t>, t</w:t>
      </w:r>
      <w:r w:rsidR="00C07229">
        <w:t>ai skaitā</w:t>
      </w:r>
      <w:r w:rsidRPr="00714735">
        <w:t xml:space="preserve"> </w:t>
      </w:r>
      <w:r w:rsidR="000A17D2">
        <w:t>Eiropas Reģionālās attīstības fonda</w:t>
      </w:r>
      <w:r w:rsidRPr="00714735">
        <w:t xml:space="preserve"> finansējums </w:t>
      </w:r>
      <w:r w:rsidR="000A17D2">
        <w:t>2 907 173,</w:t>
      </w:r>
      <w:r w:rsidR="008B7DD8">
        <w:t>06</w:t>
      </w:r>
      <w:r w:rsidR="000A17D2">
        <w:t xml:space="preserve"> </w:t>
      </w:r>
      <w:r w:rsidRPr="00714735">
        <w:rPr>
          <w:i/>
        </w:rPr>
        <w:t>euro</w:t>
      </w:r>
      <w:r w:rsidRPr="00714735">
        <w:t xml:space="preserve"> jeb 85% no attiecināmajām izmaksām, valsts budžeta dotācija </w:t>
      </w:r>
      <w:r w:rsidR="00C07229">
        <w:t>76 </w:t>
      </w:r>
      <w:r w:rsidR="008B7DD8">
        <w:t>953,71</w:t>
      </w:r>
      <w:r w:rsidR="00C07229">
        <w:t> </w:t>
      </w:r>
      <w:r w:rsidRPr="00714735">
        <w:rPr>
          <w:i/>
        </w:rPr>
        <w:t>euro</w:t>
      </w:r>
      <w:r w:rsidRPr="00714735">
        <w:t xml:space="preserve"> jeb 2,25% no attiecināmajām izmaksām un pašvaldības līdzfinansējums attiecināmajām izmaksām veido </w:t>
      </w:r>
      <w:r w:rsidR="008B7DD8">
        <w:t>436 077,67</w:t>
      </w:r>
      <w:r w:rsidR="000A17D2">
        <w:t xml:space="preserve"> </w:t>
      </w:r>
      <w:r w:rsidRPr="00714735">
        <w:rPr>
          <w:i/>
        </w:rPr>
        <w:t>euro</w:t>
      </w:r>
      <w:r w:rsidRPr="00714735">
        <w:t xml:space="preserve"> jeb 12</w:t>
      </w:r>
      <w:r w:rsidR="00201762">
        <w:t>,</w:t>
      </w:r>
      <w:r w:rsidRPr="00714735">
        <w:t xml:space="preserve">75% no kopējām attiecināmajām izmaksām. </w:t>
      </w:r>
    </w:p>
    <w:p w:rsidR="00464D12" w:rsidRDefault="00E60E88" w:rsidP="005F4139">
      <w:pPr>
        <w:ind w:firstLine="567"/>
        <w:jc w:val="both"/>
      </w:pPr>
      <w:r w:rsidRPr="00714735">
        <w:t>S</w:t>
      </w:r>
      <w:r w:rsidR="00525E60" w:rsidRPr="00714735">
        <w:t xml:space="preserve">tarp </w:t>
      </w:r>
      <w:r w:rsidR="005F4139">
        <w:t>Ventspils pilsētas pašvaldību</w:t>
      </w:r>
      <w:r w:rsidR="00525E60" w:rsidRPr="00714735">
        <w:t xml:space="preserve">, </w:t>
      </w:r>
      <w:r w:rsidR="005F4139">
        <w:t>Kultūras ministriju</w:t>
      </w:r>
      <w:r w:rsidR="00E43465">
        <w:t xml:space="preserve"> un vidusskolu 2014.gada 6.</w:t>
      </w:r>
      <w:r w:rsidR="00525E60" w:rsidRPr="00714735">
        <w:t>novembrī noslēgts Nodomu protokols</w:t>
      </w:r>
      <w:r w:rsidR="005F4139">
        <w:t xml:space="preserve"> </w:t>
      </w:r>
      <w:r w:rsidR="00525E60" w:rsidRPr="00714735">
        <w:t xml:space="preserve">par sadarbību </w:t>
      </w:r>
      <w:r w:rsidR="005F4139">
        <w:t>vidusskolas</w:t>
      </w:r>
      <w:r w:rsidR="00525E60" w:rsidRPr="00714735">
        <w:t xml:space="preserve"> ar koncertzāles funkciju attīstībai</w:t>
      </w:r>
      <w:r w:rsidR="005F4139">
        <w:t xml:space="preserve"> (turpmāk – nodomu protokols)</w:t>
      </w:r>
      <w:r w:rsidR="00525E60" w:rsidRPr="00714735">
        <w:t>.</w:t>
      </w:r>
      <w:r w:rsidR="005F4139">
        <w:t xml:space="preserve"> </w:t>
      </w:r>
      <w:r w:rsidR="006F41B7">
        <w:t xml:space="preserve">Nodomu protokolā puses vienojās par kopīgu sadarbību, tai skaitā </w:t>
      </w:r>
      <w:r w:rsidR="005F4139">
        <w:t>Ventspils pilsētas p</w:t>
      </w:r>
      <w:r w:rsidR="006F41B7">
        <w:t>ašvaldība apņēmās nodrošināt būvprojekta</w:t>
      </w:r>
      <w:r w:rsidR="005F4139">
        <w:t xml:space="preserve"> </w:t>
      </w:r>
      <w:r w:rsidR="005F4139" w:rsidRPr="00AD370E">
        <w:t>„Ventspils Mūzikas vidusskola ar koncertzāles funkciju”</w:t>
      </w:r>
      <w:r w:rsidR="006F41B7">
        <w:t xml:space="preserve"> izstrādi ne vēlāk kā līdz 2015.gada</w:t>
      </w:r>
      <w:r w:rsidR="005F4139">
        <w:t xml:space="preserve"> 30.decembrim un līdzfinansējumu</w:t>
      </w:r>
      <w:r w:rsidR="006F41B7">
        <w:t xml:space="preserve"> projekta pirmās kārtas īstenošanai. </w:t>
      </w:r>
      <w:r w:rsidR="000A17D2">
        <w:t>Vidusskola</w:t>
      </w:r>
      <w:r w:rsidR="006F41B7">
        <w:t xml:space="preserve"> apņēmās veikt visas nepieciešamās darbības, lai nodrošinātu tās atbilstību profesionālās izglītības kompetences centra statusam, savukārt </w:t>
      </w:r>
      <w:r w:rsidR="005F4139">
        <w:t>Kultūras ministrija</w:t>
      </w:r>
      <w:r w:rsidR="006F41B7">
        <w:t xml:space="preserve"> – veikt nepieciešamās darbības koncepcijas virzībai, paredzot attiecīgu statusu Ventspils Mūzikas vidusskolai, kā arī nodrošināt turpmāku </w:t>
      </w:r>
      <w:r w:rsidR="005F4139">
        <w:t>v</w:t>
      </w:r>
      <w:r w:rsidR="00C07229">
        <w:t>idusskolas</w:t>
      </w:r>
      <w:r w:rsidR="006F41B7">
        <w:t xml:space="preserve"> darbību projekta ietvaros izbūvētajā ēkā. </w:t>
      </w:r>
    </w:p>
    <w:p w:rsidR="00296822" w:rsidRPr="00714735" w:rsidRDefault="00296822">
      <w:pPr>
        <w:ind w:firstLine="567"/>
        <w:jc w:val="both"/>
      </w:pPr>
      <w:r>
        <w:t xml:space="preserve">Tāpat puses vienojās pēc būvprojekta izstrādes noslēgt atsevišķu vienošanos par turpmāku projekta attīstīšanu, tajā ietverot institucionālā modeļa, finansēšanas plāna noteikšanu un projekta otrās kārtas īstenošanas nosacījumus. </w:t>
      </w:r>
    </w:p>
    <w:p w:rsidR="00464D12" w:rsidRDefault="00464D12">
      <w:pPr>
        <w:ind w:firstLine="720"/>
        <w:jc w:val="both"/>
      </w:pPr>
    </w:p>
    <w:p w:rsidR="00464D12" w:rsidRDefault="00464D12" w:rsidP="00EA1DD7">
      <w:pPr>
        <w:jc w:val="both"/>
        <w:rPr>
          <w:b/>
        </w:rPr>
      </w:pPr>
      <w:r w:rsidRPr="00714735">
        <w:rPr>
          <w:b/>
        </w:rPr>
        <w:lastRenderedPageBreak/>
        <w:t>Projekta raksturojums</w:t>
      </w:r>
    </w:p>
    <w:p w:rsidR="00336942" w:rsidRPr="00714735" w:rsidRDefault="00336942">
      <w:pPr>
        <w:ind w:firstLine="720"/>
        <w:jc w:val="both"/>
        <w:rPr>
          <w:b/>
        </w:rPr>
      </w:pPr>
    </w:p>
    <w:p w:rsidR="00464D12" w:rsidRPr="00714735" w:rsidRDefault="005F4139">
      <w:pPr>
        <w:ind w:firstLine="720"/>
        <w:jc w:val="both"/>
      </w:pPr>
      <w:r>
        <w:t>Šobrīd atbilstoši noslēgtajam n</w:t>
      </w:r>
      <w:r w:rsidR="00525E60" w:rsidRPr="00603645">
        <w:t xml:space="preserve">odomu protokolam </w:t>
      </w:r>
      <w:r>
        <w:t>Ventspils pilsētas pašvaldība</w:t>
      </w:r>
      <w:r w:rsidR="00525E60" w:rsidRPr="00603645">
        <w:t xml:space="preserve"> ir nodrošinājusi būvprojekta</w:t>
      </w:r>
      <w:r>
        <w:t xml:space="preserve"> </w:t>
      </w:r>
      <w:r w:rsidRPr="00AD370E">
        <w:t xml:space="preserve">„Ventspils Mūzikas vidusskola ar koncertzāles funkciju” </w:t>
      </w:r>
      <w:r w:rsidR="00525E60" w:rsidRPr="00603645">
        <w:t xml:space="preserve">tehniskās dokumentācijas izstrādi. Atbilstoši izstrādātajai tehniskajai dokumentācijai (telpu programmai), paredzēts, ka ēkas lielākā daļa ir paredzēta </w:t>
      </w:r>
      <w:r w:rsidR="000A17D2">
        <w:t>vidusskolas</w:t>
      </w:r>
      <w:r w:rsidR="00D12077" w:rsidRPr="00603645">
        <w:t xml:space="preserve"> </w:t>
      </w:r>
      <w:r w:rsidR="00525E60" w:rsidRPr="00603645">
        <w:t>darbības nodrošināšanai.</w:t>
      </w:r>
      <w:r w:rsidR="00603645">
        <w:t xml:space="preserve"> </w:t>
      </w:r>
    </w:p>
    <w:p w:rsidR="00464D12" w:rsidRPr="00714735" w:rsidRDefault="00A33680">
      <w:pPr>
        <w:ind w:firstLine="720"/>
        <w:jc w:val="both"/>
        <w:rPr>
          <w:rStyle w:val="normalchar1"/>
        </w:rPr>
      </w:pPr>
      <w:r w:rsidRPr="00714735">
        <w:rPr>
          <w:rStyle w:val="table0020normalchar1"/>
        </w:rPr>
        <w:t xml:space="preserve">Lai nodrošinātu </w:t>
      </w:r>
      <w:r w:rsidR="000A17D2">
        <w:rPr>
          <w:rStyle w:val="table0020normalchar1"/>
        </w:rPr>
        <w:t>vidusskolas</w:t>
      </w:r>
      <w:r w:rsidRPr="00714735">
        <w:rPr>
          <w:rStyle w:val="table0020normalchar1"/>
        </w:rPr>
        <w:t xml:space="preserve"> ar nepieciešamo infrastruktūru, projektu </w:t>
      </w:r>
      <w:r w:rsidRPr="00714735">
        <w:rPr>
          <w:rStyle w:val="normalchar1"/>
        </w:rPr>
        <w:t>plānots īstenot divās kārtās:</w:t>
      </w:r>
    </w:p>
    <w:p w:rsidR="00464D12" w:rsidRPr="00714735" w:rsidRDefault="00A33680" w:rsidP="000A17D2">
      <w:pPr>
        <w:ind w:left="1843" w:hanging="1123"/>
        <w:jc w:val="both"/>
        <w:rPr>
          <w:rStyle w:val="normalchar1"/>
        </w:rPr>
      </w:pPr>
      <w:r w:rsidRPr="00714735">
        <w:rPr>
          <w:rStyle w:val="normalchar1"/>
        </w:rPr>
        <w:t xml:space="preserve">1.kārta </w:t>
      </w:r>
      <w:r w:rsidR="00C07229" w:rsidRPr="00714735">
        <w:rPr>
          <w:rStyle w:val="table0020normalchar1"/>
        </w:rPr>
        <w:t>–</w:t>
      </w:r>
      <w:r w:rsidRPr="00714735">
        <w:rPr>
          <w:rStyle w:val="normalchar1"/>
        </w:rPr>
        <w:t xml:space="preserve"> </w:t>
      </w:r>
      <w:r w:rsidR="000A17D2">
        <w:rPr>
          <w:rStyle w:val="normalchar1"/>
        </w:rPr>
        <w:tab/>
      </w:r>
      <w:r w:rsidRPr="00714735">
        <w:rPr>
          <w:rStyle w:val="normalchar1"/>
        </w:rPr>
        <w:t xml:space="preserve">būvprojekta </w:t>
      </w:r>
      <w:r w:rsidR="005F4139" w:rsidRPr="00AD370E">
        <w:t>„Ventspils Mūzikas vidusskola ar koncertzāles funkciju”</w:t>
      </w:r>
      <w:r w:rsidR="005F4139">
        <w:t xml:space="preserve"> </w:t>
      </w:r>
      <w:r w:rsidRPr="00714735">
        <w:rPr>
          <w:rStyle w:val="normalchar1"/>
        </w:rPr>
        <w:t>tehniskās dokumentācijas izstrāde, lai nodrošinātu augstu gatavību būvniecības darbu uzsākšanai un Eiropas Savienības finansējuma piesaistei</w:t>
      </w:r>
      <w:r w:rsidR="00464D12" w:rsidRPr="00714735">
        <w:rPr>
          <w:rStyle w:val="normalchar1"/>
        </w:rPr>
        <w:t xml:space="preserve"> (pabeigta</w:t>
      </w:r>
      <w:r w:rsidR="00C07229">
        <w:rPr>
          <w:rStyle w:val="normalchar1"/>
        </w:rPr>
        <w:t xml:space="preserve"> 2015.gadā</w:t>
      </w:r>
      <w:r w:rsidR="00464D12" w:rsidRPr="00714735">
        <w:rPr>
          <w:rStyle w:val="normalchar1"/>
        </w:rPr>
        <w:t>)</w:t>
      </w:r>
      <w:r w:rsidRPr="00714735">
        <w:rPr>
          <w:rStyle w:val="normalchar1"/>
        </w:rPr>
        <w:t>;</w:t>
      </w:r>
    </w:p>
    <w:p w:rsidR="00464D12" w:rsidRPr="00714735" w:rsidRDefault="00A33680" w:rsidP="000A17D2">
      <w:pPr>
        <w:ind w:left="1843" w:hanging="1123"/>
        <w:jc w:val="both"/>
        <w:rPr>
          <w:rStyle w:val="normalchar1"/>
        </w:rPr>
      </w:pPr>
      <w:r w:rsidRPr="00714735">
        <w:rPr>
          <w:rStyle w:val="table0020normalchar1"/>
        </w:rPr>
        <w:t xml:space="preserve">2.kārta – </w:t>
      </w:r>
      <w:r w:rsidR="000A17D2">
        <w:rPr>
          <w:rStyle w:val="table0020normalchar1"/>
        </w:rPr>
        <w:tab/>
        <w:t>b</w:t>
      </w:r>
      <w:r w:rsidRPr="00714735">
        <w:rPr>
          <w:rStyle w:val="table0020normalchar1"/>
        </w:rPr>
        <w:t xml:space="preserve">ūvdarbu </w:t>
      </w:r>
      <w:r w:rsidRPr="00714735">
        <w:rPr>
          <w:rStyle w:val="normalchar1"/>
        </w:rPr>
        <w:t>veikšana, piesaistot finansējumu Eiropas Savienības fondu 2014.</w:t>
      </w:r>
      <w:r w:rsidR="00C07229">
        <w:rPr>
          <w:rStyle w:val="normalchar1"/>
        </w:rPr>
        <w:t xml:space="preserve"> </w:t>
      </w:r>
      <w:r w:rsidRPr="00714735">
        <w:rPr>
          <w:rStyle w:val="normalchar1"/>
        </w:rPr>
        <w:t>–</w:t>
      </w:r>
      <w:r w:rsidR="00C07229">
        <w:rPr>
          <w:rStyle w:val="normalchar1"/>
        </w:rPr>
        <w:t xml:space="preserve"> </w:t>
      </w:r>
      <w:r w:rsidRPr="00714735">
        <w:rPr>
          <w:rStyle w:val="normalchar1"/>
        </w:rPr>
        <w:t>2020.gada plānošanas perioda ietvaros.</w:t>
      </w:r>
    </w:p>
    <w:p w:rsidR="000A17D2" w:rsidRDefault="000A17D2" w:rsidP="000A17D2">
      <w:pPr>
        <w:ind w:firstLine="720"/>
        <w:jc w:val="both"/>
      </w:pPr>
    </w:p>
    <w:p w:rsidR="0067235C" w:rsidRPr="000A17D2" w:rsidRDefault="0067235C" w:rsidP="00C07229">
      <w:pPr>
        <w:ind w:firstLine="720"/>
        <w:jc w:val="both"/>
      </w:pPr>
      <w:r w:rsidRPr="00AD370E">
        <w:t>Būvprojekt</w:t>
      </w:r>
      <w:r w:rsidR="0040795A">
        <w:t>s</w:t>
      </w:r>
      <w:r w:rsidRPr="00AD370E">
        <w:t xml:space="preserve"> „Ventspils Mūzikas vidusskola ar koncertzāles funkciju” i</w:t>
      </w:r>
      <w:r w:rsidR="000A17D2">
        <w:t xml:space="preserve">etver šādas galvenās funkcijas: </w:t>
      </w:r>
      <w:r w:rsidR="00E60E88" w:rsidRPr="000A17D2">
        <w:t xml:space="preserve">mūzikas vidusskolu ar mācību un nodarbību telpām, bibliotēku un skolas administrāciju, divas zāles ar </w:t>
      </w:r>
      <w:r w:rsidRPr="000A17D2">
        <w:t xml:space="preserve">146 (Mazā zāle) </w:t>
      </w:r>
      <w:r w:rsidR="00C07229">
        <w:t xml:space="preserve">un 600 – </w:t>
      </w:r>
      <w:r w:rsidR="00E60E88" w:rsidRPr="000A17D2">
        <w:t xml:space="preserve">800 </w:t>
      </w:r>
      <w:r w:rsidRPr="000A17D2">
        <w:t xml:space="preserve">(Lielā zāle) </w:t>
      </w:r>
      <w:r w:rsidR="00E60E88" w:rsidRPr="000A17D2">
        <w:t xml:space="preserve">vietu ietilpību, koncertzāles administrācijas telpas, mākslinieku ģērbtuves. </w:t>
      </w:r>
    </w:p>
    <w:p w:rsidR="00E60E88" w:rsidRPr="000A17D2" w:rsidRDefault="000A17D2" w:rsidP="000A17D2">
      <w:pPr>
        <w:ind w:firstLine="709"/>
        <w:jc w:val="both"/>
      </w:pPr>
      <w:r>
        <w:t>K</w:t>
      </w:r>
      <w:r w:rsidR="00E60E88" w:rsidRPr="000A17D2">
        <w:t xml:space="preserve">ompleksa kopējā </w:t>
      </w:r>
      <w:r w:rsidR="0067235C" w:rsidRPr="000A17D2">
        <w:t xml:space="preserve">lietderīgā </w:t>
      </w:r>
      <w:r w:rsidR="00E60E88" w:rsidRPr="000A17D2">
        <w:t xml:space="preserve">platība </w:t>
      </w:r>
      <w:r w:rsidR="0067235C" w:rsidRPr="000A17D2">
        <w:t>ir 6598,40 m² (</w:t>
      </w:r>
      <w:r w:rsidR="008E3744">
        <w:t>vidusskola</w:t>
      </w:r>
      <w:r w:rsidR="0067235C" w:rsidRPr="000A17D2">
        <w:t xml:space="preserve"> 5055 m², koncertzāle 1543,4 m²</w:t>
      </w:r>
      <w:r w:rsidR="00AD70AF" w:rsidRPr="000A17D2">
        <w:t>).</w:t>
      </w:r>
    </w:p>
    <w:p w:rsidR="000A17D2" w:rsidRPr="000A17D2" w:rsidRDefault="000A17D2" w:rsidP="000A17D2">
      <w:pPr>
        <w:pStyle w:val="Sarakstarindkopa"/>
        <w:spacing w:after="0" w:line="240" w:lineRule="auto"/>
        <w:ind w:left="993"/>
        <w:jc w:val="both"/>
        <w:rPr>
          <w:rFonts w:ascii="Times New Roman" w:eastAsia="Times New Roman" w:hAnsi="Times New Roman"/>
          <w:sz w:val="24"/>
          <w:szCs w:val="24"/>
          <w:lang w:eastAsia="lv-LV"/>
        </w:rPr>
      </w:pPr>
    </w:p>
    <w:p w:rsidR="00464D12" w:rsidRPr="000A17D2" w:rsidRDefault="00A33680" w:rsidP="000A17D2">
      <w:pPr>
        <w:ind w:firstLine="709"/>
        <w:jc w:val="both"/>
      </w:pPr>
      <w:r w:rsidRPr="000A17D2">
        <w:t xml:space="preserve">Būvprojekta </w:t>
      </w:r>
      <w:r w:rsidR="000A17D2" w:rsidRPr="00AD370E">
        <w:t xml:space="preserve">„Ventspils Mūzikas vidusskola ar koncertzāles funkciju” </w:t>
      </w:r>
      <w:r w:rsidRPr="000A17D2">
        <w:t xml:space="preserve">tehniskās dokumentācijas sastāvā </w:t>
      </w:r>
      <w:r w:rsidR="00D12077" w:rsidRPr="000A17D2">
        <w:t xml:space="preserve">iekļauta </w:t>
      </w:r>
      <w:r w:rsidRPr="000A17D2">
        <w:t>arī  ērģeļu projekta izstrāde, jo:</w:t>
      </w:r>
    </w:p>
    <w:p w:rsidR="00464D12" w:rsidRPr="000A17D2" w:rsidRDefault="00464D12" w:rsidP="000A17D2">
      <w:pPr>
        <w:pStyle w:val="Sarakstarindkopa"/>
        <w:numPr>
          <w:ilvl w:val="0"/>
          <w:numId w:val="28"/>
        </w:numPr>
        <w:spacing w:after="0" w:line="240" w:lineRule="auto"/>
        <w:ind w:left="993" w:hanging="284"/>
        <w:jc w:val="both"/>
        <w:rPr>
          <w:rFonts w:ascii="Times New Roman" w:eastAsia="Times New Roman" w:hAnsi="Times New Roman"/>
          <w:sz w:val="24"/>
          <w:szCs w:val="24"/>
          <w:lang w:eastAsia="lv-LV"/>
        </w:rPr>
      </w:pPr>
      <w:r w:rsidRPr="000A17D2">
        <w:rPr>
          <w:rFonts w:ascii="Times New Roman" w:eastAsia="Times New Roman" w:hAnsi="Times New Roman"/>
          <w:sz w:val="24"/>
          <w:szCs w:val="24"/>
          <w:lang w:eastAsia="lv-LV"/>
        </w:rPr>
        <w:t>a</w:t>
      </w:r>
      <w:r w:rsidR="00C07229">
        <w:rPr>
          <w:rFonts w:ascii="Times New Roman" w:eastAsia="Times New Roman" w:hAnsi="Times New Roman"/>
          <w:sz w:val="24"/>
          <w:szCs w:val="24"/>
          <w:lang w:eastAsia="lv-LV"/>
        </w:rPr>
        <w:t>r 2015./2016.</w:t>
      </w:r>
      <w:r w:rsidR="00A33680" w:rsidRPr="000A17D2">
        <w:rPr>
          <w:rFonts w:ascii="Times New Roman" w:eastAsia="Times New Roman" w:hAnsi="Times New Roman"/>
          <w:sz w:val="24"/>
          <w:szCs w:val="24"/>
          <w:lang w:eastAsia="lv-LV"/>
        </w:rPr>
        <w:t>mācību gadu uzsākt</w:t>
      </w:r>
      <w:r w:rsidRPr="000A17D2">
        <w:rPr>
          <w:rFonts w:ascii="Times New Roman" w:eastAsia="Times New Roman" w:hAnsi="Times New Roman"/>
          <w:sz w:val="24"/>
          <w:szCs w:val="24"/>
          <w:lang w:eastAsia="lv-LV"/>
        </w:rPr>
        <w:t>a</w:t>
      </w:r>
      <w:r w:rsidR="00C07229">
        <w:rPr>
          <w:rFonts w:ascii="Times New Roman" w:eastAsia="Times New Roman" w:hAnsi="Times New Roman"/>
          <w:sz w:val="24"/>
          <w:szCs w:val="24"/>
          <w:lang w:eastAsia="lv-LV"/>
        </w:rPr>
        <w:t xml:space="preserve"> profesionālās </w:t>
      </w:r>
      <w:r w:rsidR="007779C5">
        <w:rPr>
          <w:rFonts w:ascii="Times New Roman" w:eastAsia="Times New Roman" w:hAnsi="Times New Roman"/>
          <w:sz w:val="24"/>
          <w:szCs w:val="24"/>
          <w:lang w:eastAsia="lv-LV"/>
        </w:rPr>
        <w:t xml:space="preserve">vidējās </w:t>
      </w:r>
      <w:r w:rsidR="00C07229">
        <w:rPr>
          <w:rFonts w:ascii="Times New Roman" w:eastAsia="Times New Roman" w:hAnsi="Times New Roman"/>
          <w:sz w:val="24"/>
          <w:szCs w:val="24"/>
          <w:lang w:eastAsia="lv-LV"/>
        </w:rPr>
        <w:t>izglītības programmas</w:t>
      </w:r>
      <w:r w:rsidR="00A33680" w:rsidRPr="000A17D2">
        <w:rPr>
          <w:rFonts w:ascii="Times New Roman" w:eastAsia="Times New Roman" w:hAnsi="Times New Roman"/>
          <w:sz w:val="24"/>
          <w:szCs w:val="24"/>
          <w:lang w:eastAsia="lv-LV"/>
        </w:rPr>
        <w:t xml:space="preserve"> </w:t>
      </w:r>
      <w:r w:rsidR="0040795A" w:rsidRPr="000A17D2">
        <w:rPr>
          <w:rFonts w:ascii="Times New Roman" w:eastAsia="Times New Roman" w:hAnsi="Times New Roman"/>
          <w:sz w:val="24"/>
          <w:szCs w:val="24"/>
          <w:lang w:eastAsia="lv-LV"/>
        </w:rPr>
        <w:t>„</w:t>
      </w:r>
      <w:r w:rsidR="00A33680" w:rsidRPr="000A17D2">
        <w:rPr>
          <w:rFonts w:ascii="Times New Roman" w:eastAsia="Times New Roman" w:hAnsi="Times New Roman"/>
          <w:sz w:val="24"/>
          <w:szCs w:val="24"/>
          <w:lang w:eastAsia="lv-LV"/>
        </w:rPr>
        <w:t>Mūziķis – ērģelnieks</w:t>
      </w:r>
      <w:r w:rsidR="0040795A" w:rsidRPr="000A17D2">
        <w:rPr>
          <w:rFonts w:ascii="Times New Roman" w:eastAsia="Times New Roman" w:hAnsi="Times New Roman"/>
          <w:sz w:val="24"/>
          <w:szCs w:val="24"/>
          <w:lang w:eastAsia="lv-LV"/>
        </w:rPr>
        <w:t>”</w:t>
      </w:r>
      <w:r w:rsidR="00A33680" w:rsidRPr="000A17D2">
        <w:rPr>
          <w:rFonts w:ascii="Times New Roman" w:eastAsia="Times New Roman" w:hAnsi="Times New Roman"/>
          <w:sz w:val="24"/>
          <w:szCs w:val="24"/>
          <w:lang w:eastAsia="lv-LV"/>
        </w:rPr>
        <w:t xml:space="preserve"> </w:t>
      </w:r>
      <w:r w:rsidR="0040795A" w:rsidRPr="000A17D2">
        <w:rPr>
          <w:rFonts w:ascii="Times New Roman" w:eastAsia="Times New Roman" w:hAnsi="Times New Roman"/>
          <w:sz w:val="24"/>
          <w:szCs w:val="24"/>
          <w:lang w:eastAsia="lv-LV"/>
        </w:rPr>
        <w:t>īstenošana</w:t>
      </w:r>
      <w:r w:rsidR="00A33680" w:rsidRPr="000A17D2">
        <w:rPr>
          <w:rFonts w:ascii="Times New Roman" w:eastAsia="Times New Roman" w:hAnsi="Times New Roman"/>
          <w:sz w:val="24"/>
          <w:szCs w:val="24"/>
          <w:lang w:eastAsia="lv-LV"/>
        </w:rPr>
        <w:t>;</w:t>
      </w:r>
    </w:p>
    <w:p w:rsidR="00464D12" w:rsidRPr="000A17D2" w:rsidRDefault="00464D12" w:rsidP="000A17D2">
      <w:pPr>
        <w:pStyle w:val="Sarakstarindkopa"/>
        <w:numPr>
          <w:ilvl w:val="0"/>
          <w:numId w:val="28"/>
        </w:numPr>
        <w:spacing w:after="0" w:line="240" w:lineRule="auto"/>
        <w:ind w:left="993" w:hanging="284"/>
        <w:jc w:val="both"/>
        <w:rPr>
          <w:rFonts w:ascii="Times New Roman" w:eastAsia="Times New Roman" w:hAnsi="Times New Roman"/>
          <w:sz w:val="24"/>
          <w:szCs w:val="24"/>
          <w:lang w:eastAsia="lv-LV"/>
        </w:rPr>
      </w:pPr>
      <w:r w:rsidRPr="000A17D2">
        <w:rPr>
          <w:rFonts w:ascii="Times New Roman" w:eastAsia="Times New Roman" w:hAnsi="Times New Roman"/>
          <w:sz w:val="24"/>
          <w:szCs w:val="24"/>
          <w:lang w:eastAsia="lv-LV"/>
        </w:rPr>
        <w:t>k</w:t>
      </w:r>
      <w:r w:rsidR="00A33680" w:rsidRPr="000A17D2">
        <w:rPr>
          <w:rFonts w:ascii="Times New Roman" w:eastAsia="Times New Roman" w:hAnsi="Times New Roman"/>
          <w:sz w:val="24"/>
          <w:szCs w:val="24"/>
          <w:lang w:eastAsia="lv-LV"/>
        </w:rPr>
        <w:t>oncertzāles ar ērģeļu instrumentu Latvijā ir retums, it īpaši Kurzemes reģionā. Ventspilī ērģeles pieejamas tikai Ventspils Nikolaja evaņģēliski luteriskajā baznīcā, kurā esošais instruments ir sens un prasa regulāru apkopi, turklāt baznīca un tās instruments nav piemēroti regulārai koncertdarbībai. Citviet Ventspilī šī koncertdzīves daļa līdz šim ir bijusi vāji attīstīta laba koncertinstrumenta trūkuma dēļ un arī tādēļ, ka trūkst profesionālu vietējo ērģelnieku;</w:t>
      </w:r>
    </w:p>
    <w:p w:rsidR="00464D12" w:rsidRPr="000A17D2" w:rsidRDefault="00464D12" w:rsidP="000A17D2">
      <w:pPr>
        <w:pStyle w:val="Sarakstarindkopa"/>
        <w:numPr>
          <w:ilvl w:val="0"/>
          <w:numId w:val="28"/>
        </w:numPr>
        <w:spacing w:after="0" w:line="240" w:lineRule="auto"/>
        <w:ind w:left="993" w:hanging="284"/>
        <w:jc w:val="both"/>
        <w:rPr>
          <w:rFonts w:ascii="Times New Roman" w:eastAsia="Times New Roman" w:hAnsi="Times New Roman"/>
          <w:sz w:val="24"/>
          <w:szCs w:val="24"/>
          <w:lang w:eastAsia="lv-LV"/>
        </w:rPr>
      </w:pPr>
      <w:r w:rsidRPr="000A17D2">
        <w:rPr>
          <w:rFonts w:ascii="Times New Roman" w:eastAsia="Times New Roman" w:hAnsi="Times New Roman"/>
          <w:sz w:val="24"/>
          <w:szCs w:val="24"/>
          <w:lang w:eastAsia="lv-LV"/>
        </w:rPr>
        <w:t>p</w:t>
      </w:r>
      <w:r w:rsidR="00A33680" w:rsidRPr="000A17D2">
        <w:rPr>
          <w:rFonts w:ascii="Times New Roman" w:eastAsia="Times New Roman" w:hAnsi="Times New Roman"/>
          <w:sz w:val="24"/>
          <w:szCs w:val="24"/>
          <w:lang w:eastAsia="lv-LV"/>
        </w:rPr>
        <w:t>rojektējamās ērģeles ir laikmetīgs instruments, kurš ievērojami bagātinās koncertdzīvi ne tikai reģionālā, bet arī valstiskā līmenī, kā arī ļaus piesaistīt augsta līmeņa profesionālās mākslas izpildītājus lielu muzikālo formu izpildījumos;</w:t>
      </w:r>
    </w:p>
    <w:p w:rsidR="00464D12" w:rsidRPr="000A17D2" w:rsidRDefault="00464D12" w:rsidP="000A17D2">
      <w:pPr>
        <w:pStyle w:val="Sarakstarindkopa"/>
        <w:numPr>
          <w:ilvl w:val="0"/>
          <w:numId w:val="28"/>
        </w:numPr>
        <w:spacing w:after="0" w:line="240" w:lineRule="auto"/>
        <w:ind w:left="993" w:hanging="284"/>
        <w:jc w:val="both"/>
        <w:rPr>
          <w:rFonts w:ascii="Times New Roman" w:eastAsia="Times New Roman" w:hAnsi="Times New Roman"/>
          <w:sz w:val="24"/>
          <w:szCs w:val="24"/>
          <w:lang w:eastAsia="lv-LV"/>
        </w:rPr>
      </w:pPr>
      <w:r w:rsidRPr="000A17D2">
        <w:rPr>
          <w:rFonts w:ascii="Times New Roman" w:eastAsia="Times New Roman" w:hAnsi="Times New Roman"/>
          <w:sz w:val="24"/>
          <w:szCs w:val="24"/>
          <w:lang w:eastAsia="lv-LV"/>
        </w:rPr>
        <w:t>t</w:t>
      </w:r>
      <w:r w:rsidR="00A33680" w:rsidRPr="000A17D2">
        <w:rPr>
          <w:rFonts w:ascii="Times New Roman" w:eastAsia="Times New Roman" w:hAnsi="Times New Roman"/>
          <w:sz w:val="24"/>
          <w:szCs w:val="24"/>
          <w:lang w:eastAsia="lv-LV"/>
        </w:rPr>
        <w:t xml:space="preserve">ā kā </w:t>
      </w:r>
      <w:r w:rsidRPr="000A17D2">
        <w:rPr>
          <w:rFonts w:ascii="Times New Roman" w:eastAsia="Times New Roman" w:hAnsi="Times New Roman"/>
          <w:sz w:val="24"/>
          <w:szCs w:val="24"/>
          <w:lang w:eastAsia="lv-LV"/>
        </w:rPr>
        <w:t xml:space="preserve">projekta ietvaros </w:t>
      </w:r>
      <w:r w:rsidR="00A33680" w:rsidRPr="000A17D2">
        <w:rPr>
          <w:rFonts w:ascii="Times New Roman" w:eastAsia="Times New Roman" w:hAnsi="Times New Roman"/>
          <w:sz w:val="24"/>
          <w:szCs w:val="24"/>
          <w:lang w:eastAsia="lv-LV"/>
        </w:rPr>
        <w:t>paredzēta arī ierakstu studijas funkcija, tad topošajiem mūziķiem būs iespēja veikt augsta līmeņa ierakstus skaņdarbiem ar ērģelēm un solo ierakstiem ērģelēm.</w:t>
      </w:r>
    </w:p>
    <w:p w:rsidR="000A17D2" w:rsidRDefault="000A17D2">
      <w:pPr>
        <w:ind w:firstLine="720"/>
        <w:jc w:val="both"/>
        <w:rPr>
          <w:rStyle w:val="table0020normalchar1"/>
        </w:rPr>
      </w:pPr>
    </w:p>
    <w:p w:rsidR="00464D12" w:rsidRPr="00714735" w:rsidRDefault="00464D12">
      <w:pPr>
        <w:ind w:firstLine="720"/>
        <w:jc w:val="both"/>
        <w:rPr>
          <w:rStyle w:val="normalchar1"/>
        </w:rPr>
      </w:pPr>
      <w:r w:rsidRPr="00714735">
        <w:rPr>
          <w:rStyle w:val="table0020normalchar1"/>
        </w:rPr>
        <w:t>P</w:t>
      </w:r>
      <w:r w:rsidR="005F4139">
        <w:rPr>
          <w:rStyle w:val="table0020normalchar1"/>
        </w:rPr>
        <w:t xml:space="preserve">rojektējamā ēkā </w:t>
      </w:r>
      <w:r w:rsidR="00A33680" w:rsidRPr="00714735">
        <w:rPr>
          <w:rStyle w:val="table0020normalchar1"/>
        </w:rPr>
        <w:t xml:space="preserve">plānots izvietot arī specializētas telpas </w:t>
      </w:r>
      <w:r w:rsidR="000A17D2">
        <w:rPr>
          <w:rStyle w:val="table0020normalchar1"/>
        </w:rPr>
        <w:t>vidusskolai</w:t>
      </w:r>
      <w:r w:rsidR="00A33680" w:rsidRPr="00714735">
        <w:rPr>
          <w:rStyle w:val="table0020normalchar1"/>
        </w:rPr>
        <w:t xml:space="preserve"> </w:t>
      </w:r>
      <w:r w:rsidR="00A33680" w:rsidRPr="00714735">
        <w:rPr>
          <w:rStyle w:val="normalchar1"/>
        </w:rPr>
        <w:t>izglītības funkcijas nodrošināšanai, piemēram, ierakstu studiju, kas nepieciešama vairāku izglītības iestādes īstenoto izglītības programmu nodrošināš</w:t>
      </w:r>
      <w:r w:rsidR="007779C5">
        <w:rPr>
          <w:rStyle w:val="normalchar1"/>
        </w:rPr>
        <w:t>anai. Tajā plānotas nodarbības izglītības programmā</w:t>
      </w:r>
      <w:r w:rsidR="00A33680" w:rsidRPr="00714735">
        <w:rPr>
          <w:rStyle w:val="normalchar1"/>
        </w:rPr>
        <w:t xml:space="preserve"> </w:t>
      </w:r>
      <w:r w:rsidR="00A33680" w:rsidRPr="00714735">
        <w:rPr>
          <w:rStyle w:val="normalchar1"/>
          <w:i/>
          <w:iCs/>
        </w:rPr>
        <w:t>Mūziķis – Skaņu operators</w:t>
      </w:r>
      <w:r w:rsidR="00A33680" w:rsidRPr="00714735">
        <w:rPr>
          <w:rStyle w:val="normalchar1"/>
        </w:rPr>
        <w:t xml:space="preserve"> mācību priekšmetos: </w:t>
      </w:r>
      <w:r w:rsidR="00A33680" w:rsidRPr="00714735">
        <w:rPr>
          <w:rStyle w:val="normalchar1"/>
          <w:i/>
          <w:iCs/>
        </w:rPr>
        <w:t>audio teorijas pamati, radio elektronika, audio ierakstu rediģēšanas pamati, skaņu režija, elektroniskās mūzikas pamati</w:t>
      </w:r>
      <w:r w:rsidR="00A33680" w:rsidRPr="00714735">
        <w:rPr>
          <w:rStyle w:val="normalchar1"/>
        </w:rPr>
        <w:t>, kā arī īstenojot</w:t>
      </w:r>
      <w:r w:rsidR="007779C5">
        <w:rPr>
          <w:rStyle w:val="normalchar1"/>
        </w:rPr>
        <w:t xml:space="preserve"> daļu no kvalifikācijas prakses.</w:t>
      </w:r>
      <w:r w:rsidR="00A33680" w:rsidRPr="00714735">
        <w:rPr>
          <w:rStyle w:val="normalchar1"/>
        </w:rPr>
        <w:t xml:space="preserve"> </w:t>
      </w:r>
      <w:r w:rsidR="007779C5">
        <w:rPr>
          <w:rStyle w:val="normalchar1"/>
        </w:rPr>
        <w:t xml:space="preserve">Izglītības programmas </w:t>
      </w:r>
      <w:r w:rsidR="00A33680" w:rsidRPr="00714735">
        <w:rPr>
          <w:rStyle w:val="normalchar1"/>
          <w:i/>
          <w:iCs/>
        </w:rPr>
        <w:t>Mūzika</w:t>
      </w:r>
      <w:r w:rsidR="00A33680" w:rsidRPr="00714735">
        <w:rPr>
          <w:rStyle w:val="normalchar1"/>
        </w:rPr>
        <w:t xml:space="preserve"> ģitāras, </w:t>
      </w:r>
      <w:proofErr w:type="spellStart"/>
      <w:r w:rsidR="00A33680" w:rsidRPr="00714735">
        <w:rPr>
          <w:rStyle w:val="normalchar1"/>
        </w:rPr>
        <w:t>basģitāras</w:t>
      </w:r>
      <w:proofErr w:type="spellEnd"/>
      <w:r w:rsidR="00A33680" w:rsidRPr="00714735">
        <w:rPr>
          <w:rStyle w:val="normalchar1"/>
        </w:rPr>
        <w:t xml:space="preserve">, sitaminstrumentu, klavieru, trompetes trombona, saksofona un dziedāšanas specialitāšu audzēkņiem ierakstu studija vajadzīga, lai apgūtu elektroniskās mūzikas pamatus. </w:t>
      </w:r>
    </w:p>
    <w:p w:rsidR="00464D12" w:rsidRPr="00714735" w:rsidRDefault="00A33680">
      <w:pPr>
        <w:ind w:firstLine="720"/>
        <w:jc w:val="both"/>
        <w:rPr>
          <w:rStyle w:val="normalchar1"/>
        </w:rPr>
      </w:pPr>
      <w:r w:rsidRPr="00714735">
        <w:rPr>
          <w:rStyle w:val="table0020normalchar1"/>
        </w:rPr>
        <w:t>Tāpat</w:t>
      </w:r>
      <w:r w:rsidR="000A17D2">
        <w:rPr>
          <w:rStyle w:val="table0020normalchar1"/>
        </w:rPr>
        <w:t xml:space="preserve"> vidusskolas</w:t>
      </w:r>
      <w:r w:rsidRPr="00714735">
        <w:rPr>
          <w:rStyle w:val="normalchar1"/>
        </w:rPr>
        <w:t xml:space="preserve"> telpās plānots izvietot deju studiju, kas nepieciešama </w:t>
      </w:r>
      <w:r w:rsidR="007779C5">
        <w:rPr>
          <w:rStyle w:val="normalchar1"/>
        </w:rPr>
        <w:t>izglītības programmas</w:t>
      </w:r>
      <w:r w:rsidRPr="00714735">
        <w:rPr>
          <w:rStyle w:val="normalchar1"/>
        </w:rPr>
        <w:t xml:space="preserve"> </w:t>
      </w:r>
      <w:r w:rsidR="0040795A">
        <w:rPr>
          <w:rStyle w:val="normalchar1"/>
        </w:rPr>
        <w:t>„</w:t>
      </w:r>
      <w:r w:rsidRPr="00714735">
        <w:rPr>
          <w:rStyle w:val="normalchar1"/>
          <w:i/>
          <w:iCs/>
        </w:rPr>
        <w:t>Vokālā mūzika</w:t>
      </w:r>
      <w:r w:rsidR="0040795A">
        <w:rPr>
          <w:rStyle w:val="normalchar1"/>
          <w:i/>
          <w:iCs/>
        </w:rPr>
        <w:t>”</w:t>
      </w:r>
      <w:r w:rsidRPr="00714735">
        <w:rPr>
          <w:rStyle w:val="normalchar1"/>
          <w:i/>
          <w:iCs/>
        </w:rPr>
        <w:t xml:space="preserve"> </w:t>
      </w:r>
      <w:r w:rsidRPr="00714735">
        <w:rPr>
          <w:rStyle w:val="normalchar1"/>
        </w:rPr>
        <w:t xml:space="preserve">kvalifikācijas </w:t>
      </w:r>
      <w:r w:rsidRPr="00714735">
        <w:rPr>
          <w:rStyle w:val="normalchar1"/>
          <w:i/>
          <w:iCs/>
        </w:rPr>
        <w:t>vokālists</w:t>
      </w:r>
      <w:r w:rsidRPr="00714735">
        <w:rPr>
          <w:rStyle w:val="normalchar1"/>
        </w:rPr>
        <w:t xml:space="preserve">, </w:t>
      </w:r>
      <w:r w:rsidRPr="00714735">
        <w:rPr>
          <w:rStyle w:val="normalchar1"/>
          <w:i/>
          <w:iCs/>
        </w:rPr>
        <w:t>kora dziedātājs</w:t>
      </w:r>
      <w:r w:rsidRPr="00714735">
        <w:rPr>
          <w:rStyle w:val="normalchar1"/>
        </w:rPr>
        <w:t xml:space="preserve"> un </w:t>
      </w:r>
      <w:r w:rsidR="007779C5">
        <w:rPr>
          <w:rStyle w:val="normalchar1"/>
        </w:rPr>
        <w:t>izglītības programmas</w:t>
      </w:r>
      <w:r w:rsidRPr="00714735">
        <w:rPr>
          <w:rStyle w:val="normalchar1"/>
        </w:rPr>
        <w:t xml:space="preserve"> </w:t>
      </w:r>
      <w:r w:rsidR="0040795A">
        <w:rPr>
          <w:rStyle w:val="normalchar1"/>
        </w:rPr>
        <w:t>„</w:t>
      </w:r>
      <w:r w:rsidRPr="00714735">
        <w:rPr>
          <w:rStyle w:val="normalchar1"/>
          <w:i/>
          <w:iCs/>
        </w:rPr>
        <w:t>Mūzika</w:t>
      </w:r>
      <w:r w:rsidR="0040795A">
        <w:rPr>
          <w:rStyle w:val="normalchar1"/>
          <w:i/>
          <w:iCs/>
        </w:rPr>
        <w:t>”</w:t>
      </w:r>
      <w:r w:rsidRPr="00714735">
        <w:rPr>
          <w:rStyle w:val="normalchar1"/>
        </w:rPr>
        <w:t xml:space="preserve"> kvalifikācijas </w:t>
      </w:r>
      <w:r w:rsidRPr="00714735">
        <w:rPr>
          <w:rStyle w:val="normalchar1"/>
          <w:i/>
          <w:iCs/>
        </w:rPr>
        <w:t>dziedātājs, ansambļa vadītājs</w:t>
      </w:r>
      <w:r w:rsidRPr="00714735">
        <w:rPr>
          <w:rStyle w:val="normalchar1"/>
        </w:rPr>
        <w:t xml:space="preserve"> mācību plānos iekļauto priekšmetu </w:t>
      </w:r>
      <w:r w:rsidRPr="00714735">
        <w:rPr>
          <w:rStyle w:val="normalchar1"/>
          <w:i/>
          <w:iCs/>
        </w:rPr>
        <w:t>skatuves kustība, aktiermeistarības pamati, operas klase</w:t>
      </w:r>
      <w:r w:rsidRPr="00714735">
        <w:rPr>
          <w:rStyle w:val="normalchar1"/>
        </w:rPr>
        <w:t xml:space="preserve"> apguves nodrošināšanai. </w:t>
      </w:r>
    </w:p>
    <w:p w:rsidR="0098474E" w:rsidRDefault="00464D12" w:rsidP="0098474E">
      <w:pPr>
        <w:ind w:firstLine="709"/>
        <w:jc w:val="both"/>
        <w:rPr>
          <w:rStyle w:val="normalchar1"/>
        </w:rPr>
      </w:pPr>
      <w:r w:rsidRPr="00714735">
        <w:rPr>
          <w:rStyle w:val="normalchar1"/>
        </w:rPr>
        <w:lastRenderedPageBreak/>
        <w:t>P</w:t>
      </w:r>
      <w:r w:rsidR="00A33680" w:rsidRPr="00714735">
        <w:rPr>
          <w:rStyle w:val="normalchar1"/>
        </w:rPr>
        <w:t>rojekta ietvaros plānotas telpas kafejnīcai (t</w:t>
      </w:r>
      <w:r w:rsidR="00E43465">
        <w:rPr>
          <w:rStyle w:val="normalchar1"/>
        </w:rPr>
        <w:t xml:space="preserve">ai skaitā </w:t>
      </w:r>
      <w:r w:rsidR="00A33680" w:rsidRPr="00714735">
        <w:rPr>
          <w:rStyle w:val="normalchar1"/>
        </w:rPr>
        <w:t xml:space="preserve">telpas kafejnīcas darbības nodrošināšanai), kas nepieciešama </w:t>
      </w:r>
      <w:r w:rsidR="000A17D2">
        <w:rPr>
          <w:rStyle w:val="normalchar1"/>
        </w:rPr>
        <w:t>vidusskolas</w:t>
      </w:r>
      <w:r w:rsidR="00A33680" w:rsidRPr="00714735">
        <w:rPr>
          <w:rStyle w:val="normalchar1"/>
        </w:rPr>
        <w:t xml:space="preserve"> audzēkņu un pedagogu vajadzībām. Indikatīvi kafejnīca aizņems </w:t>
      </w:r>
      <w:r w:rsidR="008B7A1B">
        <w:rPr>
          <w:rStyle w:val="normalchar1"/>
        </w:rPr>
        <w:t>210</w:t>
      </w:r>
      <w:r w:rsidR="00A33680" w:rsidRPr="00714735">
        <w:rPr>
          <w:rStyle w:val="normalchar1"/>
        </w:rPr>
        <w:t xml:space="preserve"> m</w:t>
      </w:r>
      <w:r w:rsidR="00A33680" w:rsidRPr="00714735">
        <w:rPr>
          <w:rStyle w:val="normalchar1"/>
          <w:vertAlign w:val="superscript"/>
        </w:rPr>
        <w:t>2</w:t>
      </w:r>
      <w:r w:rsidR="00CF49C5">
        <w:rPr>
          <w:rStyle w:val="normalchar1"/>
        </w:rPr>
        <w:t xml:space="preserve"> un tiks iznomāta</w:t>
      </w:r>
      <w:r w:rsidR="00A33680" w:rsidRPr="00714735">
        <w:rPr>
          <w:rStyle w:val="normalchar1"/>
        </w:rPr>
        <w:t xml:space="preserve">. </w:t>
      </w:r>
    </w:p>
    <w:p w:rsidR="0098474E" w:rsidRDefault="0098474E">
      <w:pPr>
        <w:jc w:val="center"/>
        <w:rPr>
          <w:rStyle w:val="normalchar1"/>
        </w:rPr>
      </w:pPr>
    </w:p>
    <w:p w:rsidR="00251966" w:rsidRDefault="00F7695A">
      <w:pPr>
        <w:jc w:val="center"/>
        <w:rPr>
          <w:rStyle w:val="parastaischar"/>
          <w:b/>
        </w:rPr>
      </w:pPr>
      <w:r w:rsidRPr="00714735">
        <w:rPr>
          <w:rStyle w:val="parastaischar"/>
          <w:b/>
        </w:rPr>
        <w:t>5</w:t>
      </w:r>
      <w:r w:rsidR="00ED4452" w:rsidRPr="00714735">
        <w:rPr>
          <w:rStyle w:val="parastaischar"/>
          <w:b/>
        </w:rPr>
        <w:t xml:space="preserve">. </w:t>
      </w:r>
      <w:r w:rsidR="00A6420B">
        <w:rPr>
          <w:rStyle w:val="parastaischar"/>
          <w:b/>
        </w:rPr>
        <w:t xml:space="preserve">Indikatīvais finansējums </w:t>
      </w:r>
      <w:r w:rsidR="000A17D2">
        <w:rPr>
          <w:rStyle w:val="parastaischar"/>
          <w:b/>
        </w:rPr>
        <w:t>vidusskolas</w:t>
      </w:r>
      <w:r w:rsidR="00A6420B">
        <w:rPr>
          <w:rStyle w:val="parastaischar"/>
          <w:b/>
        </w:rPr>
        <w:t xml:space="preserve"> tel</w:t>
      </w:r>
      <w:r w:rsidR="004B059C">
        <w:rPr>
          <w:rStyle w:val="parastaischar"/>
          <w:b/>
        </w:rPr>
        <w:t>p</w:t>
      </w:r>
      <w:r w:rsidR="00A6420B">
        <w:rPr>
          <w:rStyle w:val="parastaischar"/>
          <w:b/>
        </w:rPr>
        <w:t>u risinājumam</w:t>
      </w:r>
      <w:r w:rsidR="00EE1F68">
        <w:rPr>
          <w:rStyle w:val="parastaischar"/>
          <w:b/>
        </w:rPr>
        <w:t xml:space="preserve"> un finanšu avoti</w:t>
      </w:r>
    </w:p>
    <w:p w:rsidR="000A17D2" w:rsidRDefault="000A17D2">
      <w:pPr>
        <w:jc w:val="center"/>
        <w:rPr>
          <w:rStyle w:val="parastaischar"/>
          <w:b/>
        </w:rPr>
      </w:pPr>
    </w:p>
    <w:p w:rsidR="004B059C" w:rsidRDefault="00916F40" w:rsidP="00AE31D6">
      <w:pPr>
        <w:ind w:firstLine="720"/>
        <w:jc w:val="both"/>
      </w:pPr>
      <w:r>
        <w:t xml:space="preserve">Atbilstoši izstrādātajai būvprojekta </w:t>
      </w:r>
      <w:r w:rsidR="000A17D2" w:rsidRPr="00AD370E">
        <w:t xml:space="preserve">„Ventspils Mūzikas vidusskola ar koncertzāles funkciju” </w:t>
      </w:r>
      <w:r>
        <w:t xml:space="preserve">tehniskajai dokumentācijai būvdarbu </w:t>
      </w:r>
      <w:r w:rsidRPr="000A17D2">
        <w:t xml:space="preserve">indikatīvās izmaksas </w:t>
      </w:r>
      <w:r w:rsidR="00925713" w:rsidRPr="000A17D2">
        <w:t>no</w:t>
      </w:r>
      <w:r w:rsidRPr="000A17D2">
        <w:t xml:space="preserve">rādītas 5.tabulā. </w:t>
      </w:r>
      <w:r w:rsidR="00AD70AF" w:rsidRPr="000A17D2">
        <w:t xml:space="preserve">Iepirkumu rezultātā attiecīgās izmaksas var mainīties un šobrīd norādītas provizoriski. </w:t>
      </w:r>
      <w:r w:rsidR="004B059C" w:rsidRPr="000A17D2">
        <w:t>Tāpat 5.tabulā norādīti šobrīd identificētie indikatīvie</w:t>
      </w:r>
      <w:r w:rsidR="004B059C">
        <w:t xml:space="preserve"> finanšu avoti</w:t>
      </w:r>
      <w:r w:rsidR="0040795A">
        <w:t xml:space="preserve"> būvdarbu</w:t>
      </w:r>
      <w:r w:rsidR="004B059C">
        <w:t xml:space="preserve"> īstenošanai. </w:t>
      </w:r>
    </w:p>
    <w:p w:rsidR="008C7A15" w:rsidRDefault="008C7A15" w:rsidP="00AE31D6"/>
    <w:p w:rsidR="008C7A15" w:rsidRPr="00336942" w:rsidRDefault="008C7A15" w:rsidP="00AE31D6">
      <w:pPr>
        <w:jc w:val="right"/>
        <w:rPr>
          <w:b/>
        </w:rPr>
      </w:pPr>
      <w:r w:rsidRPr="00336942">
        <w:rPr>
          <w:b/>
        </w:rPr>
        <w:t xml:space="preserve">5.tabula </w:t>
      </w:r>
    </w:p>
    <w:p w:rsidR="00415354" w:rsidRDefault="008F3752" w:rsidP="008C0774">
      <w:pPr>
        <w:jc w:val="center"/>
        <w:rPr>
          <w:b/>
        </w:rPr>
      </w:pPr>
      <w:r w:rsidRPr="008F3752">
        <w:rPr>
          <w:b/>
        </w:rPr>
        <w:t>Ventspils Mūzikas vidusskolas attīstības projekts</w:t>
      </w:r>
    </w:p>
    <w:p w:rsidR="008C0774" w:rsidRPr="008F3752" w:rsidRDefault="008C0774" w:rsidP="008C0774">
      <w:pPr>
        <w:jc w:val="center"/>
        <w:rPr>
          <w:b/>
        </w:rPr>
      </w:pPr>
    </w:p>
    <w:tbl>
      <w:tblPr>
        <w:tblStyle w:val="Reatabula"/>
        <w:tblW w:w="9180" w:type="dxa"/>
        <w:tblLayout w:type="fixed"/>
        <w:tblLook w:val="04A0"/>
      </w:tblPr>
      <w:tblGrid>
        <w:gridCol w:w="674"/>
        <w:gridCol w:w="3403"/>
        <w:gridCol w:w="1701"/>
        <w:gridCol w:w="1701"/>
        <w:gridCol w:w="1701"/>
      </w:tblGrid>
      <w:tr w:rsidR="0099439E" w:rsidRPr="008C0774" w:rsidTr="006B68C5">
        <w:tc>
          <w:tcPr>
            <w:tcW w:w="674" w:type="dxa"/>
            <w:vMerge w:val="restart"/>
            <w:shd w:val="clear" w:color="auto" w:fill="0099CC"/>
            <w:vAlign w:val="center"/>
          </w:tcPr>
          <w:p w:rsidR="0099439E" w:rsidRPr="00DD1725" w:rsidRDefault="0099439E" w:rsidP="00FB6B07">
            <w:pPr>
              <w:jc w:val="center"/>
              <w:rPr>
                <w:b/>
              </w:rPr>
            </w:pPr>
            <w:r w:rsidRPr="00DD1725">
              <w:rPr>
                <w:b/>
              </w:rPr>
              <w:t>Nr. p.k.</w:t>
            </w:r>
          </w:p>
        </w:tc>
        <w:tc>
          <w:tcPr>
            <w:tcW w:w="3403" w:type="dxa"/>
            <w:vMerge w:val="restart"/>
            <w:shd w:val="clear" w:color="auto" w:fill="0099CC"/>
            <w:vAlign w:val="center"/>
          </w:tcPr>
          <w:p w:rsidR="0099439E" w:rsidRPr="00DD1725" w:rsidRDefault="0099439E" w:rsidP="008F3752">
            <w:pPr>
              <w:jc w:val="center"/>
              <w:rPr>
                <w:b/>
              </w:rPr>
            </w:pPr>
            <w:r w:rsidRPr="00DD1725">
              <w:rPr>
                <w:b/>
              </w:rPr>
              <w:t>Finansējuma avots</w:t>
            </w:r>
          </w:p>
        </w:tc>
        <w:tc>
          <w:tcPr>
            <w:tcW w:w="1701" w:type="dxa"/>
            <w:shd w:val="clear" w:color="auto" w:fill="0099CC"/>
            <w:vAlign w:val="center"/>
          </w:tcPr>
          <w:p w:rsidR="0099439E" w:rsidRPr="00DD1725" w:rsidRDefault="0099439E" w:rsidP="0099439E">
            <w:pPr>
              <w:jc w:val="center"/>
              <w:rPr>
                <w:b/>
              </w:rPr>
            </w:pPr>
            <w:r w:rsidRPr="00DD1725">
              <w:rPr>
                <w:b/>
              </w:rPr>
              <w:t xml:space="preserve">Valsts </w:t>
            </w:r>
            <w:r w:rsidR="00DD1725" w:rsidRPr="00DD1725">
              <w:rPr>
                <w:b/>
              </w:rPr>
              <w:t xml:space="preserve">finansējums </w:t>
            </w:r>
            <w:r w:rsidRPr="00DD1725">
              <w:rPr>
                <w:b/>
              </w:rPr>
              <w:t xml:space="preserve">un Eiropas Savienības </w:t>
            </w:r>
            <w:r w:rsidR="00DD1725">
              <w:rPr>
                <w:b/>
              </w:rPr>
              <w:t xml:space="preserve">fondu </w:t>
            </w:r>
            <w:r w:rsidRPr="00DD1725">
              <w:rPr>
                <w:b/>
              </w:rPr>
              <w:t>finansējums</w:t>
            </w:r>
          </w:p>
        </w:tc>
        <w:tc>
          <w:tcPr>
            <w:tcW w:w="1701" w:type="dxa"/>
            <w:shd w:val="clear" w:color="auto" w:fill="0099CC"/>
            <w:vAlign w:val="center"/>
          </w:tcPr>
          <w:p w:rsidR="0099439E" w:rsidRPr="00DD1725" w:rsidRDefault="0099439E" w:rsidP="00DD1725">
            <w:pPr>
              <w:jc w:val="center"/>
              <w:rPr>
                <w:b/>
              </w:rPr>
            </w:pPr>
            <w:r w:rsidRPr="00DD1725">
              <w:rPr>
                <w:b/>
              </w:rPr>
              <w:t>Pašvaldības finansējums un pašvaldības piesaistītais ārējais finansējums</w:t>
            </w:r>
          </w:p>
        </w:tc>
        <w:tc>
          <w:tcPr>
            <w:tcW w:w="1701" w:type="dxa"/>
            <w:shd w:val="clear" w:color="auto" w:fill="0099CC"/>
            <w:vAlign w:val="center"/>
          </w:tcPr>
          <w:p w:rsidR="0099439E" w:rsidRPr="00DD1725" w:rsidRDefault="0099439E" w:rsidP="008F3752">
            <w:pPr>
              <w:jc w:val="center"/>
              <w:rPr>
                <w:b/>
              </w:rPr>
            </w:pPr>
            <w:r w:rsidRPr="00DD1725">
              <w:rPr>
                <w:b/>
              </w:rPr>
              <w:t>KOPĀ</w:t>
            </w:r>
          </w:p>
        </w:tc>
      </w:tr>
      <w:tr w:rsidR="00E531AA" w:rsidRPr="008C0774" w:rsidTr="006B68C5">
        <w:tc>
          <w:tcPr>
            <w:tcW w:w="674" w:type="dxa"/>
            <w:vMerge/>
            <w:vAlign w:val="center"/>
          </w:tcPr>
          <w:p w:rsidR="00E531AA" w:rsidRPr="008C0774" w:rsidRDefault="00E531AA" w:rsidP="00FB6B07">
            <w:pPr>
              <w:jc w:val="center"/>
            </w:pPr>
          </w:p>
        </w:tc>
        <w:tc>
          <w:tcPr>
            <w:tcW w:w="3403" w:type="dxa"/>
            <w:vMerge/>
            <w:vAlign w:val="center"/>
          </w:tcPr>
          <w:p w:rsidR="00E531AA" w:rsidRPr="008C0774" w:rsidRDefault="00E531AA" w:rsidP="008F3752">
            <w:pPr>
              <w:jc w:val="center"/>
            </w:pPr>
          </w:p>
        </w:tc>
        <w:tc>
          <w:tcPr>
            <w:tcW w:w="5103" w:type="dxa"/>
            <w:gridSpan w:val="3"/>
            <w:shd w:val="clear" w:color="auto" w:fill="0099CC"/>
          </w:tcPr>
          <w:p w:rsidR="00E531AA" w:rsidRPr="00DD1725" w:rsidRDefault="00E531AA" w:rsidP="008F3752">
            <w:pPr>
              <w:jc w:val="center"/>
              <w:rPr>
                <w:b/>
              </w:rPr>
            </w:pPr>
            <w:r w:rsidRPr="00DD1725">
              <w:rPr>
                <w:b/>
              </w:rPr>
              <w:t xml:space="preserve">Summa, </w:t>
            </w:r>
            <w:r w:rsidRPr="00DD1725">
              <w:rPr>
                <w:b/>
                <w:i/>
              </w:rPr>
              <w:t>euro</w:t>
            </w:r>
          </w:p>
        </w:tc>
      </w:tr>
      <w:tr w:rsidR="0099439E" w:rsidRPr="008C0774" w:rsidTr="0099439E">
        <w:tc>
          <w:tcPr>
            <w:tcW w:w="674" w:type="dxa"/>
            <w:vAlign w:val="center"/>
          </w:tcPr>
          <w:p w:rsidR="0099439E" w:rsidRPr="008C0774" w:rsidRDefault="0099439E" w:rsidP="00FB6B07">
            <w:pPr>
              <w:jc w:val="center"/>
              <w:rPr>
                <w:i/>
                <w:sz w:val="20"/>
                <w:szCs w:val="20"/>
              </w:rPr>
            </w:pPr>
            <w:r w:rsidRPr="008C0774">
              <w:rPr>
                <w:i/>
                <w:sz w:val="20"/>
                <w:szCs w:val="20"/>
              </w:rPr>
              <w:t>1</w:t>
            </w:r>
          </w:p>
        </w:tc>
        <w:tc>
          <w:tcPr>
            <w:tcW w:w="3403" w:type="dxa"/>
            <w:vAlign w:val="center"/>
          </w:tcPr>
          <w:p w:rsidR="0099439E" w:rsidRPr="008C0774" w:rsidRDefault="0099439E" w:rsidP="008F3752">
            <w:pPr>
              <w:jc w:val="center"/>
              <w:rPr>
                <w:i/>
                <w:sz w:val="20"/>
                <w:szCs w:val="20"/>
              </w:rPr>
            </w:pPr>
            <w:r w:rsidRPr="008C0774">
              <w:rPr>
                <w:i/>
                <w:sz w:val="20"/>
                <w:szCs w:val="20"/>
              </w:rPr>
              <w:t>2</w:t>
            </w:r>
          </w:p>
        </w:tc>
        <w:tc>
          <w:tcPr>
            <w:tcW w:w="1701" w:type="dxa"/>
            <w:vAlign w:val="center"/>
          </w:tcPr>
          <w:p w:rsidR="0099439E" w:rsidRPr="008C0774" w:rsidRDefault="0099439E" w:rsidP="008F3752">
            <w:pPr>
              <w:jc w:val="center"/>
              <w:rPr>
                <w:i/>
                <w:sz w:val="20"/>
                <w:szCs w:val="20"/>
              </w:rPr>
            </w:pPr>
            <w:r w:rsidRPr="008C0774">
              <w:rPr>
                <w:i/>
                <w:sz w:val="20"/>
                <w:szCs w:val="20"/>
              </w:rPr>
              <w:t>3</w:t>
            </w:r>
          </w:p>
        </w:tc>
        <w:tc>
          <w:tcPr>
            <w:tcW w:w="1701" w:type="dxa"/>
            <w:vAlign w:val="center"/>
          </w:tcPr>
          <w:p w:rsidR="0099439E" w:rsidRPr="008C0774" w:rsidRDefault="0099439E" w:rsidP="008F3752">
            <w:pPr>
              <w:jc w:val="center"/>
              <w:rPr>
                <w:i/>
                <w:sz w:val="20"/>
                <w:szCs w:val="20"/>
              </w:rPr>
            </w:pPr>
            <w:r w:rsidRPr="008C0774">
              <w:rPr>
                <w:i/>
                <w:sz w:val="20"/>
                <w:szCs w:val="20"/>
              </w:rPr>
              <w:t>5</w:t>
            </w:r>
          </w:p>
        </w:tc>
        <w:tc>
          <w:tcPr>
            <w:tcW w:w="1701" w:type="dxa"/>
            <w:vAlign w:val="center"/>
          </w:tcPr>
          <w:p w:rsidR="0099439E" w:rsidRPr="008C0774" w:rsidRDefault="0099439E" w:rsidP="008F3752">
            <w:pPr>
              <w:jc w:val="center"/>
              <w:rPr>
                <w:i/>
                <w:sz w:val="20"/>
                <w:szCs w:val="20"/>
              </w:rPr>
            </w:pPr>
            <w:r w:rsidRPr="008C0774">
              <w:rPr>
                <w:i/>
                <w:sz w:val="20"/>
                <w:szCs w:val="20"/>
              </w:rPr>
              <w:t>6</w:t>
            </w:r>
          </w:p>
        </w:tc>
      </w:tr>
      <w:tr w:rsidR="0099439E" w:rsidRPr="008C0774" w:rsidTr="0099439E">
        <w:trPr>
          <w:trHeight w:val="193"/>
        </w:trPr>
        <w:tc>
          <w:tcPr>
            <w:tcW w:w="674" w:type="dxa"/>
            <w:vAlign w:val="center"/>
          </w:tcPr>
          <w:p w:rsidR="0099439E" w:rsidRPr="008C0774" w:rsidRDefault="0099439E" w:rsidP="00FB6B07">
            <w:pPr>
              <w:pStyle w:val="Sarakstarindkopa"/>
              <w:numPr>
                <w:ilvl w:val="0"/>
                <w:numId w:val="29"/>
              </w:numPr>
              <w:tabs>
                <w:tab w:val="left" w:pos="284"/>
              </w:tabs>
              <w:spacing w:after="0" w:line="240" w:lineRule="auto"/>
              <w:ind w:left="0" w:firstLine="142"/>
              <w:jc w:val="center"/>
              <w:rPr>
                <w:rFonts w:ascii="Times New Roman" w:hAnsi="Times New Roman"/>
                <w:b/>
              </w:rPr>
            </w:pPr>
          </w:p>
        </w:tc>
        <w:tc>
          <w:tcPr>
            <w:tcW w:w="3403" w:type="dxa"/>
            <w:vAlign w:val="center"/>
          </w:tcPr>
          <w:p w:rsidR="0099439E" w:rsidRPr="008C0774" w:rsidRDefault="0099439E" w:rsidP="00DE21C8">
            <w:pPr>
              <w:jc w:val="both"/>
              <w:rPr>
                <w:b/>
              </w:rPr>
            </w:pPr>
            <w:r w:rsidRPr="008C0774">
              <w:rPr>
                <w:b/>
              </w:rPr>
              <w:t>Projekts „Ventspils Mūzikas vidusskola ar koncertzāles funkciju attīstība, I kārta” (pabeigts 2015.gadā)</w:t>
            </w:r>
          </w:p>
        </w:tc>
        <w:tc>
          <w:tcPr>
            <w:tcW w:w="1701" w:type="dxa"/>
            <w:vAlign w:val="center"/>
          </w:tcPr>
          <w:p w:rsidR="0099439E" w:rsidRPr="008C0774" w:rsidRDefault="0099439E" w:rsidP="0099439E">
            <w:pPr>
              <w:jc w:val="center"/>
              <w:rPr>
                <w:b/>
              </w:rPr>
            </w:pPr>
            <w:r w:rsidRPr="008C0774">
              <w:rPr>
                <w:b/>
              </w:rPr>
              <w:t>104 779</w:t>
            </w:r>
          </w:p>
        </w:tc>
        <w:tc>
          <w:tcPr>
            <w:tcW w:w="1701" w:type="dxa"/>
            <w:vAlign w:val="center"/>
          </w:tcPr>
          <w:p w:rsidR="0099439E" w:rsidRPr="008C0774" w:rsidRDefault="0099439E" w:rsidP="008F3752">
            <w:pPr>
              <w:jc w:val="center"/>
              <w:rPr>
                <w:b/>
              </w:rPr>
            </w:pPr>
            <w:r w:rsidRPr="008C0774">
              <w:rPr>
                <w:b/>
              </w:rPr>
              <w:t>3 567 063</w:t>
            </w:r>
          </w:p>
        </w:tc>
        <w:tc>
          <w:tcPr>
            <w:tcW w:w="1701" w:type="dxa"/>
            <w:vAlign w:val="center"/>
          </w:tcPr>
          <w:p w:rsidR="0099439E" w:rsidRPr="008C0774" w:rsidRDefault="0099439E" w:rsidP="008F3752">
            <w:pPr>
              <w:jc w:val="center"/>
              <w:rPr>
                <w:b/>
              </w:rPr>
            </w:pPr>
            <w:r w:rsidRPr="008C0774">
              <w:rPr>
                <w:b/>
              </w:rPr>
              <w:t>3 671 842</w:t>
            </w:r>
          </w:p>
        </w:tc>
      </w:tr>
      <w:tr w:rsidR="0099439E" w:rsidRPr="008C0774" w:rsidTr="0099439E">
        <w:trPr>
          <w:trHeight w:val="193"/>
        </w:trPr>
        <w:tc>
          <w:tcPr>
            <w:tcW w:w="674" w:type="dxa"/>
            <w:vAlign w:val="center"/>
          </w:tcPr>
          <w:p w:rsidR="0099439E" w:rsidRPr="008C0774" w:rsidRDefault="0099439E" w:rsidP="00FB6B07">
            <w:pPr>
              <w:pStyle w:val="Sarakstarindkopa"/>
              <w:numPr>
                <w:ilvl w:val="1"/>
                <w:numId w:val="29"/>
              </w:numPr>
              <w:tabs>
                <w:tab w:val="left" w:pos="142"/>
              </w:tabs>
              <w:spacing w:after="0" w:line="240" w:lineRule="auto"/>
              <w:ind w:left="0" w:firstLine="142"/>
              <w:jc w:val="center"/>
              <w:rPr>
                <w:rFonts w:ascii="Times New Roman" w:hAnsi="Times New Roman"/>
              </w:rPr>
            </w:pPr>
          </w:p>
        </w:tc>
        <w:tc>
          <w:tcPr>
            <w:tcW w:w="3403" w:type="dxa"/>
            <w:vAlign w:val="center"/>
          </w:tcPr>
          <w:p w:rsidR="0099439E" w:rsidRPr="008C0774" w:rsidRDefault="0099439E" w:rsidP="00DE21C8">
            <w:pPr>
              <w:jc w:val="both"/>
            </w:pPr>
            <w:r w:rsidRPr="008C0774">
              <w:t xml:space="preserve">Būvprojekta izstrāde Ventspils Mūzikas vidusskolas ēkai </w:t>
            </w:r>
          </w:p>
        </w:tc>
        <w:tc>
          <w:tcPr>
            <w:tcW w:w="1701" w:type="dxa"/>
            <w:vAlign w:val="center"/>
          </w:tcPr>
          <w:p w:rsidR="0099439E" w:rsidRPr="008C0774" w:rsidRDefault="0099439E" w:rsidP="0099439E">
            <w:pPr>
              <w:jc w:val="center"/>
            </w:pPr>
            <w:r w:rsidRPr="008C0774">
              <w:t>104 779</w:t>
            </w:r>
          </w:p>
        </w:tc>
        <w:tc>
          <w:tcPr>
            <w:tcW w:w="1701" w:type="dxa"/>
            <w:vAlign w:val="center"/>
          </w:tcPr>
          <w:p w:rsidR="0099439E" w:rsidRPr="008C0774" w:rsidRDefault="0099439E" w:rsidP="008F3752">
            <w:pPr>
              <w:jc w:val="center"/>
            </w:pPr>
            <w:r w:rsidRPr="008C0774">
              <w:t>3 567 063</w:t>
            </w:r>
          </w:p>
        </w:tc>
        <w:tc>
          <w:tcPr>
            <w:tcW w:w="1701" w:type="dxa"/>
            <w:vAlign w:val="center"/>
          </w:tcPr>
          <w:p w:rsidR="0099439E" w:rsidRPr="008C0774" w:rsidRDefault="0099439E" w:rsidP="008F3752">
            <w:pPr>
              <w:jc w:val="center"/>
            </w:pPr>
            <w:r w:rsidRPr="008C0774">
              <w:t>3 671 842</w:t>
            </w:r>
          </w:p>
        </w:tc>
      </w:tr>
      <w:tr w:rsidR="0099439E" w:rsidRPr="008C0774" w:rsidTr="0099439E">
        <w:trPr>
          <w:trHeight w:val="193"/>
        </w:trPr>
        <w:tc>
          <w:tcPr>
            <w:tcW w:w="674" w:type="dxa"/>
            <w:vAlign w:val="center"/>
          </w:tcPr>
          <w:p w:rsidR="0099439E" w:rsidRPr="008C0774" w:rsidRDefault="0099439E" w:rsidP="00FB6B07">
            <w:pPr>
              <w:pStyle w:val="Sarakstarindkopa"/>
              <w:numPr>
                <w:ilvl w:val="0"/>
                <w:numId w:val="29"/>
              </w:numPr>
              <w:tabs>
                <w:tab w:val="left" w:pos="284"/>
              </w:tabs>
              <w:spacing w:after="0" w:line="240" w:lineRule="auto"/>
              <w:ind w:left="0" w:firstLine="142"/>
              <w:jc w:val="center"/>
              <w:rPr>
                <w:rFonts w:ascii="Times New Roman" w:hAnsi="Times New Roman"/>
                <w:b/>
              </w:rPr>
            </w:pPr>
          </w:p>
        </w:tc>
        <w:tc>
          <w:tcPr>
            <w:tcW w:w="3403" w:type="dxa"/>
            <w:vAlign w:val="center"/>
          </w:tcPr>
          <w:p w:rsidR="0099439E" w:rsidRPr="008C0774" w:rsidRDefault="0099439E" w:rsidP="008F3752">
            <w:pPr>
              <w:jc w:val="both"/>
              <w:rPr>
                <w:b/>
              </w:rPr>
            </w:pPr>
            <w:r w:rsidRPr="008C0774">
              <w:rPr>
                <w:b/>
              </w:rPr>
              <w:t>Projekts „Ventspils Mūzikas vidusskola ar koncertzāles funkciju attīstība, II kārta” (plānots uzsākt 2016.gadā)</w:t>
            </w:r>
          </w:p>
        </w:tc>
        <w:tc>
          <w:tcPr>
            <w:tcW w:w="1701" w:type="dxa"/>
            <w:vAlign w:val="center"/>
          </w:tcPr>
          <w:p w:rsidR="0099439E" w:rsidRPr="008C0774" w:rsidRDefault="0099439E" w:rsidP="0099439E">
            <w:pPr>
              <w:jc w:val="center"/>
              <w:rPr>
                <w:b/>
              </w:rPr>
            </w:pPr>
            <w:r w:rsidRPr="008C0774">
              <w:rPr>
                <w:b/>
              </w:rPr>
              <w:t>12 551 109</w:t>
            </w:r>
          </w:p>
        </w:tc>
        <w:tc>
          <w:tcPr>
            <w:tcW w:w="1701" w:type="dxa"/>
            <w:vAlign w:val="center"/>
          </w:tcPr>
          <w:p w:rsidR="0099439E" w:rsidRPr="008C0774" w:rsidRDefault="0099439E" w:rsidP="008F3752">
            <w:pPr>
              <w:jc w:val="center"/>
              <w:rPr>
                <w:b/>
              </w:rPr>
            </w:pPr>
            <w:r w:rsidRPr="008C0774">
              <w:rPr>
                <w:b/>
              </w:rPr>
              <w:t>18 799 058</w:t>
            </w:r>
          </w:p>
        </w:tc>
        <w:tc>
          <w:tcPr>
            <w:tcW w:w="1701" w:type="dxa"/>
            <w:vAlign w:val="center"/>
          </w:tcPr>
          <w:p w:rsidR="0099439E" w:rsidRPr="008C0774" w:rsidRDefault="0099439E" w:rsidP="008F3752">
            <w:pPr>
              <w:jc w:val="center"/>
              <w:rPr>
                <w:b/>
              </w:rPr>
            </w:pPr>
            <w:r w:rsidRPr="008C0774">
              <w:rPr>
                <w:b/>
              </w:rPr>
              <w:t>31 350 167</w:t>
            </w:r>
          </w:p>
        </w:tc>
      </w:tr>
      <w:tr w:rsidR="0099439E" w:rsidRPr="008C0774" w:rsidTr="0099439E">
        <w:trPr>
          <w:trHeight w:val="193"/>
        </w:trPr>
        <w:tc>
          <w:tcPr>
            <w:tcW w:w="674" w:type="dxa"/>
            <w:vAlign w:val="center"/>
          </w:tcPr>
          <w:p w:rsidR="0099439E" w:rsidRPr="008C0774" w:rsidRDefault="0099439E" w:rsidP="00C65DCF">
            <w:pPr>
              <w:pStyle w:val="Sarakstarindkopa"/>
              <w:numPr>
                <w:ilvl w:val="1"/>
                <w:numId w:val="29"/>
              </w:numPr>
              <w:tabs>
                <w:tab w:val="left" w:pos="142"/>
              </w:tabs>
              <w:spacing w:after="0" w:line="240" w:lineRule="auto"/>
              <w:ind w:left="0" w:firstLine="142"/>
              <w:jc w:val="center"/>
              <w:rPr>
                <w:rFonts w:ascii="Times New Roman" w:hAnsi="Times New Roman"/>
              </w:rPr>
            </w:pPr>
          </w:p>
        </w:tc>
        <w:tc>
          <w:tcPr>
            <w:tcW w:w="3403" w:type="dxa"/>
            <w:vAlign w:val="center"/>
          </w:tcPr>
          <w:p w:rsidR="0099439E" w:rsidRPr="008C0774" w:rsidRDefault="0099439E" w:rsidP="00FB6B07">
            <w:pPr>
              <w:jc w:val="both"/>
            </w:pPr>
            <w:r w:rsidRPr="008C0774">
              <w:t>8.1.3. specifiskā atbalsta mērķis „Palielināt modernizēto profesionālās izglītības iestāžu skaitu”</w:t>
            </w:r>
          </w:p>
        </w:tc>
        <w:tc>
          <w:tcPr>
            <w:tcW w:w="1701" w:type="dxa"/>
            <w:vAlign w:val="center"/>
          </w:tcPr>
          <w:p w:rsidR="0099439E" w:rsidRPr="008C0774" w:rsidRDefault="0099439E" w:rsidP="0099439E">
            <w:pPr>
              <w:jc w:val="center"/>
            </w:pPr>
            <w:r w:rsidRPr="008C0774">
              <w:t>9 307 378</w:t>
            </w:r>
          </w:p>
        </w:tc>
        <w:tc>
          <w:tcPr>
            <w:tcW w:w="1701" w:type="dxa"/>
            <w:vAlign w:val="center"/>
          </w:tcPr>
          <w:p w:rsidR="0099439E" w:rsidRPr="008C0774" w:rsidRDefault="0099439E" w:rsidP="008F3752">
            <w:pPr>
              <w:jc w:val="center"/>
            </w:pPr>
          </w:p>
        </w:tc>
        <w:tc>
          <w:tcPr>
            <w:tcW w:w="1701" w:type="dxa"/>
            <w:vAlign w:val="center"/>
          </w:tcPr>
          <w:p w:rsidR="0099439E" w:rsidRPr="008C0774" w:rsidRDefault="0099439E" w:rsidP="008F3752">
            <w:pPr>
              <w:jc w:val="center"/>
            </w:pPr>
            <w:r w:rsidRPr="008C0774">
              <w:t>9 307 378</w:t>
            </w:r>
          </w:p>
        </w:tc>
      </w:tr>
      <w:tr w:rsidR="0099439E" w:rsidRPr="008C0774" w:rsidTr="0099439E">
        <w:trPr>
          <w:trHeight w:val="193"/>
        </w:trPr>
        <w:tc>
          <w:tcPr>
            <w:tcW w:w="674" w:type="dxa"/>
            <w:vAlign w:val="center"/>
          </w:tcPr>
          <w:p w:rsidR="0099439E" w:rsidRPr="008C0774" w:rsidRDefault="0099439E" w:rsidP="00C65DCF">
            <w:pPr>
              <w:pStyle w:val="Sarakstarindkopa"/>
              <w:numPr>
                <w:ilvl w:val="1"/>
                <w:numId w:val="29"/>
              </w:numPr>
              <w:tabs>
                <w:tab w:val="left" w:pos="142"/>
              </w:tabs>
              <w:spacing w:after="0" w:line="240" w:lineRule="auto"/>
              <w:ind w:left="0" w:firstLine="142"/>
              <w:jc w:val="center"/>
              <w:rPr>
                <w:rFonts w:ascii="Times New Roman" w:hAnsi="Times New Roman"/>
              </w:rPr>
            </w:pPr>
          </w:p>
        </w:tc>
        <w:tc>
          <w:tcPr>
            <w:tcW w:w="3403" w:type="dxa"/>
            <w:vAlign w:val="center"/>
          </w:tcPr>
          <w:p w:rsidR="0099439E" w:rsidRPr="008C0774" w:rsidRDefault="0099439E" w:rsidP="00DE21C8">
            <w:pPr>
              <w:jc w:val="both"/>
            </w:pPr>
            <w:r w:rsidRPr="008C0774">
              <w:t xml:space="preserve">Valsts budžeta finansējums - </w:t>
            </w:r>
            <w:r w:rsidR="0051205E">
              <w:t>8</w:t>
            </w:r>
            <w:r w:rsidRPr="008C0774">
              <w:t>.1.3. specifiskā atbalsta mērķis „Palielināt modernizēto profesionālās izglītības iestāžu skaitu”</w:t>
            </w:r>
          </w:p>
        </w:tc>
        <w:tc>
          <w:tcPr>
            <w:tcW w:w="1701" w:type="dxa"/>
            <w:vAlign w:val="center"/>
          </w:tcPr>
          <w:p w:rsidR="0099439E" w:rsidRPr="008C0774" w:rsidRDefault="0099439E" w:rsidP="008F3752">
            <w:pPr>
              <w:jc w:val="center"/>
            </w:pPr>
            <w:r w:rsidRPr="008C0774">
              <w:t>1 642 478</w:t>
            </w:r>
          </w:p>
        </w:tc>
        <w:tc>
          <w:tcPr>
            <w:tcW w:w="1701" w:type="dxa"/>
            <w:vAlign w:val="center"/>
          </w:tcPr>
          <w:p w:rsidR="0099439E" w:rsidRPr="008C0774" w:rsidRDefault="0099439E" w:rsidP="008F3752">
            <w:pPr>
              <w:jc w:val="center"/>
            </w:pPr>
          </w:p>
        </w:tc>
        <w:tc>
          <w:tcPr>
            <w:tcW w:w="1701" w:type="dxa"/>
            <w:vAlign w:val="center"/>
          </w:tcPr>
          <w:p w:rsidR="0099439E" w:rsidRPr="008C0774" w:rsidRDefault="0099439E" w:rsidP="008F3752">
            <w:pPr>
              <w:jc w:val="center"/>
            </w:pPr>
            <w:r w:rsidRPr="008C0774">
              <w:t>1 642 478</w:t>
            </w:r>
          </w:p>
        </w:tc>
      </w:tr>
      <w:tr w:rsidR="0099439E" w:rsidRPr="008C0774" w:rsidTr="0099439E">
        <w:trPr>
          <w:trHeight w:val="193"/>
        </w:trPr>
        <w:tc>
          <w:tcPr>
            <w:tcW w:w="674" w:type="dxa"/>
            <w:vAlign w:val="center"/>
          </w:tcPr>
          <w:p w:rsidR="0099439E" w:rsidRPr="008C0774" w:rsidRDefault="0099439E" w:rsidP="00C65DCF">
            <w:pPr>
              <w:pStyle w:val="Sarakstarindkopa"/>
              <w:numPr>
                <w:ilvl w:val="1"/>
                <w:numId w:val="29"/>
              </w:numPr>
              <w:tabs>
                <w:tab w:val="left" w:pos="142"/>
              </w:tabs>
              <w:spacing w:after="0" w:line="240" w:lineRule="auto"/>
              <w:ind w:left="0" w:firstLine="142"/>
              <w:jc w:val="center"/>
              <w:rPr>
                <w:rFonts w:ascii="Times New Roman" w:hAnsi="Times New Roman"/>
              </w:rPr>
            </w:pPr>
          </w:p>
        </w:tc>
        <w:tc>
          <w:tcPr>
            <w:tcW w:w="3403" w:type="dxa"/>
            <w:vAlign w:val="center"/>
          </w:tcPr>
          <w:p w:rsidR="0099439E" w:rsidRPr="008C0774" w:rsidRDefault="0099439E" w:rsidP="00FB6B07">
            <w:pPr>
              <w:jc w:val="both"/>
            </w:pPr>
            <w:r w:rsidRPr="008C0774">
              <w:t>Finansējums vidusskolas aprīkojuma iegādei</w:t>
            </w:r>
          </w:p>
        </w:tc>
        <w:tc>
          <w:tcPr>
            <w:tcW w:w="1701" w:type="dxa"/>
            <w:vAlign w:val="center"/>
          </w:tcPr>
          <w:p w:rsidR="0099439E" w:rsidRPr="008C0774" w:rsidRDefault="0099439E" w:rsidP="008F3752">
            <w:pPr>
              <w:jc w:val="center"/>
            </w:pPr>
            <w:r w:rsidRPr="008C0774">
              <w:t>1 601 253</w:t>
            </w:r>
          </w:p>
        </w:tc>
        <w:tc>
          <w:tcPr>
            <w:tcW w:w="1701" w:type="dxa"/>
            <w:vAlign w:val="center"/>
          </w:tcPr>
          <w:p w:rsidR="0099439E" w:rsidRPr="008C0774" w:rsidRDefault="0099439E" w:rsidP="008F3752">
            <w:pPr>
              <w:jc w:val="center"/>
            </w:pPr>
          </w:p>
        </w:tc>
        <w:tc>
          <w:tcPr>
            <w:tcW w:w="1701" w:type="dxa"/>
            <w:vAlign w:val="center"/>
          </w:tcPr>
          <w:p w:rsidR="0099439E" w:rsidRPr="008C0774" w:rsidRDefault="0099439E" w:rsidP="008F3752">
            <w:pPr>
              <w:jc w:val="center"/>
            </w:pPr>
            <w:r w:rsidRPr="008C0774">
              <w:t>1 601 253</w:t>
            </w:r>
          </w:p>
        </w:tc>
      </w:tr>
      <w:tr w:rsidR="0099439E" w:rsidRPr="008C0774" w:rsidTr="0099439E">
        <w:trPr>
          <w:trHeight w:val="193"/>
        </w:trPr>
        <w:tc>
          <w:tcPr>
            <w:tcW w:w="674" w:type="dxa"/>
            <w:vAlign w:val="center"/>
          </w:tcPr>
          <w:p w:rsidR="0099439E" w:rsidRPr="008C0774" w:rsidRDefault="0099439E" w:rsidP="00C65DCF">
            <w:pPr>
              <w:pStyle w:val="Sarakstarindkopa"/>
              <w:numPr>
                <w:ilvl w:val="1"/>
                <w:numId w:val="29"/>
              </w:numPr>
              <w:tabs>
                <w:tab w:val="left" w:pos="142"/>
              </w:tabs>
              <w:spacing w:after="0" w:line="240" w:lineRule="auto"/>
              <w:ind w:left="0" w:firstLine="142"/>
              <w:jc w:val="center"/>
              <w:rPr>
                <w:rFonts w:ascii="Times New Roman" w:hAnsi="Times New Roman"/>
              </w:rPr>
            </w:pPr>
          </w:p>
        </w:tc>
        <w:tc>
          <w:tcPr>
            <w:tcW w:w="3403" w:type="dxa"/>
            <w:vAlign w:val="center"/>
          </w:tcPr>
          <w:p w:rsidR="0099439E" w:rsidRPr="008C0774" w:rsidRDefault="0099439E" w:rsidP="00FB6B07">
            <w:pPr>
              <w:jc w:val="both"/>
            </w:pPr>
            <w:r w:rsidRPr="008C0774">
              <w:t>Ventspils pilsētas pašvaldības finansējums un/vai Ventspils pilsētas pašvaldības piesaistītais ārējais finansējums</w:t>
            </w:r>
          </w:p>
        </w:tc>
        <w:tc>
          <w:tcPr>
            <w:tcW w:w="1701" w:type="dxa"/>
            <w:vAlign w:val="center"/>
          </w:tcPr>
          <w:p w:rsidR="0099439E" w:rsidRPr="008C0774" w:rsidRDefault="0099439E" w:rsidP="008F3752">
            <w:pPr>
              <w:jc w:val="center"/>
            </w:pPr>
          </w:p>
        </w:tc>
        <w:tc>
          <w:tcPr>
            <w:tcW w:w="1701" w:type="dxa"/>
            <w:vAlign w:val="center"/>
          </w:tcPr>
          <w:p w:rsidR="0099439E" w:rsidRPr="008C0774" w:rsidRDefault="0099439E" w:rsidP="008F3752">
            <w:pPr>
              <w:jc w:val="center"/>
            </w:pPr>
            <w:r w:rsidRPr="008C0774">
              <w:t>18 799 058</w:t>
            </w:r>
          </w:p>
        </w:tc>
        <w:tc>
          <w:tcPr>
            <w:tcW w:w="1701" w:type="dxa"/>
            <w:vAlign w:val="center"/>
          </w:tcPr>
          <w:p w:rsidR="0099439E" w:rsidRPr="008C0774" w:rsidRDefault="0099439E" w:rsidP="008F3752">
            <w:pPr>
              <w:jc w:val="center"/>
            </w:pPr>
            <w:r w:rsidRPr="008C0774">
              <w:t>18 799 058</w:t>
            </w:r>
          </w:p>
        </w:tc>
      </w:tr>
      <w:tr w:rsidR="0099439E" w:rsidRPr="008C0774" w:rsidTr="0099439E">
        <w:trPr>
          <w:trHeight w:val="193"/>
        </w:trPr>
        <w:tc>
          <w:tcPr>
            <w:tcW w:w="674" w:type="dxa"/>
            <w:vAlign w:val="center"/>
          </w:tcPr>
          <w:p w:rsidR="0099439E" w:rsidRPr="008C0774" w:rsidRDefault="0099439E" w:rsidP="00FB6B07">
            <w:pPr>
              <w:pStyle w:val="Sarakstarindkopa"/>
              <w:numPr>
                <w:ilvl w:val="0"/>
                <w:numId w:val="29"/>
              </w:numPr>
              <w:tabs>
                <w:tab w:val="left" w:pos="284"/>
              </w:tabs>
              <w:spacing w:after="0" w:line="240" w:lineRule="auto"/>
              <w:ind w:left="0" w:firstLine="142"/>
              <w:jc w:val="center"/>
              <w:rPr>
                <w:rFonts w:ascii="Times New Roman" w:hAnsi="Times New Roman"/>
                <w:b/>
              </w:rPr>
            </w:pPr>
          </w:p>
        </w:tc>
        <w:tc>
          <w:tcPr>
            <w:tcW w:w="3403" w:type="dxa"/>
            <w:vAlign w:val="center"/>
          </w:tcPr>
          <w:p w:rsidR="0099439E" w:rsidRPr="008C0774" w:rsidRDefault="0099439E" w:rsidP="00FB6B07">
            <w:pPr>
              <w:jc w:val="both"/>
              <w:rPr>
                <w:b/>
              </w:rPr>
            </w:pPr>
            <w:r w:rsidRPr="008C0774">
              <w:rPr>
                <w:b/>
              </w:rPr>
              <w:t>Zemes gabals Lielajā laukuma Nr.1, Ventspilī</w:t>
            </w:r>
          </w:p>
        </w:tc>
        <w:tc>
          <w:tcPr>
            <w:tcW w:w="1701" w:type="dxa"/>
            <w:vAlign w:val="center"/>
          </w:tcPr>
          <w:p w:rsidR="0099439E" w:rsidRPr="008C0774" w:rsidRDefault="0099439E" w:rsidP="008F3752">
            <w:pPr>
              <w:jc w:val="center"/>
              <w:rPr>
                <w:b/>
              </w:rPr>
            </w:pPr>
          </w:p>
        </w:tc>
        <w:tc>
          <w:tcPr>
            <w:tcW w:w="1701" w:type="dxa"/>
            <w:vAlign w:val="center"/>
          </w:tcPr>
          <w:p w:rsidR="0099439E" w:rsidRPr="008C0774" w:rsidRDefault="0099439E" w:rsidP="008F3752">
            <w:pPr>
              <w:jc w:val="center"/>
              <w:rPr>
                <w:b/>
              </w:rPr>
            </w:pPr>
            <w:r w:rsidRPr="008C0774">
              <w:rPr>
                <w:b/>
              </w:rPr>
              <w:t>361 000</w:t>
            </w:r>
          </w:p>
        </w:tc>
        <w:tc>
          <w:tcPr>
            <w:tcW w:w="1701" w:type="dxa"/>
            <w:vAlign w:val="center"/>
          </w:tcPr>
          <w:p w:rsidR="0099439E" w:rsidRPr="008C0774" w:rsidRDefault="0099439E" w:rsidP="008F3752">
            <w:pPr>
              <w:jc w:val="center"/>
              <w:rPr>
                <w:b/>
              </w:rPr>
            </w:pPr>
            <w:r w:rsidRPr="008C0774">
              <w:rPr>
                <w:b/>
              </w:rPr>
              <w:t>361 000</w:t>
            </w:r>
          </w:p>
        </w:tc>
      </w:tr>
      <w:tr w:rsidR="0099439E" w:rsidRPr="008C0774" w:rsidTr="0099439E">
        <w:trPr>
          <w:trHeight w:val="193"/>
        </w:trPr>
        <w:tc>
          <w:tcPr>
            <w:tcW w:w="674" w:type="dxa"/>
            <w:vAlign w:val="center"/>
          </w:tcPr>
          <w:p w:rsidR="0099439E" w:rsidRPr="008C0774" w:rsidRDefault="0099439E" w:rsidP="00C65DCF">
            <w:pPr>
              <w:pStyle w:val="Sarakstarindkopa"/>
              <w:numPr>
                <w:ilvl w:val="1"/>
                <w:numId w:val="29"/>
              </w:numPr>
              <w:tabs>
                <w:tab w:val="left" w:pos="142"/>
              </w:tabs>
              <w:spacing w:after="0" w:line="240" w:lineRule="auto"/>
              <w:ind w:left="0" w:firstLine="142"/>
              <w:jc w:val="center"/>
              <w:rPr>
                <w:rFonts w:ascii="Times New Roman" w:hAnsi="Times New Roman"/>
              </w:rPr>
            </w:pPr>
          </w:p>
        </w:tc>
        <w:tc>
          <w:tcPr>
            <w:tcW w:w="3403" w:type="dxa"/>
            <w:vAlign w:val="center"/>
          </w:tcPr>
          <w:p w:rsidR="0099439E" w:rsidRPr="008C0774" w:rsidRDefault="0099439E" w:rsidP="00FB6B07">
            <w:pPr>
              <w:jc w:val="both"/>
            </w:pPr>
            <w:r w:rsidRPr="008C0774">
              <w:t>Zemes gabals Lielajā laukuma Nr.1, Ventspilī saskaņā ar tirgus novērtējumu</w:t>
            </w:r>
          </w:p>
        </w:tc>
        <w:tc>
          <w:tcPr>
            <w:tcW w:w="1701" w:type="dxa"/>
            <w:vAlign w:val="center"/>
          </w:tcPr>
          <w:p w:rsidR="0099439E" w:rsidRPr="008C0774" w:rsidRDefault="0099439E" w:rsidP="008F3752">
            <w:pPr>
              <w:jc w:val="center"/>
            </w:pPr>
          </w:p>
        </w:tc>
        <w:tc>
          <w:tcPr>
            <w:tcW w:w="1701" w:type="dxa"/>
            <w:vAlign w:val="center"/>
          </w:tcPr>
          <w:p w:rsidR="0099439E" w:rsidRPr="008C0774" w:rsidRDefault="0099439E" w:rsidP="00C65DCF">
            <w:pPr>
              <w:jc w:val="center"/>
            </w:pPr>
            <w:r w:rsidRPr="008C0774">
              <w:t>361 000</w:t>
            </w:r>
          </w:p>
        </w:tc>
        <w:tc>
          <w:tcPr>
            <w:tcW w:w="1701" w:type="dxa"/>
            <w:vAlign w:val="center"/>
          </w:tcPr>
          <w:p w:rsidR="0099439E" w:rsidRPr="008C0774" w:rsidRDefault="0099439E" w:rsidP="00C65DCF">
            <w:pPr>
              <w:jc w:val="center"/>
            </w:pPr>
            <w:r w:rsidRPr="008C0774">
              <w:t>361 000</w:t>
            </w:r>
          </w:p>
        </w:tc>
      </w:tr>
      <w:tr w:rsidR="0099439E" w:rsidRPr="008C0774" w:rsidTr="0099439E">
        <w:trPr>
          <w:trHeight w:val="193"/>
        </w:trPr>
        <w:tc>
          <w:tcPr>
            <w:tcW w:w="674" w:type="dxa"/>
            <w:vAlign w:val="center"/>
          </w:tcPr>
          <w:p w:rsidR="0099439E" w:rsidRPr="008C0774" w:rsidRDefault="0099439E" w:rsidP="00C65DCF">
            <w:pPr>
              <w:pStyle w:val="Sarakstarindkopa"/>
              <w:numPr>
                <w:ilvl w:val="0"/>
                <w:numId w:val="29"/>
              </w:numPr>
              <w:tabs>
                <w:tab w:val="left" w:pos="142"/>
              </w:tabs>
              <w:spacing w:after="0" w:line="240" w:lineRule="auto"/>
              <w:jc w:val="center"/>
              <w:rPr>
                <w:rFonts w:ascii="Times New Roman" w:hAnsi="Times New Roman"/>
                <w:b/>
              </w:rPr>
            </w:pPr>
          </w:p>
        </w:tc>
        <w:tc>
          <w:tcPr>
            <w:tcW w:w="3403" w:type="dxa"/>
            <w:vAlign w:val="center"/>
          </w:tcPr>
          <w:p w:rsidR="0099439E" w:rsidRPr="008C0774" w:rsidRDefault="0099439E" w:rsidP="00FB6B07">
            <w:pPr>
              <w:jc w:val="both"/>
              <w:rPr>
                <w:b/>
              </w:rPr>
            </w:pPr>
            <w:r w:rsidRPr="008C0774">
              <w:rPr>
                <w:b/>
              </w:rPr>
              <w:t>PAVISAM KOPĀ</w:t>
            </w:r>
          </w:p>
        </w:tc>
        <w:tc>
          <w:tcPr>
            <w:tcW w:w="1701" w:type="dxa"/>
            <w:vAlign w:val="center"/>
          </w:tcPr>
          <w:p w:rsidR="0099439E" w:rsidRPr="008C0774" w:rsidRDefault="0099439E" w:rsidP="00C65DCF">
            <w:pPr>
              <w:jc w:val="center"/>
              <w:rPr>
                <w:b/>
              </w:rPr>
            </w:pPr>
            <w:r w:rsidRPr="008C0774">
              <w:rPr>
                <w:b/>
              </w:rPr>
              <w:t>12 655 888</w:t>
            </w:r>
          </w:p>
        </w:tc>
        <w:tc>
          <w:tcPr>
            <w:tcW w:w="1701" w:type="dxa"/>
            <w:vAlign w:val="center"/>
          </w:tcPr>
          <w:p w:rsidR="0099439E" w:rsidRPr="008C0774" w:rsidRDefault="0099439E" w:rsidP="00C65DCF">
            <w:pPr>
              <w:jc w:val="center"/>
              <w:rPr>
                <w:b/>
              </w:rPr>
            </w:pPr>
            <w:r w:rsidRPr="008C0774">
              <w:rPr>
                <w:b/>
              </w:rPr>
              <w:t>22 727 121</w:t>
            </w:r>
          </w:p>
        </w:tc>
        <w:tc>
          <w:tcPr>
            <w:tcW w:w="1701" w:type="dxa"/>
            <w:vAlign w:val="center"/>
          </w:tcPr>
          <w:p w:rsidR="0099439E" w:rsidRPr="008C0774" w:rsidRDefault="0099439E" w:rsidP="00C65DCF">
            <w:pPr>
              <w:jc w:val="center"/>
              <w:rPr>
                <w:b/>
              </w:rPr>
            </w:pPr>
            <w:r w:rsidRPr="008C0774">
              <w:rPr>
                <w:b/>
              </w:rPr>
              <w:t>35 383 008</w:t>
            </w:r>
          </w:p>
        </w:tc>
      </w:tr>
      <w:tr w:rsidR="0099439E" w:rsidRPr="008C0774" w:rsidTr="00EA1DD7">
        <w:trPr>
          <w:trHeight w:val="323"/>
        </w:trPr>
        <w:tc>
          <w:tcPr>
            <w:tcW w:w="674" w:type="dxa"/>
            <w:vAlign w:val="center"/>
          </w:tcPr>
          <w:p w:rsidR="0099439E" w:rsidRPr="008C0774" w:rsidRDefault="0099439E" w:rsidP="00C65DCF">
            <w:pPr>
              <w:pStyle w:val="Sarakstarindkopa"/>
              <w:numPr>
                <w:ilvl w:val="0"/>
                <w:numId w:val="29"/>
              </w:numPr>
              <w:tabs>
                <w:tab w:val="left" w:pos="142"/>
              </w:tabs>
              <w:spacing w:after="0" w:line="240" w:lineRule="auto"/>
              <w:jc w:val="center"/>
              <w:rPr>
                <w:rFonts w:ascii="Times New Roman" w:hAnsi="Times New Roman"/>
                <w:b/>
              </w:rPr>
            </w:pPr>
          </w:p>
        </w:tc>
        <w:tc>
          <w:tcPr>
            <w:tcW w:w="3403" w:type="dxa"/>
            <w:vAlign w:val="center"/>
          </w:tcPr>
          <w:p w:rsidR="0099439E" w:rsidRPr="008C0774" w:rsidRDefault="0099439E" w:rsidP="00FB6B07">
            <w:pPr>
              <w:jc w:val="both"/>
              <w:rPr>
                <w:b/>
              </w:rPr>
            </w:pPr>
            <w:r w:rsidRPr="008C0774">
              <w:rPr>
                <w:b/>
              </w:rPr>
              <w:t>Īpatsvars %</w:t>
            </w:r>
          </w:p>
        </w:tc>
        <w:tc>
          <w:tcPr>
            <w:tcW w:w="1701" w:type="dxa"/>
            <w:vAlign w:val="center"/>
          </w:tcPr>
          <w:p w:rsidR="0099439E" w:rsidRPr="008C0774" w:rsidRDefault="0099439E" w:rsidP="00C65DCF">
            <w:pPr>
              <w:jc w:val="center"/>
              <w:rPr>
                <w:b/>
              </w:rPr>
            </w:pPr>
            <w:r w:rsidRPr="008C0774">
              <w:rPr>
                <w:b/>
              </w:rPr>
              <w:t>36 %</w:t>
            </w:r>
          </w:p>
        </w:tc>
        <w:tc>
          <w:tcPr>
            <w:tcW w:w="1701" w:type="dxa"/>
            <w:vAlign w:val="center"/>
          </w:tcPr>
          <w:p w:rsidR="0099439E" w:rsidRPr="008C0774" w:rsidRDefault="0099439E" w:rsidP="00C65DCF">
            <w:pPr>
              <w:jc w:val="center"/>
              <w:rPr>
                <w:b/>
              </w:rPr>
            </w:pPr>
            <w:r w:rsidRPr="008C0774">
              <w:rPr>
                <w:b/>
              </w:rPr>
              <w:t>64 %</w:t>
            </w:r>
          </w:p>
        </w:tc>
        <w:tc>
          <w:tcPr>
            <w:tcW w:w="1701" w:type="dxa"/>
            <w:vAlign w:val="center"/>
          </w:tcPr>
          <w:p w:rsidR="0099439E" w:rsidRPr="008C0774" w:rsidRDefault="0099439E" w:rsidP="00C65DCF">
            <w:pPr>
              <w:jc w:val="center"/>
              <w:rPr>
                <w:b/>
              </w:rPr>
            </w:pPr>
            <w:r w:rsidRPr="008C0774">
              <w:rPr>
                <w:b/>
              </w:rPr>
              <w:t>100%</w:t>
            </w:r>
          </w:p>
        </w:tc>
      </w:tr>
    </w:tbl>
    <w:p w:rsidR="002D020E" w:rsidRDefault="00510EC1" w:rsidP="002D020E">
      <w:pPr>
        <w:ind w:firstLine="720"/>
        <w:jc w:val="both"/>
      </w:pPr>
      <w:r>
        <w:lastRenderedPageBreak/>
        <w:t xml:space="preserve">Kultūras ministrija, Ventspils pilsētas </w:t>
      </w:r>
      <w:r w:rsidR="003F1BC2">
        <w:t>pašval</w:t>
      </w:r>
      <w:r w:rsidR="006A4DD1">
        <w:t>d</w:t>
      </w:r>
      <w:r w:rsidR="003F1BC2">
        <w:t>ība</w:t>
      </w:r>
      <w:r>
        <w:t xml:space="preserve"> un vidusskola kā sadarbības partneri kopīgi apņemas veikt visas nepiecieš</w:t>
      </w:r>
      <w:r w:rsidR="003F1BC2">
        <w:t>amās darbības, lai nodrošinātu p</w:t>
      </w:r>
      <w:r>
        <w:t xml:space="preserve">rojekta otrās kārtas (būvdarbi) realizāciju līdz 2018.gada 1.novembrim, bet ne vēlāk kā līdz 2022.gada 31.decembrim. </w:t>
      </w:r>
      <w:r w:rsidR="00FE07E1">
        <w:t>SAM 8.1.3.</w:t>
      </w:r>
      <w:r w:rsidR="00C97AC3" w:rsidRPr="00C97AC3">
        <w:t xml:space="preserve"> ietvaros projekta iesniedzējs ir </w:t>
      </w:r>
      <w:r w:rsidR="005F4139">
        <w:t>vidusskola</w:t>
      </w:r>
      <w:r w:rsidR="00C97AC3" w:rsidRPr="00C97AC3">
        <w:t xml:space="preserve"> kā profesionālās izglītības kompetences centrs</w:t>
      </w:r>
      <w:r w:rsidR="00827E0E">
        <w:t xml:space="preserve">. </w:t>
      </w:r>
      <w:r w:rsidR="00D6612B" w:rsidRPr="002D020E">
        <w:t>Ņemot vērā</w:t>
      </w:r>
      <w:r w:rsidR="00D91782" w:rsidRPr="002D020E">
        <w:t xml:space="preserve">, ka </w:t>
      </w:r>
      <w:r w:rsidR="005F4139" w:rsidRPr="002D020E">
        <w:t>p</w:t>
      </w:r>
      <w:r w:rsidR="00D91782" w:rsidRPr="002D020E">
        <w:t xml:space="preserve">rojekta īstenošanai tiek izmantots gan </w:t>
      </w:r>
      <w:r w:rsidR="005F4139" w:rsidRPr="002D020E">
        <w:t>vidusskolas</w:t>
      </w:r>
      <w:r w:rsidR="00D91782" w:rsidRPr="002D020E">
        <w:t xml:space="preserve">, gan Ventspils pilsētas pašvaldības finansējums, Ventspils pilsētas pašvaldība piesaistāma kā sadarbības partneris </w:t>
      </w:r>
      <w:r w:rsidR="005F4139" w:rsidRPr="002D020E">
        <w:t xml:space="preserve">SAM </w:t>
      </w:r>
      <w:r w:rsidR="00D91782" w:rsidRPr="002D020E">
        <w:t xml:space="preserve">8.1.3. ietvaros, tai skaitā </w:t>
      </w:r>
      <w:r w:rsidR="003F1BC2">
        <w:t>paredzēta pasūtītāja funkcijas</w:t>
      </w:r>
      <w:r w:rsidR="00D91782" w:rsidRPr="002D020E">
        <w:t xml:space="preserve"> (iepirkuma organizēšana, līguma izpilde un uzraudzība) deleģē</w:t>
      </w:r>
      <w:r w:rsidR="005F7B08" w:rsidRPr="002D020E">
        <w:t>šana</w:t>
      </w:r>
      <w:r w:rsidR="00D91782" w:rsidRPr="002D020E">
        <w:t xml:space="preserve"> Ventspils pilsētas pašvaldībai</w:t>
      </w:r>
      <w:r w:rsidR="00FD3D28" w:rsidRPr="002D020E">
        <w:t xml:space="preserve">, vidusskolai un Ventspils </w:t>
      </w:r>
      <w:r w:rsidR="003F1BC2">
        <w:t xml:space="preserve">pilsētas </w:t>
      </w:r>
      <w:r w:rsidR="00FD3D28" w:rsidRPr="002D020E">
        <w:t>pašvaldībai</w:t>
      </w:r>
      <w:r w:rsidR="003F1BC2">
        <w:t>,</w:t>
      </w:r>
      <w:r w:rsidR="00FD3D28" w:rsidRPr="002D020E">
        <w:t xml:space="preserve"> </w:t>
      </w:r>
      <w:r w:rsidR="003F1BC2" w:rsidRPr="002D020E">
        <w:t xml:space="preserve">pamatojoties uz </w:t>
      </w:r>
      <w:r w:rsidR="003F1BC2">
        <w:t>Ministru kabineta noteikumiem</w:t>
      </w:r>
      <w:r w:rsidR="003F1BC2" w:rsidRPr="003F1BC2">
        <w:t xml:space="preserve"> „Darbības programmas „Izaugsme un nodarbinātība” 8.1.3.specifiskā atbalsta mērķa „Palielināt modernizēto profesionālās izglītības iestāžu skaitu” īstenošanas noteikumi”</w:t>
      </w:r>
      <w:r w:rsidR="00545A64">
        <w:t xml:space="preserve"> un MK rīkojuma Nr.36 4.punktu</w:t>
      </w:r>
      <w:r w:rsidR="003F1BC2">
        <w:t xml:space="preserve">, </w:t>
      </w:r>
      <w:r w:rsidR="003F1BC2" w:rsidRPr="002D020E">
        <w:t xml:space="preserve">noslēdzot </w:t>
      </w:r>
      <w:r w:rsidR="00FD3D28" w:rsidRPr="002D020E">
        <w:t xml:space="preserve">sadarbības līgumu </w:t>
      </w:r>
      <w:r w:rsidR="003F1BC2">
        <w:t xml:space="preserve">projekta </w:t>
      </w:r>
      <w:r w:rsidR="00FD3D28" w:rsidRPr="002D020E">
        <w:t>īstenošanai</w:t>
      </w:r>
      <w:r w:rsidR="00AE333E">
        <w:t>. B</w:t>
      </w:r>
      <w:r w:rsidR="00AE333E" w:rsidRPr="00AE333E">
        <w:t>ūvdarbu iepirkuma dokumentācij</w:t>
      </w:r>
      <w:r w:rsidR="00AE333E">
        <w:t>ā plānots</w:t>
      </w:r>
      <w:r w:rsidR="001839C6">
        <w:t xml:space="preserve"> nodalīt</w:t>
      </w:r>
      <w:r w:rsidR="00AE333E" w:rsidRPr="00AE333E">
        <w:t xml:space="preserve"> </w:t>
      </w:r>
      <w:r w:rsidR="00AE333E">
        <w:t>veicamo</w:t>
      </w:r>
      <w:r w:rsidR="00AE333E" w:rsidRPr="00AE333E">
        <w:t xml:space="preserve"> būvdarb</w:t>
      </w:r>
      <w:r w:rsidR="00AE333E">
        <w:t>u</w:t>
      </w:r>
      <w:r w:rsidR="00AE333E" w:rsidRPr="00AE333E">
        <w:t xml:space="preserve"> un </w:t>
      </w:r>
      <w:r w:rsidR="00EA1DD7">
        <w:t xml:space="preserve">citu </w:t>
      </w:r>
      <w:r w:rsidR="00AE333E" w:rsidRPr="00AE333E">
        <w:t>darbu apjom</w:t>
      </w:r>
      <w:r w:rsidR="001839C6">
        <w:t>us</w:t>
      </w:r>
      <w:r w:rsidR="00AE333E" w:rsidRPr="00AE333E">
        <w:t xml:space="preserve">, kurus paredzēts </w:t>
      </w:r>
      <w:r w:rsidR="00AE333E">
        <w:t>īstenot</w:t>
      </w:r>
      <w:r w:rsidR="00AE333E" w:rsidRPr="00AE333E">
        <w:t xml:space="preserve"> </w:t>
      </w:r>
      <w:r w:rsidR="00AE333E">
        <w:t xml:space="preserve">projekta ietvaros, </w:t>
      </w:r>
      <w:r w:rsidR="00AE333E" w:rsidRPr="00AE333E">
        <w:t>tādējādi nodrošinot</w:t>
      </w:r>
      <w:r w:rsidR="00AE333E">
        <w:t xml:space="preserve"> projektā</w:t>
      </w:r>
      <w:r w:rsidR="00AE333E" w:rsidRPr="00AE333E">
        <w:t xml:space="preserve"> atbalstāmo darbību finansēšanas plūsmas izsekojamību.</w:t>
      </w:r>
    </w:p>
    <w:p w:rsidR="0098474E" w:rsidRPr="00C97AC3" w:rsidRDefault="0098474E" w:rsidP="0098474E">
      <w:pPr>
        <w:ind w:firstLine="720"/>
        <w:jc w:val="both"/>
      </w:pPr>
      <w:r>
        <w:t>Vidusskola un Ventspils pilsētas pašvaldība kā sadarbības partneri</w:t>
      </w:r>
      <w:r w:rsidR="001839C6">
        <w:t>s</w:t>
      </w:r>
      <w:r>
        <w:t xml:space="preserve"> plāno līdz 2016.gada otrā ceturkšņa beigām izstrādāt projekta iesniegumu iesniegšanai </w:t>
      </w:r>
      <w:r w:rsidRPr="0098474E">
        <w:t>Centrālajā finanšu un līgumu aģentūrā</w:t>
      </w:r>
      <w:r>
        <w:t xml:space="preserve"> </w:t>
      </w:r>
      <w:r w:rsidRPr="002D020E">
        <w:t>SAM 8.1.3. ietvaros</w:t>
      </w:r>
      <w:r>
        <w:t xml:space="preserve"> un 2016.gada trešaj</w:t>
      </w:r>
      <w:r w:rsidR="00162669">
        <w:t>ā</w:t>
      </w:r>
      <w:r>
        <w:t xml:space="preserve"> ceturksn</w:t>
      </w:r>
      <w:r w:rsidR="00162669">
        <w:t>ī</w:t>
      </w:r>
      <w:r>
        <w:t xml:space="preserve"> uzsākt projekta īstenošanu.</w:t>
      </w:r>
    </w:p>
    <w:p w:rsidR="00ED4452" w:rsidRPr="00714735" w:rsidRDefault="004418CD" w:rsidP="00AE31D6">
      <w:pPr>
        <w:ind w:firstLine="567"/>
        <w:jc w:val="both"/>
        <w:rPr>
          <w:i/>
        </w:rPr>
      </w:pPr>
      <w:r>
        <w:t xml:space="preserve">Ņemot vērā, ka ieguldījumus </w:t>
      </w:r>
      <w:r w:rsidR="005F4139">
        <w:t>p</w:t>
      </w:r>
      <w:r>
        <w:t xml:space="preserve">rojektā veic gan valsts, gan Ventspils pilsētas pašvaldība, </w:t>
      </w:r>
      <w:r w:rsidR="005F4139">
        <w:t>p</w:t>
      </w:r>
      <w:r w:rsidR="005F7B08">
        <w:t xml:space="preserve">rojekta īstenošanas </w:t>
      </w:r>
      <w:r>
        <w:t>rezultātā ē</w:t>
      </w:r>
      <w:r w:rsidR="003F1BC2">
        <w:t>ka z</w:t>
      </w:r>
      <w:r>
        <w:t>emesgrāmatā reģistrējama kā valsts un Ventspils pilsētas pašvaldības kopīpa</w:t>
      </w:r>
      <w:r w:rsidR="009F4397">
        <w:t xml:space="preserve">šums, domājamo daļu apmēru nosakot atbilstoši faktiski veiktajiem ieguldījumiem. </w:t>
      </w:r>
    </w:p>
    <w:p w:rsidR="00ED4452" w:rsidRDefault="00ED4452" w:rsidP="00AE31D6">
      <w:pPr>
        <w:pStyle w:val="Galvene"/>
        <w:widowControl w:val="0"/>
        <w:tabs>
          <w:tab w:val="clear" w:pos="4153"/>
          <w:tab w:val="clear" w:pos="8306"/>
        </w:tabs>
        <w:jc w:val="both"/>
      </w:pPr>
    </w:p>
    <w:p w:rsidR="00325B7C" w:rsidRPr="00714735" w:rsidRDefault="00325B7C" w:rsidP="00AE31D6">
      <w:pPr>
        <w:pStyle w:val="Galvene"/>
        <w:widowControl w:val="0"/>
        <w:tabs>
          <w:tab w:val="clear" w:pos="4153"/>
          <w:tab w:val="clear" w:pos="8306"/>
        </w:tabs>
        <w:jc w:val="both"/>
      </w:pPr>
    </w:p>
    <w:p w:rsidR="00ED4452" w:rsidRPr="00714735" w:rsidRDefault="00ED4452" w:rsidP="00336942">
      <w:pPr>
        <w:tabs>
          <w:tab w:val="left" w:pos="6315"/>
        </w:tabs>
        <w:ind w:left="426"/>
        <w:jc w:val="both"/>
      </w:pPr>
      <w:r w:rsidRPr="00714735">
        <w:t>Kultūras ministre</w:t>
      </w:r>
      <w:r w:rsidRPr="00714735">
        <w:tab/>
      </w:r>
      <w:r w:rsidRPr="00714735">
        <w:tab/>
      </w:r>
      <w:r w:rsidR="00336942">
        <w:tab/>
      </w:r>
      <w:r w:rsidRPr="00714735">
        <w:t>D.Melbārde</w:t>
      </w:r>
    </w:p>
    <w:p w:rsidR="00ED4452" w:rsidRPr="00714735" w:rsidRDefault="00ED4452" w:rsidP="00336942">
      <w:pPr>
        <w:tabs>
          <w:tab w:val="left" w:pos="6315"/>
        </w:tabs>
        <w:ind w:left="426"/>
        <w:jc w:val="both"/>
      </w:pPr>
    </w:p>
    <w:p w:rsidR="00ED4452" w:rsidRPr="00714735" w:rsidRDefault="00336942" w:rsidP="00336942">
      <w:pPr>
        <w:ind w:left="426"/>
        <w:jc w:val="both"/>
      </w:pPr>
      <w:r>
        <w:t>Vīza: V</w:t>
      </w:r>
      <w:r w:rsidR="00ED4452" w:rsidRPr="00714735">
        <w:t>alsts sekretārs</w:t>
      </w:r>
      <w:r w:rsidR="00ED4452" w:rsidRPr="00714735">
        <w:tab/>
      </w:r>
      <w:r w:rsidR="00ED4452" w:rsidRPr="00714735">
        <w:tab/>
      </w:r>
      <w:r w:rsidR="00ED4452" w:rsidRPr="00714735">
        <w:tab/>
      </w:r>
      <w:r w:rsidR="00ED4452" w:rsidRPr="00714735">
        <w:tab/>
      </w:r>
      <w:r w:rsidR="00ED4452" w:rsidRPr="00714735">
        <w:tab/>
      </w:r>
      <w:r w:rsidR="00ED4452" w:rsidRPr="00714735">
        <w:tab/>
      </w:r>
      <w:r w:rsidR="00054C3C" w:rsidRPr="00714735">
        <w:tab/>
      </w:r>
      <w:r w:rsidR="00646496" w:rsidRPr="00714735">
        <w:t>S.Voldiņš</w:t>
      </w:r>
    </w:p>
    <w:p w:rsidR="00ED4452" w:rsidRPr="00714735" w:rsidRDefault="00ED4452">
      <w:pPr>
        <w:jc w:val="both"/>
      </w:pPr>
    </w:p>
    <w:p w:rsidR="008E3744" w:rsidRDefault="008E3744">
      <w:pPr>
        <w:jc w:val="both"/>
        <w:rPr>
          <w:sz w:val="22"/>
          <w:szCs w:val="22"/>
        </w:rPr>
      </w:pPr>
    </w:p>
    <w:p w:rsidR="00EA1DD7" w:rsidRDefault="00EA1DD7">
      <w:pPr>
        <w:jc w:val="both"/>
        <w:rPr>
          <w:sz w:val="22"/>
          <w:szCs w:val="22"/>
        </w:rPr>
      </w:pPr>
    </w:p>
    <w:p w:rsidR="00EA1DD7" w:rsidRDefault="00EA1DD7">
      <w:pPr>
        <w:jc w:val="both"/>
        <w:rPr>
          <w:sz w:val="22"/>
          <w:szCs w:val="22"/>
        </w:rPr>
      </w:pPr>
    </w:p>
    <w:p w:rsidR="00EA1DD7" w:rsidRDefault="00EA1DD7">
      <w:pPr>
        <w:jc w:val="both"/>
        <w:rPr>
          <w:sz w:val="22"/>
          <w:szCs w:val="22"/>
        </w:rPr>
      </w:pPr>
    </w:p>
    <w:p w:rsidR="00EA1DD7" w:rsidRDefault="00EA1DD7">
      <w:pPr>
        <w:jc w:val="both"/>
        <w:rPr>
          <w:sz w:val="22"/>
          <w:szCs w:val="22"/>
        </w:rPr>
      </w:pPr>
    </w:p>
    <w:p w:rsidR="00EA1DD7" w:rsidRDefault="00EA1DD7">
      <w:pPr>
        <w:jc w:val="both"/>
        <w:rPr>
          <w:sz w:val="22"/>
          <w:szCs w:val="22"/>
        </w:rPr>
      </w:pPr>
    </w:p>
    <w:p w:rsidR="00EA1DD7" w:rsidRDefault="00EA1DD7">
      <w:pPr>
        <w:jc w:val="both"/>
        <w:rPr>
          <w:sz w:val="22"/>
          <w:szCs w:val="22"/>
        </w:rPr>
      </w:pPr>
    </w:p>
    <w:p w:rsidR="00EA1DD7" w:rsidRDefault="00EA1DD7">
      <w:pPr>
        <w:jc w:val="both"/>
        <w:rPr>
          <w:sz w:val="22"/>
          <w:szCs w:val="22"/>
        </w:rPr>
      </w:pPr>
    </w:p>
    <w:p w:rsidR="00EA1DD7" w:rsidRDefault="00EA1DD7">
      <w:pPr>
        <w:jc w:val="both"/>
        <w:rPr>
          <w:sz w:val="22"/>
          <w:szCs w:val="22"/>
        </w:rPr>
      </w:pPr>
    </w:p>
    <w:p w:rsidR="00EA1DD7" w:rsidRDefault="00EA1DD7">
      <w:pPr>
        <w:jc w:val="both"/>
        <w:rPr>
          <w:sz w:val="22"/>
          <w:szCs w:val="22"/>
        </w:rPr>
      </w:pPr>
    </w:p>
    <w:p w:rsidR="00EA1DD7" w:rsidRDefault="00EA1DD7">
      <w:pPr>
        <w:jc w:val="both"/>
        <w:rPr>
          <w:sz w:val="22"/>
          <w:szCs w:val="22"/>
        </w:rPr>
      </w:pPr>
    </w:p>
    <w:p w:rsidR="00EA1DD7" w:rsidRPr="006045D3" w:rsidRDefault="00EA1DD7">
      <w:pPr>
        <w:jc w:val="both"/>
        <w:rPr>
          <w:sz w:val="22"/>
          <w:szCs w:val="22"/>
        </w:rPr>
      </w:pPr>
    </w:p>
    <w:p w:rsidR="008E3744" w:rsidRPr="006045D3" w:rsidRDefault="008E3744">
      <w:pPr>
        <w:jc w:val="both"/>
        <w:rPr>
          <w:sz w:val="22"/>
          <w:szCs w:val="22"/>
        </w:rPr>
      </w:pPr>
    </w:p>
    <w:p w:rsidR="00131E36" w:rsidRPr="006045D3" w:rsidRDefault="001839C6">
      <w:pPr>
        <w:rPr>
          <w:sz w:val="22"/>
          <w:szCs w:val="22"/>
        </w:rPr>
      </w:pPr>
      <w:r>
        <w:rPr>
          <w:sz w:val="22"/>
          <w:szCs w:val="22"/>
        </w:rPr>
        <w:t>25</w:t>
      </w:r>
      <w:r w:rsidR="00131E36" w:rsidRPr="006045D3">
        <w:rPr>
          <w:sz w:val="22"/>
          <w:szCs w:val="22"/>
        </w:rPr>
        <w:t>.0</w:t>
      </w:r>
      <w:r w:rsidR="00270B6D" w:rsidRPr="006045D3">
        <w:rPr>
          <w:sz w:val="22"/>
          <w:szCs w:val="22"/>
        </w:rPr>
        <w:t>4</w:t>
      </w:r>
      <w:r w:rsidR="00131E36" w:rsidRPr="006045D3">
        <w:rPr>
          <w:sz w:val="22"/>
          <w:szCs w:val="22"/>
        </w:rPr>
        <w:t>.2016.</w:t>
      </w:r>
      <w:r w:rsidR="006045D3">
        <w:rPr>
          <w:sz w:val="22"/>
          <w:szCs w:val="22"/>
        </w:rPr>
        <w:t xml:space="preserve"> </w:t>
      </w:r>
      <w:r w:rsidR="00FE2500">
        <w:rPr>
          <w:sz w:val="22"/>
          <w:szCs w:val="22"/>
        </w:rPr>
        <w:t>14:45</w:t>
      </w:r>
    </w:p>
    <w:p w:rsidR="00131E36" w:rsidRPr="006045D3" w:rsidRDefault="006A4639">
      <w:pPr>
        <w:rPr>
          <w:sz w:val="22"/>
          <w:szCs w:val="22"/>
        </w:rPr>
      </w:pPr>
      <w:r w:rsidRPr="006045D3">
        <w:rPr>
          <w:sz w:val="22"/>
          <w:szCs w:val="22"/>
        </w:rPr>
        <w:t>50</w:t>
      </w:r>
      <w:r w:rsidR="00EA1DD7">
        <w:rPr>
          <w:sz w:val="22"/>
          <w:szCs w:val="22"/>
        </w:rPr>
        <w:t>8</w:t>
      </w:r>
      <w:r w:rsidR="00162669">
        <w:rPr>
          <w:sz w:val="22"/>
          <w:szCs w:val="22"/>
        </w:rPr>
        <w:t>8</w:t>
      </w:r>
    </w:p>
    <w:p w:rsidR="00336942" w:rsidRPr="006045D3" w:rsidRDefault="00336942" w:rsidP="00336942">
      <w:pPr>
        <w:rPr>
          <w:sz w:val="22"/>
          <w:szCs w:val="22"/>
        </w:rPr>
      </w:pPr>
      <w:bookmarkStart w:id="5" w:name="OLE_LINK7"/>
      <w:bookmarkStart w:id="6" w:name="OLE_LINK8"/>
      <w:r w:rsidRPr="006045D3">
        <w:rPr>
          <w:sz w:val="22"/>
          <w:szCs w:val="22"/>
        </w:rPr>
        <w:t>D.Vilsone</w:t>
      </w:r>
      <w:bookmarkEnd w:id="5"/>
      <w:bookmarkEnd w:id="6"/>
      <w:r w:rsidRPr="006045D3">
        <w:rPr>
          <w:sz w:val="22"/>
          <w:szCs w:val="22"/>
        </w:rPr>
        <w:t xml:space="preserve">, </w:t>
      </w:r>
      <w:bookmarkStart w:id="7" w:name="OLE_LINK3"/>
      <w:bookmarkStart w:id="8" w:name="OLE_LINK4"/>
      <w:r w:rsidRPr="006045D3">
        <w:rPr>
          <w:sz w:val="22"/>
          <w:szCs w:val="22"/>
        </w:rPr>
        <w:t>67330255</w:t>
      </w:r>
    </w:p>
    <w:p w:rsidR="00ED4452" w:rsidRPr="00714735" w:rsidRDefault="000476B9" w:rsidP="0098474E">
      <w:hyperlink r:id="rId8" w:history="1">
        <w:r w:rsidR="00336942" w:rsidRPr="006045D3">
          <w:rPr>
            <w:rStyle w:val="Hipersaite"/>
            <w:sz w:val="22"/>
            <w:szCs w:val="22"/>
          </w:rPr>
          <w:t>Dace.Vilsone@km.gov.lv</w:t>
        </w:r>
      </w:hyperlink>
      <w:r w:rsidR="00336942" w:rsidRPr="006045D3">
        <w:rPr>
          <w:sz w:val="22"/>
          <w:szCs w:val="22"/>
        </w:rPr>
        <w:t xml:space="preserve"> </w:t>
      </w:r>
      <w:bookmarkEnd w:id="7"/>
      <w:bookmarkEnd w:id="8"/>
    </w:p>
    <w:sectPr w:rsidR="00ED4452" w:rsidRPr="00714735" w:rsidSect="00336942">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469D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74E" w:rsidRDefault="0098474E" w:rsidP="006F600E">
      <w:r>
        <w:separator/>
      </w:r>
    </w:p>
  </w:endnote>
  <w:endnote w:type="continuationSeparator" w:id="0">
    <w:p w:rsidR="0098474E" w:rsidRDefault="0098474E" w:rsidP="006F6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4E" w:rsidRPr="00EA1DD7" w:rsidRDefault="0098474E" w:rsidP="00EA1DD7">
    <w:pPr>
      <w:jc w:val="both"/>
      <w:rPr>
        <w:sz w:val="22"/>
        <w:szCs w:val="22"/>
      </w:rPr>
    </w:pPr>
    <w:r w:rsidRPr="00EE67A7">
      <w:rPr>
        <w:sz w:val="22"/>
        <w:szCs w:val="22"/>
      </w:rPr>
      <w:t>KMZino_2</w:t>
    </w:r>
    <w:r w:rsidR="001839C6">
      <w:rPr>
        <w:sz w:val="22"/>
        <w:szCs w:val="22"/>
      </w:rPr>
      <w:t>5</w:t>
    </w:r>
    <w:r w:rsidRPr="00EE67A7">
      <w:rPr>
        <w:sz w:val="22"/>
        <w:szCs w:val="22"/>
      </w:rPr>
      <w:t xml:space="preserve">0416_VMV_attistiba; Informatīvais </w:t>
    </w:r>
    <w:smartTag w:uri="schemas-tilde-lv/tildestengine" w:element="veidnes">
      <w:smartTagPr>
        <w:attr w:name="text" w:val="ziņojums"/>
        <w:attr w:name="baseform" w:val="ziņojums"/>
        <w:attr w:name="id" w:val="-1"/>
      </w:smartTagPr>
      <w:r w:rsidRPr="00EE67A7">
        <w:rPr>
          <w:sz w:val="22"/>
          <w:szCs w:val="22"/>
        </w:rPr>
        <w:t>ziņojums</w:t>
      </w:r>
    </w:smartTag>
    <w:r w:rsidRPr="00EE67A7">
      <w:rPr>
        <w:sz w:val="22"/>
        <w:szCs w:val="22"/>
      </w:rPr>
      <w:t xml:space="preserve"> „Par profesionālās izglītības kompetences centra „Ventspils Mūzikas vidusskola” </w:t>
    </w:r>
    <w:r>
      <w:rPr>
        <w:sz w:val="22"/>
        <w:szCs w:val="22"/>
      </w:rPr>
      <w:t>tālāko attīstību”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4E" w:rsidRPr="00EE67A7" w:rsidRDefault="0098474E" w:rsidP="00EE67A7">
    <w:pPr>
      <w:rPr>
        <w:sz w:val="22"/>
        <w:szCs w:val="22"/>
      </w:rPr>
    </w:pPr>
    <w:r w:rsidRPr="00EE67A7">
      <w:rPr>
        <w:sz w:val="22"/>
        <w:szCs w:val="22"/>
      </w:rPr>
      <w:t>KMZino_2</w:t>
    </w:r>
    <w:r w:rsidR="001839C6">
      <w:rPr>
        <w:sz w:val="22"/>
        <w:szCs w:val="22"/>
      </w:rPr>
      <w:t>5</w:t>
    </w:r>
    <w:r w:rsidRPr="00EE67A7">
      <w:rPr>
        <w:sz w:val="22"/>
        <w:szCs w:val="22"/>
      </w:rPr>
      <w:t xml:space="preserve">0416_VMV_attistiba; Informatīvais </w:t>
    </w:r>
    <w:smartTag w:uri="schemas-tilde-lv/tildestengine" w:element="veidnes">
      <w:smartTagPr>
        <w:attr w:name="id" w:val="-1"/>
        <w:attr w:name="baseform" w:val="ziņojums"/>
        <w:attr w:name="text" w:val="ziņojums"/>
      </w:smartTagPr>
      <w:r w:rsidRPr="00EE67A7">
        <w:rPr>
          <w:sz w:val="22"/>
          <w:szCs w:val="22"/>
        </w:rPr>
        <w:t>ziņojums</w:t>
      </w:r>
    </w:smartTag>
    <w:r w:rsidRPr="00EE67A7">
      <w:rPr>
        <w:sz w:val="22"/>
        <w:szCs w:val="22"/>
      </w:rPr>
      <w:t xml:space="preserve"> „Par profesionālās izglītības kompetences centra „Ventspils Mūzikas vidusskola” tālāko attīstību”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74E" w:rsidRDefault="0098474E" w:rsidP="006F600E">
      <w:r>
        <w:separator/>
      </w:r>
    </w:p>
  </w:footnote>
  <w:footnote w:type="continuationSeparator" w:id="0">
    <w:p w:rsidR="0098474E" w:rsidRDefault="0098474E" w:rsidP="006F600E">
      <w:r>
        <w:continuationSeparator/>
      </w:r>
    </w:p>
  </w:footnote>
  <w:footnote w:id="1">
    <w:p w:rsidR="0098474E" w:rsidRPr="00F70DDA" w:rsidRDefault="0098474E" w:rsidP="00064D68">
      <w:pPr>
        <w:pStyle w:val="Vresteksts"/>
        <w:rPr>
          <w:sz w:val="16"/>
          <w:szCs w:val="16"/>
        </w:rPr>
      </w:pPr>
      <w:r w:rsidRPr="00F70DDA">
        <w:rPr>
          <w:rStyle w:val="Vresatsauce"/>
          <w:i/>
          <w:sz w:val="16"/>
          <w:szCs w:val="16"/>
        </w:rPr>
        <w:footnoteRef/>
      </w:r>
      <w:r w:rsidRPr="00F70DDA">
        <w:rPr>
          <w:i/>
          <w:sz w:val="16"/>
          <w:szCs w:val="16"/>
        </w:rPr>
        <w:t xml:space="preserve"> Avots: </w:t>
      </w:r>
      <w:hyperlink r:id="rId1" w:history="1">
        <w:r w:rsidRPr="00F70DDA">
          <w:rPr>
            <w:rStyle w:val="Hipersaite"/>
            <w:i/>
            <w:sz w:val="16"/>
            <w:szCs w:val="16"/>
          </w:rPr>
          <w:t>http://www.kurzemesregions.lv/userfiles/files/RPUS_2013_27062014.pdf</w:t>
        </w:r>
      </w:hyperlink>
    </w:p>
  </w:footnote>
  <w:footnote w:id="2">
    <w:p w:rsidR="0098474E" w:rsidRPr="00F70DDA" w:rsidRDefault="0098474E" w:rsidP="005A57E9">
      <w:pPr>
        <w:pStyle w:val="Vresteksts"/>
        <w:rPr>
          <w:i/>
          <w:sz w:val="16"/>
          <w:szCs w:val="16"/>
        </w:rPr>
      </w:pPr>
      <w:r w:rsidRPr="00F70DDA">
        <w:rPr>
          <w:rStyle w:val="Vresatsauce"/>
          <w:i/>
          <w:sz w:val="16"/>
          <w:szCs w:val="16"/>
        </w:rPr>
        <w:footnoteRef/>
      </w:r>
      <w:r w:rsidRPr="00F70DDA">
        <w:rPr>
          <w:i/>
          <w:sz w:val="16"/>
          <w:szCs w:val="16"/>
        </w:rPr>
        <w:t xml:space="preserve"> Avots: </w:t>
      </w:r>
      <w:hyperlink r:id="rId2" w:history="1">
        <w:r w:rsidRPr="00F70DDA">
          <w:rPr>
            <w:rStyle w:val="Hipersaite"/>
            <w:i/>
            <w:sz w:val="16"/>
            <w:szCs w:val="16"/>
          </w:rPr>
          <w:t>http://www.ventspils.lv/files/dokumenti/attistibasprogramma/ventspils_attistibas_programma_2020_27_12_2013.pdf</w:t>
        </w:r>
      </w:hyperlink>
      <w:r w:rsidRPr="00F70DDA">
        <w:rPr>
          <w:i/>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4E" w:rsidRDefault="000476B9" w:rsidP="00357828">
    <w:pPr>
      <w:pStyle w:val="Galvene"/>
      <w:framePr w:wrap="around" w:vAnchor="text" w:hAnchor="margin" w:xAlign="center" w:y="1"/>
      <w:rPr>
        <w:rStyle w:val="Lappusesnumurs"/>
      </w:rPr>
    </w:pPr>
    <w:r>
      <w:rPr>
        <w:rStyle w:val="Lappusesnumurs"/>
      </w:rPr>
      <w:fldChar w:fldCharType="begin"/>
    </w:r>
    <w:r w:rsidR="0098474E">
      <w:rPr>
        <w:rStyle w:val="Lappusesnumurs"/>
      </w:rPr>
      <w:instrText xml:space="preserve">PAGE  </w:instrText>
    </w:r>
    <w:r>
      <w:rPr>
        <w:rStyle w:val="Lappusesnumurs"/>
      </w:rPr>
      <w:fldChar w:fldCharType="separate"/>
    </w:r>
    <w:r w:rsidR="0098474E">
      <w:rPr>
        <w:rStyle w:val="Lappusesnumurs"/>
        <w:noProof/>
      </w:rPr>
      <w:t>4</w:t>
    </w:r>
    <w:r>
      <w:rPr>
        <w:rStyle w:val="Lappusesnumurs"/>
      </w:rPr>
      <w:fldChar w:fldCharType="end"/>
    </w:r>
  </w:p>
  <w:p w:rsidR="0098474E" w:rsidRDefault="0098474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4E" w:rsidRPr="00EA1DD7" w:rsidRDefault="000476B9" w:rsidP="00357828">
    <w:pPr>
      <w:pStyle w:val="Galvene"/>
      <w:framePr w:wrap="around" w:vAnchor="text" w:hAnchor="margin" w:xAlign="center" w:y="1"/>
      <w:rPr>
        <w:rStyle w:val="Lappusesnumurs"/>
        <w:sz w:val="22"/>
        <w:szCs w:val="22"/>
      </w:rPr>
    </w:pPr>
    <w:r w:rsidRPr="00EA1DD7">
      <w:rPr>
        <w:rStyle w:val="Lappusesnumurs"/>
        <w:sz w:val="22"/>
        <w:szCs w:val="22"/>
      </w:rPr>
      <w:fldChar w:fldCharType="begin"/>
    </w:r>
    <w:r w:rsidR="0098474E" w:rsidRPr="00EA1DD7">
      <w:rPr>
        <w:rStyle w:val="Lappusesnumurs"/>
        <w:sz w:val="22"/>
        <w:szCs w:val="22"/>
      </w:rPr>
      <w:instrText xml:space="preserve">PAGE  </w:instrText>
    </w:r>
    <w:r w:rsidRPr="00EA1DD7">
      <w:rPr>
        <w:rStyle w:val="Lappusesnumurs"/>
        <w:sz w:val="22"/>
        <w:szCs w:val="22"/>
      </w:rPr>
      <w:fldChar w:fldCharType="separate"/>
    </w:r>
    <w:r w:rsidR="00F707BA">
      <w:rPr>
        <w:rStyle w:val="Lappusesnumurs"/>
        <w:noProof/>
        <w:sz w:val="22"/>
        <w:szCs w:val="22"/>
      </w:rPr>
      <w:t>15</w:t>
    </w:r>
    <w:r w:rsidRPr="00EA1DD7">
      <w:rPr>
        <w:rStyle w:val="Lappusesnumurs"/>
        <w:sz w:val="22"/>
        <w:szCs w:val="22"/>
      </w:rPr>
      <w:fldChar w:fldCharType="end"/>
    </w:r>
  </w:p>
  <w:p w:rsidR="0098474E" w:rsidRDefault="0098474E" w:rsidP="00357828">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FB8"/>
    <w:multiLevelType w:val="hybridMultilevel"/>
    <w:tmpl w:val="DDE40D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5A47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C91721"/>
    <w:multiLevelType w:val="hybridMultilevel"/>
    <w:tmpl w:val="5D5861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A801C7E"/>
    <w:multiLevelType w:val="hybridMultilevel"/>
    <w:tmpl w:val="720CA5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BC862C3"/>
    <w:multiLevelType w:val="multilevel"/>
    <w:tmpl w:val="40240DE0"/>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CD07411"/>
    <w:multiLevelType w:val="hybridMultilevel"/>
    <w:tmpl w:val="EBC81B1C"/>
    <w:lvl w:ilvl="0" w:tplc="88300574">
      <w:start w:val="3"/>
      <w:numFmt w:val="bullet"/>
      <w:lvlText w:val="-"/>
      <w:lvlJc w:val="left"/>
      <w:pPr>
        <w:ind w:left="1287" w:hanging="360"/>
      </w:pPr>
      <w:rPr>
        <w:rFonts w:ascii="Times New Roman" w:eastAsia="Times New Roman" w:hAnsi="Times New Roman" w:cs="Times New Roman" w:hint="default"/>
      </w:rPr>
    </w:lvl>
    <w:lvl w:ilvl="1" w:tplc="AA8EB086">
      <w:start w:val="3"/>
      <w:numFmt w:val="bullet"/>
      <w:lvlText w:val="-"/>
      <w:lvlJc w:val="left"/>
      <w:pPr>
        <w:ind w:left="2007" w:hanging="360"/>
      </w:pPr>
      <w:rPr>
        <w:rFonts w:ascii="Times New Roman" w:eastAsia="Times New Roman" w:hAnsi="Times New Roman" w:hint="default"/>
        <w:sz w:val="24"/>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37642EC1"/>
    <w:multiLevelType w:val="hybridMultilevel"/>
    <w:tmpl w:val="DB9802D4"/>
    <w:lvl w:ilvl="0" w:tplc="C3922F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7BD0A14"/>
    <w:multiLevelType w:val="multilevel"/>
    <w:tmpl w:val="07C8FC68"/>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092EFF"/>
    <w:multiLevelType w:val="hybridMultilevel"/>
    <w:tmpl w:val="6A248918"/>
    <w:lvl w:ilvl="0" w:tplc="C3922F2C">
      <w:start w:val="1"/>
      <w:numFmt w:val="bullet"/>
      <w:lvlText w:val=""/>
      <w:lvlJc w:val="left"/>
      <w:pPr>
        <w:ind w:left="1080" w:hanging="360"/>
      </w:pPr>
      <w:rPr>
        <w:rFonts w:ascii="Symbol" w:hAnsi="Symbol"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3A33019C"/>
    <w:multiLevelType w:val="hybridMultilevel"/>
    <w:tmpl w:val="B65A16EA"/>
    <w:lvl w:ilvl="0" w:tplc="C3922F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39E4513"/>
    <w:multiLevelType w:val="hybridMultilevel"/>
    <w:tmpl w:val="665C3D2C"/>
    <w:lvl w:ilvl="0" w:tplc="C3922F2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459A77EB"/>
    <w:multiLevelType w:val="hybridMultilevel"/>
    <w:tmpl w:val="07300F9C"/>
    <w:lvl w:ilvl="0" w:tplc="91EEC856">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nsid w:val="46CA6B0A"/>
    <w:multiLevelType w:val="hybridMultilevel"/>
    <w:tmpl w:val="3514A9D6"/>
    <w:lvl w:ilvl="0" w:tplc="88300574">
      <w:start w:val="3"/>
      <w:numFmt w:val="bullet"/>
      <w:lvlText w:val="-"/>
      <w:lvlJc w:val="left"/>
      <w:pPr>
        <w:ind w:left="1287" w:hanging="360"/>
      </w:pPr>
      <w:rPr>
        <w:rFonts w:ascii="Times New Roman" w:eastAsia="Times New Roman" w:hAnsi="Times New Roman" w:cs="Times New Roman"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nsid w:val="46E75372"/>
    <w:multiLevelType w:val="multilevel"/>
    <w:tmpl w:val="59A44982"/>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C6C22CF"/>
    <w:multiLevelType w:val="hybridMultilevel"/>
    <w:tmpl w:val="28A464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FCB7339"/>
    <w:multiLevelType w:val="hybridMultilevel"/>
    <w:tmpl w:val="5010C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176547D"/>
    <w:multiLevelType w:val="hybridMultilevel"/>
    <w:tmpl w:val="E3DC2262"/>
    <w:lvl w:ilvl="0" w:tplc="9C6A3E92">
      <w:start w:val="1"/>
      <w:numFmt w:val="decimal"/>
      <w:lvlText w:val="%1)"/>
      <w:lvlJc w:val="left"/>
      <w:pPr>
        <w:ind w:left="1695" w:hanging="9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27C2F57"/>
    <w:multiLevelType w:val="hybridMultilevel"/>
    <w:tmpl w:val="AA7CF0FC"/>
    <w:lvl w:ilvl="0" w:tplc="88300574">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53AF245A"/>
    <w:multiLevelType w:val="multilevel"/>
    <w:tmpl w:val="66228F80"/>
    <w:lvl w:ilvl="0">
      <w:start w:val="3"/>
      <w:numFmt w:val="decimal"/>
      <w:lvlText w:val="%1."/>
      <w:lvlJc w:val="left"/>
      <w:pPr>
        <w:ind w:left="108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5A886956"/>
    <w:multiLevelType w:val="hybridMultilevel"/>
    <w:tmpl w:val="E1425F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0D35C57"/>
    <w:multiLevelType w:val="hybridMultilevel"/>
    <w:tmpl w:val="82B6E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2261827"/>
    <w:multiLevelType w:val="hybridMultilevel"/>
    <w:tmpl w:val="E52664C8"/>
    <w:lvl w:ilvl="0" w:tplc="04260001">
      <w:start w:val="1"/>
      <w:numFmt w:val="bullet"/>
      <w:lvlText w:val=""/>
      <w:lvlJc w:val="left"/>
      <w:pPr>
        <w:ind w:left="720" w:hanging="360"/>
      </w:pPr>
      <w:rPr>
        <w:rFonts w:ascii="Symbol" w:hAnsi="Symbol" w:hint="default"/>
      </w:rPr>
    </w:lvl>
    <w:lvl w:ilvl="1" w:tplc="BECC4C7A">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24C3EF1"/>
    <w:multiLevelType w:val="hybridMultilevel"/>
    <w:tmpl w:val="D98A3850"/>
    <w:lvl w:ilvl="0" w:tplc="C3922F2C">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nsid w:val="634E67D8"/>
    <w:multiLevelType w:val="hybridMultilevel"/>
    <w:tmpl w:val="177AF86E"/>
    <w:lvl w:ilvl="0" w:tplc="1B32BB4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63952505"/>
    <w:multiLevelType w:val="hybridMultilevel"/>
    <w:tmpl w:val="13DADA26"/>
    <w:lvl w:ilvl="0" w:tplc="64F0AD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3014D57"/>
    <w:multiLevelType w:val="multilevel"/>
    <w:tmpl w:val="BE58D8AC"/>
    <w:lvl w:ilvl="0">
      <w:start w:val="4"/>
      <w:numFmt w:val="decimal"/>
      <w:lvlText w:val="%1."/>
      <w:lvlJc w:val="left"/>
      <w:pPr>
        <w:ind w:left="360" w:hanging="360"/>
      </w:pPr>
      <w:rPr>
        <w:rFonts w:hint="default"/>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3A66C35"/>
    <w:multiLevelType w:val="hybridMultilevel"/>
    <w:tmpl w:val="5A04A5D8"/>
    <w:lvl w:ilvl="0" w:tplc="0426000F">
      <w:start w:val="1"/>
      <w:numFmt w:val="decimal"/>
      <w:lvlText w:val="%1."/>
      <w:lvlJc w:val="left"/>
      <w:pPr>
        <w:ind w:left="720" w:hanging="360"/>
      </w:pPr>
      <w:rPr>
        <w:rFonts w:hint="default"/>
      </w:rPr>
    </w:lvl>
    <w:lvl w:ilvl="1" w:tplc="04260001">
      <w:start w:val="1"/>
      <w:numFmt w:val="bullet"/>
      <w:lvlText w:val=""/>
      <w:lvlJc w:val="left"/>
      <w:pPr>
        <w:ind w:left="786"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9DF201B"/>
    <w:multiLevelType w:val="hybridMultilevel"/>
    <w:tmpl w:val="EC6A2D32"/>
    <w:lvl w:ilvl="0" w:tplc="4D1EF7B2">
      <w:start w:val="1"/>
      <w:numFmt w:val="decimal"/>
      <w:lvlText w:val="(%1)"/>
      <w:lvlJc w:val="left"/>
      <w:pPr>
        <w:ind w:left="1770" w:hanging="10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A235330"/>
    <w:multiLevelType w:val="hybridMultilevel"/>
    <w:tmpl w:val="31E818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2"/>
  </w:num>
  <w:num w:numId="4">
    <w:abstractNumId w:val="9"/>
  </w:num>
  <w:num w:numId="5">
    <w:abstractNumId w:val="8"/>
  </w:num>
  <w:num w:numId="6">
    <w:abstractNumId w:val="6"/>
  </w:num>
  <w:num w:numId="7">
    <w:abstractNumId w:val="4"/>
  </w:num>
  <w:num w:numId="8">
    <w:abstractNumId w:val="13"/>
  </w:num>
  <w:num w:numId="9">
    <w:abstractNumId w:val="19"/>
  </w:num>
  <w:num w:numId="10">
    <w:abstractNumId w:val="28"/>
  </w:num>
  <w:num w:numId="11">
    <w:abstractNumId w:val="3"/>
  </w:num>
  <w:num w:numId="12">
    <w:abstractNumId w:val="21"/>
  </w:num>
  <w:num w:numId="13">
    <w:abstractNumId w:val="14"/>
  </w:num>
  <w:num w:numId="14">
    <w:abstractNumId w:val="25"/>
  </w:num>
  <w:num w:numId="15">
    <w:abstractNumId w:val="0"/>
  </w:num>
  <w:num w:numId="16">
    <w:abstractNumId w:val="27"/>
  </w:num>
  <w:num w:numId="17">
    <w:abstractNumId w:val="2"/>
  </w:num>
  <w:num w:numId="18">
    <w:abstractNumId w:val="15"/>
  </w:num>
  <w:num w:numId="19">
    <w:abstractNumId w:val="20"/>
  </w:num>
  <w:num w:numId="20">
    <w:abstractNumId w:val="26"/>
  </w:num>
  <w:num w:numId="21">
    <w:abstractNumId w:val="1"/>
  </w:num>
  <w:num w:numId="22">
    <w:abstractNumId w:val="16"/>
  </w:num>
  <w:num w:numId="23">
    <w:abstractNumId w:val="17"/>
  </w:num>
  <w:num w:numId="24">
    <w:abstractNumId w:val="24"/>
  </w:num>
  <w:num w:numId="25">
    <w:abstractNumId w:val="12"/>
  </w:num>
  <w:num w:numId="26">
    <w:abstractNumId w:val="5"/>
  </w:num>
  <w:num w:numId="27">
    <w:abstractNumId w:val="10"/>
  </w:num>
  <w:num w:numId="28">
    <w:abstractNumId w:val="23"/>
  </w:num>
  <w:num w:numId="2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Zeberga">
    <w15:presenceInfo w15:providerId="AD" w15:userId="S-1-5-21-199432311-1791994046-2381146236-126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D4452"/>
    <w:rsid w:val="00006315"/>
    <w:rsid w:val="00010C23"/>
    <w:rsid w:val="0001289A"/>
    <w:rsid w:val="00017AE3"/>
    <w:rsid w:val="00023104"/>
    <w:rsid w:val="000240F4"/>
    <w:rsid w:val="00031B29"/>
    <w:rsid w:val="0003284F"/>
    <w:rsid w:val="00033C1D"/>
    <w:rsid w:val="00035989"/>
    <w:rsid w:val="00042141"/>
    <w:rsid w:val="000476B9"/>
    <w:rsid w:val="000500D0"/>
    <w:rsid w:val="00054C3C"/>
    <w:rsid w:val="00055E7A"/>
    <w:rsid w:val="0005629B"/>
    <w:rsid w:val="0006192D"/>
    <w:rsid w:val="00061DD8"/>
    <w:rsid w:val="000644B0"/>
    <w:rsid w:val="00064D68"/>
    <w:rsid w:val="00070FAD"/>
    <w:rsid w:val="00083F52"/>
    <w:rsid w:val="000930C1"/>
    <w:rsid w:val="00094313"/>
    <w:rsid w:val="00094AFE"/>
    <w:rsid w:val="000966B2"/>
    <w:rsid w:val="0009758B"/>
    <w:rsid w:val="000A17D2"/>
    <w:rsid w:val="000A4AFA"/>
    <w:rsid w:val="000A7112"/>
    <w:rsid w:val="000A75BB"/>
    <w:rsid w:val="000B2B6E"/>
    <w:rsid w:val="000B42FA"/>
    <w:rsid w:val="000B50D8"/>
    <w:rsid w:val="000B5368"/>
    <w:rsid w:val="000C421C"/>
    <w:rsid w:val="000D34E2"/>
    <w:rsid w:val="000E3481"/>
    <w:rsid w:val="000E5A21"/>
    <w:rsid w:val="000F12C9"/>
    <w:rsid w:val="000F1CB2"/>
    <w:rsid w:val="000F3717"/>
    <w:rsid w:val="000F4432"/>
    <w:rsid w:val="000F5373"/>
    <w:rsid w:val="000F7AC7"/>
    <w:rsid w:val="00101397"/>
    <w:rsid w:val="00101DA2"/>
    <w:rsid w:val="00104870"/>
    <w:rsid w:val="00104BEC"/>
    <w:rsid w:val="00106782"/>
    <w:rsid w:val="00111993"/>
    <w:rsid w:val="00115E8F"/>
    <w:rsid w:val="00121120"/>
    <w:rsid w:val="00122DF9"/>
    <w:rsid w:val="00130F1C"/>
    <w:rsid w:val="00131E36"/>
    <w:rsid w:val="00136016"/>
    <w:rsid w:val="00137BFA"/>
    <w:rsid w:val="001427B4"/>
    <w:rsid w:val="001526A6"/>
    <w:rsid w:val="00157A72"/>
    <w:rsid w:val="00162669"/>
    <w:rsid w:val="0016785D"/>
    <w:rsid w:val="00176AE0"/>
    <w:rsid w:val="00177AF5"/>
    <w:rsid w:val="00181B8A"/>
    <w:rsid w:val="001839C6"/>
    <w:rsid w:val="001943AE"/>
    <w:rsid w:val="001950BF"/>
    <w:rsid w:val="001A0675"/>
    <w:rsid w:val="001A3F12"/>
    <w:rsid w:val="001A59A0"/>
    <w:rsid w:val="001A7D39"/>
    <w:rsid w:val="001B55FA"/>
    <w:rsid w:val="001B6595"/>
    <w:rsid w:val="001D0DF1"/>
    <w:rsid w:val="001D288D"/>
    <w:rsid w:val="001D6B0D"/>
    <w:rsid w:val="001E3ABC"/>
    <w:rsid w:val="00201762"/>
    <w:rsid w:val="00201DC6"/>
    <w:rsid w:val="00201DCC"/>
    <w:rsid w:val="002030DF"/>
    <w:rsid w:val="00205B76"/>
    <w:rsid w:val="00207FD7"/>
    <w:rsid w:val="0021077A"/>
    <w:rsid w:val="002174D6"/>
    <w:rsid w:val="00220065"/>
    <w:rsid w:val="00223765"/>
    <w:rsid w:val="002321CC"/>
    <w:rsid w:val="002322D8"/>
    <w:rsid w:val="002331AD"/>
    <w:rsid w:val="002367EB"/>
    <w:rsid w:val="00236EA2"/>
    <w:rsid w:val="00244373"/>
    <w:rsid w:val="0024634F"/>
    <w:rsid w:val="00251966"/>
    <w:rsid w:val="002561B4"/>
    <w:rsid w:val="00267BB1"/>
    <w:rsid w:val="00270B6D"/>
    <w:rsid w:val="002732AC"/>
    <w:rsid w:val="0027369D"/>
    <w:rsid w:val="00276202"/>
    <w:rsid w:val="00280750"/>
    <w:rsid w:val="0028567A"/>
    <w:rsid w:val="00296822"/>
    <w:rsid w:val="00296905"/>
    <w:rsid w:val="002A0C84"/>
    <w:rsid w:val="002A6EC1"/>
    <w:rsid w:val="002B0D66"/>
    <w:rsid w:val="002B666E"/>
    <w:rsid w:val="002C3CB4"/>
    <w:rsid w:val="002C6D85"/>
    <w:rsid w:val="002D020E"/>
    <w:rsid w:val="002D1A9A"/>
    <w:rsid w:val="002D2770"/>
    <w:rsid w:val="002D2998"/>
    <w:rsid w:val="002D6926"/>
    <w:rsid w:val="002D7731"/>
    <w:rsid w:val="002E51B2"/>
    <w:rsid w:val="002E7A41"/>
    <w:rsid w:val="002F12CC"/>
    <w:rsid w:val="002F2A5B"/>
    <w:rsid w:val="002F5A59"/>
    <w:rsid w:val="00301506"/>
    <w:rsid w:val="00311B2E"/>
    <w:rsid w:val="00315BB7"/>
    <w:rsid w:val="0031651B"/>
    <w:rsid w:val="00317ABC"/>
    <w:rsid w:val="00321259"/>
    <w:rsid w:val="003215CD"/>
    <w:rsid w:val="00325B7C"/>
    <w:rsid w:val="0032704D"/>
    <w:rsid w:val="0033081C"/>
    <w:rsid w:val="00330EC7"/>
    <w:rsid w:val="00336942"/>
    <w:rsid w:val="00341DF3"/>
    <w:rsid w:val="0034288C"/>
    <w:rsid w:val="00346E01"/>
    <w:rsid w:val="00357390"/>
    <w:rsid w:val="00357828"/>
    <w:rsid w:val="0036318D"/>
    <w:rsid w:val="00366D0E"/>
    <w:rsid w:val="003712DE"/>
    <w:rsid w:val="0038300F"/>
    <w:rsid w:val="003861A9"/>
    <w:rsid w:val="003872D6"/>
    <w:rsid w:val="00390372"/>
    <w:rsid w:val="0039142C"/>
    <w:rsid w:val="00393F05"/>
    <w:rsid w:val="003944E4"/>
    <w:rsid w:val="003A5BC5"/>
    <w:rsid w:val="003B073B"/>
    <w:rsid w:val="003B4294"/>
    <w:rsid w:val="003B522A"/>
    <w:rsid w:val="003B6334"/>
    <w:rsid w:val="003C26C1"/>
    <w:rsid w:val="003C292C"/>
    <w:rsid w:val="003C2FFC"/>
    <w:rsid w:val="003C30E4"/>
    <w:rsid w:val="003C4066"/>
    <w:rsid w:val="003C5796"/>
    <w:rsid w:val="003C6DEF"/>
    <w:rsid w:val="003D09C6"/>
    <w:rsid w:val="003D1868"/>
    <w:rsid w:val="003D1BBA"/>
    <w:rsid w:val="003D33E2"/>
    <w:rsid w:val="003E165E"/>
    <w:rsid w:val="003E3874"/>
    <w:rsid w:val="003F092A"/>
    <w:rsid w:val="003F1BC2"/>
    <w:rsid w:val="003F7183"/>
    <w:rsid w:val="003F7D2C"/>
    <w:rsid w:val="00403ECB"/>
    <w:rsid w:val="0040539D"/>
    <w:rsid w:val="00406C70"/>
    <w:rsid w:val="0040795A"/>
    <w:rsid w:val="004102AD"/>
    <w:rsid w:val="00415354"/>
    <w:rsid w:val="00415A6A"/>
    <w:rsid w:val="0042159D"/>
    <w:rsid w:val="00423074"/>
    <w:rsid w:val="00424215"/>
    <w:rsid w:val="00425707"/>
    <w:rsid w:val="004319F8"/>
    <w:rsid w:val="00440148"/>
    <w:rsid w:val="004418CD"/>
    <w:rsid w:val="0044271F"/>
    <w:rsid w:val="00446A45"/>
    <w:rsid w:val="004564D7"/>
    <w:rsid w:val="004610D5"/>
    <w:rsid w:val="00464D12"/>
    <w:rsid w:val="00465C32"/>
    <w:rsid w:val="004708CE"/>
    <w:rsid w:val="00472EFC"/>
    <w:rsid w:val="00475A10"/>
    <w:rsid w:val="004777BC"/>
    <w:rsid w:val="004813E7"/>
    <w:rsid w:val="004817A5"/>
    <w:rsid w:val="004905D7"/>
    <w:rsid w:val="00493E21"/>
    <w:rsid w:val="004961DD"/>
    <w:rsid w:val="004B0273"/>
    <w:rsid w:val="004B059C"/>
    <w:rsid w:val="004C0700"/>
    <w:rsid w:val="004C0B83"/>
    <w:rsid w:val="004C1E0F"/>
    <w:rsid w:val="004C4B24"/>
    <w:rsid w:val="004C68D3"/>
    <w:rsid w:val="004C6DE1"/>
    <w:rsid w:val="004D1B13"/>
    <w:rsid w:val="004D1FE2"/>
    <w:rsid w:val="004D40EF"/>
    <w:rsid w:val="004E13F4"/>
    <w:rsid w:val="004E25D2"/>
    <w:rsid w:val="004E2A60"/>
    <w:rsid w:val="004E4F39"/>
    <w:rsid w:val="004F69CD"/>
    <w:rsid w:val="00510EC1"/>
    <w:rsid w:val="005116B5"/>
    <w:rsid w:val="005119CE"/>
    <w:rsid w:val="0051205E"/>
    <w:rsid w:val="00512982"/>
    <w:rsid w:val="0051333C"/>
    <w:rsid w:val="00513FA1"/>
    <w:rsid w:val="005201CC"/>
    <w:rsid w:val="00525E60"/>
    <w:rsid w:val="00532EE8"/>
    <w:rsid w:val="005447C5"/>
    <w:rsid w:val="00545A64"/>
    <w:rsid w:val="005500AB"/>
    <w:rsid w:val="00557B16"/>
    <w:rsid w:val="00557CDB"/>
    <w:rsid w:val="0056016B"/>
    <w:rsid w:val="00561842"/>
    <w:rsid w:val="00561B80"/>
    <w:rsid w:val="0056526E"/>
    <w:rsid w:val="00565337"/>
    <w:rsid w:val="005653D1"/>
    <w:rsid w:val="005677DC"/>
    <w:rsid w:val="005724F5"/>
    <w:rsid w:val="00577F2A"/>
    <w:rsid w:val="00583462"/>
    <w:rsid w:val="0059041E"/>
    <w:rsid w:val="00593414"/>
    <w:rsid w:val="005A57E9"/>
    <w:rsid w:val="005A7E73"/>
    <w:rsid w:val="005B204A"/>
    <w:rsid w:val="005B3ED7"/>
    <w:rsid w:val="005B78E4"/>
    <w:rsid w:val="005C0452"/>
    <w:rsid w:val="005C5C1B"/>
    <w:rsid w:val="005D0E6B"/>
    <w:rsid w:val="005E49E6"/>
    <w:rsid w:val="005E67E4"/>
    <w:rsid w:val="005F0328"/>
    <w:rsid w:val="005F4139"/>
    <w:rsid w:val="005F6116"/>
    <w:rsid w:val="005F62CB"/>
    <w:rsid w:val="005F7B08"/>
    <w:rsid w:val="00603645"/>
    <w:rsid w:val="006041FD"/>
    <w:rsid w:val="006045D3"/>
    <w:rsid w:val="00610489"/>
    <w:rsid w:val="00610545"/>
    <w:rsid w:val="00612949"/>
    <w:rsid w:val="0062432D"/>
    <w:rsid w:val="006264E6"/>
    <w:rsid w:val="00631EC3"/>
    <w:rsid w:val="00632B3F"/>
    <w:rsid w:val="006354BD"/>
    <w:rsid w:val="00641FBA"/>
    <w:rsid w:val="006421C0"/>
    <w:rsid w:val="00646496"/>
    <w:rsid w:val="00650965"/>
    <w:rsid w:val="006616B1"/>
    <w:rsid w:val="00662A2F"/>
    <w:rsid w:val="00662CAE"/>
    <w:rsid w:val="006633A5"/>
    <w:rsid w:val="00665582"/>
    <w:rsid w:val="0067235C"/>
    <w:rsid w:val="00681075"/>
    <w:rsid w:val="00681099"/>
    <w:rsid w:val="006874DF"/>
    <w:rsid w:val="006904C8"/>
    <w:rsid w:val="00693B7E"/>
    <w:rsid w:val="00694F8D"/>
    <w:rsid w:val="006978B1"/>
    <w:rsid w:val="006A23A7"/>
    <w:rsid w:val="006A43D3"/>
    <w:rsid w:val="006A4639"/>
    <w:rsid w:val="006A4DD1"/>
    <w:rsid w:val="006A52B0"/>
    <w:rsid w:val="006B0589"/>
    <w:rsid w:val="006B0A06"/>
    <w:rsid w:val="006B21E8"/>
    <w:rsid w:val="006B639D"/>
    <w:rsid w:val="006B68C5"/>
    <w:rsid w:val="006B73C4"/>
    <w:rsid w:val="006C0239"/>
    <w:rsid w:val="006C131A"/>
    <w:rsid w:val="006C5A41"/>
    <w:rsid w:val="006C5DA2"/>
    <w:rsid w:val="006C7E50"/>
    <w:rsid w:val="006D3A2D"/>
    <w:rsid w:val="006E3146"/>
    <w:rsid w:val="006E3BCB"/>
    <w:rsid w:val="006E3F5F"/>
    <w:rsid w:val="006E42E5"/>
    <w:rsid w:val="006E4A69"/>
    <w:rsid w:val="006E68B3"/>
    <w:rsid w:val="006E7A83"/>
    <w:rsid w:val="006F2EBC"/>
    <w:rsid w:val="006F355D"/>
    <w:rsid w:val="006F41B7"/>
    <w:rsid w:val="006F600E"/>
    <w:rsid w:val="007048E5"/>
    <w:rsid w:val="007129AA"/>
    <w:rsid w:val="00714735"/>
    <w:rsid w:val="00716398"/>
    <w:rsid w:val="00716726"/>
    <w:rsid w:val="0072356E"/>
    <w:rsid w:val="00723ED6"/>
    <w:rsid w:val="007248BB"/>
    <w:rsid w:val="0073059C"/>
    <w:rsid w:val="0073071A"/>
    <w:rsid w:val="00735247"/>
    <w:rsid w:val="00742EA2"/>
    <w:rsid w:val="00746CD5"/>
    <w:rsid w:val="0075119A"/>
    <w:rsid w:val="007548BA"/>
    <w:rsid w:val="007551F7"/>
    <w:rsid w:val="0075720E"/>
    <w:rsid w:val="007667AB"/>
    <w:rsid w:val="007719D4"/>
    <w:rsid w:val="0077418E"/>
    <w:rsid w:val="00774AB9"/>
    <w:rsid w:val="007779C5"/>
    <w:rsid w:val="0079413A"/>
    <w:rsid w:val="00796C2B"/>
    <w:rsid w:val="007A36B8"/>
    <w:rsid w:val="007A398B"/>
    <w:rsid w:val="007B05D5"/>
    <w:rsid w:val="007B594A"/>
    <w:rsid w:val="007B7CD2"/>
    <w:rsid w:val="007C05CD"/>
    <w:rsid w:val="007C17BA"/>
    <w:rsid w:val="007C17C6"/>
    <w:rsid w:val="007D2F29"/>
    <w:rsid w:val="007D35FF"/>
    <w:rsid w:val="007D4805"/>
    <w:rsid w:val="007E14F1"/>
    <w:rsid w:val="007E2B95"/>
    <w:rsid w:val="007E3EA6"/>
    <w:rsid w:val="007E41A6"/>
    <w:rsid w:val="007E6AAE"/>
    <w:rsid w:val="007E778E"/>
    <w:rsid w:val="007E7C00"/>
    <w:rsid w:val="007F5B45"/>
    <w:rsid w:val="0080148F"/>
    <w:rsid w:val="008043D7"/>
    <w:rsid w:val="0080552E"/>
    <w:rsid w:val="008205D2"/>
    <w:rsid w:val="00821344"/>
    <w:rsid w:val="00826D83"/>
    <w:rsid w:val="00827E0E"/>
    <w:rsid w:val="00831560"/>
    <w:rsid w:val="008320F8"/>
    <w:rsid w:val="00832A64"/>
    <w:rsid w:val="00834995"/>
    <w:rsid w:val="00834F1C"/>
    <w:rsid w:val="008400B6"/>
    <w:rsid w:val="0084114B"/>
    <w:rsid w:val="008465C5"/>
    <w:rsid w:val="00846A0D"/>
    <w:rsid w:val="008509EF"/>
    <w:rsid w:val="00851B3E"/>
    <w:rsid w:val="00851CE3"/>
    <w:rsid w:val="0085360F"/>
    <w:rsid w:val="008569D0"/>
    <w:rsid w:val="00862C45"/>
    <w:rsid w:val="00863E06"/>
    <w:rsid w:val="00871994"/>
    <w:rsid w:val="008731DD"/>
    <w:rsid w:val="00877BB6"/>
    <w:rsid w:val="008820F1"/>
    <w:rsid w:val="008831AB"/>
    <w:rsid w:val="00883284"/>
    <w:rsid w:val="00884F96"/>
    <w:rsid w:val="00885353"/>
    <w:rsid w:val="008854B7"/>
    <w:rsid w:val="00885B20"/>
    <w:rsid w:val="00887B50"/>
    <w:rsid w:val="0089053A"/>
    <w:rsid w:val="00890F6A"/>
    <w:rsid w:val="00894DDA"/>
    <w:rsid w:val="0089631D"/>
    <w:rsid w:val="008A17A6"/>
    <w:rsid w:val="008A4B6F"/>
    <w:rsid w:val="008A71DF"/>
    <w:rsid w:val="008B0321"/>
    <w:rsid w:val="008B6FC2"/>
    <w:rsid w:val="008B7A1B"/>
    <w:rsid w:val="008B7DD8"/>
    <w:rsid w:val="008C0774"/>
    <w:rsid w:val="008C3C1F"/>
    <w:rsid w:val="008C7A15"/>
    <w:rsid w:val="008E3744"/>
    <w:rsid w:val="008F3752"/>
    <w:rsid w:val="008F3EA5"/>
    <w:rsid w:val="008F448D"/>
    <w:rsid w:val="0090280D"/>
    <w:rsid w:val="00906227"/>
    <w:rsid w:val="009113DC"/>
    <w:rsid w:val="0091696F"/>
    <w:rsid w:val="00916F40"/>
    <w:rsid w:val="00917E85"/>
    <w:rsid w:val="00925713"/>
    <w:rsid w:val="0093011E"/>
    <w:rsid w:val="00931297"/>
    <w:rsid w:val="00937A76"/>
    <w:rsid w:val="00941865"/>
    <w:rsid w:val="00956DC5"/>
    <w:rsid w:val="00957ECB"/>
    <w:rsid w:val="009618F5"/>
    <w:rsid w:val="0096442D"/>
    <w:rsid w:val="009673DF"/>
    <w:rsid w:val="009717F2"/>
    <w:rsid w:val="00975AF5"/>
    <w:rsid w:val="00981929"/>
    <w:rsid w:val="009830B5"/>
    <w:rsid w:val="0098474E"/>
    <w:rsid w:val="00985269"/>
    <w:rsid w:val="00985354"/>
    <w:rsid w:val="00992406"/>
    <w:rsid w:val="0099439E"/>
    <w:rsid w:val="009A25E8"/>
    <w:rsid w:val="009A6D46"/>
    <w:rsid w:val="009B2E9F"/>
    <w:rsid w:val="009C0249"/>
    <w:rsid w:val="009C3E71"/>
    <w:rsid w:val="009C4042"/>
    <w:rsid w:val="009C698F"/>
    <w:rsid w:val="009C7A3B"/>
    <w:rsid w:val="009D17D8"/>
    <w:rsid w:val="009D3FB8"/>
    <w:rsid w:val="009D456D"/>
    <w:rsid w:val="009D4E70"/>
    <w:rsid w:val="009D530F"/>
    <w:rsid w:val="009E4B62"/>
    <w:rsid w:val="009E5E0A"/>
    <w:rsid w:val="009F10D8"/>
    <w:rsid w:val="009F1412"/>
    <w:rsid w:val="009F4397"/>
    <w:rsid w:val="009F5CCF"/>
    <w:rsid w:val="00A007AE"/>
    <w:rsid w:val="00A01CEF"/>
    <w:rsid w:val="00A07963"/>
    <w:rsid w:val="00A15540"/>
    <w:rsid w:val="00A21E53"/>
    <w:rsid w:val="00A231BC"/>
    <w:rsid w:val="00A23524"/>
    <w:rsid w:val="00A2505D"/>
    <w:rsid w:val="00A27112"/>
    <w:rsid w:val="00A277AE"/>
    <w:rsid w:val="00A315FA"/>
    <w:rsid w:val="00A317FF"/>
    <w:rsid w:val="00A32D44"/>
    <w:rsid w:val="00A33680"/>
    <w:rsid w:val="00A40AEA"/>
    <w:rsid w:val="00A47495"/>
    <w:rsid w:val="00A52F96"/>
    <w:rsid w:val="00A54997"/>
    <w:rsid w:val="00A6262A"/>
    <w:rsid w:val="00A6420B"/>
    <w:rsid w:val="00A650E0"/>
    <w:rsid w:val="00A71DBD"/>
    <w:rsid w:val="00A721F5"/>
    <w:rsid w:val="00A72377"/>
    <w:rsid w:val="00A7297B"/>
    <w:rsid w:val="00A7554F"/>
    <w:rsid w:val="00A76428"/>
    <w:rsid w:val="00A80068"/>
    <w:rsid w:val="00A808A3"/>
    <w:rsid w:val="00A80AE8"/>
    <w:rsid w:val="00A8356D"/>
    <w:rsid w:val="00A85ABF"/>
    <w:rsid w:val="00A912FD"/>
    <w:rsid w:val="00A91740"/>
    <w:rsid w:val="00A9414D"/>
    <w:rsid w:val="00AA161F"/>
    <w:rsid w:val="00AA2ED3"/>
    <w:rsid w:val="00AA2FBA"/>
    <w:rsid w:val="00AA40EA"/>
    <w:rsid w:val="00AB7DED"/>
    <w:rsid w:val="00AC2BD1"/>
    <w:rsid w:val="00AC411F"/>
    <w:rsid w:val="00AC5BD1"/>
    <w:rsid w:val="00AC6790"/>
    <w:rsid w:val="00AC6ED3"/>
    <w:rsid w:val="00AC6F33"/>
    <w:rsid w:val="00AD039B"/>
    <w:rsid w:val="00AD2BEF"/>
    <w:rsid w:val="00AD370E"/>
    <w:rsid w:val="00AD3B7D"/>
    <w:rsid w:val="00AD3E3F"/>
    <w:rsid w:val="00AD4B3E"/>
    <w:rsid w:val="00AD70AF"/>
    <w:rsid w:val="00AE1BFC"/>
    <w:rsid w:val="00AE31D6"/>
    <w:rsid w:val="00AE333E"/>
    <w:rsid w:val="00AE68F2"/>
    <w:rsid w:val="00AF0D0C"/>
    <w:rsid w:val="00AF5434"/>
    <w:rsid w:val="00AF54D6"/>
    <w:rsid w:val="00AF719D"/>
    <w:rsid w:val="00B01498"/>
    <w:rsid w:val="00B02EA5"/>
    <w:rsid w:val="00B04107"/>
    <w:rsid w:val="00B06C30"/>
    <w:rsid w:val="00B12E4E"/>
    <w:rsid w:val="00B14FF7"/>
    <w:rsid w:val="00B15DCA"/>
    <w:rsid w:val="00B255F6"/>
    <w:rsid w:val="00B25773"/>
    <w:rsid w:val="00B33BC6"/>
    <w:rsid w:val="00B34237"/>
    <w:rsid w:val="00B34CFD"/>
    <w:rsid w:val="00B404CD"/>
    <w:rsid w:val="00B42B6F"/>
    <w:rsid w:val="00B43CF5"/>
    <w:rsid w:val="00B45C8E"/>
    <w:rsid w:val="00B463EB"/>
    <w:rsid w:val="00B55E09"/>
    <w:rsid w:val="00B5702E"/>
    <w:rsid w:val="00B61F76"/>
    <w:rsid w:val="00B67DC9"/>
    <w:rsid w:val="00B74806"/>
    <w:rsid w:val="00B84A9F"/>
    <w:rsid w:val="00B857DF"/>
    <w:rsid w:val="00B87D42"/>
    <w:rsid w:val="00B87D5C"/>
    <w:rsid w:val="00B94021"/>
    <w:rsid w:val="00B94B2A"/>
    <w:rsid w:val="00B95171"/>
    <w:rsid w:val="00B965C1"/>
    <w:rsid w:val="00BA0441"/>
    <w:rsid w:val="00BA1829"/>
    <w:rsid w:val="00BA7940"/>
    <w:rsid w:val="00BB760D"/>
    <w:rsid w:val="00BB78D6"/>
    <w:rsid w:val="00BB7D87"/>
    <w:rsid w:val="00BC0D1A"/>
    <w:rsid w:val="00BC1252"/>
    <w:rsid w:val="00BC372D"/>
    <w:rsid w:val="00BC7BB0"/>
    <w:rsid w:val="00BD6C58"/>
    <w:rsid w:val="00BD6FA1"/>
    <w:rsid w:val="00BE069C"/>
    <w:rsid w:val="00BE3248"/>
    <w:rsid w:val="00BE65A4"/>
    <w:rsid w:val="00BE668D"/>
    <w:rsid w:val="00BF0612"/>
    <w:rsid w:val="00BF0690"/>
    <w:rsid w:val="00BF689D"/>
    <w:rsid w:val="00C022C5"/>
    <w:rsid w:val="00C0497D"/>
    <w:rsid w:val="00C04B7A"/>
    <w:rsid w:val="00C053DD"/>
    <w:rsid w:val="00C06DDD"/>
    <w:rsid w:val="00C06FEF"/>
    <w:rsid w:val="00C0717E"/>
    <w:rsid w:val="00C07229"/>
    <w:rsid w:val="00C10B47"/>
    <w:rsid w:val="00C173B3"/>
    <w:rsid w:val="00C211E5"/>
    <w:rsid w:val="00C32628"/>
    <w:rsid w:val="00C33D69"/>
    <w:rsid w:val="00C33ED0"/>
    <w:rsid w:val="00C45560"/>
    <w:rsid w:val="00C51178"/>
    <w:rsid w:val="00C65DCF"/>
    <w:rsid w:val="00C66B30"/>
    <w:rsid w:val="00C6787F"/>
    <w:rsid w:val="00C76E23"/>
    <w:rsid w:val="00C846E0"/>
    <w:rsid w:val="00C868B4"/>
    <w:rsid w:val="00C86FB7"/>
    <w:rsid w:val="00C93601"/>
    <w:rsid w:val="00C93892"/>
    <w:rsid w:val="00C9414B"/>
    <w:rsid w:val="00C96110"/>
    <w:rsid w:val="00C966BE"/>
    <w:rsid w:val="00C96DEE"/>
    <w:rsid w:val="00C97AC3"/>
    <w:rsid w:val="00CA72B7"/>
    <w:rsid w:val="00CB474D"/>
    <w:rsid w:val="00CB5152"/>
    <w:rsid w:val="00CC0ABC"/>
    <w:rsid w:val="00CC3B3D"/>
    <w:rsid w:val="00CC65D1"/>
    <w:rsid w:val="00CD09C4"/>
    <w:rsid w:val="00CD11AD"/>
    <w:rsid w:val="00CD11DD"/>
    <w:rsid w:val="00CD78AA"/>
    <w:rsid w:val="00CD7C0D"/>
    <w:rsid w:val="00CE1578"/>
    <w:rsid w:val="00CE1E67"/>
    <w:rsid w:val="00CF49C5"/>
    <w:rsid w:val="00CF74E8"/>
    <w:rsid w:val="00CF76C5"/>
    <w:rsid w:val="00D03D16"/>
    <w:rsid w:val="00D03E04"/>
    <w:rsid w:val="00D12077"/>
    <w:rsid w:val="00D135CB"/>
    <w:rsid w:val="00D176B3"/>
    <w:rsid w:val="00D2669C"/>
    <w:rsid w:val="00D30C03"/>
    <w:rsid w:val="00D3194A"/>
    <w:rsid w:val="00D3348F"/>
    <w:rsid w:val="00D34B41"/>
    <w:rsid w:val="00D3699D"/>
    <w:rsid w:val="00D41863"/>
    <w:rsid w:val="00D43A37"/>
    <w:rsid w:val="00D44599"/>
    <w:rsid w:val="00D46134"/>
    <w:rsid w:val="00D47620"/>
    <w:rsid w:val="00D504E6"/>
    <w:rsid w:val="00D525C7"/>
    <w:rsid w:val="00D552E6"/>
    <w:rsid w:val="00D572B1"/>
    <w:rsid w:val="00D608F3"/>
    <w:rsid w:val="00D63497"/>
    <w:rsid w:val="00D63C73"/>
    <w:rsid w:val="00D6612B"/>
    <w:rsid w:val="00D71433"/>
    <w:rsid w:val="00D71676"/>
    <w:rsid w:val="00D72CAB"/>
    <w:rsid w:val="00D7376E"/>
    <w:rsid w:val="00D747F4"/>
    <w:rsid w:val="00D81460"/>
    <w:rsid w:val="00D83AB8"/>
    <w:rsid w:val="00D8582D"/>
    <w:rsid w:val="00D91782"/>
    <w:rsid w:val="00D93B19"/>
    <w:rsid w:val="00D9467D"/>
    <w:rsid w:val="00D952A4"/>
    <w:rsid w:val="00D95BC0"/>
    <w:rsid w:val="00D95EBA"/>
    <w:rsid w:val="00DA0478"/>
    <w:rsid w:val="00DB06C0"/>
    <w:rsid w:val="00DB2224"/>
    <w:rsid w:val="00DB26BD"/>
    <w:rsid w:val="00DB5069"/>
    <w:rsid w:val="00DB5880"/>
    <w:rsid w:val="00DB6E71"/>
    <w:rsid w:val="00DC179A"/>
    <w:rsid w:val="00DC5006"/>
    <w:rsid w:val="00DD05F7"/>
    <w:rsid w:val="00DD1725"/>
    <w:rsid w:val="00DD19EE"/>
    <w:rsid w:val="00DD390A"/>
    <w:rsid w:val="00DD4991"/>
    <w:rsid w:val="00DD777B"/>
    <w:rsid w:val="00DE21C8"/>
    <w:rsid w:val="00DF1CFE"/>
    <w:rsid w:val="00DF7B9E"/>
    <w:rsid w:val="00E007AE"/>
    <w:rsid w:val="00E00945"/>
    <w:rsid w:val="00E024B0"/>
    <w:rsid w:val="00E05FE3"/>
    <w:rsid w:val="00E10D15"/>
    <w:rsid w:val="00E116CA"/>
    <w:rsid w:val="00E12091"/>
    <w:rsid w:val="00E24E7F"/>
    <w:rsid w:val="00E25248"/>
    <w:rsid w:val="00E27B56"/>
    <w:rsid w:val="00E31827"/>
    <w:rsid w:val="00E3524C"/>
    <w:rsid w:val="00E43465"/>
    <w:rsid w:val="00E435F4"/>
    <w:rsid w:val="00E453BA"/>
    <w:rsid w:val="00E470BC"/>
    <w:rsid w:val="00E51B48"/>
    <w:rsid w:val="00E531AA"/>
    <w:rsid w:val="00E53BA6"/>
    <w:rsid w:val="00E55D3F"/>
    <w:rsid w:val="00E6055F"/>
    <w:rsid w:val="00E60E88"/>
    <w:rsid w:val="00E61DFE"/>
    <w:rsid w:val="00E6282F"/>
    <w:rsid w:val="00E653B3"/>
    <w:rsid w:val="00E70BCD"/>
    <w:rsid w:val="00E73B48"/>
    <w:rsid w:val="00E766C3"/>
    <w:rsid w:val="00E76C30"/>
    <w:rsid w:val="00E77C9A"/>
    <w:rsid w:val="00E813F6"/>
    <w:rsid w:val="00E822CE"/>
    <w:rsid w:val="00E835A1"/>
    <w:rsid w:val="00E859C5"/>
    <w:rsid w:val="00E86C92"/>
    <w:rsid w:val="00E8754E"/>
    <w:rsid w:val="00E87D12"/>
    <w:rsid w:val="00E91DC4"/>
    <w:rsid w:val="00E95787"/>
    <w:rsid w:val="00E96173"/>
    <w:rsid w:val="00EA1DD7"/>
    <w:rsid w:val="00EB35F3"/>
    <w:rsid w:val="00EB57CF"/>
    <w:rsid w:val="00EB729B"/>
    <w:rsid w:val="00EC61D5"/>
    <w:rsid w:val="00EC6CB1"/>
    <w:rsid w:val="00EC7A0C"/>
    <w:rsid w:val="00EC7C88"/>
    <w:rsid w:val="00ED004D"/>
    <w:rsid w:val="00ED0CFD"/>
    <w:rsid w:val="00ED2022"/>
    <w:rsid w:val="00ED3F95"/>
    <w:rsid w:val="00ED4452"/>
    <w:rsid w:val="00ED572A"/>
    <w:rsid w:val="00EE1F68"/>
    <w:rsid w:val="00EE463A"/>
    <w:rsid w:val="00EE67A7"/>
    <w:rsid w:val="00EE7F77"/>
    <w:rsid w:val="00EF6240"/>
    <w:rsid w:val="00F041B1"/>
    <w:rsid w:val="00F05082"/>
    <w:rsid w:val="00F07583"/>
    <w:rsid w:val="00F07A01"/>
    <w:rsid w:val="00F10A3A"/>
    <w:rsid w:val="00F14014"/>
    <w:rsid w:val="00F20E05"/>
    <w:rsid w:val="00F22F69"/>
    <w:rsid w:val="00F255B6"/>
    <w:rsid w:val="00F32862"/>
    <w:rsid w:val="00F32F27"/>
    <w:rsid w:val="00F34750"/>
    <w:rsid w:val="00F4022E"/>
    <w:rsid w:val="00F40738"/>
    <w:rsid w:val="00F42066"/>
    <w:rsid w:val="00F4557B"/>
    <w:rsid w:val="00F4575F"/>
    <w:rsid w:val="00F541D1"/>
    <w:rsid w:val="00F60500"/>
    <w:rsid w:val="00F707BA"/>
    <w:rsid w:val="00F73BD7"/>
    <w:rsid w:val="00F7695A"/>
    <w:rsid w:val="00F83035"/>
    <w:rsid w:val="00F8318A"/>
    <w:rsid w:val="00F94C4E"/>
    <w:rsid w:val="00F964E8"/>
    <w:rsid w:val="00F96D78"/>
    <w:rsid w:val="00FA0429"/>
    <w:rsid w:val="00FA4635"/>
    <w:rsid w:val="00FA7C89"/>
    <w:rsid w:val="00FB0824"/>
    <w:rsid w:val="00FB17B1"/>
    <w:rsid w:val="00FB2A90"/>
    <w:rsid w:val="00FB3745"/>
    <w:rsid w:val="00FB3D56"/>
    <w:rsid w:val="00FB6B07"/>
    <w:rsid w:val="00FC19F1"/>
    <w:rsid w:val="00FC1A00"/>
    <w:rsid w:val="00FC4058"/>
    <w:rsid w:val="00FC47D1"/>
    <w:rsid w:val="00FC4FAF"/>
    <w:rsid w:val="00FC5052"/>
    <w:rsid w:val="00FC561A"/>
    <w:rsid w:val="00FC6E03"/>
    <w:rsid w:val="00FC7A3C"/>
    <w:rsid w:val="00FD0700"/>
    <w:rsid w:val="00FD1EB7"/>
    <w:rsid w:val="00FD3D28"/>
    <w:rsid w:val="00FD57FB"/>
    <w:rsid w:val="00FD6903"/>
    <w:rsid w:val="00FE07E1"/>
    <w:rsid w:val="00FE2500"/>
    <w:rsid w:val="00FE3580"/>
    <w:rsid w:val="00FE47B3"/>
    <w:rsid w:val="00FF124B"/>
    <w:rsid w:val="00FF1684"/>
    <w:rsid w:val="00FF368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D4452"/>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ais"/>
    <w:next w:val="Parastais"/>
    <w:link w:val="Virsraksts2Rakstz"/>
    <w:uiPriority w:val="9"/>
    <w:semiHidden/>
    <w:unhideWhenUsed/>
    <w:qFormat/>
    <w:rsid w:val="00D814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link w:val="Virsraksts3Rakstz"/>
    <w:uiPriority w:val="9"/>
    <w:qFormat/>
    <w:rsid w:val="00D63C73"/>
    <w:pPr>
      <w:spacing w:before="100" w:beforeAutospacing="1" w:after="100" w:afterAutospacing="1"/>
      <w:jc w:val="center"/>
      <w:outlineLvl w:val="2"/>
    </w:pPr>
    <w:rPr>
      <w:b/>
      <w:bCs/>
      <w:color w:val="414142"/>
      <w:sz w:val="31"/>
      <w:szCs w:val="3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0">
    <w:name w:val="parastais"/>
    <w:basedOn w:val="Parastais"/>
    <w:rsid w:val="00ED4452"/>
    <w:pPr>
      <w:spacing w:before="100" w:beforeAutospacing="1" w:after="100" w:afterAutospacing="1"/>
    </w:pPr>
  </w:style>
  <w:style w:type="character" w:customStyle="1" w:styleId="parastaischar">
    <w:name w:val="parastais__char"/>
    <w:basedOn w:val="Noklusjumarindkopasfonts"/>
    <w:rsid w:val="00ED4452"/>
  </w:style>
  <w:style w:type="paragraph" w:customStyle="1" w:styleId="saraksta0020rindkopa">
    <w:name w:val="saraksta_0020rindkopa"/>
    <w:basedOn w:val="Parastais"/>
    <w:rsid w:val="00ED4452"/>
    <w:pPr>
      <w:spacing w:before="100" w:beforeAutospacing="1" w:after="100" w:afterAutospacing="1"/>
    </w:pPr>
  </w:style>
  <w:style w:type="character" w:customStyle="1" w:styleId="izc0113lumschar">
    <w:name w:val="izc_0113lums__char"/>
    <w:basedOn w:val="Noklusjumarindkopasfonts"/>
    <w:rsid w:val="00ED4452"/>
  </w:style>
  <w:style w:type="paragraph" w:styleId="Galvene">
    <w:name w:val="header"/>
    <w:aliases w:val="18pt Bold"/>
    <w:basedOn w:val="Parastais"/>
    <w:link w:val="GalveneRakstz"/>
    <w:uiPriority w:val="99"/>
    <w:rsid w:val="00ED4452"/>
    <w:pPr>
      <w:tabs>
        <w:tab w:val="center" w:pos="4153"/>
        <w:tab w:val="right" w:pos="8306"/>
      </w:tabs>
    </w:pPr>
  </w:style>
  <w:style w:type="character" w:customStyle="1" w:styleId="GalveneRakstz">
    <w:name w:val="Galvene Rakstz."/>
    <w:aliases w:val="18pt Bold Rakstz."/>
    <w:basedOn w:val="Noklusjumarindkopasfonts"/>
    <w:link w:val="Galvene"/>
    <w:uiPriority w:val="99"/>
    <w:rsid w:val="00ED4452"/>
    <w:rPr>
      <w:rFonts w:ascii="Times New Roman" w:eastAsia="Times New Roman" w:hAnsi="Times New Roman" w:cs="Times New Roman"/>
      <w:sz w:val="24"/>
      <w:szCs w:val="24"/>
    </w:rPr>
  </w:style>
  <w:style w:type="paragraph" w:styleId="Kjene">
    <w:name w:val="footer"/>
    <w:basedOn w:val="Parastais"/>
    <w:link w:val="KjeneRakstz"/>
    <w:rsid w:val="00ED4452"/>
    <w:pPr>
      <w:tabs>
        <w:tab w:val="center" w:pos="4153"/>
        <w:tab w:val="right" w:pos="8306"/>
      </w:tabs>
    </w:pPr>
  </w:style>
  <w:style w:type="character" w:customStyle="1" w:styleId="KjeneRakstz">
    <w:name w:val="Kājene Rakstz."/>
    <w:basedOn w:val="Noklusjumarindkopasfonts"/>
    <w:link w:val="Kjene"/>
    <w:rsid w:val="00ED4452"/>
    <w:rPr>
      <w:rFonts w:ascii="Times New Roman" w:eastAsia="Times New Roman" w:hAnsi="Times New Roman" w:cs="Times New Roman"/>
      <w:sz w:val="24"/>
      <w:szCs w:val="24"/>
      <w:lang w:eastAsia="lv-LV"/>
    </w:rPr>
  </w:style>
  <w:style w:type="character" w:styleId="Lappusesnumurs">
    <w:name w:val="page number"/>
    <w:basedOn w:val="Noklusjumarindkopasfonts"/>
    <w:rsid w:val="00ED4452"/>
  </w:style>
  <w:style w:type="character" w:customStyle="1" w:styleId="saraksta0020rindkopachar">
    <w:name w:val="saraksta_0020rindkopa__char"/>
    <w:basedOn w:val="Noklusjumarindkopasfonts"/>
    <w:rsid w:val="00ED4452"/>
  </w:style>
  <w:style w:type="paragraph" w:styleId="Sarakstarindkopa">
    <w:name w:val="List Paragraph"/>
    <w:aliases w:val="2,H&amp;P List Paragraph,Strip"/>
    <w:basedOn w:val="Parastais"/>
    <w:link w:val="SarakstarindkopaRakstz"/>
    <w:uiPriority w:val="34"/>
    <w:qFormat/>
    <w:rsid w:val="00ED4452"/>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Noklusjumarindkopasfonts"/>
    <w:rsid w:val="00ED4452"/>
  </w:style>
  <w:style w:type="paragraph" w:styleId="Bezatstarpm">
    <w:name w:val="No Spacing"/>
    <w:qFormat/>
    <w:rsid w:val="00ED4452"/>
    <w:pPr>
      <w:spacing w:after="0" w:line="240" w:lineRule="auto"/>
      <w:ind w:firstLine="720"/>
      <w:jc w:val="both"/>
    </w:pPr>
    <w:rPr>
      <w:rFonts w:ascii="Calibri" w:eastAsia="Calibri" w:hAnsi="Calibri" w:cs="Times New Roman"/>
    </w:rPr>
  </w:style>
  <w:style w:type="paragraph" w:styleId="Balonteksts">
    <w:name w:val="Balloon Text"/>
    <w:basedOn w:val="Parastais"/>
    <w:link w:val="BalontekstsRakstz"/>
    <w:uiPriority w:val="99"/>
    <w:semiHidden/>
    <w:unhideWhenUsed/>
    <w:rsid w:val="00ED445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D4452"/>
    <w:rPr>
      <w:rFonts w:ascii="Tahoma" w:eastAsia="Times New Roman" w:hAnsi="Tahoma" w:cs="Tahoma"/>
      <w:sz w:val="16"/>
      <w:szCs w:val="16"/>
      <w:lang w:eastAsia="lv-LV"/>
    </w:rPr>
  </w:style>
  <w:style w:type="paragraph" w:styleId="Vresteksts">
    <w:name w:val="footnote text"/>
    <w:aliases w:val="Footnote,Fußnote,Schriftart: 9 pt,Schriftart: 10 pt,Schriftart: 8 pt,WB-Fußnotentext,fn,Footnotes,Footnote ak,Char,Char Rakstz. Rakstz. Rakstz. Rakstz. Rakstz. Rakstz. Rakstz.,Char Rakstz. Rakstz. Rakstz. Rakstz. Rakstz. Rakstz.,single spa"/>
    <w:basedOn w:val="Parastais"/>
    <w:link w:val="VrestekstsRakstz"/>
    <w:uiPriority w:val="99"/>
    <w:unhideWhenUsed/>
    <w:qFormat/>
    <w:rsid w:val="00064D68"/>
    <w:rPr>
      <w:rFonts w:ascii="Calibri" w:eastAsia="Calibri" w:hAnsi="Calibri"/>
      <w:sz w:val="20"/>
      <w:szCs w:val="20"/>
      <w:lang w:eastAsia="en-US"/>
    </w:rPr>
  </w:style>
  <w:style w:type="character" w:customStyle="1" w:styleId="VrestekstsRakstz">
    <w:name w:val="Vēres teksts Rakstz."/>
    <w:aliases w:val="Footnote Rakstz.,Fußnote Rakstz.,Schriftart: 9 pt Rakstz.,Schriftart: 10 pt Rakstz.,Schriftart: 8 pt Rakstz.,WB-Fußnotentext Rakstz.,fn Rakstz.,Footnotes Rakstz.,Footnote ak Rakstz.,Char Rakstz.,single spa Rakstz."/>
    <w:basedOn w:val="Noklusjumarindkopasfonts"/>
    <w:link w:val="Vresteksts"/>
    <w:uiPriority w:val="99"/>
    <w:rsid w:val="00064D68"/>
    <w:rPr>
      <w:rFonts w:ascii="Calibri" w:eastAsia="Calibri" w:hAnsi="Calibri" w:cs="Times New Roman"/>
      <w:sz w:val="20"/>
      <w:szCs w:val="20"/>
    </w:rPr>
  </w:style>
  <w:style w:type="character" w:styleId="Vresatsau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unhideWhenUsed/>
    <w:rsid w:val="00064D68"/>
    <w:rPr>
      <w:vertAlign w:val="superscript"/>
    </w:rPr>
  </w:style>
  <w:style w:type="character" w:styleId="Hipersaite">
    <w:name w:val="Hyperlink"/>
    <w:basedOn w:val="Noklusjumarindkopasfonts"/>
    <w:rsid w:val="00064D68"/>
    <w:rPr>
      <w:color w:val="0000FF"/>
      <w:u w:val="single"/>
    </w:rPr>
  </w:style>
  <w:style w:type="table" w:customStyle="1" w:styleId="Gaissarakstsizclums51">
    <w:name w:val="Gaišs saraksts — izcēlums 51"/>
    <w:basedOn w:val="Parastatabula"/>
    <w:next w:val="Gaissarakstsizclums5"/>
    <w:uiPriority w:val="61"/>
    <w:rsid w:val="00064D68"/>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Gaissarakstsizclums5">
    <w:name w:val="Light List Accent 5"/>
    <w:basedOn w:val="Parastatabula"/>
    <w:uiPriority w:val="61"/>
    <w:rsid w:val="00064D6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SarakstarindkopaRakstz">
    <w:name w:val="Saraksta rindkopa Rakstz."/>
    <w:aliases w:val="2 Rakstz.,H&amp;P List Paragraph Rakstz.,Strip Rakstz."/>
    <w:link w:val="Sarakstarindkopa"/>
    <w:uiPriority w:val="34"/>
    <w:qFormat/>
    <w:rsid w:val="00064D68"/>
    <w:rPr>
      <w:rFonts w:ascii="Calibri" w:eastAsia="Calibri" w:hAnsi="Calibri" w:cs="Times New Roman"/>
    </w:rPr>
  </w:style>
  <w:style w:type="character" w:customStyle="1" w:styleId="Virsraksts3Rakstz">
    <w:name w:val="Virsraksts 3 Rakstz."/>
    <w:basedOn w:val="Noklusjumarindkopasfonts"/>
    <w:link w:val="Virsraksts3"/>
    <w:uiPriority w:val="9"/>
    <w:rsid w:val="00D63C73"/>
    <w:rPr>
      <w:rFonts w:ascii="Times New Roman" w:eastAsia="Times New Roman" w:hAnsi="Times New Roman" w:cs="Times New Roman"/>
      <w:b/>
      <w:bCs/>
      <w:color w:val="414142"/>
      <w:sz w:val="31"/>
      <w:szCs w:val="31"/>
      <w:lang w:eastAsia="lv-LV"/>
    </w:rPr>
  </w:style>
  <w:style w:type="paragraph" w:customStyle="1" w:styleId="Default">
    <w:name w:val="Default"/>
    <w:rsid w:val="00525E60"/>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defaultchar1">
    <w:name w:val="default__char1"/>
    <w:basedOn w:val="Noklusjumarindkopasfonts"/>
    <w:rsid w:val="00FC4FAF"/>
    <w:rPr>
      <w:rFonts w:ascii="Times New Roman" w:hAnsi="Times New Roman" w:cs="Times New Roman" w:hint="default"/>
      <w:sz w:val="28"/>
      <w:szCs w:val="28"/>
    </w:rPr>
  </w:style>
  <w:style w:type="paragraph" w:customStyle="1" w:styleId="CharCharCharChar">
    <w:name w:val="Char Char Char Char"/>
    <w:aliases w:val="Char2"/>
    <w:basedOn w:val="Parastais"/>
    <w:next w:val="Parastais"/>
    <w:link w:val="Vresatsauce"/>
    <w:uiPriority w:val="99"/>
    <w:rsid w:val="00565337"/>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Apakvirsraksts">
    <w:name w:val="Subtitle"/>
    <w:aliases w:val="AttVirsraksts"/>
    <w:basedOn w:val="Parastais"/>
    <w:next w:val="Parastais"/>
    <w:link w:val="ApakvirsrakstsRakstz"/>
    <w:qFormat/>
    <w:rsid w:val="00B25773"/>
    <w:pPr>
      <w:numPr>
        <w:ilvl w:val="1"/>
      </w:numPr>
      <w:spacing w:before="60" w:after="120" w:line="276" w:lineRule="auto"/>
      <w:jc w:val="both"/>
    </w:pPr>
    <w:rPr>
      <w:rFonts w:asciiTheme="majorHAnsi" w:eastAsiaTheme="majorEastAsia" w:hAnsiTheme="majorHAnsi" w:cstheme="majorBidi"/>
      <w:b/>
      <w:iCs/>
      <w:color w:val="0F243E" w:themeColor="text2" w:themeShade="80"/>
      <w:spacing w:val="15"/>
      <w:sz w:val="20"/>
      <w:lang w:eastAsia="en-US"/>
    </w:rPr>
  </w:style>
  <w:style w:type="character" w:customStyle="1" w:styleId="ApakvirsrakstsRakstz">
    <w:name w:val="Apakšvirsraksts Rakstz."/>
    <w:aliases w:val="AttVirsraksts Rakstz."/>
    <w:basedOn w:val="Noklusjumarindkopasfonts"/>
    <w:link w:val="Apakvirsraksts"/>
    <w:rsid w:val="00B25773"/>
    <w:rPr>
      <w:rFonts w:asciiTheme="majorHAnsi" w:eastAsiaTheme="majorEastAsia" w:hAnsiTheme="majorHAnsi" w:cstheme="majorBidi"/>
      <w:b/>
      <w:iCs/>
      <w:color w:val="0F243E" w:themeColor="text2" w:themeShade="80"/>
      <w:spacing w:val="15"/>
      <w:sz w:val="20"/>
      <w:szCs w:val="24"/>
    </w:rPr>
  </w:style>
  <w:style w:type="table" w:customStyle="1" w:styleId="LightList-Accent12">
    <w:name w:val="Light List - Accent 12"/>
    <w:basedOn w:val="Parastatabula"/>
    <w:uiPriority w:val="61"/>
    <w:rsid w:val="00B2577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v2131">
    <w:name w:val="tv2131"/>
    <w:basedOn w:val="Parastais"/>
    <w:rsid w:val="003B6334"/>
    <w:pPr>
      <w:spacing w:line="360" w:lineRule="auto"/>
      <w:ind w:firstLine="300"/>
    </w:pPr>
    <w:rPr>
      <w:color w:val="414142"/>
      <w:sz w:val="20"/>
      <w:szCs w:val="20"/>
    </w:rPr>
  </w:style>
  <w:style w:type="paragraph" w:customStyle="1" w:styleId="table0020normal1">
    <w:name w:val="table_0020normal1"/>
    <w:basedOn w:val="Parastais"/>
    <w:rsid w:val="00A33680"/>
  </w:style>
  <w:style w:type="character" w:customStyle="1" w:styleId="table0020normalchar1">
    <w:name w:val="table_0020normal__char1"/>
    <w:basedOn w:val="Noklusjumarindkopasfonts"/>
    <w:rsid w:val="00A33680"/>
    <w:rPr>
      <w:strike w:val="0"/>
      <w:dstrike w:val="0"/>
      <w:u w:val="none"/>
      <w:effect w:val="none"/>
    </w:rPr>
  </w:style>
  <w:style w:type="character" w:customStyle="1" w:styleId="normalchar1">
    <w:name w:val="normal__char1"/>
    <w:basedOn w:val="Noklusjumarindkopasfonts"/>
    <w:rsid w:val="00A33680"/>
    <w:rPr>
      <w:rFonts w:ascii="Times New Roman" w:hAnsi="Times New Roman" w:cs="Times New Roman" w:hint="default"/>
      <w:strike w:val="0"/>
      <w:dstrike w:val="0"/>
      <w:sz w:val="24"/>
      <w:szCs w:val="24"/>
      <w:u w:val="none"/>
      <w:effect w:val="none"/>
    </w:rPr>
  </w:style>
  <w:style w:type="character" w:customStyle="1" w:styleId="footnote0020referencechar1">
    <w:name w:val="footnote_0020reference__char1"/>
    <w:basedOn w:val="Noklusjumarindkopasfonts"/>
    <w:rsid w:val="006041FD"/>
    <w:rPr>
      <w:sz w:val="20"/>
      <w:szCs w:val="20"/>
      <w:vertAlign w:val="superscript"/>
    </w:rPr>
  </w:style>
  <w:style w:type="table" w:styleId="Reatabula">
    <w:name w:val="Table Grid"/>
    <w:basedOn w:val="Parastatabula"/>
    <w:uiPriority w:val="59"/>
    <w:rsid w:val="005B2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2Rakstz">
    <w:name w:val="Virsraksts 2 Rakstz."/>
    <w:basedOn w:val="Noklusjumarindkopasfonts"/>
    <w:link w:val="Virsraksts2"/>
    <w:uiPriority w:val="9"/>
    <w:semiHidden/>
    <w:rsid w:val="00D81460"/>
    <w:rPr>
      <w:rFonts w:asciiTheme="majorHAnsi" w:eastAsiaTheme="majorEastAsia" w:hAnsiTheme="majorHAnsi" w:cstheme="majorBidi"/>
      <w:b/>
      <w:bCs/>
      <w:color w:val="4F81BD" w:themeColor="accent1"/>
      <w:sz w:val="26"/>
      <w:szCs w:val="26"/>
      <w:lang w:eastAsia="lv-LV"/>
    </w:rPr>
  </w:style>
  <w:style w:type="character" w:styleId="Izteiksmgs">
    <w:name w:val="Strong"/>
    <w:basedOn w:val="Noklusjumarindkopasfonts"/>
    <w:uiPriority w:val="22"/>
    <w:qFormat/>
    <w:rsid w:val="00061DD8"/>
    <w:rPr>
      <w:b/>
      <w:bCs/>
    </w:rPr>
  </w:style>
  <w:style w:type="paragraph" w:customStyle="1" w:styleId="liknoteik1">
    <w:name w:val="lik_noteik1"/>
    <w:basedOn w:val="Parastais"/>
    <w:rsid w:val="0005629B"/>
    <w:pPr>
      <w:spacing w:before="100" w:beforeAutospacing="1" w:after="100" w:afterAutospacing="1" w:line="360" w:lineRule="auto"/>
      <w:ind w:firstLine="272"/>
      <w:jc w:val="right"/>
    </w:pPr>
    <w:rPr>
      <w:b/>
      <w:bCs/>
      <w:color w:val="414142"/>
      <w:sz w:val="18"/>
      <w:szCs w:val="18"/>
    </w:rPr>
  </w:style>
  <w:style w:type="paragraph" w:customStyle="1" w:styleId="likdat1">
    <w:name w:val="lik_dat1"/>
    <w:basedOn w:val="Parastais"/>
    <w:rsid w:val="0005629B"/>
    <w:pPr>
      <w:spacing w:before="100" w:beforeAutospacing="1" w:after="100" w:afterAutospacing="1" w:line="360" w:lineRule="auto"/>
      <w:ind w:firstLine="272"/>
      <w:jc w:val="right"/>
    </w:pPr>
    <w:rPr>
      <w:color w:val="414142"/>
      <w:sz w:val="18"/>
      <w:szCs w:val="18"/>
    </w:rPr>
  </w:style>
  <w:style w:type="character" w:styleId="Komentraatsauce">
    <w:name w:val="annotation reference"/>
    <w:basedOn w:val="Noklusjumarindkopasfonts"/>
    <w:uiPriority w:val="99"/>
    <w:semiHidden/>
    <w:unhideWhenUsed/>
    <w:rsid w:val="00834995"/>
    <w:rPr>
      <w:sz w:val="16"/>
      <w:szCs w:val="16"/>
    </w:rPr>
  </w:style>
  <w:style w:type="paragraph" w:styleId="Komentrateksts">
    <w:name w:val="annotation text"/>
    <w:basedOn w:val="Parastais"/>
    <w:link w:val="KomentratekstsRakstz"/>
    <w:uiPriority w:val="99"/>
    <w:semiHidden/>
    <w:unhideWhenUsed/>
    <w:rsid w:val="00834995"/>
    <w:rPr>
      <w:sz w:val="20"/>
      <w:szCs w:val="20"/>
    </w:rPr>
  </w:style>
  <w:style w:type="character" w:customStyle="1" w:styleId="KomentratekstsRakstz">
    <w:name w:val="Komentāra teksts Rakstz."/>
    <w:basedOn w:val="Noklusjumarindkopasfonts"/>
    <w:link w:val="Komentrateksts"/>
    <w:uiPriority w:val="99"/>
    <w:semiHidden/>
    <w:rsid w:val="0083499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34995"/>
    <w:rPr>
      <w:b/>
      <w:bCs/>
    </w:rPr>
  </w:style>
  <w:style w:type="character" w:customStyle="1" w:styleId="KomentratmaRakstz">
    <w:name w:val="Komentāra tēma Rakstz."/>
    <w:basedOn w:val="KomentratekstsRakstz"/>
    <w:link w:val="Komentratma"/>
    <w:uiPriority w:val="99"/>
    <w:semiHidden/>
    <w:rsid w:val="00834995"/>
    <w:rPr>
      <w:rFonts w:ascii="Times New Roman" w:eastAsia="Times New Roman" w:hAnsi="Times New Roman" w:cs="Times New Roman"/>
      <w:b/>
      <w:bCs/>
      <w:sz w:val="20"/>
      <w:szCs w:val="20"/>
      <w:lang w:eastAsia="lv-LV"/>
    </w:rPr>
  </w:style>
  <w:style w:type="character" w:styleId="Izmantotahipersaite">
    <w:name w:val="FollowedHyperlink"/>
    <w:basedOn w:val="Noklusjumarindkopasfonts"/>
    <w:uiPriority w:val="99"/>
    <w:semiHidden/>
    <w:unhideWhenUsed/>
    <w:rsid w:val="002200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7424442">
      <w:bodyDiv w:val="1"/>
      <w:marLeft w:val="0"/>
      <w:marRight w:val="0"/>
      <w:marTop w:val="0"/>
      <w:marBottom w:val="0"/>
      <w:divBdr>
        <w:top w:val="none" w:sz="0" w:space="0" w:color="auto"/>
        <w:left w:val="none" w:sz="0" w:space="0" w:color="auto"/>
        <w:bottom w:val="none" w:sz="0" w:space="0" w:color="auto"/>
        <w:right w:val="none" w:sz="0" w:space="0" w:color="auto"/>
      </w:divBdr>
      <w:divsChild>
        <w:div w:id="821893516">
          <w:marLeft w:val="0"/>
          <w:marRight w:val="0"/>
          <w:marTop w:val="0"/>
          <w:marBottom w:val="0"/>
          <w:divBdr>
            <w:top w:val="none" w:sz="0" w:space="0" w:color="auto"/>
            <w:left w:val="none" w:sz="0" w:space="0" w:color="auto"/>
            <w:bottom w:val="none" w:sz="0" w:space="0" w:color="auto"/>
            <w:right w:val="none" w:sz="0" w:space="0" w:color="auto"/>
          </w:divBdr>
          <w:divsChild>
            <w:div w:id="2095471874">
              <w:marLeft w:val="0"/>
              <w:marRight w:val="0"/>
              <w:marTop w:val="0"/>
              <w:marBottom w:val="0"/>
              <w:divBdr>
                <w:top w:val="none" w:sz="0" w:space="0" w:color="auto"/>
                <w:left w:val="none" w:sz="0" w:space="0" w:color="auto"/>
                <w:bottom w:val="none" w:sz="0" w:space="0" w:color="auto"/>
                <w:right w:val="none" w:sz="0" w:space="0" w:color="auto"/>
              </w:divBdr>
              <w:divsChild>
                <w:div w:id="1987783413">
                  <w:marLeft w:val="0"/>
                  <w:marRight w:val="0"/>
                  <w:marTop w:val="0"/>
                  <w:marBottom w:val="0"/>
                  <w:divBdr>
                    <w:top w:val="none" w:sz="0" w:space="0" w:color="auto"/>
                    <w:left w:val="none" w:sz="0" w:space="0" w:color="auto"/>
                    <w:bottom w:val="none" w:sz="0" w:space="0" w:color="auto"/>
                    <w:right w:val="none" w:sz="0" w:space="0" w:color="auto"/>
                  </w:divBdr>
                  <w:divsChild>
                    <w:div w:id="1952013004">
                      <w:marLeft w:val="0"/>
                      <w:marRight w:val="0"/>
                      <w:marTop w:val="0"/>
                      <w:marBottom w:val="0"/>
                      <w:divBdr>
                        <w:top w:val="none" w:sz="0" w:space="0" w:color="auto"/>
                        <w:left w:val="none" w:sz="0" w:space="0" w:color="auto"/>
                        <w:bottom w:val="none" w:sz="0" w:space="0" w:color="auto"/>
                        <w:right w:val="none" w:sz="0" w:space="0" w:color="auto"/>
                      </w:divBdr>
                      <w:divsChild>
                        <w:div w:id="2099788914">
                          <w:marLeft w:val="0"/>
                          <w:marRight w:val="0"/>
                          <w:marTop w:val="0"/>
                          <w:marBottom w:val="0"/>
                          <w:divBdr>
                            <w:top w:val="none" w:sz="0" w:space="0" w:color="auto"/>
                            <w:left w:val="none" w:sz="0" w:space="0" w:color="auto"/>
                            <w:bottom w:val="none" w:sz="0" w:space="0" w:color="auto"/>
                            <w:right w:val="none" w:sz="0" w:space="0" w:color="auto"/>
                          </w:divBdr>
                          <w:divsChild>
                            <w:div w:id="13024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76352">
      <w:bodyDiv w:val="1"/>
      <w:marLeft w:val="0"/>
      <w:marRight w:val="0"/>
      <w:marTop w:val="0"/>
      <w:marBottom w:val="0"/>
      <w:divBdr>
        <w:top w:val="none" w:sz="0" w:space="0" w:color="auto"/>
        <w:left w:val="none" w:sz="0" w:space="0" w:color="auto"/>
        <w:bottom w:val="none" w:sz="0" w:space="0" w:color="auto"/>
        <w:right w:val="none" w:sz="0" w:space="0" w:color="auto"/>
      </w:divBdr>
      <w:divsChild>
        <w:div w:id="1280261556">
          <w:marLeft w:val="0"/>
          <w:marRight w:val="0"/>
          <w:marTop w:val="0"/>
          <w:marBottom w:val="0"/>
          <w:divBdr>
            <w:top w:val="none" w:sz="0" w:space="0" w:color="auto"/>
            <w:left w:val="none" w:sz="0" w:space="0" w:color="auto"/>
            <w:bottom w:val="none" w:sz="0" w:space="0" w:color="auto"/>
            <w:right w:val="none" w:sz="0" w:space="0" w:color="auto"/>
          </w:divBdr>
          <w:divsChild>
            <w:div w:id="1718701560">
              <w:marLeft w:val="0"/>
              <w:marRight w:val="0"/>
              <w:marTop w:val="0"/>
              <w:marBottom w:val="0"/>
              <w:divBdr>
                <w:top w:val="none" w:sz="0" w:space="0" w:color="auto"/>
                <w:left w:val="none" w:sz="0" w:space="0" w:color="auto"/>
                <w:bottom w:val="none" w:sz="0" w:space="0" w:color="auto"/>
                <w:right w:val="none" w:sz="0" w:space="0" w:color="auto"/>
              </w:divBdr>
              <w:divsChild>
                <w:div w:id="1277833646">
                  <w:marLeft w:val="0"/>
                  <w:marRight w:val="0"/>
                  <w:marTop w:val="0"/>
                  <w:marBottom w:val="0"/>
                  <w:divBdr>
                    <w:top w:val="none" w:sz="0" w:space="0" w:color="auto"/>
                    <w:left w:val="none" w:sz="0" w:space="0" w:color="auto"/>
                    <w:bottom w:val="none" w:sz="0" w:space="0" w:color="auto"/>
                    <w:right w:val="none" w:sz="0" w:space="0" w:color="auto"/>
                  </w:divBdr>
                  <w:divsChild>
                    <w:div w:id="1826193405">
                      <w:marLeft w:val="0"/>
                      <w:marRight w:val="0"/>
                      <w:marTop w:val="0"/>
                      <w:marBottom w:val="0"/>
                      <w:divBdr>
                        <w:top w:val="none" w:sz="0" w:space="0" w:color="auto"/>
                        <w:left w:val="none" w:sz="0" w:space="0" w:color="auto"/>
                        <w:bottom w:val="none" w:sz="0" w:space="0" w:color="auto"/>
                        <w:right w:val="none" w:sz="0" w:space="0" w:color="auto"/>
                      </w:divBdr>
                      <w:divsChild>
                        <w:div w:id="2100708893">
                          <w:marLeft w:val="0"/>
                          <w:marRight w:val="0"/>
                          <w:marTop w:val="0"/>
                          <w:marBottom w:val="0"/>
                          <w:divBdr>
                            <w:top w:val="none" w:sz="0" w:space="0" w:color="auto"/>
                            <w:left w:val="none" w:sz="0" w:space="0" w:color="auto"/>
                            <w:bottom w:val="none" w:sz="0" w:space="0" w:color="auto"/>
                            <w:right w:val="none" w:sz="0" w:space="0" w:color="auto"/>
                          </w:divBdr>
                          <w:divsChild>
                            <w:div w:id="10005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20903">
      <w:bodyDiv w:val="1"/>
      <w:marLeft w:val="0"/>
      <w:marRight w:val="0"/>
      <w:marTop w:val="0"/>
      <w:marBottom w:val="0"/>
      <w:divBdr>
        <w:top w:val="none" w:sz="0" w:space="0" w:color="auto"/>
        <w:left w:val="none" w:sz="0" w:space="0" w:color="auto"/>
        <w:bottom w:val="none" w:sz="0" w:space="0" w:color="auto"/>
        <w:right w:val="none" w:sz="0" w:space="0" w:color="auto"/>
      </w:divBdr>
      <w:divsChild>
        <w:div w:id="1751539224">
          <w:marLeft w:val="0"/>
          <w:marRight w:val="0"/>
          <w:marTop w:val="0"/>
          <w:marBottom w:val="0"/>
          <w:divBdr>
            <w:top w:val="none" w:sz="0" w:space="0" w:color="auto"/>
            <w:left w:val="none" w:sz="0" w:space="0" w:color="auto"/>
            <w:bottom w:val="none" w:sz="0" w:space="0" w:color="auto"/>
            <w:right w:val="none" w:sz="0" w:space="0" w:color="auto"/>
          </w:divBdr>
          <w:divsChild>
            <w:div w:id="383910911">
              <w:marLeft w:val="0"/>
              <w:marRight w:val="0"/>
              <w:marTop w:val="0"/>
              <w:marBottom w:val="0"/>
              <w:divBdr>
                <w:top w:val="none" w:sz="0" w:space="0" w:color="auto"/>
                <w:left w:val="none" w:sz="0" w:space="0" w:color="auto"/>
                <w:bottom w:val="none" w:sz="0" w:space="0" w:color="auto"/>
                <w:right w:val="none" w:sz="0" w:space="0" w:color="auto"/>
              </w:divBdr>
              <w:divsChild>
                <w:div w:id="1508129760">
                  <w:marLeft w:val="0"/>
                  <w:marRight w:val="0"/>
                  <w:marTop w:val="0"/>
                  <w:marBottom w:val="0"/>
                  <w:divBdr>
                    <w:top w:val="none" w:sz="0" w:space="0" w:color="auto"/>
                    <w:left w:val="none" w:sz="0" w:space="0" w:color="auto"/>
                    <w:bottom w:val="none" w:sz="0" w:space="0" w:color="auto"/>
                    <w:right w:val="none" w:sz="0" w:space="0" w:color="auto"/>
                  </w:divBdr>
                  <w:divsChild>
                    <w:div w:id="1212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917672">
      <w:bodyDiv w:val="1"/>
      <w:marLeft w:val="0"/>
      <w:marRight w:val="0"/>
      <w:marTop w:val="0"/>
      <w:marBottom w:val="0"/>
      <w:divBdr>
        <w:top w:val="none" w:sz="0" w:space="0" w:color="auto"/>
        <w:left w:val="none" w:sz="0" w:space="0" w:color="auto"/>
        <w:bottom w:val="none" w:sz="0" w:space="0" w:color="auto"/>
        <w:right w:val="none" w:sz="0" w:space="0" w:color="auto"/>
      </w:divBdr>
    </w:div>
    <w:div w:id="21028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Vilson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ventspils.lv/files/dokumenti/attistibasprogramma/ventspils_attistibas_programma_2020_27_12_2013.pdf" TargetMode="External"/><Relationship Id="rId1" Type="http://schemas.openxmlformats.org/officeDocument/2006/relationships/hyperlink" Target="http://www.kurzemesregions.lv/userfiles/files/RPUS_2013_27062014.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53544-7215-4D73-942E-D256B453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27984</Words>
  <Characters>15952</Characters>
  <Application>Microsoft Office Word</Application>
  <DocSecurity>0</DocSecurity>
  <Lines>132</Lines>
  <Paragraphs>87</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43849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profesionālās izglītības kompetences centra „Ventspils Mūzikas vidusskola” tālāko attīstību”</dc:title>
  <dc:subject>Informatīvais ziņojums</dc:subject>
  <dc:creator>D.Vilsone</dc:creator>
  <dc:description>67330255
Dace.Vilsone@km.gov.lv </dc:description>
  <cp:lastModifiedBy>Dzintra Rozīte</cp:lastModifiedBy>
  <cp:revision>4</cp:revision>
  <cp:lastPrinted>2016-04-21T06:18:00Z</cp:lastPrinted>
  <dcterms:created xsi:type="dcterms:W3CDTF">2016-04-25T11:45:00Z</dcterms:created>
  <dcterms:modified xsi:type="dcterms:W3CDTF">2016-04-26T06:11:00Z</dcterms:modified>
</cp:coreProperties>
</file>