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C8" w:rsidRPr="00EB1317" w:rsidRDefault="0045270C" w:rsidP="00EC63C8">
      <w:pPr>
        <w:tabs>
          <w:tab w:val="center" w:pos="4153"/>
          <w:tab w:val="right" w:pos="8306"/>
        </w:tabs>
        <w:jc w:val="center"/>
        <w:rPr>
          <w:b/>
          <w:sz w:val="28"/>
          <w:szCs w:val="28"/>
        </w:rPr>
      </w:pPr>
      <w:bookmarkStart w:id="0" w:name="OLE_LINK13"/>
      <w:bookmarkStart w:id="1" w:name="OLE_LINK14"/>
      <w:bookmarkStart w:id="2" w:name="OLE_LINK1"/>
      <w:bookmarkStart w:id="3" w:name="OLE_LINK2"/>
      <w:bookmarkStart w:id="4" w:name="OLE_LINK3"/>
      <w:r>
        <w:rPr>
          <w:b/>
          <w:noProof/>
          <w:sz w:val="28"/>
          <w:szCs w:val="28"/>
          <w:lang w:eastAsia="lv-LV"/>
        </w:rPr>
        <w:pict>
          <v:rect id="_x0000_s1026" style="position:absolute;left:0;text-align:left;margin-left:204.35pt;margin-top:-42.55pt;width:42pt;height:25.5pt;z-index:251658240" strokecolor="white [3212]"/>
        </w:pict>
      </w:r>
      <w:bookmarkStart w:id="5" w:name="OLE_LINK4"/>
      <w:bookmarkStart w:id="6" w:name="OLE_LINK5"/>
      <w:r w:rsidR="00EC63C8" w:rsidRPr="00EB1317">
        <w:rPr>
          <w:b/>
          <w:sz w:val="28"/>
          <w:szCs w:val="28"/>
          <w:lang w:eastAsia="lv-LV"/>
        </w:rPr>
        <w:t>Ministru kabineta noteikumu projekta „</w:t>
      </w:r>
      <w:r w:rsidR="00C2015A" w:rsidRPr="00EB1317">
        <w:rPr>
          <w:b/>
          <w:sz w:val="28"/>
          <w:szCs w:val="28"/>
        </w:rPr>
        <w:t xml:space="preserve">Darbības programmas </w:t>
      </w:r>
      <w:r w:rsidR="004E7530">
        <w:rPr>
          <w:b/>
          <w:sz w:val="28"/>
          <w:szCs w:val="28"/>
        </w:rPr>
        <w:t>„</w:t>
      </w:r>
      <w:r w:rsidR="00C2015A" w:rsidRPr="00EB1317">
        <w:rPr>
          <w:b/>
          <w:sz w:val="28"/>
          <w:szCs w:val="28"/>
        </w:rPr>
        <w:t>Izaugsme un nodarbinātība</w:t>
      </w:r>
      <w:r w:rsidR="004E7530">
        <w:rPr>
          <w:b/>
          <w:sz w:val="28"/>
          <w:szCs w:val="28"/>
        </w:rPr>
        <w:t>”</w:t>
      </w:r>
      <w:r w:rsidR="00C2015A" w:rsidRPr="00EB1317">
        <w:rPr>
          <w:b/>
          <w:sz w:val="28"/>
          <w:szCs w:val="28"/>
        </w:rPr>
        <w:t xml:space="preserve"> 9.2.4. specifiskā atbalsta mērķa </w:t>
      </w:r>
      <w:r w:rsidR="004E7530">
        <w:rPr>
          <w:b/>
          <w:sz w:val="28"/>
          <w:szCs w:val="28"/>
        </w:rPr>
        <w:t>„</w:t>
      </w:r>
      <w:r w:rsidR="00C2015A" w:rsidRPr="00EB1317">
        <w:rPr>
          <w:b/>
          <w:sz w:val="28"/>
          <w:szCs w:val="28"/>
        </w:rPr>
        <w:t>Uzlabot pieejamību veselības veicināšanas un slimību profilakses pakalpojumiem, jo īpaši, nabadzības un sociālās atstumtības riskam pakļautajiem iedzīvotājiem</w:t>
      </w:r>
      <w:r w:rsidR="004E7530">
        <w:rPr>
          <w:b/>
          <w:sz w:val="28"/>
          <w:szCs w:val="28"/>
        </w:rPr>
        <w:t>”</w:t>
      </w:r>
      <w:r w:rsidR="00C2015A" w:rsidRPr="00EB1317">
        <w:rPr>
          <w:b/>
          <w:sz w:val="28"/>
          <w:szCs w:val="28"/>
        </w:rPr>
        <w:t xml:space="preserve"> 9.2.4.1.pasākuma „Kompleksi veselības veicināšanas un slimību profilakses pasākumi” un 9.2.4.2.pasākuma „</w:t>
      </w:r>
      <w:r w:rsidR="00261745" w:rsidRPr="00EB1317">
        <w:rPr>
          <w:b/>
          <w:sz w:val="28"/>
          <w:szCs w:val="28"/>
        </w:rPr>
        <w:t>Pasākumi vietējās sabiedrības veselības veicināšanai un slimību profilaksei</w:t>
      </w:r>
      <w:r w:rsidR="00C2015A" w:rsidRPr="00EB1317">
        <w:rPr>
          <w:b/>
          <w:sz w:val="28"/>
          <w:szCs w:val="28"/>
        </w:rPr>
        <w:t>” īstenošanas noteikumi</w:t>
      </w:r>
      <w:r w:rsidR="00D41187" w:rsidRPr="00EB1317">
        <w:rPr>
          <w:b/>
          <w:sz w:val="28"/>
          <w:szCs w:val="28"/>
        </w:rPr>
        <w:t>”</w:t>
      </w:r>
      <w:r w:rsidR="00EC63C8" w:rsidRPr="00EB1317">
        <w:rPr>
          <w:b/>
          <w:sz w:val="28"/>
          <w:szCs w:val="28"/>
        </w:rPr>
        <w:t xml:space="preserve"> sākotnējās ietekmes novērtējuma ziņojums (anotācija)</w:t>
      </w:r>
      <w:bookmarkEnd w:id="0"/>
      <w:bookmarkEnd w:id="1"/>
      <w:bookmarkEnd w:id="2"/>
      <w:bookmarkEnd w:id="5"/>
      <w:bookmarkEnd w:id="6"/>
    </w:p>
    <w:bookmarkEnd w:id="3"/>
    <w:bookmarkEnd w:id="4"/>
    <w:p w:rsidR="00C1591C" w:rsidRPr="00D26824"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8"/>
        <w:gridCol w:w="2420"/>
        <w:gridCol w:w="6068"/>
      </w:tblGrid>
      <w:tr w:rsidR="003735C6" w:rsidRPr="00D26824" w:rsidTr="00C1591C">
        <w:trPr>
          <w:trHeight w:val="419"/>
        </w:trPr>
        <w:tc>
          <w:tcPr>
            <w:tcW w:w="5000" w:type="pct"/>
            <w:gridSpan w:val="3"/>
            <w:vAlign w:val="center"/>
          </w:tcPr>
          <w:p w:rsidR="003735C6" w:rsidRPr="00D26824" w:rsidRDefault="003735C6" w:rsidP="00C1591C">
            <w:pPr>
              <w:pStyle w:val="naisnod"/>
              <w:spacing w:before="0" w:beforeAutospacing="0" w:after="0" w:afterAutospacing="0"/>
              <w:ind w:left="57" w:right="57"/>
              <w:jc w:val="center"/>
              <w:rPr>
                <w:b/>
              </w:rPr>
            </w:pPr>
            <w:r w:rsidRPr="00D26824">
              <w:rPr>
                <w:b/>
              </w:rPr>
              <w:t>I. Tiesību akta projekta izstrādes nepieciešamība</w:t>
            </w:r>
          </w:p>
        </w:tc>
      </w:tr>
      <w:tr w:rsidR="003735C6" w:rsidRPr="00D26824" w:rsidTr="00C1591C">
        <w:trPr>
          <w:trHeight w:val="415"/>
        </w:trPr>
        <w:tc>
          <w:tcPr>
            <w:tcW w:w="251" w:type="pct"/>
          </w:tcPr>
          <w:p w:rsidR="003735C6" w:rsidRPr="00D26824" w:rsidRDefault="003735C6" w:rsidP="00C1591C">
            <w:pPr>
              <w:pStyle w:val="naiskr"/>
              <w:spacing w:before="0" w:beforeAutospacing="0" w:after="0" w:afterAutospacing="0"/>
              <w:ind w:left="57" w:right="57"/>
              <w:jc w:val="center"/>
            </w:pPr>
            <w:r w:rsidRPr="00D26824">
              <w:t>1.</w:t>
            </w:r>
          </w:p>
        </w:tc>
        <w:tc>
          <w:tcPr>
            <w:tcW w:w="1354" w:type="pct"/>
          </w:tcPr>
          <w:p w:rsidR="003735C6" w:rsidRPr="00D26824" w:rsidRDefault="003735C6" w:rsidP="00C1591C">
            <w:pPr>
              <w:pStyle w:val="naiskr"/>
              <w:spacing w:before="0" w:beforeAutospacing="0" w:after="0" w:afterAutospacing="0"/>
              <w:ind w:left="57" w:right="57"/>
              <w:rPr>
                <w:rFonts w:eastAsiaTheme="minorHAnsi"/>
                <w:lang w:eastAsia="en-US"/>
              </w:rPr>
            </w:pPr>
            <w:r w:rsidRPr="00D26824">
              <w:rPr>
                <w:rFonts w:eastAsiaTheme="minorHAnsi"/>
                <w:lang w:eastAsia="en-US"/>
              </w:rPr>
              <w:t>Pamatojums</w:t>
            </w:r>
          </w:p>
        </w:tc>
        <w:tc>
          <w:tcPr>
            <w:tcW w:w="3395" w:type="pct"/>
          </w:tcPr>
          <w:p w:rsidR="003735C6" w:rsidRPr="00D26824" w:rsidRDefault="00B6659C" w:rsidP="00C1591C">
            <w:pPr>
              <w:pStyle w:val="naiskr"/>
              <w:spacing w:before="40" w:beforeAutospacing="0" w:after="40" w:afterAutospacing="0"/>
              <w:ind w:left="57" w:right="57" w:firstLine="284"/>
              <w:jc w:val="both"/>
            </w:pPr>
            <w:r w:rsidRPr="00D26824">
              <w:rPr>
                <w:rFonts w:eastAsiaTheme="minorHAnsi"/>
              </w:rPr>
              <w:t xml:space="preserve">Eiropas Savienības (turpmāk – ES) fondu 2014. – 2020.gada </w:t>
            </w:r>
            <w:r w:rsidRPr="00D26824">
              <w:t>plānošanas</w:t>
            </w:r>
            <w:r w:rsidRPr="00D26824">
              <w:rPr>
                <w:rFonts w:eastAsiaTheme="minorHAnsi"/>
              </w:rPr>
              <w:t xml:space="preserve"> perioda </w:t>
            </w:r>
            <w:r w:rsidRPr="00D26824">
              <w:t>Darbības programmas “</w:t>
            </w:r>
            <w:r w:rsidRPr="00D26824">
              <w:rPr>
                <w:i/>
              </w:rPr>
              <w:t>Izaugsme un nodarbinātība</w:t>
            </w:r>
            <w:r w:rsidRPr="00D26824">
              <w:t>” prioritārā</w:t>
            </w:r>
            <w:r w:rsidRPr="00D26824">
              <w:rPr>
                <w:rFonts w:eastAsiaTheme="minorHAnsi"/>
              </w:rPr>
              <w:t xml:space="preserve"> virziena “</w:t>
            </w:r>
            <w:r w:rsidRPr="00D26824">
              <w:rPr>
                <w:rFonts w:eastAsia="Calibri"/>
                <w:i/>
              </w:rPr>
              <w:t>Sociālā iekļaušana un nabadzības apkarošana</w:t>
            </w:r>
            <w:r w:rsidRPr="00D26824">
              <w:rPr>
                <w:rFonts w:eastAsiaTheme="minorHAnsi"/>
              </w:rPr>
              <w:t xml:space="preserve">” </w:t>
            </w:r>
            <w:r w:rsidR="00C2015A" w:rsidRPr="00D26824">
              <w:rPr>
                <w:bCs/>
              </w:rPr>
              <w:t>9.2.4. specifiskā atbalsta mērķa "</w:t>
            </w:r>
            <w:r w:rsidR="00C2015A" w:rsidRPr="00D26824">
              <w:rPr>
                <w:bCs/>
                <w:i/>
              </w:rPr>
              <w:t>Uzlabot pieejamību veselības veicināšanas un slimību profilakses pakalpojumiem, jo īpaši, nabadzības un sociālās atstumtības riskam pakļautajiem iedzīvotājiem</w:t>
            </w:r>
            <w:r w:rsidR="00C2015A" w:rsidRPr="00D26824">
              <w:rPr>
                <w:bCs/>
              </w:rPr>
              <w:t>" 9.2.4.1.pasākuma „</w:t>
            </w:r>
            <w:r w:rsidR="00C2015A" w:rsidRPr="00D26824">
              <w:rPr>
                <w:bCs/>
                <w:i/>
              </w:rPr>
              <w:t>Kompleksi veselības veicināšanas un slimību profilakses pasākumi</w:t>
            </w:r>
            <w:r w:rsidR="00C2015A" w:rsidRPr="00D26824">
              <w:rPr>
                <w:bCs/>
              </w:rPr>
              <w:t>” un 9.2.4.2.pasākuma „</w:t>
            </w:r>
            <w:r w:rsidR="00C2015A" w:rsidRPr="00D26824">
              <w:rPr>
                <w:bCs/>
                <w:i/>
              </w:rPr>
              <w:t>Pasākumi vietējās sabiedrības veselības veicināšanai</w:t>
            </w:r>
            <w:r w:rsidR="00261745" w:rsidRPr="00D26824">
              <w:rPr>
                <w:bCs/>
                <w:i/>
              </w:rPr>
              <w:t xml:space="preserve"> un slimību profilaksei</w:t>
            </w:r>
            <w:r w:rsidR="00C2015A" w:rsidRPr="00D26824">
              <w:rPr>
                <w:bCs/>
              </w:rPr>
              <w:t xml:space="preserve">” īstenošanas noteikumu projekts izstrādāts atbilstoši </w:t>
            </w:r>
            <w:r w:rsidRPr="00D26824">
              <w:t>darbības programmas “</w:t>
            </w:r>
            <w:r w:rsidRPr="00D26824">
              <w:rPr>
                <w:i/>
              </w:rPr>
              <w:t>Izaugsme un nodarbinātība</w:t>
            </w:r>
            <w:r w:rsidRPr="00D26824">
              <w:t>”</w:t>
            </w:r>
            <w:r w:rsidR="002C6B64">
              <w:t xml:space="preserve"> </w:t>
            </w:r>
            <w:r w:rsidR="00C2015A" w:rsidRPr="00D26824">
              <w:t>mērķiem un Ministru Prezidenta 2014.gada 21.jūlija rezolūcijai Nr.12/2014-JUR-151, saskaņā ar kuru līdz 2017.gada 1.decembrim atbilstoši kompetencei jāsagatavo un noteiktā kārtībā jāiesniedz Ministr</w:t>
            </w:r>
            <w:r w:rsidR="00D26824" w:rsidRPr="00D26824">
              <w:t>u kabinetā (turpmāk – MK) 2014.gada 3.</w:t>
            </w:r>
            <w:r w:rsidR="00C2015A" w:rsidRPr="00D26824">
              <w:t>jūlija Eiropas Savienības struktūrfondu un Kohēzijas fonda 2014.-2020. gada plānoš</w:t>
            </w:r>
            <w:r w:rsidR="00D26824" w:rsidRPr="00D26824">
              <w:t>anas perioda vadības likuma 20.</w:t>
            </w:r>
            <w:r w:rsidR="00C2015A" w:rsidRPr="00D26824">
              <w:t xml:space="preserve">panta </w:t>
            </w:r>
            <w:r w:rsidR="00383602">
              <w:t xml:space="preserve">6. un </w:t>
            </w:r>
            <w:r w:rsidR="00C2015A" w:rsidRPr="00D26824">
              <w:t>13.punktā minēto tiesību aktu projektus.</w:t>
            </w:r>
          </w:p>
        </w:tc>
      </w:tr>
      <w:tr w:rsidR="003735C6" w:rsidRPr="00D26824" w:rsidTr="001767BB">
        <w:trPr>
          <w:trHeight w:val="56"/>
        </w:trPr>
        <w:tc>
          <w:tcPr>
            <w:tcW w:w="251" w:type="pct"/>
          </w:tcPr>
          <w:p w:rsidR="003735C6" w:rsidRPr="00D26824" w:rsidRDefault="003735C6" w:rsidP="00C1591C">
            <w:pPr>
              <w:pStyle w:val="naiskr"/>
              <w:spacing w:before="0" w:beforeAutospacing="0" w:after="0" w:afterAutospacing="0"/>
              <w:ind w:left="57" w:right="57"/>
              <w:jc w:val="center"/>
            </w:pPr>
            <w:r w:rsidRPr="00D26824">
              <w:t>2.</w:t>
            </w:r>
          </w:p>
        </w:tc>
        <w:tc>
          <w:tcPr>
            <w:tcW w:w="1354" w:type="pct"/>
          </w:tcPr>
          <w:p w:rsidR="003735C6" w:rsidRPr="00D26824" w:rsidRDefault="003735C6" w:rsidP="00C1591C">
            <w:pPr>
              <w:pStyle w:val="naiskr"/>
              <w:tabs>
                <w:tab w:val="left" w:pos="170"/>
              </w:tabs>
              <w:spacing w:before="0" w:beforeAutospacing="0" w:after="0" w:afterAutospacing="0"/>
              <w:ind w:left="57" w:right="57"/>
            </w:pPr>
            <w:r w:rsidRPr="00D26824">
              <w:t>Pašreizējā situācija un problēmas, kuru risināšanai tiesību akta projekts izstrādāts, tiesiskā regulējuma mērķis un būtība</w:t>
            </w:r>
          </w:p>
        </w:tc>
        <w:tc>
          <w:tcPr>
            <w:tcW w:w="3395" w:type="pct"/>
          </w:tcPr>
          <w:p w:rsidR="003C6583" w:rsidRPr="00D26824" w:rsidRDefault="00B6659C" w:rsidP="00C1591C">
            <w:pPr>
              <w:pStyle w:val="naiskr"/>
              <w:spacing w:before="40" w:beforeAutospacing="0" w:after="40" w:afterAutospacing="0"/>
              <w:ind w:left="57" w:right="57" w:firstLine="284"/>
              <w:jc w:val="both"/>
              <w:rPr>
                <w:rFonts w:eastAsiaTheme="minorHAnsi"/>
              </w:rPr>
            </w:pPr>
            <w:r w:rsidRPr="00D26824">
              <w:t xml:space="preserve">Darbības </w:t>
            </w:r>
            <w:r w:rsidRPr="00D26824">
              <w:rPr>
                <w:bCs/>
              </w:rPr>
              <w:t>programma</w:t>
            </w:r>
            <w:r w:rsidRPr="00D26824">
              <w:t xml:space="preserve"> “</w:t>
            </w:r>
            <w:r w:rsidRPr="00D26824">
              <w:rPr>
                <w:i/>
              </w:rPr>
              <w:t>Izaugsme un nodarbinātība</w:t>
            </w:r>
            <w:r w:rsidRPr="00D26824">
              <w:t>”</w:t>
            </w:r>
            <w:r w:rsidR="002C6B64">
              <w:t xml:space="preserve"> </w:t>
            </w:r>
            <w:r w:rsidR="003C6583" w:rsidRPr="00D26824">
              <w:rPr>
                <w:rFonts w:eastAsiaTheme="minorHAnsi"/>
              </w:rPr>
              <w:t xml:space="preserve">paredz </w:t>
            </w:r>
            <w:r w:rsidRPr="00D26824">
              <w:rPr>
                <w:rFonts w:eastAsiaTheme="minorHAnsi"/>
              </w:rPr>
              <w:t>9</w:t>
            </w:r>
            <w:r w:rsidRPr="00D26824">
              <w:rPr>
                <w:bCs/>
              </w:rPr>
              <w:t xml:space="preserve">.2.4. specifiskā atbalsta mērķa </w:t>
            </w:r>
            <w:r w:rsidR="00C75CB8">
              <w:rPr>
                <w:bCs/>
              </w:rPr>
              <w:t>„</w:t>
            </w:r>
            <w:r w:rsidRPr="00D26824">
              <w:rPr>
                <w:bCs/>
                <w:i/>
              </w:rPr>
              <w:t>Uzlabot pieejamību veselības veicināšanas un slimību profilakses pakalpojumiem, jo īpaši, nabadzības un sociālās atstumtības riskam pakļautajiem iedzīvotājiem</w:t>
            </w:r>
            <w:r w:rsidR="00C75CB8">
              <w:rPr>
                <w:bCs/>
              </w:rPr>
              <w:t>”</w:t>
            </w:r>
            <w:r w:rsidRPr="00D26824">
              <w:rPr>
                <w:bCs/>
              </w:rPr>
              <w:t xml:space="preserve"> </w:t>
            </w:r>
            <w:r w:rsidRPr="00D26824">
              <w:rPr>
                <w:rFonts w:eastAsiaTheme="minorHAnsi"/>
              </w:rPr>
              <w:t xml:space="preserve">(turpmāk – SAM) </w:t>
            </w:r>
            <w:r w:rsidR="00B740F0">
              <w:rPr>
                <w:rFonts w:eastAsiaTheme="minorHAnsi"/>
              </w:rPr>
              <w:t>īstenošanu, paredzot</w:t>
            </w:r>
            <w:r w:rsidR="00D26824" w:rsidRPr="00D26824">
              <w:rPr>
                <w:rFonts w:eastAsiaTheme="minorHAnsi"/>
              </w:rPr>
              <w:t xml:space="preserve"> gan vispārēj</w:t>
            </w:r>
            <w:r w:rsidR="00CC5007">
              <w:rPr>
                <w:rFonts w:eastAsiaTheme="minorHAnsi"/>
              </w:rPr>
              <w:t>o</w:t>
            </w:r>
            <w:r w:rsidR="00D26824" w:rsidRPr="00D26824">
              <w:rPr>
                <w:rFonts w:eastAsiaTheme="minorHAnsi"/>
              </w:rPr>
              <w:t>s, gan vietējos veselības veicināšanas un slimību profilakses pasākumu</w:t>
            </w:r>
            <w:r w:rsidR="00B740F0">
              <w:rPr>
                <w:rFonts w:eastAsiaTheme="minorHAnsi"/>
              </w:rPr>
              <w:t>s</w:t>
            </w:r>
            <w:r w:rsidR="00D26824" w:rsidRPr="00D26824">
              <w:rPr>
                <w:rFonts w:eastAsiaTheme="minorHAnsi"/>
              </w:rPr>
              <w:t>, vietējiem pasākumiem novirzot finansējumu līdz 70 procentiem no SAM kopējā finansējuma.</w:t>
            </w:r>
          </w:p>
          <w:p w:rsidR="00FB7556" w:rsidRPr="00FB7556" w:rsidRDefault="003C6583" w:rsidP="00FB7556">
            <w:pPr>
              <w:pStyle w:val="naiskr"/>
              <w:spacing w:before="40" w:beforeAutospacing="0" w:after="40" w:afterAutospacing="0"/>
              <w:ind w:left="57" w:right="57" w:firstLine="284"/>
              <w:jc w:val="both"/>
              <w:rPr>
                <w:bCs/>
                <w:spacing w:val="-2"/>
              </w:rPr>
            </w:pPr>
            <w:r w:rsidRPr="00D26824">
              <w:rPr>
                <w:rFonts w:eastAsiaTheme="minorHAnsi"/>
                <w:b/>
                <w:u w:val="single"/>
              </w:rPr>
              <w:t>SAM mērķis</w:t>
            </w:r>
            <w:r w:rsidRPr="00D26824">
              <w:rPr>
                <w:rFonts w:eastAsiaTheme="minorHAnsi"/>
              </w:rPr>
              <w:t xml:space="preserve"> ir</w:t>
            </w:r>
            <w:r w:rsidR="002C6B64">
              <w:rPr>
                <w:rFonts w:eastAsiaTheme="minorHAnsi"/>
              </w:rPr>
              <w:t xml:space="preserve"> </w:t>
            </w:r>
            <w:r w:rsidR="00237AA7" w:rsidRPr="00237AA7">
              <w:rPr>
                <w:bCs/>
                <w:spacing w:val="-2"/>
              </w:rPr>
              <w:t>uzlabot pieejamību veselības veicināšanas un slimību profilakses pakalpojumiem visiem Latvijas iedzīvotājiem, jo īpaši, teritoriālās, nabadzības un sociālās atstumtības riskam pakļautajiem iedzīvotājiem</w:t>
            </w:r>
            <w:r w:rsidR="00892E13" w:rsidRPr="00D26824">
              <w:rPr>
                <w:bCs/>
                <w:spacing w:val="-2"/>
              </w:rPr>
              <w:t>.</w:t>
            </w:r>
            <w:r w:rsidR="00FB7556">
              <w:rPr>
                <w:bCs/>
                <w:spacing w:val="-2"/>
              </w:rPr>
              <w:t xml:space="preserve"> </w:t>
            </w:r>
            <w:r w:rsidR="00FB7556" w:rsidRPr="00D42358">
              <w:rPr>
                <w:bCs/>
                <w:u w:val="single"/>
              </w:rPr>
              <w:lastRenderedPageBreak/>
              <w:t>9.2.4.1.pasākuma „Kompleksi veselības veicināšanas un slimību profilakses pasākumi”</w:t>
            </w:r>
            <w:r w:rsidR="00FB7556" w:rsidRPr="00D26824">
              <w:t xml:space="preserve"> </w:t>
            </w:r>
            <w:r w:rsidR="00FB7556" w:rsidRPr="00FB7556">
              <w:t xml:space="preserve">mērķis ir </w:t>
            </w:r>
            <w:r w:rsidR="00FB7556" w:rsidRPr="00D42358">
              <w:t>uzlabot pieejamību veselības veicināšanas un slimību profilakses pakalpojumiem visiem Latvijas iedzīvotājiem, jo īpaši, teritoriālās, nabadzības un sociālās atstumtības riskam pakļautajiem iedzīvotājiem, īstenojot nacionāla mēroga pasākumus</w:t>
            </w:r>
            <w:r w:rsidR="00FB7556" w:rsidRPr="00FB7556">
              <w:t xml:space="preserve">, un </w:t>
            </w:r>
            <w:r w:rsidR="00FB7556" w:rsidRPr="00D42358">
              <w:rPr>
                <w:bCs/>
                <w:u w:val="single"/>
              </w:rPr>
              <w:t>9.2.4.2.pasākuma „Pasākumi vietējās sabiedrības veselības veicināšanai un slimību profilaksei”</w:t>
            </w:r>
            <w:r w:rsidR="00FB7556" w:rsidRPr="00FB7556">
              <w:t xml:space="preserve"> mēr</w:t>
            </w:r>
            <w:r w:rsidR="00FB7556">
              <w:t>ķis i</w:t>
            </w:r>
            <w:r w:rsidR="00FB7556" w:rsidRPr="00FB7556">
              <w:t xml:space="preserve">r </w:t>
            </w:r>
            <w:r w:rsidR="00FB7556" w:rsidRPr="00D42358">
              <w:t>uzlabot pieejamību veselības veicināšanas un slimību profilakses pakalpojumiem visiem Latvijas iedzīvotājiem, jo īpaši, teritoriālās, nabadzības un sociālās atstumtības riskam pakļautajiem iedzīvotājiem, īstenojot vietēja mēroga pasākumus.</w:t>
            </w:r>
          </w:p>
          <w:p w:rsidR="00D26824" w:rsidRPr="00D26824" w:rsidRDefault="00D26824" w:rsidP="00C1591C">
            <w:pPr>
              <w:pStyle w:val="naiskr"/>
              <w:spacing w:before="40" w:beforeAutospacing="0" w:after="40" w:afterAutospacing="0"/>
              <w:ind w:left="57" w:right="57" w:firstLine="284"/>
              <w:jc w:val="both"/>
              <w:rPr>
                <w:rFonts w:eastAsiaTheme="minorHAnsi"/>
                <w:b/>
                <w:u w:val="single"/>
              </w:rPr>
            </w:pPr>
            <w:r w:rsidRPr="00D26824">
              <w:rPr>
                <w:rFonts w:eastAsiaTheme="minorHAnsi"/>
                <w:b/>
                <w:u w:val="single"/>
              </w:rPr>
              <w:t>SAM problēmas apraksts:</w:t>
            </w:r>
          </w:p>
          <w:p w:rsidR="00892E13" w:rsidRPr="00D26824" w:rsidRDefault="00C065AA" w:rsidP="00C1591C">
            <w:pPr>
              <w:pStyle w:val="naiskr"/>
              <w:spacing w:before="40" w:beforeAutospacing="0" w:after="40" w:afterAutospacing="0"/>
              <w:ind w:left="57" w:right="57" w:firstLine="284"/>
              <w:jc w:val="both"/>
              <w:rPr>
                <w:lang w:eastAsia="en-US" w:bidi="ar-SA"/>
              </w:rPr>
            </w:pPr>
            <w:r w:rsidRPr="00D26824">
              <w:rPr>
                <w:lang w:eastAsia="en-US" w:bidi="ar-SA"/>
              </w:rPr>
              <w:t>Nevienlīdzība veselības jomā ir</w:t>
            </w:r>
            <w:r w:rsidRPr="00D26824">
              <w:rPr>
                <w:rFonts w:eastAsia="Calibri"/>
                <w:lang w:eastAsia="en-US" w:bidi="ar-SA"/>
              </w:rPr>
              <w:t xml:space="preserve"> viena no mūsdienu lielākajām sociālajām, </w:t>
            </w:r>
            <w:r w:rsidRPr="00D26824">
              <w:rPr>
                <w:lang w:eastAsia="en-US" w:bidi="ar-SA"/>
              </w:rPr>
              <w:t>ekonomiskajām</w:t>
            </w:r>
            <w:r w:rsidRPr="00D26824">
              <w:rPr>
                <w:rFonts w:eastAsia="Calibri"/>
                <w:lang w:eastAsia="en-US" w:bidi="ar-SA"/>
              </w:rPr>
              <w:t xml:space="preserve"> un politiskajām problēmām</w:t>
            </w:r>
            <w:r w:rsidRPr="00D26824">
              <w:rPr>
                <w:lang w:eastAsia="en-US" w:bidi="ar-SA"/>
              </w:rPr>
              <w:t xml:space="preserve"> ES, PVO Eiropas reģionā, kā arī visā pasaulē, un nevienlīdzības mazināšana veselības jomā ir viens no prioritārajiem mērķiem līdz 2020.gadam.</w:t>
            </w:r>
            <w:r w:rsidRPr="00D26824">
              <w:rPr>
                <w:vertAlign w:val="superscript"/>
                <w:lang w:eastAsia="en-US" w:bidi="ar-SA"/>
              </w:rPr>
              <w:footnoteReference w:id="1"/>
            </w:r>
          </w:p>
          <w:p w:rsidR="00C065AA" w:rsidRPr="00D26824" w:rsidRDefault="00C065AA" w:rsidP="00C1591C">
            <w:pPr>
              <w:pStyle w:val="naiskr"/>
              <w:spacing w:before="40" w:beforeAutospacing="0" w:after="40" w:afterAutospacing="0"/>
              <w:ind w:left="57" w:right="57" w:firstLine="284"/>
              <w:jc w:val="both"/>
              <w:rPr>
                <w:lang w:eastAsia="en-US" w:bidi="ar-SA"/>
              </w:rPr>
            </w:pPr>
            <w:r w:rsidRPr="00D26824">
              <w:rPr>
                <w:lang w:eastAsia="en-US" w:bidi="ar-SA"/>
              </w:rPr>
              <w:t xml:space="preserve">Viens no svarīgākajiem rīkiem mērķtiecīgai nevienlīdzības </w:t>
            </w:r>
            <w:r w:rsidRPr="00D26824">
              <w:rPr>
                <w:bCs/>
              </w:rPr>
              <w:t>mazināšanai</w:t>
            </w:r>
            <w:r w:rsidRPr="00D26824">
              <w:rPr>
                <w:lang w:eastAsia="en-US" w:bidi="ar-SA"/>
              </w:rPr>
              <w:t xml:space="preserve"> ir investīcijas veselības veicināšanā, slimību profilaksē un integrētas veselības aprūpes pakalpojumu nodrošināšanā,</w:t>
            </w:r>
            <w:r w:rsidR="002C6B64">
              <w:rPr>
                <w:lang w:eastAsia="en-US" w:bidi="ar-SA"/>
              </w:rPr>
              <w:t xml:space="preserve"> </w:t>
            </w:r>
            <w:r w:rsidRPr="00D26824">
              <w:rPr>
                <w:lang w:eastAsia="en-US" w:bidi="ar-SA"/>
              </w:rPr>
              <w:t xml:space="preserve">īpaši </w:t>
            </w:r>
            <w:r w:rsidR="00CC5007">
              <w:rPr>
                <w:lang w:eastAsia="en-US" w:bidi="ar-SA"/>
              </w:rPr>
              <w:t>pie</w:t>
            </w:r>
            <w:r w:rsidRPr="00D26824">
              <w:rPr>
                <w:lang w:eastAsia="en-US" w:bidi="ar-SA"/>
              </w:rPr>
              <w:t xml:space="preserve">vēršot uzmanību riska grupām, kas pakļautas finansiālai, ģeogrāfiskai </w:t>
            </w:r>
            <w:r w:rsidR="00237AA7">
              <w:rPr>
                <w:lang w:eastAsia="en-US" w:bidi="ar-SA"/>
              </w:rPr>
              <w:t>un citai</w:t>
            </w:r>
            <w:r w:rsidRPr="00D26824">
              <w:rPr>
                <w:lang w:eastAsia="en-US" w:bidi="ar-SA"/>
              </w:rPr>
              <w:t xml:space="preserve"> nevienlīdzībai. Sociālajām </w:t>
            </w:r>
            <w:proofErr w:type="spellStart"/>
            <w:r w:rsidRPr="00D26824">
              <w:rPr>
                <w:lang w:eastAsia="en-US" w:bidi="ar-SA"/>
              </w:rPr>
              <w:t>determinantēm</w:t>
            </w:r>
            <w:proofErr w:type="spellEnd"/>
            <w:r w:rsidRPr="00D26824">
              <w:rPr>
                <w:lang w:eastAsia="en-US" w:bidi="ar-SA"/>
              </w:rPr>
              <w:t xml:space="preserve"> ir liela loma iedzīvotāju veselības veicināšanas un veselības aprūpes nodrošināšanā. Līdz ar to nevienlīdzības mazināšanai un sociālajai iekļaušanai nepieciešams īstenot pasākumus, kas izglītotu nabadzības un sociālās atstumtības riskam pakļautos iedzīvotājus par iespējām uzlabot un saglabāt veselību (piemēram, interešu grupu nodarbību organizēšana, jauniešu izglītošana par veselīga dzīvesveida paradumiem, konkrētu rīcību vai iespēju popularizējošu pasākumu organizēšana pašvaldībās u.c.), cieši sadarbojoties ar sociālo sektoru, pašvaldībām</w:t>
            </w:r>
            <w:r w:rsidR="00497B9B">
              <w:rPr>
                <w:lang w:eastAsia="en-US" w:bidi="ar-SA"/>
              </w:rPr>
              <w:t>, ārstniecības personām</w:t>
            </w:r>
            <w:r w:rsidR="00497B9B" w:rsidRPr="00D26824">
              <w:rPr>
                <w:lang w:eastAsia="en-US" w:bidi="ar-SA"/>
              </w:rPr>
              <w:t xml:space="preserve"> un </w:t>
            </w:r>
            <w:r w:rsidR="00237AA7">
              <w:rPr>
                <w:lang w:eastAsia="en-US" w:bidi="ar-SA"/>
              </w:rPr>
              <w:t>citiem</w:t>
            </w:r>
            <w:r w:rsidR="00497B9B">
              <w:rPr>
                <w:lang w:eastAsia="en-US" w:bidi="ar-SA"/>
              </w:rPr>
              <w:t xml:space="preserve"> partneriem</w:t>
            </w:r>
            <w:r w:rsidR="00497B9B" w:rsidRPr="00D26824">
              <w:rPr>
                <w:lang w:eastAsia="en-US" w:bidi="ar-SA"/>
              </w:rPr>
              <w:t>.</w:t>
            </w:r>
            <w:r w:rsidRPr="00D26824">
              <w:rPr>
                <w:b/>
                <w:vertAlign w:val="superscript"/>
                <w:lang w:eastAsia="en-US" w:bidi="ar-SA"/>
              </w:rPr>
              <w:footnoteReference w:id="2"/>
            </w:r>
          </w:p>
          <w:p w:rsidR="00C065AA" w:rsidRPr="00D26824" w:rsidRDefault="00C065AA" w:rsidP="00C1591C">
            <w:pPr>
              <w:pStyle w:val="naiskr"/>
              <w:spacing w:before="40" w:beforeAutospacing="0" w:after="40" w:afterAutospacing="0"/>
              <w:ind w:left="57" w:right="57" w:firstLine="284"/>
              <w:jc w:val="both"/>
            </w:pPr>
            <w:r w:rsidRPr="00D26824">
              <w:t xml:space="preserve">Dzīvesveida, </w:t>
            </w:r>
            <w:r w:rsidRPr="00D26824">
              <w:rPr>
                <w:bCs/>
              </w:rPr>
              <w:t>saslimstības</w:t>
            </w:r>
            <w:r w:rsidRPr="00D26824">
              <w:t xml:space="preserve"> un invaliditātes rādītāji, ko būtiski var uzlabot, īstenojot mērķtiecīgus veselības veicināšanas un slimību profilakses pasākumus </w:t>
            </w:r>
            <w:r w:rsidR="00766FF7" w:rsidRPr="000E0B74">
              <w:t xml:space="preserve">tādās jomās kā aptaukošanās mazināšana, uzturs, fiziskās aktivitātes, profilaktisko pārbaužu veicināšana, atkarību izraisošo vielu lietošanas profilakse, hronisko slimību profilakse, psiho emocionāla stresa novēršana, depresijas atpazīšana un </w:t>
            </w:r>
            <w:r w:rsidR="00237AA7">
              <w:t>citi</w:t>
            </w:r>
            <w:r w:rsidR="00766FF7">
              <w:t xml:space="preserve"> </w:t>
            </w:r>
            <w:r w:rsidR="00766FF7">
              <w:lastRenderedPageBreak/>
              <w:t xml:space="preserve">pasākumi, kas ir saskaņā ar „Sabiedrības veselības pamatnostādnēs 2014.-2020.gadam” minētajām jomām, </w:t>
            </w:r>
            <w:r w:rsidRPr="00D26824">
              <w:t>tieši ietekmē arī sociālo jomu, jo slimojot cilvēks noteiktos gadījumos veido papildu slogu valsts budžetam, kā arī, gūstot invaliditāti, pilnībā vai daļēji zaudē darba spējas. Katru gadu ievērojami valsts budžeta un darba devēju līdzekļi tiek tērēti, lai apmaksātu strādājošo iedzīvotāju darbnespējas dienas.</w:t>
            </w:r>
          </w:p>
          <w:p w:rsidR="00C065AA" w:rsidRPr="00D26824" w:rsidRDefault="00C065AA" w:rsidP="00C1591C">
            <w:pPr>
              <w:pStyle w:val="naiskr"/>
              <w:spacing w:before="40" w:beforeAutospacing="0" w:after="40" w:afterAutospacing="0"/>
              <w:ind w:left="57" w:right="57" w:firstLine="284"/>
              <w:jc w:val="both"/>
              <w:rPr>
                <w:b/>
              </w:rPr>
            </w:pPr>
            <w:r w:rsidRPr="00D26824">
              <w:t xml:space="preserve">Viens no </w:t>
            </w:r>
            <w:r w:rsidRPr="00D26824">
              <w:rPr>
                <w:bCs/>
              </w:rPr>
              <w:t>kohēzijas</w:t>
            </w:r>
            <w:r w:rsidRPr="00D26824">
              <w:t xml:space="preserve"> politikas mērķiem ir atbalstīt izaugsmi veicinošus nosacījumus un faktorus, kas nodrošina reālu konverģenci mazāk attīstītajās dalībvalstīs un reģionos. Viens no konverģences aspektiem ir cilvēka veselība. 2005.gadā par vienu no Lisabonas stratēģijas strukturālajiem indikatoriem izvirzīja veselīgo mūža gadu skaitu, uzsverot, ka svarīgs ekonomiskās izaugsmes faktors ir nevis tikai paredzamais mūža ilgums, bet laba veselība līdz mūža galam.</w:t>
            </w:r>
          </w:p>
          <w:p w:rsidR="00C065AA" w:rsidRPr="00D26824" w:rsidRDefault="00C065AA" w:rsidP="00C1591C">
            <w:pPr>
              <w:pStyle w:val="naiskr"/>
              <w:spacing w:before="40" w:beforeAutospacing="0" w:after="40" w:afterAutospacing="0"/>
              <w:ind w:left="57" w:right="57" w:firstLine="284"/>
              <w:jc w:val="both"/>
              <w:rPr>
                <w:b/>
              </w:rPr>
            </w:pPr>
            <w:r w:rsidRPr="00D26824">
              <w:t>Salīdzinot veselīgo mūža gadu skaitu Latvijā ar ES rādītājiem, redzams, ka sievietēm Latvijā šis rādītājs 2012.gadā bija par 2,8 gadiem zemāks kā vidēji ES, savukārt vīriešiem – par 6,5 gadiem zemāks nekā ES</w:t>
            </w:r>
            <w:r w:rsidRPr="00D26824">
              <w:rPr>
                <w:b/>
                <w:vertAlign w:val="superscript"/>
              </w:rPr>
              <w:footnoteReference w:id="3"/>
            </w:r>
            <w:r w:rsidRPr="00D26824">
              <w:t>. Lielas atšķirības ir arī mirstības rādītājos – Latvijas rādītāji ir vieni no augstākajiem ES, kas tiek skaidrots arī ar sociāli ekonomiskajām atšķirībām</w:t>
            </w:r>
            <w:r w:rsidRPr="00D26824">
              <w:rPr>
                <w:b/>
                <w:vertAlign w:val="superscript"/>
              </w:rPr>
              <w:footnoteReference w:id="4"/>
            </w:r>
            <w:r w:rsidRPr="00D26824">
              <w:t>. Uzlabojot veselības aprūpes pakalpojumu pieejamību un kvalitāti, īstenojot veselības veicināšanas un slimību profilakses pasākumus, kas izglītotu iedzīvotājus par iespējām saglabāt veselību, tiktu nodrošināti priekšnoteikumi veselības saglabāšanai un uzlabošanai, kā arī minēto rādītāju atšķirību būtiskai mazināšanai nākotnē. Tādējādi tiktu ne tikai mazināta veselības nevienlīdzība (</w:t>
            </w:r>
            <w:proofErr w:type="spellStart"/>
            <w:r w:rsidRPr="00D26824">
              <w:rPr>
                <w:i/>
              </w:rPr>
              <w:t>health</w:t>
            </w:r>
            <w:proofErr w:type="spellEnd"/>
            <w:r w:rsidRPr="00D26824">
              <w:rPr>
                <w:i/>
              </w:rPr>
              <w:t xml:space="preserve"> </w:t>
            </w:r>
            <w:proofErr w:type="spellStart"/>
            <w:r w:rsidRPr="00D26824">
              <w:rPr>
                <w:i/>
              </w:rPr>
              <w:t>inequality</w:t>
            </w:r>
            <w:proofErr w:type="spellEnd"/>
            <w:r w:rsidRPr="00D26824">
              <w:t>), bet arī palielināta</w:t>
            </w:r>
            <w:r w:rsidRPr="00D26824" w:rsidDel="006B3CB7">
              <w:t xml:space="preserve"> </w:t>
            </w:r>
            <w:r w:rsidRPr="00D26824">
              <w:t>darbaspējīgo iedzīvotāju daļa, paaugstinot nodarbinātību un veicinot ekonomikas attīstību, nodrošinot Latvijas iedzīvotāju dzīves ilguma pietuvināšanos vidējam ES rādītājam, kas ļautu nodrošināt arī ekonomiskās izaugsmes un labklājības līmeņa tuvināšanos ES vidējiem rādītājiem.</w:t>
            </w:r>
          </w:p>
          <w:p w:rsidR="00C065AA" w:rsidRPr="00D26824" w:rsidRDefault="00C065AA" w:rsidP="00C1591C">
            <w:pPr>
              <w:pStyle w:val="naiskr"/>
              <w:spacing w:before="40" w:beforeAutospacing="0" w:after="40" w:afterAutospacing="0"/>
              <w:ind w:left="57" w:right="57" w:firstLine="284"/>
              <w:jc w:val="both"/>
              <w:rPr>
                <w:b/>
              </w:rPr>
            </w:pPr>
            <w:r w:rsidRPr="00D26824">
              <w:t xml:space="preserve">Lai mazinātu sociālās atstumtības un nabadzības risku, kā arī sekmētu Latvijas ekonomisko izaugsmi, ir nepieciešams uzlabot sabiedrības veselības stāvokli, kas iespējams, ieviešot kompleksus investīciju pasākumus – sākot no veselīga dzīves veida popularizēšanas un slimību profilakses un turpinot ar veselības aprūpes pakalpojumu pieejamības uzlabošanu un kvalitātes paaugstināšanu. </w:t>
            </w:r>
          </w:p>
          <w:p w:rsidR="00C065AA" w:rsidRPr="00D26824" w:rsidRDefault="00C065AA" w:rsidP="00C1591C">
            <w:pPr>
              <w:pStyle w:val="naiskr"/>
              <w:spacing w:before="40" w:beforeAutospacing="0" w:after="40" w:afterAutospacing="0"/>
              <w:ind w:left="57" w:right="57" w:firstLine="284"/>
              <w:jc w:val="both"/>
              <w:rPr>
                <w:b/>
              </w:rPr>
            </w:pPr>
            <w:r w:rsidRPr="00D26824">
              <w:t xml:space="preserve">Mērķtiecīgiem veselības veicināšanas un slimību </w:t>
            </w:r>
            <w:r w:rsidRPr="00D26824">
              <w:lastRenderedPageBreak/>
              <w:t xml:space="preserve">profilakses pasākumiem ir </w:t>
            </w:r>
            <w:r w:rsidRPr="00D26824">
              <w:rPr>
                <w:bCs/>
              </w:rPr>
              <w:t>būtiska</w:t>
            </w:r>
            <w:r w:rsidRPr="00D26824">
              <w:t xml:space="preserve"> loma sabiedrības veselības stāvokļa uzlabošanā, kas ir svarīgs faktors veselības aprūpes sistēmas noslodzes mazināšanā. Pierādīts, ka, investējot veselības veicināšanā un hronisku </w:t>
            </w:r>
            <w:proofErr w:type="spellStart"/>
            <w:r w:rsidRPr="00D26824">
              <w:t>neinfekcijas</w:t>
            </w:r>
            <w:proofErr w:type="spellEnd"/>
            <w:r w:rsidRPr="00D26824">
              <w:t xml:space="preserve"> slimību profilaksē (mazinot riska faktoru izplatību), var samazināt priekšlaicīgu mirstību, invaliditāti, saglabāt darbspējas un dzīves kvalitāti, tādejādi veicinot iedzīvotāju darba spēju saglabāšanu un mazinot arī nabadzības risku</w:t>
            </w:r>
            <w:r w:rsidRPr="00D26824">
              <w:rPr>
                <w:b/>
                <w:vertAlign w:val="superscript"/>
              </w:rPr>
              <w:footnoteReference w:id="5"/>
            </w:r>
            <w:r w:rsidRPr="00D26824">
              <w:rPr>
                <w:vertAlign w:val="superscript"/>
              </w:rPr>
              <w:t>,</w:t>
            </w:r>
            <w:r w:rsidRPr="00D26824">
              <w:rPr>
                <w:b/>
                <w:vertAlign w:val="superscript"/>
              </w:rPr>
              <w:footnoteReference w:id="6"/>
            </w:r>
            <w:r w:rsidRPr="00D26824">
              <w:t>. Iedarbojoties uz sabiedrības dzīvesveida paradumiem (veicot uz pierādījumiem balstītus veselības veicināšanas pasākumus</w:t>
            </w:r>
            <w:r w:rsidRPr="00D26824">
              <w:rPr>
                <w:b/>
                <w:vertAlign w:val="superscript"/>
              </w:rPr>
              <w:footnoteReference w:id="7"/>
            </w:r>
            <w:r w:rsidRPr="00D26824">
              <w:t xml:space="preserve">), tiks mazināts hronisku </w:t>
            </w:r>
            <w:proofErr w:type="spellStart"/>
            <w:r w:rsidRPr="00D26824">
              <w:t>neinfekcijas</w:t>
            </w:r>
            <w:proofErr w:type="spellEnd"/>
            <w:r w:rsidRPr="00D26824">
              <w:t xml:space="preserve"> slimību slogs (</w:t>
            </w:r>
            <w:proofErr w:type="spellStart"/>
            <w:r w:rsidRPr="00D26824">
              <w:rPr>
                <w:i/>
              </w:rPr>
              <w:t>burden</w:t>
            </w:r>
            <w:proofErr w:type="spellEnd"/>
            <w:r w:rsidRPr="00D26824">
              <w:rPr>
                <w:i/>
              </w:rPr>
              <w:t xml:space="preserve"> </w:t>
            </w:r>
            <w:proofErr w:type="spellStart"/>
            <w:r w:rsidRPr="00D26824">
              <w:rPr>
                <w:i/>
              </w:rPr>
              <w:t>of</w:t>
            </w:r>
            <w:proofErr w:type="spellEnd"/>
            <w:r w:rsidRPr="00D26824">
              <w:rPr>
                <w:i/>
              </w:rPr>
              <w:t xml:space="preserve"> </w:t>
            </w:r>
            <w:proofErr w:type="spellStart"/>
            <w:r w:rsidRPr="00D26824">
              <w:rPr>
                <w:i/>
              </w:rPr>
              <w:t>disease</w:t>
            </w:r>
            <w:proofErr w:type="spellEnd"/>
            <w:r w:rsidRPr="00D26824">
              <w:t>)</w:t>
            </w:r>
            <w:r w:rsidRPr="00D26824">
              <w:rPr>
                <w:b/>
                <w:vertAlign w:val="superscript"/>
              </w:rPr>
              <w:footnoteReference w:id="8"/>
            </w:r>
            <w:r w:rsidRPr="00D26824">
              <w:t xml:space="preserve"> sabiedrībai kopumā, t.sk. tiks atvieglota veselības aprūpes sistēmas veiktspēja (t.sk. pieejamība) pieaugošas slodzes apstākļos, ko rada sabiedrības novecošanās. </w:t>
            </w:r>
          </w:p>
          <w:p w:rsidR="00C065AA" w:rsidRDefault="00C065AA" w:rsidP="00C1591C">
            <w:pPr>
              <w:pStyle w:val="naiskr"/>
              <w:spacing w:before="40" w:beforeAutospacing="0" w:after="40" w:afterAutospacing="0"/>
              <w:ind w:left="57" w:right="57" w:firstLine="284"/>
              <w:jc w:val="both"/>
            </w:pPr>
            <w:r w:rsidRPr="00D26824">
              <w:t>Pierādīts, ka smēķēšanas atmešana mazina mirstības no</w:t>
            </w:r>
            <w:r w:rsidR="00237AA7">
              <w:t xml:space="preserve"> sirds un asinsvadu slimībām (</w:t>
            </w:r>
            <w:r w:rsidR="00237AA7" w:rsidRPr="00D26824">
              <w:t>SAS</w:t>
            </w:r>
            <w:r w:rsidR="00237AA7">
              <w:t>)</w:t>
            </w:r>
            <w:r w:rsidRPr="00D26824">
              <w:t xml:space="preserve"> risku vīriešiem 2,5 reizes, sievietēm – 2 reizes. Pēc Pasaules Sirds federācijas datiem SAS risks, atmetot smēķēšanu, gada laikā mazinās par 50%</w:t>
            </w:r>
            <w:r w:rsidRPr="00D26824">
              <w:rPr>
                <w:b/>
                <w:vertAlign w:val="superscript"/>
              </w:rPr>
              <w:footnoteReference w:id="9"/>
            </w:r>
            <w:r w:rsidRPr="00D26824">
              <w:t xml:space="preserve">. Pēc jaunākajiem pētījumiem riskanta (pārmērīga) alkohola lietošana ir galvenais riska faktors, kas rada lielāko slimību slogu darbspējīgajiem iedzīvotājiem (15-49 </w:t>
            </w:r>
            <w:proofErr w:type="spellStart"/>
            <w:r w:rsidRPr="00D26824">
              <w:t>g.v</w:t>
            </w:r>
            <w:proofErr w:type="spellEnd"/>
            <w:r w:rsidRPr="00D26824">
              <w:t>.) Latvijā</w:t>
            </w:r>
            <w:r w:rsidRPr="00D26824">
              <w:rPr>
                <w:vertAlign w:val="superscript"/>
              </w:rPr>
              <w:footnoteReference w:id="10"/>
            </w:r>
            <w:r w:rsidRPr="00D26824">
              <w:t xml:space="preserve">. Mazinot pārmērīgu alkohola lietošanu, ne tikai mazināsies saslimstība un mirstība no hroniskām </w:t>
            </w:r>
            <w:proofErr w:type="spellStart"/>
            <w:r w:rsidRPr="00D26824">
              <w:t>neinfekcijas</w:t>
            </w:r>
            <w:proofErr w:type="spellEnd"/>
            <w:r w:rsidRPr="00D26824">
              <w:t xml:space="preserve"> slimībām, bet mazināsies citas ar alkohola lietošanu saistītās sekas (piemēram, traumatisms, kas palielina invaliditātes un mirstības rādītājus, vardarbība, noziedzība, bezdarbs, sociālā atstumtība), kas ietekmē sabiedrību, mazina darbaspēka kvalitāti un ve</w:t>
            </w:r>
            <w:r w:rsidR="00237AA7">
              <w:t>i</w:t>
            </w:r>
            <w:r w:rsidRPr="00D26824">
              <w:t>cina nabadzību.</w:t>
            </w:r>
          </w:p>
          <w:p w:rsidR="000969F5" w:rsidRDefault="000969F5" w:rsidP="00C1591C">
            <w:pPr>
              <w:pStyle w:val="naiskr"/>
              <w:spacing w:before="40" w:beforeAutospacing="0" w:after="40" w:afterAutospacing="0"/>
              <w:ind w:left="57" w:right="57" w:firstLine="284"/>
              <w:jc w:val="both"/>
            </w:pPr>
            <w:r w:rsidRPr="00D42358">
              <w:rPr>
                <w:bCs/>
              </w:rPr>
              <w:t>Garīgo veselību ietekmē</w:t>
            </w:r>
            <w:r>
              <w:t xml:space="preserve"> bioloģisku, psiholoģisku un sociālu faktoru kopums, tāpat garīgās veselības kontekstā būtiska nozīme ir aizspriedumu mazināšanai sabiedrībā pret personām ar psihiskiem traucējumiem un palīdzības meklēšanas pie speciālista aizdomu par psihisku saslimšanu </w:t>
            </w:r>
            <w:r>
              <w:lastRenderedPageBreak/>
              <w:t>gadījumā.</w:t>
            </w:r>
          </w:p>
          <w:p w:rsidR="000969F5" w:rsidRDefault="000969F5" w:rsidP="00C1591C">
            <w:pPr>
              <w:pStyle w:val="naiskr"/>
              <w:spacing w:before="40" w:beforeAutospacing="0" w:after="40" w:afterAutospacing="0"/>
              <w:ind w:left="57" w:right="57" w:firstLine="284"/>
              <w:jc w:val="both"/>
              <w:rPr>
                <w:lang w:eastAsia="en-US" w:bidi="ar-SA"/>
              </w:rPr>
            </w:pPr>
            <w:r w:rsidRPr="000969F5">
              <w:rPr>
                <w:lang w:eastAsia="en-US" w:bidi="ar-SA"/>
              </w:rPr>
              <w:t>Būtiski garīgo veselību veicināt jau bērna vecumā – īpaši attiecībā uz vardarbības mazināšanu - Latvijā no ņirgāšanās cietuši 19,3% skolēnu, bet 23,1% ņirgājušies par citiem</w:t>
            </w:r>
            <w:r w:rsidRPr="000969F5">
              <w:rPr>
                <w:vertAlign w:val="superscript"/>
                <w:lang w:eastAsia="en-US" w:bidi="ar-SA"/>
              </w:rPr>
              <w:footnoteReference w:id="11"/>
            </w:r>
            <w:r w:rsidRPr="000969F5">
              <w:rPr>
                <w:lang w:eastAsia="en-US" w:bidi="ar-SA"/>
              </w:rPr>
              <w:t>, turklāt rādītāji ir starp augstākajiem, salīdzinot ar citām valstīm</w:t>
            </w:r>
            <w:r w:rsidRPr="000969F5">
              <w:rPr>
                <w:vertAlign w:val="superscript"/>
                <w:lang w:eastAsia="en-US" w:bidi="ar-SA"/>
              </w:rPr>
              <w:footnoteReference w:id="12"/>
            </w:r>
            <w:r>
              <w:rPr>
                <w:lang w:eastAsia="en-US" w:bidi="ar-SA"/>
              </w:rPr>
              <w:t>.</w:t>
            </w:r>
          </w:p>
          <w:p w:rsidR="000969F5" w:rsidRPr="00D26824" w:rsidRDefault="000969F5" w:rsidP="00C1591C">
            <w:pPr>
              <w:pStyle w:val="naiskr"/>
              <w:spacing w:before="40" w:beforeAutospacing="0" w:after="40" w:afterAutospacing="0"/>
              <w:ind w:left="57" w:right="57" w:firstLine="284"/>
              <w:jc w:val="both"/>
              <w:rPr>
                <w:b/>
              </w:rPr>
            </w:pPr>
            <w:r>
              <w:t>Būtiska nozīme ir arī darba vides faktoriem (negatīva psiholoģiskā vide, trūkumi darba organizācijā, ilgstošs stress, psiholoģiskā atbalsta nepieejamība, u.c.), kas var radīt darbinieku izdegšanu. I</w:t>
            </w:r>
            <w:r w:rsidRPr="00B21BC9">
              <w:t>zdegšanas sindroms ir raksturīgs dažādu profesiju pārstāvjiem, tomēr augstāks risks ir tām profesijām, kurās nodarbinātajiem ir jābūt intensīvā saskarsmē ar citiem cilvēkiem, kuriem ir kādas fiziskas vai emocionālas vajadzības.</w:t>
            </w:r>
          </w:p>
          <w:p w:rsidR="00C065AA" w:rsidRPr="00D26824" w:rsidRDefault="004E1AD5" w:rsidP="00C1591C">
            <w:pPr>
              <w:pStyle w:val="naiskr"/>
              <w:spacing w:before="40" w:beforeAutospacing="0" w:after="40" w:afterAutospacing="0"/>
              <w:ind w:left="57" w:right="57" w:firstLine="284"/>
              <w:jc w:val="both"/>
              <w:rPr>
                <w:rFonts w:eastAsia="+mn-ea"/>
                <w:color w:val="000000"/>
                <w:kern w:val="24"/>
              </w:rPr>
            </w:pPr>
            <w:r w:rsidRPr="00D26824">
              <w:rPr>
                <w:rFonts w:eastAsia="+mn-ea"/>
                <w:color w:val="000000"/>
                <w:kern w:val="24"/>
              </w:rPr>
              <w:t>A</w:t>
            </w:r>
            <w:r w:rsidR="00C065AA" w:rsidRPr="00D26824">
              <w:rPr>
                <w:rFonts w:eastAsia="+mn-ea"/>
                <w:color w:val="000000"/>
                <w:kern w:val="24"/>
              </w:rPr>
              <w:t xml:space="preserve">rī veselīgam un </w:t>
            </w:r>
            <w:r w:rsidR="00C065AA" w:rsidRPr="00D26824">
              <w:rPr>
                <w:bCs/>
              </w:rPr>
              <w:t>pilnvērtīgam</w:t>
            </w:r>
            <w:r w:rsidR="00C065AA" w:rsidRPr="00D26824">
              <w:rPr>
                <w:rFonts w:eastAsia="+mn-ea"/>
                <w:color w:val="000000"/>
                <w:kern w:val="24"/>
              </w:rPr>
              <w:t xml:space="preserve"> uzturam ir būtiska nozīme SAS riska mazināšanā un Eiropas Komisijas veiktajos aprēķinos ir izpētī</w:t>
            </w:r>
            <w:r w:rsidR="00237AA7">
              <w:rPr>
                <w:rFonts w:eastAsia="+mn-ea"/>
                <w:color w:val="000000"/>
                <w:kern w:val="24"/>
              </w:rPr>
              <w:t>ts</w:t>
            </w:r>
            <w:r w:rsidR="00C065AA" w:rsidRPr="00D26824">
              <w:rPr>
                <w:rFonts w:eastAsia="+mn-ea"/>
                <w:color w:val="000000"/>
                <w:kern w:val="24"/>
              </w:rPr>
              <w:t>, ka</w:t>
            </w:r>
            <w:r w:rsidR="00237AA7">
              <w:rPr>
                <w:rFonts w:eastAsia="+mn-ea"/>
                <w:color w:val="000000"/>
                <w:kern w:val="24"/>
              </w:rPr>
              <w:t>,</w:t>
            </w:r>
            <w:r w:rsidR="00C065AA" w:rsidRPr="00D26824">
              <w:rPr>
                <w:rFonts w:eastAsia="+mn-ea"/>
                <w:color w:val="000000"/>
                <w:kern w:val="24"/>
              </w:rPr>
              <w:t xml:space="preserve"> piemēram</w:t>
            </w:r>
            <w:r w:rsidR="00237AA7">
              <w:rPr>
                <w:rFonts w:eastAsia="+mn-ea"/>
                <w:color w:val="000000"/>
                <w:kern w:val="24"/>
              </w:rPr>
              <w:t>,</w:t>
            </w:r>
            <w:r w:rsidR="00C065AA" w:rsidRPr="00D26824">
              <w:rPr>
                <w:rFonts w:eastAsia="+mn-ea"/>
                <w:color w:val="000000"/>
                <w:kern w:val="24"/>
              </w:rPr>
              <w:t xml:space="preserve"> samazinot sāls patēriņu par 3g</w:t>
            </w:r>
            <w:r w:rsidR="00237AA7">
              <w:rPr>
                <w:rFonts w:eastAsia="+mn-ea"/>
                <w:color w:val="000000"/>
                <w:kern w:val="24"/>
              </w:rPr>
              <w:t>,</w:t>
            </w:r>
            <w:r w:rsidR="00C065AA" w:rsidRPr="00D26824">
              <w:rPr>
                <w:rFonts w:eastAsia="+mn-ea"/>
                <w:color w:val="000000"/>
                <w:kern w:val="24"/>
              </w:rPr>
              <w:t xml:space="preserve"> Eiropas reģionā gada mirstība no insulta samazinātos par 40 000, </w:t>
            </w:r>
            <w:r w:rsidR="00497B9B">
              <w:rPr>
                <w:rFonts w:eastAsia="+mn-ea"/>
                <w:color w:val="000000"/>
                <w:kern w:val="24"/>
              </w:rPr>
              <w:t xml:space="preserve">bet </w:t>
            </w:r>
            <w:r w:rsidR="00C065AA" w:rsidRPr="00D26824">
              <w:rPr>
                <w:rFonts w:eastAsia="+mn-ea"/>
                <w:color w:val="000000"/>
                <w:kern w:val="24"/>
              </w:rPr>
              <w:t xml:space="preserve">no </w:t>
            </w:r>
            <w:proofErr w:type="spellStart"/>
            <w:r w:rsidR="00C065AA" w:rsidRPr="00D26824">
              <w:rPr>
                <w:rFonts w:eastAsia="+mn-ea"/>
                <w:color w:val="000000"/>
                <w:kern w:val="24"/>
              </w:rPr>
              <w:t>išēmiskās</w:t>
            </w:r>
            <w:proofErr w:type="spellEnd"/>
            <w:r w:rsidR="00C065AA" w:rsidRPr="00D26824">
              <w:rPr>
                <w:rFonts w:eastAsia="+mn-ea"/>
                <w:color w:val="000000"/>
                <w:kern w:val="24"/>
              </w:rPr>
              <w:t xml:space="preserve"> slimības par 45 000.</w:t>
            </w:r>
            <w:r w:rsidR="00C065AA" w:rsidRPr="00D26824">
              <w:rPr>
                <w:rFonts w:eastAsia="+mn-ea"/>
                <w:color w:val="000000"/>
                <w:kern w:val="24"/>
                <w:vertAlign w:val="superscript"/>
              </w:rPr>
              <w:footnoteReference w:id="13"/>
            </w:r>
          </w:p>
          <w:p w:rsidR="00D26824" w:rsidRDefault="00D26824" w:rsidP="00C1591C">
            <w:pPr>
              <w:pStyle w:val="naiskr"/>
              <w:spacing w:before="40" w:beforeAutospacing="0" w:after="40" w:afterAutospacing="0"/>
              <w:ind w:left="57" w:right="57" w:firstLine="284"/>
              <w:jc w:val="both"/>
            </w:pPr>
            <w:r w:rsidRPr="00D26824">
              <w:t xml:space="preserve">Atbilstoši </w:t>
            </w:r>
            <w:r w:rsidRPr="00D26824">
              <w:rPr>
                <w:bCs/>
              </w:rPr>
              <w:t>starptautiski</w:t>
            </w:r>
            <w:r w:rsidRPr="00D26824">
              <w:t xml:space="preserve"> veiktu pētījumu secinājumiem</w:t>
            </w:r>
            <w:r w:rsidRPr="00D26824">
              <w:rPr>
                <w:rStyle w:val="FootnoteReference"/>
              </w:rPr>
              <w:footnoteReference w:id="14"/>
            </w:r>
            <w:r w:rsidRPr="00237AA7">
              <w:rPr>
                <w:vertAlign w:val="superscript"/>
              </w:rPr>
              <w:t>,</w:t>
            </w:r>
            <w:r w:rsidRPr="00D26824">
              <w:rPr>
                <w:rStyle w:val="FootnoteReference"/>
              </w:rPr>
              <w:footnoteReference w:id="15"/>
            </w:r>
            <w:r w:rsidRPr="00D26824">
              <w:t xml:space="preserve"> </w:t>
            </w:r>
            <w:proofErr w:type="spellStart"/>
            <w:r w:rsidRPr="00D26824">
              <w:t>neinfekciju</w:t>
            </w:r>
            <w:proofErr w:type="spellEnd"/>
            <w:r w:rsidRPr="00D26824">
              <w:t xml:space="preserve"> slimību cēloņi meklējami neveselīgā dzīvesveidā un sociālajā vidē. Līdz ar to, lai uzlabotu iedzīvotāju veselību, nepieciešams uzlabot ar veselību saistītos dzīvesveida paradumus, kas ir SAM</w:t>
            </w:r>
            <w:r w:rsidR="00601201">
              <w:t xml:space="preserve"> </w:t>
            </w:r>
            <w:r w:rsidRPr="00D26824">
              <w:t>mērķis.</w:t>
            </w:r>
          </w:p>
          <w:p w:rsidR="00766FF7" w:rsidRDefault="00766FF7" w:rsidP="000E0B74">
            <w:pPr>
              <w:pStyle w:val="naiskr"/>
              <w:spacing w:before="40" w:beforeAutospacing="0" w:after="40" w:afterAutospacing="0"/>
              <w:ind w:left="57" w:right="57" w:firstLine="284"/>
              <w:jc w:val="both"/>
            </w:pPr>
            <w:r w:rsidRPr="001929A4">
              <w:t xml:space="preserve">Pēc </w:t>
            </w:r>
            <w:r w:rsidR="00237AA7" w:rsidRPr="001929A4">
              <w:t>201</w:t>
            </w:r>
            <w:r w:rsidR="00237AA7">
              <w:t>4</w:t>
            </w:r>
            <w:r w:rsidRPr="001929A4">
              <w:t xml:space="preserve">.gada </w:t>
            </w:r>
            <w:r w:rsidRPr="00EF7A50">
              <w:t xml:space="preserve">pētījuma datiem ģimenes ārstu pēdējā gada laikā nav apmeklējuši </w:t>
            </w:r>
            <w:r w:rsidR="00237AA7">
              <w:t>27</w:t>
            </w:r>
            <w:r w:rsidRPr="00EF7A50">
              <w:t>% darbspējīgo iedzīvotāju</w:t>
            </w:r>
            <w:r w:rsidRPr="00EF7A50">
              <w:rPr>
                <w:rStyle w:val="FootnoteReference"/>
              </w:rPr>
              <w:footnoteReference w:id="16"/>
            </w:r>
            <w:r w:rsidRPr="00EF7A50">
              <w:t>. Tikai 12,7% iedzīvotāju</w:t>
            </w:r>
            <w:r>
              <w:t xml:space="preserve"> (no reģistrētajiem pie ģimenes ārsta) 2013.gadā veikuši profilaktisko veselības pārbaudi pie ģimenes ārsta. Arī bērnu ģimenes ārsta profilaktisko apsk</w:t>
            </w:r>
            <w:r w:rsidRPr="00D11582">
              <w:t xml:space="preserve">ašu </w:t>
            </w:r>
            <w:r>
              <w:t>rādītāji ir neapmierinoši. V</w:t>
            </w:r>
            <w:r w:rsidRPr="00D11582">
              <w:t xml:space="preserve">idējais </w:t>
            </w:r>
            <w:r>
              <w:t xml:space="preserve">apskašu </w:t>
            </w:r>
            <w:r w:rsidRPr="00D11582">
              <w:t xml:space="preserve">skaits bērna pirmajā dzīves gadā 2013.gadā bija 7,3 (paredzētas 8 apskates). 1-6 gadu vecumā šis rādītājs ir 0,75 (paredzēta vismaz viena apskate gadā). Vēlākā vecumā (7-18 </w:t>
            </w:r>
            <w:proofErr w:type="spellStart"/>
            <w:r w:rsidRPr="00D11582">
              <w:t>g.v</w:t>
            </w:r>
            <w:proofErr w:type="spellEnd"/>
            <w:r w:rsidRPr="00D11582">
              <w:t xml:space="preserve">.) šis rādītājs vēl samazinās </w:t>
            </w:r>
            <w:r w:rsidR="00237AA7">
              <w:t>līdz</w:t>
            </w:r>
            <w:r w:rsidR="00237AA7" w:rsidRPr="00D11582">
              <w:t xml:space="preserve"> </w:t>
            </w:r>
            <w:r w:rsidRPr="00D11582">
              <w:t xml:space="preserve">0,49 (paredzēta viena apskate </w:t>
            </w:r>
            <w:r w:rsidRPr="00D11582">
              <w:lastRenderedPageBreak/>
              <w:t>gadā)</w:t>
            </w:r>
            <w:r>
              <w:rPr>
                <w:rStyle w:val="FootnoteReference"/>
              </w:rPr>
              <w:footnoteReference w:id="17"/>
            </w:r>
            <w:r w:rsidRPr="00D11582">
              <w:t xml:space="preserve">. </w:t>
            </w:r>
          </w:p>
          <w:p w:rsidR="00766FF7" w:rsidRDefault="00766FF7" w:rsidP="000E0B74">
            <w:pPr>
              <w:pStyle w:val="naiskr"/>
              <w:spacing w:before="40" w:beforeAutospacing="0" w:after="40" w:afterAutospacing="0"/>
              <w:ind w:left="57" w:right="57" w:firstLine="284"/>
              <w:jc w:val="both"/>
            </w:pPr>
            <w:r w:rsidRPr="00EF7A50">
              <w:t>Par profilaktisko izmeklējumu nepietiekamu aptveri liecina arī 2014.gada pētījumu dati - 45-64 gadu vecumā asinsspiedienu pēdējā</w:t>
            </w:r>
            <w:r>
              <w:t xml:space="preserve"> gada laikā mērījuši 90% sieviešu un tikai 71% vīriešu. Holesterīna līmenis un cukura līmenis asinīs pēdējā gada laikā šajā vecuma grupā ir noteikts retāk: 52% vīriešu un 67% sieviešu</w:t>
            </w:r>
            <w:r>
              <w:rPr>
                <w:rStyle w:val="FootnoteReference"/>
              </w:rPr>
              <w:footnoteReference w:id="18"/>
            </w:r>
            <w:r>
              <w:t>.</w:t>
            </w:r>
            <w:r w:rsidR="00237AA7">
              <w:t xml:space="preserve"> </w:t>
            </w:r>
          </w:p>
          <w:p w:rsidR="00766FF7" w:rsidRDefault="00766FF7" w:rsidP="000E0B74">
            <w:pPr>
              <w:pStyle w:val="naiskr"/>
              <w:spacing w:before="40" w:beforeAutospacing="0" w:after="40" w:afterAutospacing="0"/>
              <w:ind w:left="57" w:right="57" w:firstLine="284"/>
              <w:jc w:val="both"/>
            </w:pPr>
            <w:r>
              <w:rPr>
                <w:rFonts w:eastAsiaTheme="minorHAnsi"/>
              </w:rPr>
              <w:t xml:space="preserve">Ir plānots, ka, </w:t>
            </w:r>
            <w:r w:rsidRPr="000E0B74">
              <w:t>pamatojoties</w:t>
            </w:r>
            <w:r>
              <w:rPr>
                <w:rFonts w:eastAsiaTheme="minorHAnsi"/>
              </w:rPr>
              <w:t xml:space="preserve"> uz </w:t>
            </w:r>
            <w:r w:rsidRPr="00A920C7">
              <w:rPr>
                <w:rFonts w:eastAsiaTheme="minorHAnsi"/>
              </w:rPr>
              <w:t xml:space="preserve">mērķauditorijas iesaisti informatīvajos un izglītojošajos pasākumos par </w:t>
            </w:r>
            <w:r>
              <w:rPr>
                <w:rFonts w:eastAsiaTheme="minorHAnsi"/>
              </w:rPr>
              <w:t>veselības veicināšanas</w:t>
            </w:r>
            <w:r w:rsidRPr="003F5725">
              <w:rPr>
                <w:rFonts w:eastAsiaTheme="minorHAnsi"/>
              </w:rPr>
              <w:t xml:space="preserve"> </w:t>
            </w:r>
            <w:r>
              <w:rPr>
                <w:rFonts w:eastAsiaTheme="minorHAnsi"/>
              </w:rPr>
              <w:t>un slimību</w:t>
            </w:r>
            <w:r w:rsidRPr="00A920C7">
              <w:rPr>
                <w:rFonts w:eastAsiaTheme="minorHAnsi"/>
              </w:rPr>
              <w:t xml:space="preserve"> profilakses jautājumiem</w:t>
            </w:r>
            <w:r>
              <w:rPr>
                <w:rFonts w:eastAsiaTheme="minorHAnsi"/>
              </w:rPr>
              <w:t>,</w:t>
            </w:r>
            <w:r w:rsidRPr="00A920C7">
              <w:rPr>
                <w:rFonts w:eastAsiaTheme="minorHAnsi"/>
              </w:rPr>
              <w:t xml:space="preserve"> iedzīvotāj</w:t>
            </w:r>
            <w:r>
              <w:rPr>
                <w:rFonts w:eastAsiaTheme="minorHAnsi"/>
              </w:rPr>
              <w:t>i izrādīs</w:t>
            </w:r>
            <w:r w:rsidRPr="00A920C7">
              <w:rPr>
                <w:rFonts w:eastAsiaTheme="minorHAnsi"/>
              </w:rPr>
              <w:t xml:space="preserve"> iniciatīvu </w:t>
            </w:r>
            <w:r w:rsidRPr="005D79E7">
              <w:t>apmeklēt</w:t>
            </w:r>
            <w:r w:rsidRPr="00A920C7">
              <w:rPr>
                <w:rFonts w:eastAsiaTheme="minorHAnsi"/>
              </w:rPr>
              <w:t xml:space="preserve"> </w:t>
            </w:r>
            <w:r>
              <w:rPr>
                <w:rFonts w:eastAsiaTheme="minorHAnsi"/>
              </w:rPr>
              <w:t xml:space="preserve">ģimenes ārstu </w:t>
            </w:r>
            <w:r w:rsidR="00237AA7">
              <w:rPr>
                <w:rFonts w:eastAsiaTheme="minorHAnsi"/>
              </w:rPr>
              <w:t xml:space="preserve">un </w:t>
            </w:r>
            <w:r>
              <w:rPr>
                <w:rFonts w:eastAsiaTheme="minorHAnsi"/>
              </w:rPr>
              <w:t>citu</w:t>
            </w:r>
            <w:r w:rsidR="00237AA7">
              <w:rPr>
                <w:rFonts w:eastAsiaTheme="minorHAnsi"/>
              </w:rPr>
              <w:t>s</w:t>
            </w:r>
            <w:r>
              <w:rPr>
                <w:rFonts w:eastAsiaTheme="minorHAnsi"/>
              </w:rPr>
              <w:t xml:space="preserve"> speciālistu</w:t>
            </w:r>
            <w:r w:rsidR="00237AA7">
              <w:rPr>
                <w:rFonts w:eastAsiaTheme="minorHAnsi"/>
              </w:rPr>
              <w:t>s</w:t>
            </w:r>
            <w:r w:rsidRPr="00A920C7">
              <w:rPr>
                <w:rFonts w:eastAsiaTheme="minorHAnsi"/>
              </w:rPr>
              <w:t xml:space="preserve"> veselības profilakses nolūkos</w:t>
            </w:r>
            <w:r>
              <w:rPr>
                <w:rFonts w:eastAsiaTheme="minorHAnsi"/>
              </w:rPr>
              <w:t xml:space="preserve">, </w:t>
            </w:r>
            <w:r w:rsidR="00237AA7">
              <w:rPr>
                <w:rFonts w:eastAsiaTheme="minorHAnsi"/>
              </w:rPr>
              <w:t xml:space="preserve">un </w:t>
            </w:r>
            <w:r>
              <w:rPr>
                <w:rFonts w:eastAsiaTheme="minorHAnsi"/>
              </w:rPr>
              <w:t xml:space="preserve">mainīt veselību ietekmējošos dzīvesveida paradumus. </w:t>
            </w:r>
            <w:r w:rsidR="00237AA7" w:rsidRPr="00A920C7">
              <w:rPr>
                <w:rFonts w:eastAsiaTheme="minorHAnsi"/>
              </w:rPr>
              <w:t>201</w:t>
            </w:r>
            <w:r w:rsidR="00237AA7">
              <w:rPr>
                <w:rFonts w:eastAsiaTheme="minorHAnsi"/>
              </w:rPr>
              <w:t>4</w:t>
            </w:r>
            <w:r w:rsidRPr="00A920C7">
              <w:rPr>
                <w:rFonts w:eastAsiaTheme="minorHAnsi"/>
              </w:rPr>
              <w:t>.gadā</w:t>
            </w:r>
            <w:r>
              <w:rPr>
                <w:rFonts w:eastAsiaTheme="minorHAnsi"/>
              </w:rPr>
              <w:t xml:space="preserve"> veiktā Latvijas iedzīvotāju veselību ietekmējošo paradumu </w:t>
            </w:r>
            <w:r w:rsidRPr="00A920C7">
              <w:rPr>
                <w:rFonts w:eastAsiaTheme="minorHAnsi"/>
              </w:rPr>
              <w:t>pētījum</w:t>
            </w:r>
            <w:r>
              <w:rPr>
                <w:rFonts w:eastAsiaTheme="minorHAnsi"/>
              </w:rPr>
              <w:t>a dati rāda, ka</w:t>
            </w:r>
            <w:r w:rsidRPr="00A920C7">
              <w:rPr>
                <w:rFonts w:eastAsiaTheme="minorHAnsi"/>
              </w:rPr>
              <w:t xml:space="preserve"> </w:t>
            </w:r>
            <w:r>
              <w:rPr>
                <w:rFonts w:eastAsiaTheme="minorHAnsi"/>
              </w:rPr>
              <w:t>veselības uzlabošanas nolūkā</w:t>
            </w:r>
            <w:r w:rsidRPr="00A920C7">
              <w:rPr>
                <w:rFonts w:eastAsiaTheme="minorHAnsi"/>
              </w:rPr>
              <w:t xml:space="preserve"> </w:t>
            </w:r>
            <w:r>
              <w:rPr>
                <w:rFonts w:eastAsiaTheme="minorHAnsi"/>
              </w:rPr>
              <w:t xml:space="preserve">pēdējā gada laikā </w:t>
            </w:r>
            <w:r w:rsidRPr="00A920C7">
              <w:rPr>
                <w:rFonts w:eastAsiaTheme="minorHAnsi"/>
              </w:rPr>
              <w:t xml:space="preserve">paradumus mainījuši </w:t>
            </w:r>
            <w:r w:rsidR="00237AA7">
              <w:rPr>
                <w:rFonts w:eastAsiaTheme="minorHAnsi"/>
              </w:rPr>
              <w:t>43,5</w:t>
            </w:r>
            <w:r w:rsidRPr="00A920C7">
              <w:rPr>
                <w:rFonts w:eastAsiaTheme="minorHAnsi"/>
              </w:rPr>
              <w:t>% iedzīvotāju vecuma grupā 15-</w:t>
            </w:r>
            <w:r>
              <w:rPr>
                <w:rFonts w:eastAsiaTheme="minorHAnsi"/>
              </w:rPr>
              <w:t>6</w:t>
            </w:r>
            <w:r w:rsidRPr="00A920C7">
              <w:rPr>
                <w:rFonts w:eastAsiaTheme="minorHAnsi"/>
              </w:rPr>
              <w:t xml:space="preserve">4 </w:t>
            </w:r>
            <w:r w:rsidRPr="0067672E">
              <w:t>gadi</w:t>
            </w:r>
            <w:r w:rsidR="00237AA7">
              <w:rPr>
                <w:rStyle w:val="FootnoteReference"/>
              </w:rPr>
              <w:footnoteReference w:id="19"/>
            </w:r>
            <w:r>
              <w:rPr>
                <w:rFonts w:eastAsiaTheme="minorHAnsi"/>
              </w:rPr>
              <w:t xml:space="preserve">, </w:t>
            </w:r>
            <w:r w:rsidR="00237AA7">
              <w:t>jāatzīmē, ka</w:t>
            </w:r>
            <w:r w:rsidRPr="00A920C7">
              <w:t xml:space="preserve"> riska grupās paradumus mainījušo īpatsvars ir daudz zemāks (ņemot vērā esošo pieredzi ap 5</w:t>
            </w:r>
            <w:r>
              <w:t>-15</w:t>
            </w:r>
            <w:r w:rsidRPr="00A920C7">
              <w:t>%</w:t>
            </w:r>
            <w:r>
              <w:t>).</w:t>
            </w:r>
          </w:p>
          <w:p w:rsidR="00D96EA0" w:rsidRPr="00D96EA0" w:rsidRDefault="00D96EA0" w:rsidP="00835B35">
            <w:pPr>
              <w:ind w:left="114" w:right="142"/>
              <w:jc w:val="both"/>
              <w:rPr>
                <w:rFonts w:eastAsia="Calibri"/>
              </w:rPr>
            </w:pPr>
            <w:r>
              <w:rPr>
                <w:rFonts w:eastAsiaTheme="minorHAnsi"/>
              </w:rPr>
              <w:t>SAM p</w:t>
            </w:r>
            <w:r>
              <w:t xml:space="preserve">rojektos tiks </w:t>
            </w:r>
            <w:r w:rsidRPr="00D96EA0">
              <w:t xml:space="preserve">paredzētās specifiskās darbības, kas veicina horizontālā principa „Vienlīdzīgas iespējas„ (dzimumu līdztiesība, invaliditāte, vecums un etniskā piederība) ievērošanu, </w:t>
            </w:r>
            <w:r w:rsidRPr="00D96EA0">
              <w:rPr>
                <w:rFonts w:eastAsia="Calibri"/>
              </w:rPr>
              <w:t xml:space="preserve"> kas veicina personu ar invaliditāti tiesību ievērošanu un iekļaušanu un kas veicina  </w:t>
            </w:r>
            <w:proofErr w:type="spellStart"/>
            <w:r w:rsidRPr="00D96EA0">
              <w:rPr>
                <w:rFonts w:eastAsia="Calibri"/>
              </w:rPr>
              <w:t>nediskrimināciju</w:t>
            </w:r>
            <w:proofErr w:type="spellEnd"/>
            <w:r w:rsidRPr="00D96EA0">
              <w:rPr>
                <w:rFonts w:eastAsia="Calibri"/>
              </w:rPr>
              <w:t xml:space="preserve"> vecuma dēļ un etniskās piederības dēļ</w:t>
            </w:r>
            <w:r>
              <w:rPr>
                <w:rFonts w:eastAsia="Calibri"/>
              </w:rPr>
              <w:t xml:space="preserve">, attiecīgi nosakot  specifiskus pasākumus viena vai otra dzimuma veselības uzlabošanai, uzrunājot atsevišķi vīriešu un sieviešu mērķauditoriju. Tiks noteikti  pasākumi personām ar invaliditāti (ar funkcionāliem traucējumiem, tajā skaitā ar garīga rakstura traucējumiem), lai novērstu viņu </w:t>
            </w:r>
            <w:proofErr w:type="spellStart"/>
            <w:r>
              <w:rPr>
                <w:rFonts w:eastAsia="Calibri"/>
              </w:rPr>
              <w:t>institucionalizācijas</w:t>
            </w:r>
            <w:proofErr w:type="spellEnd"/>
            <w:r>
              <w:rPr>
                <w:rFonts w:eastAsia="Calibri"/>
              </w:rPr>
              <w:t xml:space="preserve"> risku vai sniegtu atbalstu pēc viņu atgriešanās sabiedrībā </w:t>
            </w:r>
            <w:proofErr w:type="spellStart"/>
            <w:r>
              <w:rPr>
                <w:rFonts w:eastAsia="Calibri"/>
              </w:rPr>
              <w:t>deinstitucionalizācijas</w:t>
            </w:r>
            <w:proofErr w:type="spellEnd"/>
            <w:r>
              <w:rPr>
                <w:rFonts w:eastAsia="Calibri"/>
              </w:rPr>
              <w:t xml:space="preserve"> rezultātā,  noteiktas darbības, kas vērstas uz iedzīvotāju veselības stāvokļa uzlabošanu, lai veicinātu iespēju vairāk iedzīvotājiem iesaistīties darba tirgū un turpināt strādāt arī pēc 55 gadu vecuma, kā arī plānoti veselības veicināšanas pasākumi darbavietā un ārpus tās, veicinot iedzīvotāju ilgāku nodarbinātību veselības aprūpes pieejamības veicināšanas pasākumi personām ar funkcionāliem traucējumiem, vecāka gadagājuma personām, personām ar zemiem materiāliem ienākumiem un etniskajām minoritātēm/migrantiem.</w:t>
            </w:r>
          </w:p>
          <w:p w:rsidR="00D26824" w:rsidRPr="00D26824" w:rsidRDefault="00D26824" w:rsidP="00C1591C">
            <w:pPr>
              <w:pStyle w:val="naiskr"/>
              <w:spacing w:before="40" w:beforeAutospacing="0" w:after="40" w:afterAutospacing="0"/>
              <w:ind w:left="57" w:right="57" w:firstLine="284"/>
              <w:jc w:val="both"/>
            </w:pPr>
            <w:r w:rsidRPr="00D26824">
              <w:rPr>
                <w:rFonts w:eastAsiaTheme="minorHAnsi"/>
                <w:b/>
                <w:u w:val="single"/>
              </w:rPr>
              <w:lastRenderedPageBreak/>
              <w:t>SAM plānotā ietekme:</w:t>
            </w:r>
          </w:p>
          <w:p w:rsidR="00C065AA" w:rsidRPr="00D26824" w:rsidRDefault="00C065AA" w:rsidP="00C1591C">
            <w:pPr>
              <w:pStyle w:val="naiskr"/>
              <w:spacing w:before="40" w:beforeAutospacing="0" w:after="40" w:afterAutospacing="0"/>
              <w:ind w:left="57" w:right="57" w:firstLine="284"/>
              <w:jc w:val="both"/>
              <w:rPr>
                <w:b/>
              </w:rPr>
            </w:pPr>
            <w:r w:rsidRPr="00D26824">
              <w:t>Ievērojot ierobežoto investīciju apjomu, izstrādājot</w:t>
            </w:r>
            <w:r w:rsidR="00237AA7">
              <w:t xml:space="preserve"> </w:t>
            </w:r>
            <w:r w:rsidR="00497B9B">
              <w:t>Latvijas Nacionālo attīstības plānu</w:t>
            </w:r>
            <w:r w:rsidR="00497B9B" w:rsidRPr="004C0A2D">
              <w:t xml:space="preserve"> 2</w:t>
            </w:r>
            <w:r w:rsidR="00497B9B">
              <w:t>014.-2020.gadam</w:t>
            </w:r>
            <w:r w:rsidR="00497B9B" w:rsidRPr="00D26824">
              <w:t xml:space="preserve"> </w:t>
            </w:r>
            <w:r w:rsidRPr="00D26824">
              <w:t>un atbilstoši Sabiedrības veselības pamatnostādnēm 2014.-2020.gadam, kas ir galvenais veselības nozares plānošanas dokuments Latvijā, tika nolemts veikt ieguldījumus pasākumos, kas ar lielāko atdevi var nodrošināt potenciāli zaudēto mūža gadu samazināšanu un veselīgo mūža gadu skaita palielināšanu.</w:t>
            </w:r>
          </w:p>
          <w:p w:rsidR="00C065AA" w:rsidRPr="00D26824" w:rsidRDefault="00C065AA" w:rsidP="00C1591C">
            <w:pPr>
              <w:pStyle w:val="naiskr"/>
              <w:spacing w:before="40" w:beforeAutospacing="0" w:after="40" w:afterAutospacing="0"/>
              <w:ind w:left="57" w:right="57" w:firstLine="284"/>
              <w:jc w:val="both"/>
              <w:rPr>
                <w:b/>
              </w:rPr>
            </w:pPr>
            <w:r w:rsidRPr="00D26824">
              <w:t>Investīciju ietekmē uzlabosies iedzīvotāju informētība un izglītotība (</w:t>
            </w:r>
            <w:proofErr w:type="spellStart"/>
            <w:r w:rsidRPr="00D26824">
              <w:rPr>
                <w:i/>
              </w:rPr>
              <w:t>literacy</w:t>
            </w:r>
            <w:proofErr w:type="spellEnd"/>
            <w:r w:rsidRPr="00D26824">
              <w:t>) veselības jomā, pieaugs veselības veicināšanas un slimību profilakses iespēju pieejamība gan valsts, gan pašvaldību līmenī. Plānotie veselības veicināšanas un slimību profilakses</w:t>
            </w:r>
            <w:r w:rsidR="002C6B64">
              <w:t xml:space="preserve"> </w:t>
            </w:r>
            <w:r w:rsidRPr="00D26824">
              <w:t xml:space="preserve">pasākumi ESF ietvaros nodrošinās pasākumu regularitāti un kompleksu pieeju problēmu risinājumiem, kas ir būtisks priekšnoteikums šo pasākumu efektivitātei. Tāpat </w:t>
            </w:r>
            <w:r w:rsidR="00237AA7">
              <w:t xml:space="preserve">ES </w:t>
            </w:r>
            <w:r w:rsidRPr="00D26824">
              <w:t xml:space="preserve">fondu investīcijas ļaus realizēt pasākumus, kas līdz šim ierobežotu līdzekļu dēļ ir veikti </w:t>
            </w:r>
            <w:r w:rsidR="007C0E17">
              <w:t xml:space="preserve">nepietiekamā </w:t>
            </w:r>
            <w:r w:rsidRPr="00D26824">
              <w:t>apjomā, piemēram, intervences sociāl</w:t>
            </w:r>
            <w:r w:rsidR="00EF7A50">
              <w:t>ās atstumtības riskam pakļauto iedzīvotāju mērķa</w:t>
            </w:r>
            <w:r w:rsidRPr="00D26824">
              <w:t xml:space="preserve"> grupām, veselības veicināšanas pasākumu efektivitātes izvērtējumi. Valsts un pašvaldību līmenī tiks izstrādāti dažādi mehānismi (piemēram, pakalpojumu integrēšana, sadarbība, komunikāciju stratēģijas) pasākumu realizēšanai, kas darbosies arī pēc finansēšanas perioda.</w:t>
            </w:r>
          </w:p>
          <w:p w:rsidR="00C065AA" w:rsidRPr="00D26824" w:rsidRDefault="00C065AA" w:rsidP="00C1591C">
            <w:pPr>
              <w:pStyle w:val="naiskr"/>
              <w:spacing w:before="40" w:beforeAutospacing="0" w:after="40" w:afterAutospacing="0"/>
              <w:ind w:left="57" w:right="57" w:firstLine="284"/>
              <w:jc w:val="both"/>
              <w:rPr>
                <w:b/>
              </w:rPr>
            </w:pPr>
            <w:r w:rsidRPr="00D26824">
              <w:rPr>
                <w:bCs/>
              </w:rPr>
              <w:t>Iepriekšminētais</w:t>
            </w:r>
            <w:r w:rsidRPr="00D26824">
              <w:t xml:space="preserve"> uzlabos iedzīvotāju paradumus, pakalpojumu pieejamību ne tikai individuālā, bet arī ģimenes un vietējās kopienas līmenī. Tas attiecīgi palīdzēs </w:t>
            </w:r>
            <w:r w:rsidR="007C0E17">
              <w:t>uzlabot iedzīvotāju</w:t>
            </w:r>
            <w:r w:rsidR="007C0E17" w:rsidRPr="00D26824">
              <w:t xml:space="preserve"> </w:t>
            </w:r>
            <w:r w:rsidRPr="00D26824">
              <w:t xml:space="preserve">veselību, sekmēs savlaicīgu slimību risku atklāšanu un mazināšanu, darbspēju saglabāšanu, tādejādi </w:t>
            </w:r>
            <w:r w:rsidR="007C0E17" w:rsidRPr="00D26824">
              <w:t>pa</w:t>
            </w:r>
            <w:r w:rsidR="007C0E17">
              <w:t>garinot</w:t>
            </w:r>
            <w:r w:rsidR="007C0E17" w:rsidRPr="00D26824">
              <w:t xml:space="preserve"> </w:t>
            </w:r>
            <w:r w:rsidRPr="00D26824">
              <w:t xml:space="preserve">veselīgo mūža ilgumu. </w:t>
            </w:r>
          </w:p>
          <w:p w:rsidR="007E1121" w:rsidRDefault="007E1121" w:rsidP="00C1591C">
            <w:pPr>
              <w:pStyle w:val="naiskr"/>
              <w:spacing w:before="40" w:beforeAutospacing="0" w:after="40" w:afterAutospacing="0"/>
              <w:ind w:left="57" w:right="57" w:firstLine="284"/>
              <w:jc w:val="both"/>
              <w:rPr>
                <w:lang w:eastAsia="en-US" w:bidi="ar-SA"/>
              </w:rPr>
            </w:pPr>
            <w:r w:rsidRPr="00D26824">
              <w:rPr>
                <w:lang w:eastAsia="en-US" w:bidi="ar-SA"/>
              </w:rPr>
              <w:t xml:space="preserve">Pasākumi tiek </w:t>
            </w:r>
            <w:r w:rsidR="00D26824" w:rsidRPr="00D26824">
              <w:rPr>
                <w:lang w:eastAsia="en-US" w:bidi="ar-SA"/>
              </w:rPr>
              <w:t>plānoti</w:t>
            </w:r>
            <w:r w:rsidRPr="00D26824">
              <w:rPr>
                <w:lang w:eastAsia="en-US" w:bidi="ar-SA"/>
              </w:rPr>
              <w:t>, ņemot vērā Sabiedrības veselības pamatnostādnēs 2014.-2020.gadam</w:t>
            </w:r>
            <w:r w:rsidRPr="00D26824">
              <w:rPr>
                <w:vertAlign w:val="superscript"/>
                <w:lang w:eastAsia="en-US" w:bidi="ar-SA"/>
              </w:rPr>
              <w:footnoteReference w:id="20"/>
            </w:r>
            <w:r w:rsidRPr="00D26824">
              <w:rPr>
                <w:lang w:eastAsia="en-US" w:bidi="ar-SA"/>
              </w:rPr>
              <w:t xml:space="preserve"> noteikto </w:t>
            </w:r>
            <w:proofErr w:type="spellStart"/>
            <w:r w:rsidRPr="00D26824">
              <w:rPr>
                <w:lang w:eastAsia="en-US" w:bidi="ar-SA"/>
              </w:rPr>
              <w:t>virsmērķi</w:t>
            </w:r>
            <w:proofErr w:type="spellEnd"/>
            <w:r w:rsidRPr="00D26824">
              <w:rPr>
                <w:lang w:eastAsia="en-US" w:bidi="ar-SA"/>
              </w:rPr>
              <w:t xml:space="preserve"> </w:t>
            </w:r>
            <w:r w:rsidR="00497B9B">
              <w:rPr>
                <w:lang w:eastAsia="en-US" w:bidi="ar-SA"/>
              </w:rPr>
              <w:t>(</w:t>
            </w:r>
            <w:r w:rsidRPr="00D26824">
              <w:rPr>
                <w:lang w:eastAsia="en-US" w:bidi="ar-SA"/>
              </w:rPr>
              <w:t>palielināt Latvijas iedzīvotāju veselīgi nodzīvoto mūža gadu skaitu un novērst priekšlaicīgu nāvi, saglabājot, uzlabojot un atjaunojot veselību</w:t>
            </w:r>
            <w:r w:rsidR="00497B9B">
              <w:rPr>
                <w:lang w:eastAsia="en-US" w:bidi="ar-SA"/>
              </w:rPr>
              <w:t>), kā arī ņemot vērā noteiktos rīcības virzienus, uzdevumus un paredzētos pasākumus</w:t>
            </w:r>
            <w:r w:rsidR="00EF7A50">
              <w:rPr>
                <w:lang w:eastAsia="en-US" w:bidi="ar-SA"/>
              </w:rPr>
              <w:t>, un</w:t>
            </w:r>
            <w:r w:rsidR="00237AA7">
              <w:rPr>
                <w:lang w:eastAsia="en-US" w:bidi="ar-SA"/>
              </w:rPr>
              <w:t xml:space="preserve"> </w:t>
            </w:r>
            <w:r w:rsidR="00EF7A50">
              <w:t>ir daļa no veselības ministra sabiedrības veselības uzlabošanas ilgtermiņa plāna „Vesels! Latvijas veselības platforma 2015-2065”</w:t>
            </w:r>
            <w:r w:rsidR="00497B9B">
              <w:rPr>
                <w:lang w:eastAsia="en-US" w:bidi="ar-SA"/>
              </w:rPr>
              <w:t>.</w:t>
            </w:r>
          </w:p>
          <w:p w:rsidR="001449CC" w:rsidRDefault="001449CC" w:rsidP="00C1591C">
            <w:pPr>
              <w:pStyle w:val="naiskr"/>
              <w:spacing w:before="40" w:beforeAutospacing="0" w:after="40" w:afterAutospacing="0"/>
              <w:ind w:left="57" w:right="57" w:firstLine="284"/>
              <w:jc w:val="both"/>
            </w:pPr>
            <w:r>
              <w:rPr>
                <w:lang w:eastAsia="en-US" w:bidi="ar-SA"/>
              </w:rPr>
              <w:t>Lai nodrošinātu pasākumu efektivitāti un pēctecību, svarīgi nodrošināt, lai finansējums vietējiem un uz mērķa grupu orientētiem pasākumiem tiktu piesaistīts caur</w:t>
            </w:r>
            <w:r w:rsidR="00237AA7">
              <w:rPr>
                <w:lang w:eastAsia="en-US" w:bidi="ar-SA"/>
              </w:rPr>
              <w:t xml:space="preserve"> </w:t>
            </w:r>
            <w:r>
              <w:lastRenderedPageBreak/>
              <w:t>Nacionālā veselīgo pašvaldību tīkla dalībniekiem,</w:t>
            </w:r>
            <w:r w:rsidR="00237AA7">
              <w:t xml:space="preserve"> </w:t>
            </w:r>
            <w:r w:rsidRPr="001449CC">
              <w:t>kuriem ir nodrošināti nosacījumi efektīvu ieguldījumu veikšanai un ieguldījumu pēctecības nodrošināšanai</w:t>
            </w:r>
            <w:r>
              <w:t>.</w:t>
            </w:r>
            <w:r w:rsidR="00237AA7">
              <w:t xml:space="preserve"> </w:t>
            </w:r>
            <w:r w:rsidR="00EF7A50" w:rsidRPr="00EF7A50">
              <w:t>Lai kļūtu par Nacionālā veselīgo pašvaldību tīkla dalībnieci, pašvaldībai ir jānodrošina šādas minimālās prasības:</w:t>
            </w:r>
          </w:p>
          <w:p w:rsidR="00EF7A50" w:rsidRPr="00EF7A50" w:rsidRDefault="00EF7A50" w:rsidP="00EF7A50">
            <w:pPr>
              <w:pStyle w:val="ListParagraph"/>
              <w:numPr>
                <w:ilvl w:val="0"/>
                <w:numId w:val="11"/>
              </w:numPr>
              <w:spacing w:after="120"/>
              <w:ind w:left="397" w:right="57" w:firstLine="0"/>
              <w:jc w:val="both"/>
              <w:outlineLvl w:val="0"/>
            </w:pPr>
            <w:r w:rsidRPr="00EF7A50">
              <w:t>jābūt pašvaldības domes atbalstam un lēmumam par dalību tīklā;</w:t>
            </w:r>
          </w:p>
          <w:p w:rsidR="00EF7A50" w:rsidRPr="00EF7A50" w:rsidRDefault="00EF7A50" w:rsidP="00EF7A50">
            <w:pPr>
              <w:pStyle w:val="ListParagraph"/>
              <w:numPr>
                <w:ilvl w:val="0"/>
                <w:numId w:val="11"/>
              </w:numPr>
              <w:spacing w:after="120"/>
              <w:ind w:left="397" w:right="57" w:firstLine="0"/>
              <w:jc w:val="both"/>
              <w:outlineLvl w:val="0"/>
            </w:pPr>
            <w:r w:rsidRPr="00EF7A50">
              <w:t>jānozīmē atbildīgais darbinieks (tīkla koordinators);</w:t>
            </w:r>
          </w:p>
          <w:p w:rsidR="00EF7A50" w:rsidRDefault="00EF7A50" w:rsidP="00EF7A50">
            <w:pPr>
              <w:pStyle w:val="ListParagraph"/>
              <w:numPr>
                <w:ilvl w:val="0"/>
                <w:numId w:val="11"/>
              </w:numPr>
              <w:spacing w:after="120"/>
              <w:ind w:left="397" w:right="57" w:firstLine="0"/>
              <w:jc w:val="both"/>
              <w:outlineLvl w:val="0"/>
            </w:pPr>
            <w:r w:rsidRPr="00EF7A50">
              <w:t>jābūt</w:t>
            </w:r>
            <w:r w:rsidR="00237AA7">
              <w:t xml:space="preserve"> </w:t>
            </w:r>
            <w:r w:rsidR="00237AA7" w:rsidRPr="00EF7A50">
              <w:t>izstrādāt</w:t>
            </w:r>
            <w:r w:rsidR="00237AA7">
              <w:t>am</w:t>
            </w:r>
            <w:r w:rsidR="00237AA7" w:rsidRPr="00EF7A50">
              <w:t xml:space="preserve"> </w:t>
            </w:r>
            <w:r w:rsidRPr="00EF7A50">
              <w:t xml:space="preserve">vai izstrādes procesā politikas plānošanas </w:t>
            </w:r>
            <w:r w:rsidR="00237AA7" w:rsidRPr="00EF7A50">
              <w:t>dokument</w:t>
            </w:r>
            <w:r w:rsidR="00237AA7">
              <w:t>am</w:t>
            </w:r>
            <w:r w:rsidRPr="00EF7A50">
              <w:t>, kurā ir iekļauta sabiedrības veselības nozīme un veselības veicināšanas pasākumi;</w:t>
            </w:r>
          </w:p>
          <w:p w:rsidR="00EF7A50" w:rsidRPr="00EF7A50" w:rsidRDefault="00EF7A50" w:rsidP="00EF7A50">
            <w:pPr>
              <w:pStyle w:val="ListParagraph"/>
              <w:numPr>
                <w:ilvl w:val="0"/>
                <w:numId w:val="11"/>
              </w:numPr>
              <w:spacing w:after="120"/>
              <w:ind w:left="397" w:right="57" w:firstLine="0"/>
              <w:jc w:val="both"/>
              <w:outlineLvl w:val="0"/>
            </w:pPr>
            <w:r w:rsidRPr="00EF7A50">
              <w:t>regulāri jāīsteno veselību veicinošas aktivitātes un pasākumi;</w:t>
            </w:r>
          </w:p>
          <w:p w:rsidR="00EF7A50" w:rsidRPr="00EF7A50" w:rsidRDefault="00EF7A50" w:rsidP="00EF7A50">
            <w:pPr>
              <w:pStyle w:val="ListParagraph"/>
              <w:numPr>
                <w:ilvl w:val="0"/>
                <w:numId w:val="11"/>
              </w:numPr>
              <w:spacing w:after="120"/>
              <w:ind w:left="397" w:right="57" w:firstLine="0"/>
              <w:jc w:val="both"/>
              <w:outlineLvl w:val="0"/>
            </w:pPr>
            <w:r w:rsidRPr="00EF7A50">
              <w:t>reizi gadā jāinformē tīkla koordinācijas komisija par pārskata periodā īstenotajām aktivitātēm, aizpildot monitoringa veidlapu.</w:t>
            </w:r>
          </w:p>
          <w:p w:rsidR="001449CC" w:rsidRDefault="001449CC" w:rsidP="001449CC">
            <w:pPr>
              <w:pStyle w:val="naiskr"/>
              <w:spacing w:before="40" w:beforeAutospacing="0" w:after="40" w:afterAutospacing="0"/>
              <w:ind w:left="57" w:right="57"/>
              <w:jc w:val="both"/>
            </w:pPr>
            <w:r>
              <w:t>Nacionālā veselīgo pašvaldību tīkla nozīmību arī atzīmējusi Pasaules banka savā</w:t>
            </w:r>
            <w:r w:rsidRPr="00D26824">
              <w:t xml:space="preserve"> novērtējumā par veselības veicināšanas pasākumu ietvaru Latvijā</w:t>
            </w:r>
            <w:r w:rsidRPr="00D26824">
              <w:rPr>
                <w:rStyle w:val="FootnoteReference"/>
              </w:rPr>
              <w:footnoteReference w:id="21"/>
            </w:r>
            <w:r>
              <w:t>.</w:t>
            </w:r>
          </w:p>
          <w:p w:rsidR="00D42358" w:rsidRDefault="00D42358" w:rsidP="00C1591C">
            <w:pPr>
              <w:pStyle w:val="naiskr"/>
              <w:spacing w:before="40" w:beforeAutospacing="0" w:after="40" w:afterAutospacing="0"/>
              <w:ind w:left="57" w:right="57" w:firstLine="284"/>
              <w:jc w:val="both"/>
              <w:rPr>
                <w:rFonts w:eastAsiaTheme="minorHAnsi"/>
                <w:b/>
                <w:u w:val="single"/>
              </w:rPr>
            </w:pPr>
          </w:p>
          <w:p w:rsidR="00D26824" w:rsidRPr="00D26824" w:rsidRDefault="00D26824" w:rsidP="00C1591C">
            <w:pPr>
              <w:pStyle w:val="naiskr"/>
              <w:spacing w:before="40" w:beforeAutospacing="0" w:after="40" w:afterAutospacing="0"/>
              <w:ind w:left="57" w:right="57" w:firstLine="284"/>
              <w:jc w:val="both"/>
              <w:rPr>
                <w:rFonts w:eastAsiaTheme="minorHAnsi"/>
                <w:b/>
                <w:u w:val="single"/>
              </w:rPr>
            </w:pPr>
            <w:r w:rsidRPr="00D26824">
              <w:rPr>
                <w:rFonts w:eastAsiaTheme="minorHAnsi"/>
                <w:b/>
                <w:u w:val="single"/>
              </w:rPr>
              <w:t>SAM ieviešanas nosacījumi:</w:t>
            </w:r>
          </w:p>
          <w:p w:rsidR="007E1121" w:rsidRPr="00D26824" w:rsidRDefault="00D26824" w:rsidP="00C1591C">
            <w:pPr>
              <w:pStyle w:val="naiskr"/>
              <w:spacing w:before="40" w:beforeAutospacing="0" w:after="40" w:afterAutospacing="0"/>
              <w:ind w:left="57" w:right="57" w:firstLine="284"/>
              <w:jc w:val="both"/>
            </w:pPr>
            <w:r w:rsidRPr="00D26824">
              <w:t xml:space="preserve">SAM ieviešanas nosacījumi ir izstrādāti </w:t>
            </w:r>
            <w:r w:rsidR="007C0E17">
              <w:t xml:space="preserve">pamatojoties </w:t>
            </w:r>
            <w:r w:rsidRPr="00D26824">
              <w:t xml:space="preserve">uz </w:t>
            </w:r>
            <w:r w:rsidR="007E1121" w:rsidRPr="00D26824">
              <w:t>SAM sākotnēj</w:t>
            </w:r>
            <w:r w:rsidR="007C0E17">
              <w:t>o</w:t>
            </w:r>
            <w:r w:rsidR="007E1121" w:rsidRPr="00D26824">
              <w:t xml:space="preserve"> novērtējum</w:t>
            </w:r>
            <w:r w:rsidR="007C0E17">
              <w:t>u</w:t>
            </w:r>
            <w:r w:rsidR="007E1121" w:rsidRPr="00D26824">
              <w:t>,</w:t>
            </w:r>
            <w:r w:rsidR="004E1AD5" w:rsidRPr="00D26824">
              <w:t xml:space="preserve"> </w:t>
            </w:r>
            <w:r w:rsidR="007E1121" w:rsidRPr="00D26824">
              <w:t>kas ietver analīzi par SAM ieviešanas</w:t>
            </w:r>
            <w:r w:rsidR="002C6B64">
              <w:t xml:space="preserve"> </w:t>
            </w:r>
            <w:r w:rsidR="007E1121" w:rsidRPr="00D26824">
              <w:t xml:space="preserve">risinājumu, ieviešanas modeļa </w:t>
            </w:r>
            <w:r w:rsidR="00EF7A50">
              <w:t>aprakstu</w:t>
            </w:r>
            <w:r w:rsidR="007E1121" w:rsidRPr="00D26824">
              <w:t>, kā arī sākotnējās ietekmes uz valsts un pašvaldību budžetiem, sociālo jomu, informācijas sistēmām, veselību, konkurenci un tirdzniecību</w:t>
            </w:r>
            <w:r w:rsidR="007C0E17" w:rsidRPr="00D26824">
              <w:t xml:space="preserve"> novērtējumu</w:t>
            </w:r>
            <w:r w:rsidR="007E1121" w:rsidRPr="00D26824">
              <w:t>. Tāpat novērtējumā ietverta informācija par ietekmes novērtēšanai nepieciešamajiem datiem, kā arī pašvaldību teritoriālo vajadzību analīze reģionālajā līmenī. Sākotnējā novērtējuma izstrādē tika ņemti vērā esošie ierobežojumi un Pasaules Bankas novērtējumā par veselības veicināšanas pasākumu ietvaru Latvijā izteiktās rekomendācijas un secinājumi</w:t>
            </w:r>
            <w:r w:rsidR="00242680" w:rsidRPr="00D26824">
              <w:t>.</w:t>
            </w:r>
          </w:p>
          <w:p w:rsidR="00242680" w:rsidRPr="00D26824" w:rsidRDefault="00242680" w:rsidP="00C1591C">
            <w:pPr>
              <w:pStyle w:val="naiskr"/>
              <w:spacing w:before="40" w:beforeAutospacing="0" w:after="40" w:afterAutospacing="0"/>
              <w:ind w:left="57" w:right="57" w:firstLine="284"/>
              <w:jc w:val="both"/>
            </w:pPr>
            <w:r w:rsidRPr="00D26824">
              <w:t xml:space="preserve">SAM ietvaros </w:t>
            </w:r>
            <w:r w:rsidRPr="00D26824">
              <w:rPr>
                <w:bCs/>
              </w:rPr>
              <w:t>paredzēts</w:t>
            </w:r>
            <w:r w:rsidRPr="00D26824">
              <w:t xml:space="preserve"> īstenot divus pasākumus:</w:t>
            </w:r>
          </w:p>
          <w:p w:rsidR="00242680" w:rsidRPr="00D26824" w:rsidRDefault="00242680" w:rsidP="00C1591C">
            <w:pPr>
              <w:pStyle w:val="ListParagraph"/>
              <w:numPr>
                <w:ilvl w:val="0"/>
                <w:numId w:val="11"/>
              </w:numPr>
              <w:spacing w:after="120"/>
              <w:ind w:left="397" w:right="57" w:firstLine="0"/>
              <w:jc w:val="both"/>
              <w:outlineLvl w:val="0"/>
            </w:pPr>
            <w:r w:rsidRPr="00D26824">
              <w:t>9.2.4.1.pasākums – „</w:t>
            </w:r>
            <w:r w:rsidRPr="00D26824">
              <w:rPr>
                <w:i/>
              </w:rPr>
              <w:t>Kompleksi</w:t>
            </w:r>
            <w:r w:rsidR="002C6B64">
              <w:rPr>
                <w:i/>
              </w:rPr>
              <w:t xml:space="preserve"> </w:t>
            </w:r>
            <w:r w:rsidRPr="00D26824">
              <w:rPr>
                <w:i/>
              </w:rPr>
              <w:t>veselības veicināšanas un slimību profilakses pasākumi</w:t>
            </w:r>
            <w:r w:rsidRPr="00D26824">
              <w:t>”</w:t>
            </w:r>
            <w:r w:rsidR="004E1AD5" w:rsidRPr="00D26824">
              <w:t xml:space="preserve"> (turpmāk - 9.2.4.1.pasākums)</w:t>
            </w:r>
            <w:r w:rsidRPr="00D26824">
              <w:t>;</w:t>
            </w:r>
          </w:p>
          <w:p w:rsidR="00242680" w:rsidRPr="00D26824" w:rsidRDefault="00242680" w:rsidP="00C1591C">
            <w:pPr>
              <w:pStyle w:val="ListParagraph"/>
              <w:numPr>
                <w:ilvl w:val="0"/>
                <w:numId w:val="11"/>
              </w:numPr>
              <w:spacing w:after="120"/>
              <w:ind w:left="397" w:right="57" w:firstLine="0"/>
              <w:jc w:val="both"/>
              <w:outlineLvl w:val="0"/>
            </w:pPr>
            <w:r w:rsidRPr="00D26824">
              <w:t>9.2.4.2.pasākums - „</w:t>
            </w:r>
            <w:r w:rsidRPr="00D26824">
              <w:rPr>
                <w:i/>
              </w:rPr>
              <w:t>Pasākumi vietējās sabiedrības veselības veicināšanai un slimību profilaksei</w:t>
            </w:r>
            <w:r w:rsidRPr="00D26824">
              <w:t>”</w:t>
            </w:r>
            <w:r w:rsidR="004E1AD5" w:rsidRPr="00D26824">
              <w:t xml:space="preserve"> (turpmāk - 9.2.4.2.pasākums)</w:t>
            </w:r>
            <w:r w:rsidRPr="00D26824">
              <w:t>.</w:t>
            </w:r>
          </w:p>
          <w:p w:rsidR="005D18B6" w:rsidRDefault="004E1AD5" w:rsidP="005D18B6">
            <w:pPr>
              <w:pStyle w:val="TOC3"/>
              <w:framePr w:hSpace="0" w:wrap="auto" w:vAnchor="margin" w:hAnchor="text" w:xAlign="left" w:yAlign="inline"/>
            </w:pPr>
            <w:r w:rsidRPr="00D26824">
              <w:t xml:space="preserve">SAM ietvaros </w:t>
            </w:r>
            <w:r w:rsidRPr="00D26824">
              <w:rPr>
                <w:b/>
              </w:rPr>
              <w:t>kopējais attiecināmais finansējums</w:t>
            </w:r>
            <w:r w:rsidRPr="00D26824">
              <w:t xml:space="preserve"> ir </w:t>
            </w:r>
            <w:r w:rsidRPr="00D26824">
              <w:lastRenderedPageBreak/>
              <w:t xml:space="preserve">55 385 196 </w:t>
            </w:r>
            <w:proofErr w:type="spellStart"/>
            <w:r w:rsidRPr="00D26824">
              <w:rPr>
                <w:i/>
              </w:rPr>
              <w:t>euro</w:t>
            </w:r>
            <w:proofErr w:type="spellEnd"/>
            <w:r w:rsidRPr="00D26824">
              <w:t xml:space="preserve">, tai skaitā ESF finansējums – 47 077 416 </w:t>
            </w:r>
            <w:proofErr w:type="spellStart"/>
            <w:r w:rsidRPr="00D26824">
              <w:rPr>
                <w:i/>
              </w:rPr>
              <w:t>euro</w:t>
            </w:r>
            <w:proofErr w:type="spellEnd"/>
            <w:r w:rsidRPr="00D26824">
              <w:t xml:space="preserve"> apmērā</w:t>
            </w:r>
            <w:r w:rsidR="00D26824" w:rsidRPr="00D26824">
              <w:t xml:space="preserve"> (85 procenti)</w:t>
            </w:r>
            <w:r w:rsidRPr="00D26824">
              <w:t xml:space="preserve"> un valsts budžeta finansējums 8 307 780 </w:t>
            </w:r>
            <w:proofErr w:type="spellStart"/>
            <w:r w:rsidRPr="00D26824">
              <w:rPr>
                <w:i/>
              </w:rPr>
              <w:t>euro</w:t>
            </w:r>
            <w:proofErr w:type="spellEnd"/>
            <w:r w:rsidRPr="00D26824">
              <w:t xml:space="preserve"> </w:t>
            </w:r>
            <w:r w:rsidR="00D26824" w:rsidRPr="00D26824">
              <w:t xml:space="preserve">(15 procenti) </w:t>
            </w:r>
            <w:r w:rsidRPr="00D26824">
              <w:t>apmērā</w:t>
            </w:r>
            <w:r w:rsidR="00D26824" w:rsidRPr="00D26824">
              <w:t xml:space="preserve">, tai skaitā </w:t>
            </w:r>
            <w:r w:rsidR="00242680" w:rsidRPr="00D26824">
              <w:t xml:space="preserve">9.2.4.1.pasākuma </w:t>
            </w:r>
            <w:r w:rsidR="005D18B6">
              <w:t xml:space="preserve">pieejamais </w:t>
            </w:r>
            <w:r w:rsidR="00242680" w:rsidRPr="00D26824">
              <w:t>kopējais finansējums ir 16 692 </w:t>
            </w:r>
            <w:r w:rsidR="00317C42" w:rsidRPr="00D26824">
              <w:t>79</w:t>
            </w:r>
            <w:r w:rsidR="00317C42">
              <w:t>8</w:t>
            </w:r>
            <w:r w:rsidR="00EF7A50">
              <w:rPr>
                <w:i/>
              </w:rPr>
              <w:t xml:space="preserve"> </w:t>
            </w:r>
            <w:proofErr w:type="spellStart"/>
            <w:r w:rsidR="00EF7A50">
              <w:rPr>
                <w:i/>
              </w:rPr>
              <w:t>euro</w:t>
            </w:r>
            <w:proofErr w:type="spellEnd"/>
            <w:r w:rsidR="00EF7A50">
              <w:rPr>
                <w:i/>
              </w:rPr>
              <w:t xml:space="preserve"> </w:t>
            </w:r>
            <w:r w:rsidR="00D26824" w:rsidRPr="00D26824">
              <w:t xml:space="preserve">(30,14 procenti no SAM kopējā finansējuma) un </w:t>
            </w:r>
            <w:r w:rsidR="00242680" w:rsidRPr="00D26824">
              <w:t xml:space="preserve">9.2.4.2.pasākuma kopējais </w:t>
            </w:r>
            <w:r w:rsidR="005D18B6">
              <w:t xml:space="preserve">plānotais </w:t>
            </w:r>
            <w:r w:rsidR="00242680" w:rsidRPr="00D26824">
              <w:t xml:space="preserve">finansējums ir 38 692 </w:t>
            </w:r>
            <w:r w:rsidR="00706882" w:rsidRPr="00D26824">
              <w:t>39</w:t>
            </w:r>
            <w:r w:rsidR="00706882">
              <w:t>8</w:t>
            </w:r>
            <w:r w:rsidR="00706882" w:rsidRPr="00D26824">
              <w:t xml:space="preserve"> </w:t>
            </w:r>
            <w:proofErr w:type="spellStart"/>
            <w:r w:rsidR="00EF7A50">
              <w:rPr>
                <w:i/>
              </w:rPr>
              <w:t>euro</w:t>
            </w:r>
            <w:proofErr w:type="spellEnd"/>
            <w:r w:rsidR="00EF7A50">
              <w:rPr>
                <w:i/>
              </w:rPr>
              <w:t xml:space="preserve"> </w:t>
            </w:r>
            <w:r w:rsidR="00D26824" w:rsidRPr="00D26824">
              <w:t>(69,86 procenti no SAM kopējā finansējuma)</w:t>
            </w:r>
            <w:r w:rsidR="00242680" w:rsidRPr="00D26824">
              <w:t>.</w:t>
            </w:r>
          </w:p>
          <w:p w:rsidR="000637E3" w:rsidRPr="005D18B6" w:rsidRDefault="005D18B6" w:rsidP="00EF7A50">
            <w:pPr>
              <w:pStyle w:val="TOC3"/>
              <w:framePr w:hSpace="0" w:wrap="auto" w:vAnchor="margin" w:hAnchor="text" w:xAlign="left" w:yAlign="inline"/>
              <w:rPr>
                <w:rFonts w:eastAsiaTheme="minorEastAsia"/>
              </w:rPr>
            </w:pPr>
            <w:r w:rsidRPr="005D18B6">
              <w:t>9.2.4.2.pasākumam pieejamais kopējais attie</w:t>
            </w:r>
            <w:r w:rsidR="00706882">
              <w:t>cināmais finansējums līdz 2018.gada 31.</w:t>
            </w:r>
            <w:r w:rsidRPr="005D18B6">
              <w:t xml:space="preserve">decembrim ir 32 926 517 </w:t>
            </w:r>
            <w:proofErr w:type="spellStart"/>
            <w:r w:rsidRPr="005D18B6">
              <w:rPr>
                <w:i/>
              </w:rPr>
              <w:t>euro</w:t>
            </w:r>
            <w:proofErr w:type="spellEnd"/>
            <w:r w:rsidRPr="005D18B6">
              <w:rPr>
                <w:i/>
              </w:rPr>
              <w:t xml:space="preserve"> </w:t>
            </w:r>
            <w:r w:rsidRPr="005D18B6">
              <w:t xml:space="preserve">apmērā, tai skaitā ESF finansējums – 27 987 539 </w:t>
            </w:r>
            <w:proofErr w:type="spellStart"/>
            <w:r w:rsidRPr="005D18B6">
              <w:rPr>
                <w:i/>
              </w:rPr>
              <w:t>euro</w:t>
            </w:r>
            <w:proofErr w:type="spellEnd"/>
            <w:r w:rsidRPr="005D18B6">
              <w:t xml:space="preserve"> apmērā un valsts budžeta finansējums 4 938 978 </w:t>
            </w:r>
            <w:proofErr w:type="spellStart"/>
            <w:r w:rsidRPr="005D18B6">
              <w:rPr>
                <w:i/>
              </w:rPr>
              <w:t>euro</w:t>
            </w:r>
            <w:proofErr w:type="spellEnd"/>
            <w:r w:rsidRPr="005D18B6">
              <w:t xml:space="preserve"> apmērā, ņemot vērā snieguma ietvara rezervi 5 765 881 </w:t>
            </w:r>
            <w:proofErr w:type="spellStart"/>
            <w:r w:rsidRPr="005D18B6">
              <w:rPr>
                <w:i/>
              </w:rPr>
              <w:t>euro</w:t>
            </w:r>
            <w:proofErr w:type="spellEnd"/>
            <w:r w:rsidRPr="005D18B6">
              <w:t xml:space="preserve"> apmērā</w:t>
            </w:r>
            <w:r w:rsidRPr="005D18B6">
              <w:rPr>
                <w:rFonts w:eastAsiaTheme="minorEastAsia"/>
              </w:rPr>
              <w:t>.</w:t>
            </w:r>
            <w:r w:rsidR="00EF7A50">
              <w:rPr>
                <w:rFonts w:eastAsiaTheme="minorEastAsia"/>
              </w:rPr>
              <w:t xml:space="preserve"> </w:t>
            </w:r>
            <w:r w:rsidR="00706882">
              <w:t>P</w:t>
            </w:r>
            <w:r w:rsidRPr="005D18B6">
              <w:t xml:space="preserve">ēc </w:t>
            </w:r>
            <w:r w:rsidR="00706882">
              <w:t>snieguma ietvara izpildes</w:t>
            </w:r>
            <w:r w:rsidRPr="005D18B6">
              <w:t xml:space="preserve"> </w:t>
            </w:r>
            <w:r w:rsidRPr="00EF7A50">
              <w:t xml:space="preserve">9.2.4.2.pasākuma </w:t>
            </w:r>
            <w:r w:rsidRPr="005D18B6">
              <w:t>pieejam</w:t>
            </w:r>
            <w:r w:rsidR="00706882">
              <w:t>ais</w:t>
            </w:r>
            <w:r w:rsidRPr="005D18B6">
              <w:t xml:space="preserve"> attiecinām</w:t>
            </w:r>
            <w:r w:rsidR="00706882">
              <w:t>ais</w:t>
            </w:r>
            <w:r w:rsidRPr="005D18B6">
              <w:t xml:space="preserve"> finansējum</w:t>
            </w:r>
            <w:r w:rsidR="00706882">
              <w:t>s palielināms</w:t>
            </w:r>
            <w:r w:rsidRPr="005D18B6">
              <w:t xml:space="preserve"> līdz </w:t>
            </w:r>
            <w:r>
              <w:t>maksimāli pieejamajam</w:t>
            </w:r>
            <w:r w:rsidRPr="005D18B6">
              <w:rPr>
                <w:color w:val="1F497D"/>
              </w:rPr>
              <w:t xml:space="preserve"> </w:t>
            </w:r>
            <w:r w:rsidRPr="005D18B6">
              <w:t>finansējumam</w:t>
            </w:r>
            <w:r w:rsidR="00EF7A50">
              <w:t xml:space="preserve"> </w:t>
            </w:r>
            <w:r w:rsidR="00EF7A50" w:rsidRPr="00D26824">
              <w:t>38 692 39</w:t>
            </w:r>
            <w:r w:rsidR="00EF7A50">
              <w:t>8</w:t>
            </w:r>
            <w:r w:rsidR="00EF7A50" w:rsidRPr="00D26824">
              <w:t xml:space="preserve"> </w:t>
            </w:r>
            <w:proofErr w:type="spellStart"/>
            <w:r w:rsidR="00EF7A50">
              <w:rPr>
                <w:i/>
              </w:rPr>
              <w:t>euro</w:t>
            </w:r>
            <w:proofErr w:type="spellEnd"/>
            <w:r w:rsidR="00EF7A50">
              <w:rPr>
                <w:i/>
              </w:rPr>
              <w:t xml:space="preserve"> </w:t>
            </w:r>
            <w:r w:rsidR="00EF7A50">
              <w:t>apmērā</w:t>
            </w:r>
            <w:r w:rsidR="000637E3" w:rsidRPr="005D18B6">
              <w:rPr>
                <w:rFonts w:eastAsiaTheme="minorEastAsia"/>
              </w:rPr>
              <w:t>.</w:t>
            </w:r>
          </w:p>
          <w:p w:rsidR="000637E3" w:rsidRPr="006722DB" w:rsidRDefault="00DF3D31" w:rsidP="006722DB">
            <w:pPr>
              <w:pStyle w:val="naiskr"/>
              <w:spacing w:before="40" w:beforeAutospacing="0" w:after="40" w:afterAutospacing="0"/>
              <w:ind w:left="57" w:right="57" w:firstLine="284"/>
              <w:jc w:val="both"/>
              <w:rPr>
                <w:sz w:val="20"/>
                <w:szCs w:val="20"/>
              </w:rPr>
            </w:pPr>
            <w:r>
              <w:t>Ņemot vērā, ka d</w:t>
            </w:r>
            <w:r w:rsidR="000637E3" w:rsidRPr="000637E3">
              <w:t xml:space="preserve">arbības programmas “Izaugsme un nodarbinātība” </w:t>
            </w:r>
            <w:r w:rsidR="000637E3" w:rsidRPr="000637E3">
              <w:rPr>
                <w:rFonts w:eastAsiaTheme="minorHAnsi"/>
              </w:rPr>
              <w:t xml:space="preserve">specifiskā atbalsta </w:t>
            </w:r>
            <w:r w:rsidR="000637E3" w:rsidRPr="006722DB">
              <w:rPr>
                <w:rFonts w:eastAsiaTheme="minorHAnsi"/>
              </w:rPr>
              <w:t>mērķa 9.2.3.</w:t>
            </w:r>
            <w:r w:rsidR="001219BE" w:rsidRPr="006722DB">
              <w:rPr>
                <w:rFonts w:eastAsiaTheme="minorHAnsi"/>
                <w:i/>
              </w:rPr>
              <w:t>„</w:t>
            </w:r>
            <w:r w:rsidR="001219BE" w:rsidRPr="006722DB">
              <w:rPr>
                <w:i/>
              </w:rPr>
              <w:t>Atbalstīt p</w:t>
            </w:r>
            <w:r w:rsidR="001219BE" w:rsidRPr="006722DB">
              <w:rPr>
                <w:bCs/>
                <w:i/>
              </w:rPr>
              <w:t xml:space="preserve">rioritāro (sirds un asinsvadu, onkoloģijas, perinatālā un </w:t>
            </w:r>
            <w:proofErr w:type="spellStart"/>
            <w:r w:rsidR="001219BE" w:rsidRPr="006722DB">
              <w:rPr>
                <w:bCs/>
                <w:i/>
              </w:rPr>
              <w:t>neonatālā</w:t>
            </w:r>
            <w:proofErr w:type="spellEnd"/>
            <w:r w:rsidR="001219BE" w:rsidRPr="006722DB">
              <w:rPr>
                <w:bCs/>
                <w:i/>
              </w:rPr>
              <w:t xml:space="preserve"> perioda aprūpes un garīgās veselības) veselības jomu veselības tīklu attīstības vadlīniju un </w:t>
            </w:r>
            <w:r w:rsidR="001219BE" w:rsidRPr="006722DB">
              <w:rPr>
                <w:rStyle w:val="CommentReference"/>
                <w:i/>
                <w:sz w:val="24"/>
                <w:szCs w:val="24"/>
              </w:rPr>
              <w:t xml:space="preserve">kvalitātes nodrošināšanas sistēmas </w:t>
            </w:r>
            <w:r w:rsidR="001219BE" w:rsidRPr="006722DB">
              <w:rPr>
                <w:bCs/>
                <w:i/>
              </w:rPr>
              <w:t>izstrādi un ieviešanu, jo īpaši sociālās atstumtības un nabadzības riskam pakļauto iedzīvotāju veselības uzlabošanai</w:t>
            </w:r>
            <w:r w:rsidR="001219BE" w:rsidRPr="006722DB">
              <w:rPr>
                <w:rFonts w:eastAsiaTheme="minorHAnsi"/>
                <w:i/>
              </w:rPr>
              <w:t>”</w:t>
            </w:r>
            <w:r w:rsidR="000637E3" w:rsidRPr="006722DB">
              <w:rPr>
                <w:rFonts w:eastAsiaTheme="minorHAnsi"/>
              </w:rPr>
              <w:t xml:space="preserve"> </w:t>
            </w:r>
            <w:r w:rsidRPr="006722DB">
              <w:rPr>
                <w:rFonts w:eastAsiaTheme="minorHAnsi"/>
              </w:rPr>
              <w:t>īstenošanas termiņš ir 2018.gada 31.decembris,</w:t>
            </w:r>
            <w:r w:rsidR="00706882" w:rsidRPr="006722DB">
              <w:rPr>
                <w:rFonts w:eastAsiaTheme="minorHAnsi"/>
              </w:rPr>
              <w:t xml:space="preserve"> savukārt</w:t>
            </w:r>
            <w:r w:rsidR="00237AA7" w:rsidRPr="006722DB">
              <w:rPr>
                <w:rFonts w:eastAsiaTheme="minorHAnsi"/>
              </w:rPr>
              <w:t xml:space="preserve"> </w:t>
            </w:r>
            <w:r w:rsidR="00706882" w:rsidRPr="006722DB">
              <w:rPr>
                <w:rFonts w:eastAsiaTheme="minorHAnsi"/>
              </w:rPr>
              <w:t>9.2.4.1.pasākums un specifiskie atbalsta mērķi</w:t>
            </w:r>
            <w:r w:rsidR="00237AA7" w:rsidRPr="006722DB">
              <w:rPr>
                <w:rFonts w:eastAsiaTheme="minorHAnsi"/>
              </w:rPr>
              <w:t xml:space="preserve"> </w:t>
            </w:r>
            <w:r w:rsidR="00706882" w:rsidRPr="006722DB">
              <w:rPr>
                <w:rFonts w:eastAsiaTheme="minorHAnsi"/>
              </w:rPr>
              <w:t>9.2.5</w:t>
            </w:r>
            <w:r w:rsidR="00706882" w:rsidRPr="006722DB">
              <w:rPr>
                <w:rFonts w:eastAsiaTheme="minorHAnsi"/>
                <w:i/>
              </w:rPr>
              <w:t>.</w:t>
            </w:r>
            <w:r w:rsidR="001219BE" w:rsidRPr="006722DB">
              <w:rPr>
                <w:rFonts w:eastAsiaTheme="minorHAnsi"/>
                <w:i/>
              </w:rPr>
              <w:t>„</w:t>
            </w:r>
            <w:r w:rsidR="006722DB" w:rsidRPr="006722DB">
              <w:rPr>
                <w:i/>
              </w:rPr>
              <w:t>Uzlabot pieejamību ārstniecības un ārstniecības atbalsta personām, kas sniedz pakalpojumus prioritārajās veselības jomās iedzīvotājiem, kas dzīvo ārpus Rīgas</w:t>
            </w:r>
            <w:r w:rsidR="001219BE" w:rsidRPr="006722DB">
              <w:rPr>
                <w:rFonts w:eastAsiaTheme="minorHAnsi"/>
                <w:i/>
              </w:rPr>
              <w:t>”</w:t>
            </w:r>
            <w:r w:rsidR="00706882" w:rsidRPr="006722DB">
              <w:rPr>
                <w:rFonts w:eastAsiaTheme="minorHAnsi"/>
              </w:rPr>
              <w:t xml:space="preserve"> un 9.2.6</w:t>
            </w:r>
            <w:r w:rsidR="00706882" w:rsidRPr="006722DB">
              <w:rPr>
                <w:rFonts w:eastAsiaTheme="minorHAnsi"/>
                <w:i/>
              </w:rPr>
              <w:t>.</w:t>
            </w:r>
            <w:r w:rsidR="006722DB" w:rsidRPr="006722DB">
              <w:rPr>
                <w:rFonts w:eastAsiaTheme="minorHAnsi"/>
                <w:i/>
              </w:rPr>
              <w:t>„</w:t>
            </w:r>
            <w:r w:rsidR="006722DB" w:rsidRPr="006722DB">
              <w:rPr>
                <w:i/>
              </w:rPr>
              <w:t>Uzlabot ārstniecības un ārstniecības a</w:t>
            </w:r>
            <w:r w:rsidR="006722DB">
              <w:rPr>
                <w:i/>
              </w:rPr>
              <w:t>tbalsta personāla kvalifikāciju</w:t>
            </w:r>
            <w:r w:rsidR="006722DB" w:rsidRPr="006722DB">
              <w:rPr>
                <w:rFonts w:eastAsiaTheme="minorHAnsi"/>
                <w:i/>
              </w:rPr>
              <w:t>”</w:t>
            </w:r>
            <w:r w:rsidR="00706882" w:rsidRPr="006722DB">
              <w:rPr>
                <w:rFonts w:eastAsiaTheme="minorHAnsi"/>
              </w:rPr>
              <w:t xml:space="preserve"> īstenojami viena projekta ietvaros</w:t>
            </w:r>
            <w:r w:rsidR="00C82864" w:rsidRPr="006722DB">
              <w:rPr>
                <w:rFonts w:eastAsiaTheme="minorHAnsi"/>
              </w:rPr>
              <w:t xml:space="preserve"> – t.i. līdz plānošanas perioda beigām</w:t>
            </w:r>
            <w:r w:rsidR="00706882" w:rsidRPr="006722DB">
              <w:rPr>
                <w:rFonts w:eastAsiaTheme="minorHAnsi"/>
              </w:rPr>
              <w:t>, Veselības ministrijas administrējamo ESF specifisko atbalsta mērķu snieguma rezerve</w:t>
            </w:r>
            <w:r w:rsidRPr="006722DB">
              <w:rPr>
                <w:rFonts w:eastAsiaTheme="minorHAnsi"/>
              </w:rPr>
              <w:t xml:space="preserve"> noteikt</w:t>
            </w:r>
            <w:r w:rsidR="00706882" w:rsidRPr="006722DB">
              <w:rPr>
                <w:rFonts w:eastAsiaTheme="minorHAnsi"/>
              </w:rPr>
              <w:t>a</w:t>
            </w:r>
            <w:r w:rsidR="00242480" w:rsidRPr="006722DB">
              <w:rPr>
                <w:rFonts w:eastAsiaTheme="minorHAnsi"/>
              </w:rPr>
              <w:t xml:space="preserve"> </w:t>
            </w:r>
            <w:r w:rsidR="001F04ED" w:rsidRPr="006722DB">
              <w:t>9.2.4.2.pasākuma</w:t>
            </w:r>
            <w:r w:rsidR="00706882" w:rsidRPr="006722DB">
              <w:t>m, kas īstenojams</w:t>
            </w:r>
            <w:r w:rsidR="00706882">
              <w:t xml:space="preserve"> 2</w:t>
            </w:r>
            <w:r w:rsidR="00D42358">
              <w:t xml:space="preserve"> </w:t>
            </w:r>
            <w:r w:rsidR="00706882">
              <w:t>kārtās</w:t>
            </w:r>
            <w:r w:rsidR="006722DB">
              <w:t>,</w:t>
            </w:r>
            <w:r w:rsidR="00706882">
              <w:t xml:space="preserve"> un 2.kārta tieši plānot</w:t>
            </w:r>
            <w:r w:rsidR="006722DB">
              <w:t>a</w:t>
            </w:r>
            <w:r w:rsidR="00706882">
              <w:t xml:space="preserve"> 2019.gadā, kad būs pieejama informācija par snieguma ietvara izpildi</w:t>
            </w:r>
            <w:r w:rsidR="007C316D">
              <w:t>.</w:t>
            </w:r>
            <w:r w:rsidR="00706882">
              <w:t xml:space="preserve"> Jāatzīmē, ka starpposma sasniedzamie uzraudzības rādītāji</w:t>
            </w:r>
            <w:r w:rsidR="00237AA7">
              <w:t xml:space="preserve"> </w:t>
            </w:r>
            <w:r w:rsidR="00EF7A50">
              <w:rPr>
                <w:rFonts w:eastAsiaTheme="minorHAnsi"/>
              </w:rPr>
              <w:t xml:space="preserve">Veselības ministrijas administrējamo ESF specifisko atbalsta mērķu ietvaros ir </w:t>
            </w:r>
            <w:r w:rsidR="00706882">
              <w:t>noteikti tikai SAM ietvaros</w:t>
            </w:r>
            <w:r w:rsidR="006722DB">
              <w:t>.</w:t>
            </w:r>
          </w:p>
          <w:p w:rsidR="00242680" w:rsidRPr="00C2186C" w:rsidRDefault="00242680" w:rsidP="00EE16A4">
            <w:pPr>
              <w:pStyle w:val="naiskr"/>
              <w:spacing w:before="40" w:beforeAutospacing="0" w:after="40" w:afterAutospacing="0"/>
              <w:ind w:left="57" w:right="57" w:firstLine="284"/>
              <w:jc w:val="both"/>
              <w:rPr>
                <w:rFonts w:ascii="Verdana" w:hAnsi="Verdana" w:cs="Verdana"/>
                <w:color w:val="5F5F5F"/>
                <w:sz w:val="18"/>
                <w:szCs w:val="18"/>
              </w:rPr>
            </w:pPr>
            <w:r w:rsidRPr="00D26824">
              <w:t xml:space="preserve">SAM </w:t>
            </w:r>
            <w:r w:rsidRPr="00D26824">
              <w:rPr>
                <w:rFonts w:eastAsiaTheme="minorEastAsia"/>
                <w:b/>
                <w:bCs/>
                <w:spacing w:val="-2"/>
              </w:rPr>
              <w:t>mērķa grupa</w:t>
            </w:r>
            <w:r w:rsidRPr="00D26824">
              <w:rPr>
                <w:rFonts w:eastAsiaTheme="minorEastAsia"/>
              </w:rPr>
              <w:t xml:space="preserve"> </w:t>
            </w:r>
            <w:r w:rsidR="00D26824" w:rsidRPr="00D26824">
              <w:rPr>
                <w:rFonts w:eastAsiaTheme="minorEastAsia"/>
              </w:rPr>
              <w:t xml:space="preserve">noteikta saskaņā ar </w:t>
            </w:r>
            <w:r w:rsidR="00D26824" w:rsidRPr="00D26824">
              <w:t xml:space="preserve">Darbības </w:t>
            </w:r>
            <w:r w:rsidR="00D26824" w:rsidRPr="00D26824">
              <w:rPr>
                <w:bCs/>
              </w:rPr>
              <w:t>programmu</w:t>
            </w:r>
            <w:r w:rsidR="00D26824" w:rsidRPr="00D26824">
              <w:t xml:space="preserve"> “</w:t>
            </w:r>
            <w:r w:rsidR="00D26824" w:rsidRPr="00D26824">
              <w:rPr>
                <w:i/>
              </w:rPr>
              <w:t>Izaugsme un nodarbinātība</w:t>
            </w:r>
            <w:r w:rsidR="00D26824" w:rsidRPr="00D26824">
              <w:t>” –</w:t>
            </w:r>
            <w:r w:rsidRPr="00D26824">
              <w:rPr>
                <w:rFonts w:eastAsiaTheme="minorEastAsia"/>
                <w:bCs/>
                <w:spacing w:val="-2"/>
              </w:rPr>
              <w:t xml:space="preserve"> </w:t>
            </w:r>
            <w:r w:rsidR="00E74C0F">
              <w:rPr>
                <w:rFonts w:eastAsiaTheme="minorEastAsia"/>
                <w:bCs/>
                <w:spacing w:val="-2"/>
              </w:rPr>
              <w:t xml:space="preserve">visi </w:t>
            </w:r>
            <w:r w:rsidRPr="00D26824">
              <w:rPr>
                <w:rFonts w:eastAsiaTheme="minorEastAsia"/>
                <w:bCs/>
                <w:spacing w:val="-2"/>
              </w:rPr>
              <w:t>Latvijas iedzīvotāji, jo īpaši teritoriālās</w:t>
            </w:r>
            <w:r w:rsidR="00F8247D">
              <w:rPr>
                <w:rFonts w:eastAsiaTheme="minorEastAsia"/>
                <w:bCs/>
                <w:spacing w:val="-2"/>
              </w:rPr>
              <w:t>,</w:t>
            </w:r>
            <w:r w:rsidRPr="00D26824">
              <w:rPr>
                <w:rFonts w:eastAsiaTheme="minorEastAsia"/>
                <w:bCs/>
                <w:spacing w:val="-2"/>
              </w:rPr>
              <w:t xml:space="preserve"> sociālās </w:t>
            </w:r>
            <w:r w:rsidRPr="00D26824">
              <w:t>atstumtības</w:t>
            </w:r>
            <w:r w:rsidRPr="00D26824">
              <w:rPr>
                <w:rFonts w:eastAsiaTheme="minorEastAsia"/>
                <w:bCs/>
                <w:spacing w:val="-2"/>
              </w:rPr>
              <w:t xml:space="preserve"> un nabadzības riskam </w:t>
            </w:r>
            <w:r w:rsidRPr="00EE16A4">
              <w:rPr>
                <w:rFonts w:eastAsiaTheme="minorHAnsi"/>
              </w:rPr>
              <w:t>pakļautās</w:t>
            </w:r>
            <w:r w:rsidRPr="00D26824">
              <w:rPr>
                <w:rFonts w:eastAsiaTheme="minorEastAsia"/>
                <w:bCs/>
                <w:spacing w:val="-2"/>
              </w:rPr>
              <w:t xml:space="preserve"> iedzīvotāju grupas</w:t>
            </w:r>
            <w:r w:rsidR="00D26824" w:rsidRPr="00D26824">
              <w:rPr>
                <w:rFonts w:eastAsiaTheme="minorEastAsia"/>
                <w:bCs/>
                <w:spacing w:val="-2"/>
              </w:rPr>
              <w:t xml:space="preserve"> (</w:t>
            </w:r>
            <w:r w:rsidR="00EF7A50">
              <w:rPr>
                <w:rFonts w:eastAsiaTheme="minorEastAsia"/>
                <w:bCs/>
                <w:spacing w:val="-2"/>
              </w:rPr>
              <w:t xml:space="preserve">tai skaitā </w:t>
            </w:r>
            <w:r w:rsidR="00D26824" w:rsidRPr="00D26824">
              <w:rPr>
                <w:rFonts w:eastAsiaTheme="minorEastAsia"/>
                <w:bCs/>
                <w:spacing w:val="-2"/>
              </w:rPr>
              <w:t>i</w:t>
            </w:r>
            <w:r w:rsidRPr="00D26824">
              <w:t>edzīvotāji, kuri dzīvo apdzīvotās vietās ar zemu iedzīvotāju blīvumu</w:t>
            </w:r>
            <w:r w:rsidR="00D26824" w:rsidRPr="00D26824">
              <w:t xml:space="preserve">; </w:t>
            </w:r>
            <w:r w:rsidRPr="00D26824">
              <w:t>trūcīgie un maznodrošinātie iedzīvotāji;</w:t>
            </w:r>
            <w:r w:rsidR="00D26824" w:rsidRPr="00D26824">
              <w:t xml:space="preserve"> </w:t>
            </w:r>
            <w:r w:rsidRPr="00D26824">
              <w:t>bezdarbnieki;</w:t>
            </w:r>
            <w:r w:rsidR="00D26824" w:rsidRPr="00D26824">
              <w:t xml:space="preserve"> </w:t>
            </w:r>
            <w:r w:rsidRPr="00D26824">
              <w:t>personas ar invaliditāti;</w:t>
            </w:r>
            <w:r w:rsidR="00D26824" w:rsidRPr="00D26824">
              <w:t xml:space="preserve"> </w:t>
            </w:r>
            <w:r w:rsidRPr="00D26824">
              <w:t xml:space="preserve">iedzīvotāji, kas vecāki </w:t>
            </w:r>
            <w:r w:rsidRPr="00D26824">
              <w:lastRenderedPageBreak/>
              <w:t>par 54 gadiem;</w:t>
            </w:r>
            <w:r w:rsidR="00D26824" w:rsidRPr="00D26824">
              <w:t xml:space="preserve"> bērni)</w:t>
            </w:r>
            <w:r w:rsidR="004E1AD5" w:rsidRPr="00D26824">
              <w:t>.</w:t>
            </w:r>
            <w:r w:rsidR="005F512B">
              <w:t xml:space="preserve"> Tāpat noteikta pārējās </w:t>
            </w:r>
            <w:r w:rsidR="005F512B" w:rsidRPr="00D26824">
              <w:rPr>
                <w:rFonts w:eastAsiaTheme="minorEastAsia"/>
                <w:bCs/>
                <w:spacing w:val="-2"/>
              </w:rPr>
              <w:t>teritoriālās</w:t>
            </w:r>
            <w:r w:rsidR="005F512B">
              <w:rPr>
                <w:rFonts w:eastAsiaTheme="minorEastAsia"/>
                <w:bCs/>
                <w:spacing w:val="-2"/>
              </w:rPr>
              <w:t>,</w:t>
            </w:r>
            <w:r w:rsidR="005F512B" w:rsidRPr="00D26824">
              <w:rPr>
                <w:rFonts w:eastAsiaTheme="minorEastAsia"/>
                <w:bCs/>
                <w:spacing w:val="-2"/>
              </w:rPr>
              <w:t xml:space="preserve"> sociālās </w:t>
            </w:r>
            <w:r w:rsidR="005F512B" w:rsidRPr="00D26824">
              <w:t>atstumtības</w:t>
            </w:r>
            <w:r w:rsidR="005F512B" w:rsidRPr="00D26824">
              <w:rPr>
                <w:rFonts w:eastAsiaTheme="minorEastAsia"/>
                <w:bCs/>
                <w:spacing w:val="-2"/>
              </w:rPr>
              <w:t xml:space="preserve"> un nabadzības riskam pakļautās iedzīvotāju grupa</w:t>
            </w:r>
            <w:r w:rsidR="005F512B">
              <w:rPr>
                <w:rFonts w:eastAsiaTheme="minorEastAsia"/>
                <w:bCs/>
                <w:spacing w:val="-2"/>
              </w:rPr>
              <w:t xml:space="preserve">, kas tostarp ietver </w:t>
            </w:r>
            <w:r w:rsidR="000969F5">
              <w:rPr>
                <w:rFonts w:eastAsiaTheme="minorEastAsia"/>
                <w:bCs/>
                <w:spacing w:val="-2"/>
              </w:rPr>
              <w:t xml:space="preserve">piemēram, </w:t>
            </w:r>
            <w:r w:rsidR="005F512B">
              <w:rPr>
                <w:rFonts w:eastAsiaTheme="minorEastAsia"/>
                <w:bCs/>
                <w:spacing w:val="-2"/>
              </w:rPr>
              <w:t>vīriešus, vardarbībā cietušos</w:t>
            </w:r>
            <w:r w:rsidR="000969F5">
              <w:rPr>
                <w:rFonts w:eastAsiaTheme="minorEastAsia"/>
                <w:bCs/>
                <w:spacing w:val="-2"/>
              </w:rPr>
              <w:t>, etniskās, reliģiskās minoritātes,</w:t>
            </w:r>
            <w:r w:rsidR="00C2186C" w:rsidRPr="00C2186C">
              <w:rPr>
                <w:rFonts w:eastAsiaTheme="minorEastAsia"/>
                <w:bCs/>
                <w:spacing w:val="-2"/>
              </w:rPr>
              <w:t xml:space="preserve"> daudzbērnu un nepilnās ģimenes, bezpajumtnieki, ieslodzītie un no ieslodzījuma vietām atbrīvotās personas, cilvēku tirdzniecības upuri, no </w:t>
            </w:r>
            <w:proofErr w:type="spellStart"/>
            <w:r w:rsidR="00C2186C" w:rsidRPr="00C2186C">
              <w:rPr>
                <w:rFonts w:eastAsiaTheme="minorEastAsia"/>
                <w:bCs/>
                <w:spacing w:val="-2"/>
              </w:rPr>
              <w:t>psihoaktīvām</w:t>
            </w:r>
            <w:proofErr w:type="spellEnd"/>
            <w:r w:rsidR="00C2186C" w:rsidRPr="00C2186C">
              <w:rPr>
                <w:rFonts w:eastAsiaTheme="minorEastAsia"/>
                <w:bCs/>
                <w:spacing w:val="-2"/>
              </w:rPr>
              <w:t xml:space="preserve"> vielām (alkohola, narkotiskajām, toksiskajām vai citām apreibinošām vielām) atkarīgās personas, personas ar nepietiekošām, zemām vai darba tirgum neatbilstošām zināšanām un prasmēm</w:t>
            </w:r>
            <w:r w:rsidR="00FA01E5">
              <w:rPr>
                <w:rFonts w:eastAsiaTheme="minorEastAsia"/>
                <w:bCs/>
                <w:spacing w:val="-2"/>
              </w:rPr>
              <w:t xml:space="preserve"> u.c</w:t>
            </w:r>
            <w:r w:rsidR="00C2186C" w:rsidRPr="00C2186C">
              <w:rPr>
                <w:rFonts w:eastAsiaTheme="minorEastAsia"/>
                <w:bCs/>
                <w:spacing w:val="-2"/>
              </w:rPr>
              <w:t>.</w:t>
            </w:r>
            <w:r w:rsidR="005F512B">
              <w:rPr>
                <w:rFonts w:eastAsiaTheme="minorEastAsia"/>
                <w:bCs/>
                <w:spacing w:val="-2"/>
              </w:rPr>
              <w:t xml:space="preserve"> </w:t>
            </w:r>
          </w:p>
          <w:p w:rsidR="004823BF" w:rsidRPr="00D26824" w:rsidRDefault="001F5A02" w:rsidP="00C1591C">
            <w:pPr>
              <w:pStyle w:val="naiskr"/>
              <w:spacing w:before="40" w:beforeAutospacing="0" w:after="40" w:afterAutospacing="0"/>
              <w:ind w:left="57" w:right="57" w:firstLine="284"/>
              <w:jc w:val="both"/>
              <w:rPr>
                <w:bCs/>
                <w:spacing w:val="-2"/>
              </w:rPr>
            </w:pPr>
            <w:r w:rsidRPr="00D26824">
              <w:t>SAM</w:t>
            </w:r>
            <w:r w:rsidR="004823BF" w:rsidRPr="00D26824">
              <w:rPr>
                <w:bCs/>
                <w:spacing w:val="-2"/>
              </w:rPr>
              <w:t xml:space="preserve"> </w:t>
            </w:r>
            <w:r w:rsidR="004823BF" w:rsidRPr="00EE16A4">
              <w:rPr>
                <w:rFonts w:eastAsiaTheme="minorHAnsi"/>
              </w:rPr>
              <w:t>ietvaros</w:t>
            </w:r>
            <w:r w:rsidR="004823BF" w:rsidRPr="00D26824">
              <w:rPr>
                <w:bCs/>
                <w:spacing w:val="-2"/>
              </w:rPr>
              <w:t xml:space="preserve"> </w:t>
            </w:r>
            <w:r w:rsidR="00D26824" w:rsidRPr="00D26824">
              <w:rPr>
                <w:rFonts w:eastAsiaTheme="minorEastAsia"/>
              </w:rPr>
              <w:t xml:space="preserve">saskaņā ar </w:t>
            </w:r>
            <w:r w:rsidR="00D26824" w:rsidRPr="00D26824">
              <w:t xml:space="preserve">Darbības </w:t>
            </w:r>
            <w:r w:rsidR="00D26824" w:rsidRPr="00D26824">
              <w:rPr>
                <w:bCs/>
              </w:rPr>
              <w:t>programmu</w:t>
            </w:r>
            <w:r w:rsidR="00D26824" w:rsidRPr="00D26824">
              <w:t xml:space="preserve"> “</w:t>
            </w:r>
            <w:r w:rsidR="00D26824" w:rsidRPr="00D26824">
              <w:rPr>
                <w:i/>
              </w:rPr>
              <w:t>Izaugsme un nodarbinātība</w:t>
            </w:r>
            <w:r w:rsidR="00D26824" w:rsidRPr="00D26824">
              <w:t xml:space="preserve">” </w:t>
            </w:r>
            <w:r w:rsidR="004823BF" w:rsidRPr="00D26824">
              <w:rPr>
                <w:bCs/>
                <w:spacing w:val="-2"/>
              </w:rPr>
              <w:t xml:space="preserve">ir </w:t>
            </w:r>
            <w:r w:rsidR="00D26824" w:rsidRPr="00D26824">
              <w:rPr>
                <w:bCs/>
                <w:spacing w:val="-2"/>
              </w:rPr>
              <w:t>noteikti šādi</w:t>
            </w:r>
            <w:r w:rsidR="00237AA7">
              <w:rPr>
                <w:bCs/>
                <w:spacing w:val="-2"/>
              </w:rPr>
              <w:t xml:space="preserve"> </w:t>
            </w:r>
            <w:r w:rsidR="00E74C0F" w:rsidRPr="00D26824">
              <w:rPr>
                <w:bCs/>
                <w:spacing w:val="-2"/>
              </w:rPr>
              <w:t>līdz 2023.gada 31.decembrim</w:t>
            </w:r>
            <w:r w:rsidR="00E74C0F" w:rsidRPr="00D26824">
              <w:rPr>
                <w:b/>
                <w:bCs/>
                <w:spacing w:val="-2"/>
              </w:rPr>
              <w:t xml:space="preserve"> </w:t>
            </w:r>
            <w:r w:rsidR="004823BF" w:rsidRPr="00D26824">
              <w:rPr>
                <w:b/>
                <w:bCs/>
                <w:spacing w:val="-2"/>
              </w:rPr>
              <w:t>sasniedzami uzraudzības rādītāji</w:t>
            </w:r>
            <w:r w:rsidR="004823BF" w:rsidRPr="00D26824">
              <w:rPr>
                <w:bCs/>
                <w:spacing w:val="-2"/>
              </w:rPr>
              <w:t xml:space="preserve">: </w:t>
            </w:r>
            <w:bookmarkStart w:id="7" w:name="_GoBack"/>
            <w:bookmarkEnd w:id="7"/>
          </w:p>
          <w:p w:rsidR="006D3298" w:rsidRDefault="00742FDD" w:rsidP="00FA44E9">
            <w:pPr>
              <w:pStyle w:val="ListParagraph"/>
              <w:numPr>
                <w:ilvl w:val="0"/>
                <w:numId w:val="11"/>
              </w:numPr>
              <w:ind w:left="397" w:right="57" w:firstLine="0"/>
              <w:jc w:val="both"/>
              <w:outlineLvl w:val="0"/>
              <w:rPr>
                <w:bCs/>
                <w:spacing w:val="-2"/>
              </w:rPr>
            </w:pPr>
            <w:r>
              <w:rPr>
                <w:bCs/>
                <w:spacing w:val="-2"/>
              </w:rPr>
              <w:t xml:space="preserve">iznākuma rādītājs - </w:t>
            </w:r>
            <w:r w:rsidR="00D26824" w:rsidRPr="00D26824">
              <w:rPr>
                <w:bCs/>
                <w:spacing w:val="-2"/>
              </w:rPr>
              <w:t>mērķa grupas</w:t>
            </w:r>
            <w:r>
              <w:rPr>
                <w:bCs/>
                <w:spacing w:val="-2"/>
              </w:rPr>
              <w:t xml:space="preserve"> </w:t>
            </w:r>
            <w:r w:rsidR="004823BF" w:rsidRPr="00D26824">
              <w:rPr>
                <w:bCs/>
                <w:spacing w:val="-2"/>
              </w:rPr>
              <w:t>iedzīvotāju skaits</w:t>
            </w:r>
            <w:r>
              <w:rPr>
                <w:bCs/>
                <w:spacing w:val="-2"/>
              </w:rPr>
              <w:t xml:space="preserve"> (uzskaitot tikai šādas mērķa grupas -  </w:t>
            </w:r>
            <w:r w:rsidRPr="00D26824">
              <w:rPr>
                <w:rFonts w:eastAsiaTheme="minorEastAsia"/>
                <w:bCs/>
                <w:spacing w:val="-2"/>
              </w:rPr>
              <w:t>i</w:t>
            </w:r>
            <w:r w:rsidRPr="00D26824">
              <w:t>edzīvotāji, kuri dzīvo apdzīvotās vietās ar zemu iedzīvotāju blīvumu; trūcīgie un maznodrošinātie iedzīvotāji; bezdarbnieki; personas ar invaliditāti; iedzīvotāji, kas vecāki par 54 gadiem</w:t>
            </w:r>
            <w:r>
              <w:t xml:space="preserve"> un </w:t>
            </w:r>
            <w:r w:rsidRPr="00D26824">
              <w:t xml:space="preserve"> bērn</w:t>
            </w:r>
            <w:r>
              <w:t>i)</w:t>
            </w:r>
            <w:r w:rsidR="004823BF" w:rsidRPr="00D26824">
              <w:rPr>
                <w:bCs/>
                <w:spacing w:val="-2"/>
              </w:rPr>
              <w:t xml:space="preserve">, kas </w:t>
            </w:r>
            <w:r w:rsidR="004823BF" w:rsidRPr="00E74C0F">
              <w:rPr>
                <w:bCs/>
                <w:spacing w:val="-2"/>
              </w:rPr>
              <w:t>piedalījušies</w:t>
            </w:r>
            <w:r w:rsidR="004823BF" w:rsidRPr="00D26824">
              <w:rPr>
                <w:bCs/>
                <w:spacing w:val="-2"/>
              </w:rPr>
              <w:t xml:space="preserve"> ESF slimību profilakses pasākumos – 100 000</w:t>
            </w:r>
            <w:r w:rsidR="006D3298">
              <w:rPr>
                <w:bCs/>
                <w:spacing w:val="-2"/>
              </w:rPr>
              <w:t>:</w:t>
            </w:r>
          </w:p>
          <w:p w:rsidR="006D3298" w:rsidRDefault="006D3298" w:rsidP="00EE16A4">
            <w:pPr>
              <w:pStyle w:val="ListParagraph"/>
              <w:numPr>
                <w:ilvl w:val="1"/>
                <w:numId w:val="11"/>
              </w:numPr>
              <w:ind w:left="823" w:right="57" w:hanging="425"/>
              <w:jc w:val="both"/>
              <w:outlineLvl w:val="0"/>
              <w:rPr>
                <w:bCs/>
                <w:spacing w:val="-2"/>
              </w:rPr>
            </w:pPr>
            <w:r w:rsidRPr="006D3298">
              <w:t>līdz 2018.gada 31.decembrim 9.2.4.1.pasākuma ietvaros – 4 000 iedzīvotāji un 9.2.4.2.pasākuma ietvaros – 16 000 iedzīvotāji</w:t>
            </w:r>
            <w:r w:rsidRPr="006D3298" w:rsidDel="006D3298">
              <w:rPr>
                <w:bCs/>
                <w:spacing w:val="-2"/>
              </w:rPr>
              <w:t xml:space="preserve"> </w:t>
            </w:r>
            <w:r w:rsidRPr="006D3298">
              <w:rPr>
                <w:bCs/>
                <w:spacing w:val="-2"/>
              </w:rPr>
              <w:t>;</w:t>
            </w:r>
          </w:p>
          <w:p w:rsidR="004823BF" w:rsidRPr="006D3298" w:rsidRDefault="006D3298" w:rsidP="00EE16A4">
            <w:pPr>
              <w:pStyle w:val="ListParagraph"/>
              <w:numPr>
                <w:ilvl w:val="1"/>
                <w:numId w:val="11"/>
              </w:numPr>
              <w:ind w:left="823" w:right="57" w:hanging="425"/>
              <w:jc w:val="both"/>
              <w:outlineLvl w:val="0"/>
              <w:rPr>
                <w:bCs/>
                <w:spacing w:val="-2"/>
              </w:rPr>
            </w:pPr>
            <w:r w:rsidRPr="006D3298">
              <w:t>līdz 2023.gada 31.decembrim 9.2.4.1.pasākuma ietvaros 20 000 iedzīvotāji un 9.2.4.2.pasākuma ietvaros 80 000 iedzīvotāji</w:t>
            </w:r>
            <w:r>
              <w:t>.</w:t>
            </w:r>
          </w:p>
          <w:p w:rsidR="006D3298" w:rsidRDefault="00742FDD" w:rsidP="00FA44E9">
            <w:pPr>
              <w:pStyle w:val="ListParagraph"/>
              <w:numPr>
                <w:ilvl w:val="0"/>
                <w:numId w:val="11"/>
              </w:numPr>
              <w:ind w:left="397" w:right="57" w:firstLine="0"/>
              <w:jc w:val="both"/>
              <w:outlineLvl w:val="0"/>
              <w:rPr>
                <w:bCs/>
                <w:spacing w:val="-2"/>
              </w:rPr>
            </w:pPr>
            <w:r>
              <w:rPr>
                <w:bCs/>
                <w:spacing w:val="-2"/>
              </w:rPr>
              <w:t xml:space="preserve">iznākuma rādītājs - </w:t>
            </w:r>
            <w:r w:rsidR="00D26824" w:rsidRPr="00E74C0F">
              <w:rPr>
                <w:bCs/>
                <w:spacing w:val="-2"/>
              </w:rPr>
              <w:t>mērķa</w:t>
            </w:r>
            <w:r w:rsidR="00D26824" w:rsidRPr="00D26824">
              <w:rPr>
                <w:bCs/>
                <w:spacing w:val="-2"/>
              </w:rPr>
              <w:t xml:space="preserve"> grupas iedzīvotāju skaits</w:t>
            </w:r>
            <w:r>
              <w:rPr>
                <w:bCs/>
                <w:spacing w:val="-2"/>
              </w:rPr>
              <w:t xml:space="preserve"> (uzskaitot tikai šādas mērķa grupas -  </w:t>
            </w:r>
            <w:r w:rsidRPr="00D26824">
              <w:rPr>
                <w:rFonts w:eastAsiaTheme="minorEastAsia"/>
                <w:bCs/>
                <w:spacing w:val="-2"/>
              </w:rPr>
              <w:t>i</w:t>
            </w:r>
            <w:r w:rsidRPr="00D26824">
              <w:t>edzīvotāji, kuri dzīvo apdzīvotās vietās ar zemu iedzīvotāju blīvumu; trūcīgie un maznodrošinātie iedzīvotāji; bezdarbnieki; personas ar invaliditāti; iedzīvotāji, kas vecāki par 54 gadiem</w:t>
            </w:r>
            <w:r>
              <w:t xml:space="preserve"> un </w:t>
            </w:r>
            <w:r w:rsidRPr="00D26824">
              <w:t xml:space="preserve"> bērn</w:t>
            </w:r>
            <w:r>
              <w:t>i)</w:t>
            </w:r>
            <w:r w:rsidR="004823BF" w:rsidRPr="00D26824">
              <w:rPr>
                <w:bCs/>
                <w:spacing w:val="-2"/>
              </w:rPr>
              <w:t xml:space="preserve">, kas piedalījušies ESF veselības veicināšanas </w:t>
            </w:r>
            <w:r w:rsidR="00D26824" w:rsidRPr="00D26824">
              <w:rPr>
                <w:bCs/>
                <w:spacing w:val="-2"/>
              </w:rPr>
              <w:t>pasākumos – 500</w:t>
            </w:r>
            <w:r w:rsidR="006D3298">
              <w:rPr>
                <w:bCs/>
                <w:spacing w:val="-2"/>
              </w:rPr>
              <w:t> </w:t>
            </w:r>
            <w:r w:rsidR="00D26824" w:rsidRPr="00D26824">
              <w:rPr>
                <w:bCs/>
                <w:spacing w:val="-2"/>
              </w:rPr>
              <w:t>000</w:t>
            </w:r>
            <w:r w:rsidR="006D3298">
              <w:rPr>
                <w:bCs/>
                <w:spacing w:val="-2"/>
              </w:rPr>
              <w:t>;</w:t>
            </w:r>
          </w:p>
          <w:p w:rsidR="006D3298" w:rsidRPr="006D3298" w:rsidRDefault="006D3298" w:rsidP="00EE16A4">
            <w:pPr>
              <w:pStyle w:val="ListParagraph"/>
              <w:numPr>
                <w:ilvl w:val="1"/>
                <w:numId w:val="11"/>
              </w:numPr>
              <w:ind w:left="823" w:right="57" w:hanging="425"/>
              <w:jc w:val="both"/>
              <w:outlineLvl w:val="0"/>
              <w:rPr>
                <w:bCs/>
                <w:spacing w:val="-2"/>
              </w:rPr>
            </w:pPr>
            <w:r w:rsidRPr="006D3298">
              <w:rPr>
                <w:lang w:eastAsia="lv-LV"/>
              </w:rPr>
              <w:t>līdz 2018.gada 31.decembrim 9.2.4.1.</w:t>
            </w:r>
            <w:r w:rsidRPr="006D3298">
              <w:t>pasākuma</w:t>
            </w:r>
            <w:r w:rsidRPr="006D3298">
              <w:rPr>
                <w:lang w:eastAsia="lv-LV"/>
              </w:rPr>
              <w:t xml:space="preserve"> ietvaros – 10 000 iedzīvotāji un 9.2.4.2.pasākuma ietvaros 90 000 iedzīvotāji;</w:t>
            </w:r>
          </w:p>
          <w:p w:rsidR="004823BF" w:rsidRPr="00D26824" w:rsidRDefault="006D3298" w:rsidP="00EE16A4">
            <w:pPr>
              <w:pStyle w:val="ListParagraph"/>
              <w:numPr>
                <w:ilvl w:val="1"/>
                <w:numId w:val="11"/>
              </w:numPr>
              <w:ind w:left="823" w:right="57" w:hanging="425"/>
              <w:jc w:val="both"/>
              <w:outlineLvl w:val="0"/>
              <w:rPr>
                <w:bCs/>
                <w:spacing w:val="-2"/>
              </w:rPr>
            </w:pPr>
            <w:r w:rsidRPr="006D3298">
              <w:rPr>
                <w:lang w:eastAsia="lv-LV"/>
              </w:rPr>
              <w:t>līdz 2023.gada 31.decembrim 9.2.4.1.</w:t>
            </w:r>
            <w:r w:rsidRPr="006D3298">
              <w:t>pasākuma</w:t>
            </w:r>
            <w:r w:rsidRPr="006D3298">
              <w:rPr>
                <w:lang w:eastAsia="lv-LV"/>
              </w:rPr>
              <w:t xml:space="preserve"> ietvaros 50 000 iedzīvotāji un 9.2.4.2.pasākuma ietvaros 450 000 iedzīvotāji</w:t>
            </w:r>
            <w:r w:rsidR="004823BF" w:rsidRPr="00E74C0F">
              <w:rPr>
                <w:bCs/>
                <w:spacing w:val="-2"/>
              </w:rPr>
              <w:t>.</w:t>
            </w:r>
          </w:p>
          <w:p w:rsidR="004823BF" w:rsidRPr="00D26824" w:rsidRDefault="00742FDD" w:rsidP="00E74C0F">
            <w:pPr>
              <w:pStyle w:val="ListParagraph"/>
              <w:numPr>
                <w:ilvl w:val="0"/>
                <w:numId w:val="11"/>
              </w:numPr>
              <w:spacing w:after="120"/>
              <w:ind w:left="397" w:right="57" w:firstLine="0"/>
              <w:jc w:val="both"/>
              <w:outlineLvl w:val="0"/>
              <w:rPr>
                <w:bCs/>
                <w:spacing w:val="-2"/>
              </w:rPr>
            </w:pPr>
            <w:r>
              <w:rPr>
                <w:bCs/>
                <w:spacing w:val="-2"/>
              </w:rPr>
              <w:t xml:space="preserve">rezultāta rādītājs - </w:t>
            </w:r>
            <w:r w:rsidR="00D26824" w:rsidRPr="00E74C0F">
              <w:rPr>
                <w:bCs/>
                <w:spacing w:val="-2"/>
              </w:rPr>
              <w:t>mērķa</w:t>
            </w:r>
            <w:r w:rsidR="00D26824" w:rsidRPr="00D26824">
              <w:rPr>
                <w:bCs/>
                <w:spacing w:val="-2"/>
              </w:rPr>
              <w:t xml:space="preserve"> grupas </w:t>
            </w:r>
            <w:r w:rsidR="004823BF" w:rsidRPr="00D26824">
              <w:rPr>
                <w:bCs/>
                <w:spacing w:val="-2"/>
              </w:rPr>
              <w:t>iedzīvotāju skaits, kas apmeklējuši ģimenes ārstu un ir profilaktiski izmeklēti – no 356 002 līdz 371 480;</w:t>
            </w:r>
          </w:p>
          <w:p w:rsidR="004823BF" w:rsidRPr="00D26824" w:rsidRDefault="00742FDD" w:rsidP="00E74C0F">
            <w:pPr>
              <w:pStyle w:val="ListParagraph"/>
              <w:numPr>
                <w:ilvl w:val="0"/>
                <w:numId w:val="11"/>
              </w:numPr>
              <w:spacing w:after="120"/>
              <w:ind w:left="397" w:right="57" w:firstLine="0"/>
              <w:jc w:val="both"/>
              <w:outlineLvl w:val="0"/>
              <w:rPr>
                <w:bCs/>
                <w:spacing w:val="-2"/>
              </w:rPr>
            </w:pPr>
            <w:r>
              <w:rPr>
                <w:bCs/>
                <w:spacing w:val="-2"/>
              </w:rPr>
              <w:t xml:space="preserve">rezultāta rādītājs - </w:t>
            </w:r>
            <w:r w:rsidR="00D26824" w:rsidRPr="00E74C0F">
              <w:rPr>
                <w:bCs/>
                <w:spacing w:val="-2"/>
              </w:rPr>
              <w:t>mērķa</w:t>
            </w:r>
            <w:r w:rsidR="00D26824" w:rsidRPr="00D26824">
              <w:rPr>
                <w:bCs/>
                <w:spacing w:val="-2"/>
              </w:rPr>
              <w:t xml:space="preserve"> grupas </w:t>
            </w:r>
            <w:r w:rsidR="004823BF" w:rsidRPr="00D26824">
              <w:rPr>
                <w:bCs/>
                <w:spacing w:val="-2"/>
              </w:rPr>
              <w:t>iedzīvotāju skaits, kuri pēdējā gada laikā veselības apsvērumu dēļ ESF veselības veicināšanas pasākumu ietekmē mainījuši uztura un citus dzīvesveida paradumus – no 75 000 līdz 100 000;</w:t>
            </w:r>
          </w:p>
          <w:p w:rsidR="004823BF" w:rsidRDefault="006D3298" w:rsidP="00E74C0F">
            <w:pPr>
              <w:pStyle w:val="ListParagraph"/>
              <w:numPr>
                <w:ilvl w:val="0"/>
                <w:numId w:val="11"/>
              </w:numPr>
              <w:spacing w:after="120"/>
              <w:ind w:left="397" w:right="57" w:firstLine="0"/>
              <w:jc w:val="both"/>
              <w:outlineLvl w:val="0"/>
              <w:rPr>
                <w:bCs/>
                <w:spacing w:val="-2"/>
              </w:rPr>
            </w:pPr>
            <w:r w:rsidRPr="006D3298">
              <w:rPr>
                <w:bCs/>
                <w:spacing w:val="-2"/>
              </w:rPr>
              <w:lastRenderedPageBreak/>
              <w:t xml:space="preserve">līdz 2018.gada 31.decembrim ir sasniedzams finanšu uzraudzības rādītājs: sertificēti attiecināmie izdevumi 15 433 768 </w:t>
            </w:r>
            <w:proofErr w:type="spellStart"/>
            <w:r w:rsidRPr="006D3298">
              <w:rPr>
                <w:bCs/>
                <w:i/>
                <w:spacing w:val="-2"/>
              </w:rPr>
              <w:t>euro</w:t>
            </w:r>
            <w:proofErr w:type="spellEnd"/>
            <w:r w:rsidRPr="006D3298">
              <w:rPr>
                <w:bCs/>
                <w:spacing w:val="-2"/>
              </w:rPr>
              <w:t xml:space="preserve"> apmērā, tai skaitā 9.2.4.1.pasākuma ietvaros 4 651 654 </w:t>
            </w:r>
            <w:proofErr w:type="spellStart"/>
            <w:r w:rsidRPr="006D3298">
              <w:rPr>
                <w:bCs/>
                <w:i/>
                <w:spacing w:val="-2"/>
              </w:rPr>
              <w:t>euro</w:t>
            </w:r>
            <w:proofErr w:type="spellEnd"/>
            <w:r w:rsidRPr="006D3298">
              <w:rPr>
                <w:bCs/>
                <w:spacing w:val="-2"/>
              </w:rPr>
              <w:t xml:space="preserve"> apmērā un 9.2.4.2.pasākuma ietvaros 10 782 114 </w:t>
            </w:r>
            <w:proofErr w:type="spellStart"/>
            <w:r w:rsidRPr="006D3298">
              <w:rPr>
                <w:bCs/>
                <w:i/>
                <w:spacing w:val="-2"/>
              </w:rPr>
              <w:t>euro</w:t>
            </w:r>
            <w:proofErr w:type="spellEnd"/>
            <w:r w:rsidRPr="006D3298">
              <w:rPr>
                <w:bCs/>
                <w:spacing w:val="-2"/>
              </w:rPr>
              <w:t xml:space="preserve"> apmērā</w:t>
            </w:r>
            <w:r w:rsidR="00E74C0F">
              <w:rPr>
                <w:bCs/>
                <w:spacing w:val="-2"/>
              </w:rPr>
              <w:t>.</w:t>
            </w:r>
          </w:p>
          <w:p w:rsidR="00F135A7" w:rsidRDefault="001D1622" w:rsidP="00EE16A4">
            <w:pPr>
              <w:pStyle w:val="naiskr"/>
              <w:spacing w:before="40" w:beforeAutospacing="0" w:after="40" w:afterAutospacing="0"/>
              <w:ind w:left="57" w:right="57" w:firstLine="284"/>
              <w:jc w:val="both"/>
              <w:rPr>
                <w:rFonts w:eastAsia="Calibri"/>
                <w:lang w:eastAsia="en-US" w:bidi="ar-SA"/>
              </w:rPr>
            </w:pPr>
            <w:r w:rsidRPr="00D26824">
              <w:t xml:space="preserve">Darbības </w:t>
            </w:r>
            <w:r w:rsidRPr="001D1622">
              <w:rPr>
                <w:bCs/>
              </w:rPr>
              <w:t>programmā</w:t>
            </w:r>
            <w:r w:rsidRPr="001D1622">
              <w:t xml:space="preserve"> “</w:t>
            </w:r>
            <w:r w:rsidRPr="001D1622">
              <w:rPr>
                <w:i/>
              </w:rPr>
              <w:t>Izaugsme un nodarbinātība</w:t>
            </w:r>
            <w:r w:rsidRPr="001D1622">
              <w:t xml:space="preserve">” noteiktā mērķa grupa - </w:t>
            </w:r>
            <w:r w:rsidRPr="001D1622">
              <w:rPr>
                <w:rFonts w:eastAsiaTheme="minorEastAsia"/>
                <w:bCs/>
                <w:spacing w:val="-2"/>
              </w:rPr>
              <w:t>i</w:t>
            </w:r>
            <w:r w:rsidRPr="001D1622">
              <w:t xml:space="preserve">edzīvotāji, kuri dzīvo apdzīvotās vietās ar </w:t>
            </w:r>
            <w:r w:rsidRPr="001D1622">
              <w:rPr>
                <w:b/>
              </w:rPr>
              <w:t>zemu iedzīvotāju blīvumu</w:t>
            </w:r>
            <w:r w:rsidRPr="001D1622">
              <w:t xml:space="preserve">, noteikumu projektā noteikta kā </w:t>
            </w:r>
            <w:r w:rsidRPr="001D1622">
              <w:rPr>
                <w:bCs/>
                <w:spacing w:val="-2"/>
              </w:rPr>
              <w:t xml:space="preserve"> iedzīvotāji, kuri dzīvo teritorijā </w:t>
            </w:r>
            <w:r w:rsidRPr="001D1622">
              <w:t>ārpus pilsētām</w:t>
            </w:r>
            <w:r w:rsidRPr="001D1622">
              <w:rPr>
                <w:bCs/>
                <w:spacing w:val="-2"/>
              </w:rPr>
              <w:t xml:space="preserve"> ar </w:t>
            </w:r>
            <w:r w:rsidRPr="001D1622">
              <w:t>iedzīvotāju blīvumu zem 50 iedzīvotājiem uz kvadrātkilometru. Pēc definīcijas Iedzīvotāju iedalījums pilsētu un lauku iedzīvotājos tiek veidots pēc pastāvīgās dzīvesvietas. Pilsētu iedzīvotāji ir personas, kas dzīvo pilsētās, t. i., apdzīvotās vietās, kurās ir ne mazāk par 2 000 pastāvīgo iedzīvotāju. Tiek pieļauts, ka atsevišķās vēsturiski izveidojušās pilsētās iedzīvotāju skaits var būt arī mazāks par 2 000 cilvēku.  Pilsētas statusu piešķir un atceļ Saeima ar likumu. Visi pārējie ir lauku iedzīvotāji.</w:t>
            </w:r>
          </w:p>
          <w:p w:rsidR="00C725BD" w:rsidRDefault="00C725BD" w:rsidP="00EE16A4">
            <w:pPr>
              <w:pStyle w:val="naiskr"/>
              <w:spacing w:before="40" w:beforeAutospacing="0" w:after="40" w:afterAutospacing="0"/>
              <w:ind w:left="57" w:right="57" w:firstLine="284"/>
              <w:jc w:val="both"/>
            </w:pPr>
            <w:r>
              <w:rPr>
                <w:bCs/>
                <w:spacing w:val="-2"/>
              </w:rPr>
              <w:t xml:space="preserve">Iznākuma un </w:t>
            </w:r>
            <w:r w:rsidRPr="00104C88">
              <w:rPr>
                <w:bCs/>
                <w:spacing w:val="-2"/>
              </w:rPr>
              <w:t xml:space="preserve">rezultātu rādītāju uzskaitei finansējuma </w:t>
            </w:r>
            <w:r w:rsidRPr="00EE16A4">
              <w:t>saņēmējs</w:t>
            </w:r>
            <w:r w:rsidR="00104C88" w:rsidRPr="00104C88">
              <w:rPr>
                <w:bCs/>
                <w:spacing w:val="-2"/>
              </w:rPr>
              <w:t xml:space="preserve"> veic </w:t>
            </w:r>
            <w:r w:rsidR="00104C88" w:rsidRPr="00104C88">
              <w:t>atbalstu saņēmušo personu anketēšanu un noskaidrojot, kurai mērķa grupai atbalstu saņēmušā persona atbilst.</w:t>
            </w:r>
          </w:p>
          <w:p w:rsidR="00D26824" w:rsidRPr="00D26824" w:rsidRDefault="00D26824" w:rsidP="00C1591C">
            <w:pPr>
              <w:pStyle w:val="naiskr"/>
              <w:spacing w:before="40" w:beforeAutospacing="0" w:after="40" w:afterAutospacing="0"/>
              <w:ind w:left="57" w:right="57" w:firstLine="284"/>
              <w:jc w:val="both"/>
            </w:pPr>
            <w:r w:rsidRPr="00D26824">
              <w:t xml:space="preserve">SAM </w:t>
            </w:r>
            <w:r w:rsidRPr="00D26824">
              <w:rPr>
                <w:b/>
              </w:rPr>
              <w:t>finansējuma saņēmēji un sadarbības partneri</w:t>
            </w:r>
            <w:r>
              <w:t xml:space="preserve"> </w:t>
            </w:r>
            <w:r w:rsidRPr="00D26824">
              <w:t>paredzēti:</w:t>
            </w:r>
          </w:p>
          <w:p w:rsidR="00985226" w:rsidRDefault="00240676" w:rsidP="00C1591C">
            <w:pPr>
              <w:pStyle w:val="ListParagraph"/>
              <w:numPr>
                <w:ilvl w:val="0"/>
                <w:numId w:val="11"/>
              </w:numPr>
              <w:spacing w:after="120"/>
              <w:ind w:left="397" w:right="57" w:firstLine="0"/>
              <w:jc w:val="both"/>
              <w:outlineLvl w:val="0"/>
            </w:pPr>
            <w:r w:rsidRPr="00D26824">
              <w:t>9.2.4.1.pasāk</w:t>
            </w:r>
            <w:r w:rsidR="00EF7A50">
              <w:t xml:space="preserve">uma finansējuma saņēmējs </w:t>
            </w:r>
            <w:r w:rsidR="00C82864">
              <w:t xml:space="preserve">ir </w:t>
            </w:r>
            <w:r w:rsidR="00EF7A50">
              <w:t>Veselības ministrija</w:t>
            </w:r>
            <w:r w:rsidR="00985226">
              <w:t>.</w:t>
            </w:r>
          </w:p>
          <w:p w:rsidR="00AF0958" w:rsidRDefault="007A21B4">
            <w:pPr>
              <w:pStyle w:val="ListParagraph"/>
              <w:numPr>
                <w:ilvl w:val="0"/>
                <w:numId w:val="11"/>
              </w:numPr>
              <w:spacing w:after="120"/>
              <w:ind w:left="397" w:right="57" w:firstLine="0"/>
              <w:jc w:val="both"/>
              <w:outlineLvl w:val="0"/>
            </w:pPr>
            <w:r>
              <w:t xml:space="preserve"> </w:t>
            </w:r>
            <w:r w:rsidR="00985226" w:rsidRPr="00D26824">
              <w:t>9.2.4.1.pasāk</w:t>
            </w:r>
            <w:r w:rsidR="00985226">
              <w:t xml:space="preserve">uma ietvaros finansējuma saņēmējs </w:t>
            </w:r>
            <w:r>
              <w:t>sadarbības partneru status</w:t>
            </w:r>
            <w:r w:rsidR="00985226">
              <w:t xml:space="preserve">ā </w:t>
            </w:r>
            <w:r>
              <w:t>var pieaicināt</w:t>
            </w:r>
            <w:r w:rsidR="00DA287E">
              <w:t xml:space="preserve"> </w:t>
            </w:r>
            <w:r w:rsidR="00C82864">
              <w:t xml:space="preserve">veselības nozares </w:t>
            </w:r>
            <w:r w:rsidR="00EF7A50">
              <w:t xml:space="preserve">valsts pārvaldes </w:t>
            </w:r>
            <w:r>
              <w:t>iestādes</w:t>
            </w:r>
            <w:r w:rsidR="00EF7A50">
              <w:t>,</w:t>
            </w:r>
            <w:r w:rsidR="00237AA7">
              <w:t xml:space="preserve"> </w:t>
            </w:r>
            <w:r w:rsidR="00EF7A50">
              <w:t>kas iesaistītas veselības veicināšanā un slimību profilaksē</w:t>
            </w:r>
            <w:r w:rsidR="00DA287E">
              <w:t xml:space="preserve"> tām deleģēto valsts pārvaldes funkciju ietvaros</w:t>
            </w:r>
            <w:r>
              <w:t xml:space="preserve">, piemēram Slimību profilakses un </w:t>
            </w:r>
            <w:r w:rsidRPr="00985226">
              <w:t xml:space="preserve">kontroles centru, </w:t>
            </w:r>
            <w:r w:rsidR="00985226" w:rsidRPr="00985226">
              <w:t xml:space="preserve">Nacionālo veselības dienestu, </w:t>
            </w:r>
            <w:r w:rsidR="00985226" w:rsidRPr="00985226">
              <w:rPr>
                <w:lang w:eastAsia="lv-LV"/>
              </w:rPr>
              <w:t>Neatliekamās</w:t>
            </w:r>
            <w:r w:rsidR="00985226" w:rsidRPr="00985226">
              <w:t xml:space="preserve"> medicīniskās palīdzības dienestu, </w:t>
            </w:r>
            <w:r w:rsidR="00985226" w:rsidRPr="00DA287E">
              <w:rPr>
                <w:color w:val="000000"/>
                <w:lang w:eastAsia="lv-LV"/>
              </w:rPr>
              <w:t xml:space="preserve"> Paula Stradiņa Medicīnas vēstures muzeju, Veselības inspekciju,  Valsts asinsdonoru centru,  Valsts sporta medicīnas centru,  Zāļu valsts aģentūru</w:t>
            </w:r>
            <w:r w:rsidR="00985226" w:rsidRPr="00985226">
              <w:t xml:space="preserve">. </w:t>
            </w:r>
          </w:p>
          <w:p w:rsidR="00142096" w:rsidRDefault="00240676" w:rsidP="00C1591C">
            <w:pPr>
              <w:pStyle w:val="ListParagraph"/>
              <w:numPr>
                <w:ilvl w:val="0"/>
                <w:numId w:val="11"/>
              </w:numPr>
              <w:spacing w:after="120"/>
              <w:ind w:left="397" w:right="57" w:firstLine="0"/>
              <w:jc w:val="both"/>
              <w:outlineLvl w:val="0"/>
            </w:pPr>
            <w:r w:rsidRPr="00D26824">
              <w:t>9.2.4.2.pasākuma finansējuma saņēmēj</w:t>
            </w:r>
            <w:r w:rsidR="00EF7A50">
              <w:t>i</w:t>
            </w:r>
            <w:r w:rsidRPr="00D26824">
              <w:t xml:space="preserve"> </w:t>
            </w:r>
            <w:r w:rsidR="00851718">
              <w:t xml:space="preserve">ir </w:t>
            </w:r>
            <w:r w:rsidRPr="00D26824">
              <w:t>plānot</w:t>
            </w:r>
            <w:r w:rsidR="00EF7A50">
              <w:t>a</w:t>
            </w:r>
            <w:r w:rsidRPr="00D26824">
              <w:t>s</w:t>
            </w:r>
            <w:r w:rsidR="00EF7A50">
              <w:t xml:space="preserve"> Nacionālā veselīgo pašvaldību tīkla pašvaldības</w:t>
            </w:r>
            <w:r w:rsidR="00142096">
              <w:t>, kas iestājās tīklā vismaz trīs darbdienas pirms sadarbības iestādes uzaicinājumā iesniegt projektu iesniegumu nosūtīšanas,</w:t>
            </w:r>
            <w:r w:rsidR="00EF7A50">
              <w:t xml:space="preserve"> un Slimību profilakses un kontroles</w:t>
            </w:r>
            <w:r w:rsidRPr="00D26824">
              <w:t xml:space="preserve"> </w:t>
            </w:r>
            <w:r w:rsidR="00EF7A50">
              <w:t>centrs</w:t>
            </w:r>
            <w:r w:rsidR="009D6632">
              <w:t>, kurš īsteno projektus</w:t>
            </w:r>
            <w:r w:rsidR="00EF7A50">
              <w:t xml:space="preserve"> par pašvaldībām, kas nav</w:t>
            </w:r>
            <w:r w:rsidR="00237AA7">
              <w:t xml:space="preserve"> </w:t>
            </w:r>
            <w:r w:rsidR="00EF7A50">
              <w:t>Nacionālā veselīgo pašvaldību tīkla dalībnieces.</w:t>
            </w:r>
            <w:r w:rsidR="001767BB">
              <w:t xml:space="preserve"> </w:t>
            </w:r>
          </w:p>
          <w:p w:rsidR="00EF7A50" w:rsidRDefault="001767BB" w:rsidP="00142096">
            <w:pPr>
              <w:pStyle w:val="ListParagraph"/>
              <w:spacing w:after="120"/>
              <w:ind w:left="397" w:right="57"/>
              <w:jc w:val="both"/>
              <w:outlineLvl w:val="0"/>
            </w:pPr>
            <w:r>
              <w:t xml:space="preserve">Paredzēts projektus realizēt divās atlases kārtās: veselības veicināšanas un slimību profilakses pasākumu īstenošanai </w:t>
            </w:r>
            <w:r>
              <w:lastRenderedPageBreak/>
              <w:t>2017.-2019.gadā un pasākumu īstenošanai 2020.-2022.gadā. Paredzēts, ka projektu īstenošana</w:t>
            </w:r>
            <w:r w:rsidR="00142096">
              <w:t xml:space="preserve"> (projekta vadības nodrošināšana, projekta īstenošanas nodrošināšana un informācijas un publicitātes pasākumi)</w:t>
            </w:r>
            <w:r>
              <w:t xml:space="preserve"> tiks uzsākta pirms veselības veicināšanas un slimību profilakses pasākumu īstenošanas</w:t>
            </w:r>
            <w:r w:rsidR="00142096">
              <w:t xml:space="preserve"> uzsākšanas</w:t>
            </w:r>
            <w:r>
              <w:t xml:space="preserve">, </w:t>
            </w:r>
            <w:r w:rsidR="00142096">
              <w:t>nodrošinot</w:t>
            </w:r>
            <w:r>
              <w:t xml:space="preserve"> finansējuma saņēmējiem laiku iepirkumu un citu sagatavošanas pasākumu veikšanai. </w:t>
            </w:r>
          </w:p>
          <w:p w:rsidR="00FA01E5" w:rsidRDefault="00FA01E5" w:rsidP="00FA01E5">
            <w:pPr>
              <w:pStyle w:val="naiskr"/>
              <w:spacing w:before="40" w:beforeAutospacing="0" w:after="40" w:afterAutospacing="0"/>
              <w:ind w:left="57" w:right="57" w:firstLine="284"/>
              <w:jc w:val="both"/>
            </w:pPr>
            <w:r>
              <w:t>SAM ieviešanas shēma:</w:t>
            </w:r>
          </w:p>
          <w:p w:rsidR="001767BB" w:rsidRDefault="00B740F0" w:rsidP="001767BB">
            <w:pPr>
              <w:pStyle w:val="naiskr"/>
              <w:spacing w:before="40" w:beforeAutospacing="0" w:after="40" w:afterAutospacing="0"/>
              <w:ind w:right="57"/>
              <w:jc w:val="both"/>
              <w:rPr>
                <w:rFonts w:eastAsia="Calibri"/>
              </w:rPr>
            </w:pPr>
            <w:r>
              <w:rPr>
                <w:rFonts w:eastAsia="Calibri"/>
                <w:noProof/>
                <w:lang w:bidi="ar-SA"/>
              </w:rPr>
              <w:drawing>
                <wp:inline distT="0" distB="0" distL="0" distR="0">
                  <wp:extent cx="3848100" cy="47148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48100" cy="4714875"/>
                          </a:xfrm>
                          <a:prstGeom prst="rect">
                            <a:avLst/>
                          </a:prstGeom>
                          <a:noFill/>
                          <a:ln w="9525">
                            <a:noFill/>
                            <a:miter lim="800000"/>
                            <a:headEnd/>
                            <a:tailEnd/>
                          </a:ln>
                        </pic:spPr>
                      </pic:pic>
                    </a:graphicData>
                  </a:graphic>
                </wp:inline>
              </w:drawing>
            </w:r>
          </w:p>
          <w:p w:rsidR="00C82864" w:rsidRDefault="006F75C1" w:rsidP="00C82864">
            <w:pPr>
              <w:pStyle w:val="naiskr"/>
              <w:spacing w:before="40" w:beforeAutospacing="0" w:after="40" w:afterAutospacing="0"/>
              <w:ind w:left="57" w:right="57" w:firstLine="284"/>
              <w:jc w:val="both"/>
              <w:rPr>
                <w:rFonts w:eastAsiaTheme="minorEastAsia"/>
                <w:bCs/>
                <w:spacing w:val="-2"/>
              </w:rPr>
            </w:pPr>
            <w:r>
              <w:rPr>
                <w:rFonts w:eastAsiaTheme="minorEastAsia"/>
                <w:bCs/>
                <w:spacing w:val="-2"/>
              </w:rPr>
              <w:t>Biedrības un nodibinājumus, ārstniecības iestādes un medicīnas personālu, kā arī komersantus veselības veicināšanas un slimību profilakses pasākumos plānots iesaistīt uz iepirkumu pamata, nodrošinot viesiem potenciāliem</w:t>
            </w:r>
            <w:r w:rsidR="00237AA7">
              <w:rPr>
                <w:rFonts w:eastAsiaTheme="minorEastAsia"/>
                <w:bCs/>
                <w:spacing w:val="-2"/>
              </w:rPr>
              <w:t xml:space="preserve"> </w:t>
            </w:r>
            <w:r>
              <w:rPr>
                <w:rFonts w:eastAsiaTheme="minorEastAsia"/>
                <w:bCs/>
                <w:spacing w:val="-2"/>
              </w:rPr>
              <w:t>pretendentiem vienādās iespējas piedalīties iepirkumā.</w:t>
            </w:r>
            <w:r w:rsidR="00E74C0F">
              <w:rPr>
                <w:rFonts w:eastAsiaTheme="minorEastAsia"/>
                <w:bCs/>
                <w:spacing w:val="-2"/>
              </w:rPr>
              <w:t xml:space="preserve"> Lai </w:t>
            </w:r>
            <w:r w:rsidR="00E74C0F" w:rsidRPr="00EE16A4">
              <w:t>nodrošinātu</w:t>
            </w:r>
            <w:r w:rsidR="00E74C0F">
              <w:rPr>
                <w:rFonts w:eastAsiaTheme="minorEastAsia"/>
                <w:bCs/>
                <w:spacing w:val="-2"/>
              </w:rPr>
              <w:t xml:space="preserve"> plašāku potenciālo pretendentu iesaisti iepirkumos, noteikts pienākums finansējuma saņēmējiem 9.2.4.2.pasākuma ietvaros organizēt vietējās sabiedrības informēšanas pasākumu par nākamā gada plānotājiem veselības veicināšanas un slimību profilakses </w:t>
            </w:r>
            <w:r w:rsidR="00E74C0F">
              <w:rPr>
                <w:rFonts w:eastAsiaTheme="minorEastAsia"/>
                <w:bCs/>
                <w:spacing w:val="-2"/>
              </w:rPr>
              <w:lastRenderedPageBreak/>
              <w:t>pasākumiem.</w:t>
            </w:r>
          </w:p>
          <w:p w:rsidR="00D26824" w:rsidRPr="00D26824" w:rsidRDefault="00D26824" w:rsidP="00C1591C">
            <w:pPr>
              <w:pStyle w:val="naiskr"/>
              <w:spacing w:before="40" w:beforeAutospacing="0" w:after="40" w:afterAutospacing="0"/>
              <w:ind w:left="57" w:right="57" w:firstLine="284"/>
              <w:jc w:val="both"/>
              <w:rPr>
                <w:rFonts w:eastAsia="Calibri"/>
              </w:rPr>
            </w:pPr>
            <w:r w:rsidRPr="00EE16A4">
              <w:t>SAM</w:t>
            </w:r>
            <w:r w:rsidRPr="00D26824">
              <w:rPr>
                <w:rFonts w:eastAsia="Calibri"/>
              </w:rPr>
              <w:t xml:space="preserve"> </w:t>
            </w:r>
            <w:r w:rsidRPr="00D26824">
              <w:rPr>
                <w:rFonts w:eastAsia="Calibri"/>
                <w:b/>
              </w:rPr>
              <w:t>atbalstāmās darbības un attiecināmās izmaksas</w:t>
            </w:r>
            <w:r w:rsidRPr="00D26824">
              <w:rPr>
                <w:rFonts w:eastAsia="Calibri"/>
              </w:rPr>
              <w:t>,</w:t>
            </w:r>
            <w:r>
              <w:rPr>
                <w:rFonts w:eastAsia="Calibri"/>
              </w:rPr>
              <w:t xml:space="preserve"> kā arī attiecināmo izmaksu</w:t>
            </w:r>
            <w:r w:rsidRPr="00D26824">
              <w:rPr>
                <w:rFonts w:eastAsia="Calibri"/>
              </w:rPr>
              <w:t xml:space="preserve"> ierobežojum</w:t>
            </w:r>
            <w:r>
              <w:rPr>
                <w:rFonts w:eastAsia="Calibri"/>
              </w:rPr>
              <w:t>i</w:t>
            </w:r>
            <w:r w:rsidRPr="00D26824">
              <w:rPr>
                <w:rFonts w:eastAsia="Calibri"/>
              </w:rPr>
              <w:t>:</w:t>
            </w:r>
          </w:p>
          <w:tbl>
            <w:tblPr>
              <w:tblStyle w:val="TableGrid"/>
              <w:tblW w:w="5812" w:type="dxa"/>
              <w:tblInd w:w="137" w:type="dxa"/>
              <w:tblLayout w:type="fixed"/>
              <w:tblLook w:val="04A0"/>
            </w:tblPr>
            <w:tblGrid>
              <w:gridCol w:w="1985"/>
              <w:gridCol w:w="2126"/>
              <w:gridCol w:w="850"/>
              <w:gridCol w:w="851"/>
            </w:tblGrid>
            <w:tr w:rsidR="00D26824" w:rsidRPr="005C23C5" w:rsidTr="005C23C5">
              <w:trPr>
                <w:trHeight w:val="179"/>
              </w:trPr>
              <w:tc>
                <w:tcPr>
                  <w:tcW w:w="1985" w:type="dxa"/>
                  <w:vMerge w:val="restart"/>
                  <w:vAlign w:val="center"/>
                  <w:hideMark/>
                </w:tcPr>
                <w:p w:rsidR="00D26824" w:rsidRPr="005C23C5" w:rsidRDefault="00D26824" w:rsidP="00C1591C">
                  <w:pPr>
                    <w:pStyle w:val="naiskr"/>
                    <w:framePr w:hSpace="180" w:wrap="around" w:vAnchor="text" w:hAnchor="margin" w:x="5" w:y="149"/>
                    <w:spacing w:before="0" w:beforeAutospacing="0" w:after="0" w:afterAutospacing="0"/>
                    <w:ind w:right="57"/>
                    <w:jc w:val="center"/>
                    <w:rPr>
                      <w:rFonts w:eastAsia="Calibri"/>
                      <w:sz w:val="16"/>
                      <w:szCs w:val="16"/>
                    </w:rPr>
                  </w:pPr>
                  <w:r w:rsidRPr="005C23C5">
                    <w:rPr>
                      <w:rFonts w:eastAsia="Calibri"/>
                      <w:b/>
                      <w:bCs/>
                      <w:sz w:val="16"/>
                      <w:szCs w:val="16"/>
                    </w:rPr>
                    <w:t>Darbība</w:t>
                  </w:r>
                </w:p>
              </w:tc>
              <w:tc>
                <w:tcPr>
                  <w:tcW w:w="2126" w:type="dxa"/>
                  <w:vMerge w:val="restart"/>
                  <w:vAlign w:val="center"/>
                  <w:hideMark/>
                </w:tcPr>
                <w:p w:rsidR="00D26824" w:rsidRPr="005C23C5" w:rsidRDefault="00D26824" w:rsidP="00C1591C">
                  <w:pPr>
                    <w:pStyle w:val="naiskr"/>
                    <w:framePr w:hSpace="180" w:wrap="around" w:vAnchor="text" w:hAnchor="margin" w:x="5" w:y="149"/>
                    <w:spacing w:before="0" w:beforeAutospacing="0" w:after="0" w:afterAutospacing="0"/>
                    <w:ind w:right="57"/>
                    <w:jc w:val="center"/>
                    <w:rPr>
                      <w:rFonts w:eastAsia="Calibri"/>
                      <w:sz w:val="16"/>
                      <w:szCs w:val="16"/>
                    </w:rPr>
                  </w:pPr>
                  <w:r w:rsidRPr="005C23C5">
                    <w:rPr>
                      <w:rFonts w:eastAsia="Calibri"/>
                      <w:b/>
                      <w:bCs/>
                      <w:sz w:val="16"/>
                      <w:szCs w:val="16"/>
                    </w:rPr>
                    <w:t>Izmaksas</w:t>
                  </w:r>
                </w:p>
              </w:tc>
              <w:tc>
                <w:tcPr>
                  <w:tcW w:w="1701" w:type="dxa"/>
                  <w:gridSpan w:val="2"/>
                  <w:vAlign w:val="center"/>
                  <w:hideMark/>
                </w:tcPr>
                <w:p w:rsidR="00D26824" w:rsidRPr="005C23C5" w:rsidRDefault="00D26824" w:rsidP="00C1591C">
                  <w:pPr>
                    <w:pStyle w:val="naiskr"/>
                    <w:framePr w:hSpace="180" w:wrap="around" w:vAnchor="text" w:hAnchor="margin" w:x="5" w:y="149"/>
                    <w:spacing w:before="0" w:beforeAutospacing="0" w:after="0" w:afterAutospacing="0"/>
                    <w:ind w:right="57"/>
                    <w:jc w:val="center"/>
                    <w:rPr>
                      <w:rFonts w:eastAsia="Calibri"/>
                      <w:sz w:val="16"/>
                      <w:szCs w:val="16"/>
                    </w:rPr>
                  </w:pPr>
                  <w:r w:rsidRPr="005C23C5">
                    <w:rPr>
                      <w:rFonts w:eastAsia="Calibri"/>
                      <w:b/>
                      <w:bCs/>
                      <w:sz w:val="16"/>
                      <w:szCs w:val="16"/>
                    </w:rPr>
                    <w:t>Izmaksu ierobežojumi</w:t>
                  </w:r>
                </w:p>
              </w:tc>
            </w:tr>
            <w:tr w:rsidR="00D26824" w:rsidRPr="005C23C5" w:rsidTr="005C23C5">
              <w:trPr>
                <w:trHeight w:val="124"/>
              </w:trPr>
              <w:tc>
                <w:tcPr>
                  <w:tcW w:w="1985" w:type="dxa"/>
                  <w:vMerge/>
                  <w:vAlign w:val="center"/>
                  <w:hideMark/>
                </w:tcPr>
                <w:p w:rsidR="00D26824" w:rsidRPr="005C23C5" w:rsidRDefault="00D26824" w:rsidP="00C1591C">
                  <w:pPr>
                    <w:pStyle w:val="naiskr"/>
                    <w:framePr w:hSpace="180" w:wrap="around" w:vAnchor="text" w:hAnchor="margin" w:x="5" w:y="149"/>
                    <w:spacing w:before="0" w:beforeAutospacing="0" w:after="0" w:afterAutospacing="0"/>
                    <w:ind w:right="57"/>
                    <w:jc w:val="center"/>
                    <w:rPr>
                      <w:rFonts w:eastAsia="Calibri"/>
                      <w:b/>
                      <w:bCs/>
                      <w:sz w:val="16"/>
                      <w:szCs w:val="16"/>
                    </w:rPr>
                  </w:pPr>
                </w:p>
              </w:tc>
              <w:tc>
                <w:tcPr>
                  <w:tcW w:w="2126" w:type="dxa"/>
                  <w:vMerge/>
                  <w:vAlign w:val="center"/>
                  <w:hideMark/>
                </w:tcPr>
                <w:p w:rsidR="00D26824" w:rsidRPr="005C23C5" w:rsidRDefault="00D26824" w:rsidP="00C1591C">
                  <w:pPr>
                    <w:pStyle w:val="naiskr"/>
                    <w:framePr w:hSpace="180" w:wrap="around" w:vAnchor="text" w:hAnchor="margin" w:x="5" w:y="149"/>
                    <w:spacing w:before="0" w:beforeAutospacing="0" w:after="0" w:afterAutospacing="0"/>
                    <w:ind w:right="57"/>
                    <w:jc w:val="center"/>
                    <w:rPr>
                      <w:rFonts w:eastAsia="Calibri"/>
                      <w:b/>
                      <w:bCs/>
                      <w:sz w:val="16"/>
                      <w:szCs w:val="16"/>
                    </w:rPr>
                  </w:pPr>
                </w:p>
              </w:tc>
              <w:tc>
                <w:tcPr>
                  <w:tcW w:w="850" w:type="dxa"/>
                  <w:vAlign w:val="center"/>
                  <w:hideMark/>
                </w:tcPr>
                <w:p w:rsidR="00D26824" w:rsidRPr="005C23C5" w:rsidRDefault="00D26824" w:rsidP="00C1591C">
                  <w:pPr>
                    <w:pStyle w:val="naiskr"/>
                    <w:framePr w:hSpace="180" w:wrap="around" w:vAnchor="text" w:hAnchor="margin" w:x="5" w:y="149"/>
                    <w:spacing w:before="0" w:beforeAutospacing="0" w:after="0" w:afterAutospacing="0"/>
                    <w:ind w:right="57"/>
                    <w:jc w:val="center"/>
                    <w:rPr>
                      <w:rFonts w:eastAsia="Calibri"/>
                      <w:b/>
                      <w:bCs/>
                      <w:sz w:val="16"/>
                      <w:szCs w:val="16"/>
                    </w:rPr>
                  </w:pPr>
                  <w:r w:rsidRPr="005C23C5">
                    <w:rPr>
                      <w:rFonts w:eastAsia="Calibri"/>
                      <w:b/>
                      <w:bCs/>
                      <w:sz w:val="16"/>
                      <w:szCs w:val="16"/>
                    </w:rPr>
                    <w:t>9.2.4.1.</w:t>
                  </w:r>
                </w:p>
              </w:tc>
              <w:tc>
                <w:tcPr>
                  <w:tcW w:w="851" w:type="dxa"/>
                  <w:vAlign w:val="center"/>
                  <w:hideMark/>
                </w:tcPr>
                <w:p w:rsidR="00D26824" w:rsidRPr="005C23C5" w:rsidRDefault="00D26824" w:rsidP="00C1591C">
                  <w:pPr>
                    <w:pStyle w:val="naiskr"/>
                    <w:framePr w:hSpace="180" w:wrap="around" w:vAnchor="text" w:hAnchor="margin" w:x="5" w:y="149"/>
                    <w:spacing w:before="0" w:beforeAutospacing="0" w:after="0" w:afterAutospacing="0"/>
                    <w:ind w:right="57"/>
                    <w:jc w:val="center"/>
                    <w:rPr>
                      <w:rFonts w:eastAsia="Calibri"/>
                      <w:b/>
                      <w:bCs/>
                      <w:sz w:val="16"/>
                      <w:szCs w:val="16"/>
                    </w:rPr>
                  </w:pPr>
                  <w:r w:rsidRPr="005C23C5">
                    <w:rPr>
                      <w:rFonts w:eastAsia="Calibri"/>
                      <w:b/>
                      <w:bCs/>
                      <w:sz w:val="16"/>
                      <w:szCs w:val="16"/>
                    </w:rPr>
                    <w:t>9.2.4.2.</w:t>
                  </w:r>
                </w:p>
              </w:tc>
            </w:tr>
            <w:tr w:rsidR="000E345E" w:rsidRPr="005C23C5" w:rsidTr="005B7AA5">
              <w:trPr>
                <w:trHeight w:val="592"/>
              </w:trPr>
              <w:tc>
                <w:tcPr>
                  <w:tcW w:w="1985" w:type="dxa"/>
                  <w:vAlign w:val="center"/>
                  <w:hideMark/>
                </w:tcPr>
                <w:p w:rsidR="000E345E" w:rsidRPr="005C23C5" w:rsidRDefault="000E345E" w:rsidP="00C1591C">
                  <w:pPr>
                    <w:pStyle w:val="naiskr"/>
                    <w:framePr w:hSpace="180" w:wrap="around" w:vAnchor="text" w:hAnchor="margin" w:x="5" w:y="149"/>
                    <w:spacing w:before="0" w:beforeAutospacing="0" w:after="0" w:afterAutospacing="0"/>
                    <w:ind w:right="34"/>
                    <w:rPr>
                      <w:rFonts w:eastAsia="Calibri"/>
                      <w:bCs/>
                      <w:sz w:val="16"/>
                      <w:szCs w:val="16"/>
                    </w:rPr>
                  </w:pPr>
                  <w:r w:rsidRPr="005C23C5">
                    <w:rPr>
                      <w:rFonts w:eastAsia="Calibri"/>
                      <w:bCs/>
                      <w:sz w:val="16"/>
                      <w:szCs w:val="16"/>
                    </w:rPr>
                    <w:t xml:space="preserve">Projekta vadība </w:t>
                  </w:r>
                </w:p>
              </w:tc>
              <w:tc>
                <w:tcPr>
                  <w:tcW w:w="2126" w:type="dxa"/>
                  <w:vAlign w:val="center"/>
                  <w:hideMark/>
                </w:tcPr>
                <w:p w:rsidR="000E345E" w:rsidRPr="005C23C5" w:rsidRDefault="000E345E" w:rsidP="00B7420A">
                  <w:pPr>
                    <w:pStyle w:val="naiskr"/>
                    <w:framePr w:hSpace="180" w:wrap="around" w:vAnchor="text" w:hAnchor="margin" w:x="5" w:y="149"/>
                    <w:spacing w:before="0" w:beforeAutospacing="0" w:after="0" w:afterAutospacing="0"/>
                    <w:ind w:right="34"/>
                    <w:rPr>
                      <w:rFonts w:eastAsia="Calibri"/>
                      <w:bCs/>
                      <w:sz w:val="16"/>
                      <w:szCs w:val="16"/>
                    </w:rPr>
                  </w:pPr>
                  <w:r w:rsidRPr="005C23C5">
                    <w:rPr>
                      <w:rFonts w:eastAsia="Calibri"/>
                      <w:bCs/>
                      <w:sz w:val="16"/>
                      <w:szCs w:val="16"/>
                    </w:rPr>
                    <w:t xml:space="preserve">Izmaksas </w:t>
                  </w:r>
                  <w:r w:rsidR="00B7420A">
                    <w:rPr>
                      <w:rFonts w:eastAsia="Calibri"/>
                      <w:bCs/>
                      <w:sz w:val="16"/>
                      <w:szCs w:val="16"/>
                    </w:rPr>
                    <w:t xml:space="preserve">vadības </w:t>
                  </w:r>
                  <w:r w:rsidRPr="005C23C5">
                    <w:rPr>
                      <w:rFonts w:eastAsia="Calibri"/>
                      <w:bCs/>
                      <w:sz w:val="16"/>
                      <w:szCs w:val="16"/>
                    </w:rPr>
                    <w:t xml:space="preserve">personālam </w:t>
                  </w:r>
                </w:p>
              </w:tc>
              <w:tc>
                <w:tcPr>
                  <w:tcW w:w="850" w:type="dxa"/>
                  <w:vMerge w:val="restart"/>
                  <w:vAlign w:val="center"/>
                  <w:hideMark/>
                </w:tcPr>
                <w:p w:rsidR="000E345E" w:rsidRPr="005C23C5" w:rsidRDefault="000E345E" w:rsidP="005B7AA5">
                  <w:pPr>
                    <w:pStyle w:val="naiskr"/>
                    <w:framePr w:hSpace="180" w:wrap="around" w:vAnchor="text" w:hAnchor="margin" w:x="5" w:y="149"/>
                    <w:spacing w:before="0" w:beforeAutospacing="0" w:after="0" w:afterAutospacing="0"/>
                    <w:ind w:right="57"/>
                    <w:jc w:val="center"/>
                    <w:rPr>
                      <w:rFonts w:eastAsia="Calibri"/>
                      <w:bCs/>
                      <w:sz w:val="16"/>
                      <w:szCs w:val="16"/>
                    </w:rPr>
                  </w:pPr>
                  <w:r w:rsidRPr="005C23C5">
                    <w:rPr>
                      <w:rFonts w:eastAsia="Calibri"/>
                      <w:bCs/>
                      <w:sz w:val="16"/>
                      <w:szCs w:val="16"/>
                    </w:rPr>
                    <w:t xml:space="preserve">Līdz </w:t>
                  </w:r>
                  <w:r>
                    <w:rPr>
                      <w:rFonts w:eastAsia="Calibri"/>
                      <w:bCs/>
                      <w:sz w:val="16"/>
                      <w:szCs w:val="16"/>
                    </w:rPr>
                    <w:t>7</w:t>
                  </w:r>
                  <w:r w:rsidRPr="005C23C5">
                    <w:rPr>
                      <w:rFonts w:eastAsia="Calibri"/>
                      <w:bCs/>
                      <w:sz w:val="16"/>
                      <w:szCs w:val="16"/>
                    </w:rPr>
                    <w:t>%</w:t>
                  </w:r>
                </w:p>
                <w:p w:rsidR="000E345E" w:rsidRPr="005C23C5" w:rsidRDefault="000E345E" w:rsidP="005B7AA5">
                  <w:pPr>
                    <w:pStyle w:val="naiskr"/>
                    <w:framePr w:hSpace="180" w:wrap="around" w:vAnchor="text" w:hAnchor="margin" w:x="5" w:y="149"/>
                    <w:ind w:right="57"/>
                    <w:jc w:val="center"/>
                    <w:rPr>
                      <w:rFonts w:eastAsia="Calibri"/>
                      <w:bCs/>
                      <w:sz w:val="16"/>
                      <w:szCs w:val="16"/>
                    </w:rPr>
                  </w:pPr>
                </w:p>
              </w:tc>
              <w:tc>
                <w:tcPr>
                  <w:tcW w:w="851" w:type="dxa"/>
                  <w:vAlign w:val="center"/>
                  <w:hideMark/>
                </w:tcPr>
                <w:p w:rsidR="000E345E" w:rsidRPr="005C23C5" w:rsidRDefault="000E345E" w:rsidP="00EF7A50">
                  <w:pPr>
                    <w:pStyle w:val="naiskr"/>
                    <w:framePr w:hSpace="180" w:wrap="around" w:vAnchor="text" w:hAnchor="margin" w:x="5" w:y="149"/>
                    <w:spacing w:before="0" w:beforeAutospacing="0" w:after="0" w:afterAutospacing="0"/>
                    <w:ind w:right="57"/>
                    <w:jc w:val="center"/>
                    <w:rPr>
                      <w:rFonts w:eastAsia="Calibri"/>
                      <w:bCs/>
                      <w:sz w:val="16"/>
                      <w:szCs w:val="16"/>
                    </w:rPr>
                  </w:pPr>
                  <w:r w:rsidRPr="005C23C5">
                    <w:rPr>
                      <w:rFonts w:eastAsia="Calibri"/>
                      <w:bCs/>
                      <w:sz w:val="16"/>
                      <w:szCs w:val="16"/>
                    </w:rPr>
                    <w:t xml:space="preserve">Līdz </w:t>
                  </w:r>
                  <w:r>
                    <w:rPr>
                      <w:rFonts w:eastAsia="Calibri"/>
                      <w:bCs/>
                      <w:sz w:val="16"/>
                      <w:szCs w:val="16"/>
                    </w:rPr>
                    <w:t>5</w:t>
                  </w:r>
                  <w:r w:rsidRPr="005C23C5">
                    <w:rPr>
                      <w:rFonts w:eastAsia="Calibri"/>
                      <w:bCs/>
                      <w:sz w:val="16"/>
                      <w:szCs w:val="16"/>
                    </w:rPr>
                    <w:t>%</w:t>
                  </w:r>
                </w:p>
              </w:tc>
            </w:tr>
            <w:tr w:rsidR="000E345E" w:rsidRPr="005C23C5" w:rsidTr="005C23C5">
              <w:trPr>
                <w:trHeight w:val="592"/>
              </w:trPr>
              <w:tc>
                <w:tcPr>
                  <w:tcW w:w="1985" w:type="dxa"/>
                  <w:vAlign w:val="center"/>
                  <w:hideMark/>
                </w:tcPr>
                <w:p w:rsidR="000E345E" w:rsidRPr="005C23C5" w:rsidRDefault="000E345E" w:rsidP="00C1591C">
                  <w:pPr>
                    <w:pStyle w:val="naiskr"/>
                    <w:framePr w:hSpace="180" w:wrap="around" w:vAnchor="text" w:hAnchor="margin" w:x="5" w:y="149"/>
                    <w:spacing w:before="0" w:beforeAutospacing="0" w:after="0" w:afterAutospacing="0"/>
                    <w:ind w:right="34"/>
                    <w:rPr>
                      <w:rFonts w:eastAsia="Calibri"/>
                      <w:bCs/>
                      <w:sz w:val="16"/>
                      <w:szCs w:val="16"/>
                    </w:rPr>
                  </w:pPr>
                  <w:r>
                    <w:rPr>
                      <w:rFonts w:eastAsia="Calibri"/>
                      <w:bCs/>
                      <w:sz w:val="16"/>
                      <w:szCs w:val="16"/>
                    </w:rPr>
                    <w:t>Projekta īstenošana</w:t>
                  </w:r>
                </w:p>
              </w:tc>
              <w:tc>
                <w:tcPr>
                  <w:tcW w:w="2126" w:type="dxa"/>
                  <w:vAlign w:val="center"/>
                  <w:hideMark/>
                </w:tcPr>
                <w:p w:rsidR="000E345E" w:rsidRPr="005C23C5" w:rsidRDefault="000E345E" w:rsidP="00C1591C">
                  <w:pPr>
                    <w:pStyle w:val="naiskr"/>
                    <w:framePr w:hSpace="180" w:wrap="around" w:vAnchor="text" w:hAnchor="margin" w:x="5" w:y="149"/>
                    <w:spacing w:before="0" w:beforeAutospacing="0" w:after="0" w:afterAutospacing="0"/>
                    <w:ind w:right="34"/>
                    <w:rPr>
                      <w:rFonts w:eastAsia="Calibri"/>
                      <w:bCs/>
                      <w:sz w:val="16"/>
                      <w:szCs w:val="16"/>
                    </w:rPr>
                  </w:pPr>
                  <w:r>
                    <w:rPr>
                      <w:rFonts w:eastAsia="Calibri"/>
                      <w:bCs/>
                      <w:sz w:val="16"/>
                      <w:szCs w:val="16"/>
                    </w:rPr>
                    <w:t>Izmaksas īstenošanas personālam</w:t>
                  </w:r>
                  <w:r w:rsidR="00F25980">
                    <w:rPr>
                      <w:rFonts w:eastAsia="Calibri"/>
                      <w:bCs/>
                      <w:sz w:val="16"/>
                      <w:szCs w:val="16"/>
                    </w:rPr>
                    <w:t xml:space="preserve"> </w:t>
                  </w:r>
                </w:p>
              </w:tc>
              <w:tc>
                <w:tcPr>
                  <w:tcW w:w="850" w:type="dxa"/>
                  <w:vMerge/>
                  <w:vAlign w:val="center"/>
                  <w:hideMark/>
                </w:tcPr>
                <w:p w:rsidR="000E345E" w:rsidRPr="005C23C5" w:rsidRDefault="000E345E" w:rsidP="00EF7A50">
                  <w:pPr>
                    <w:pStyle w:val="naiskr"/>
                    <w:framePr w:hSpace="180" w:wrap="around" w:vAnchor="text" w:hAnchor="margin" w:x="5" w:y="149"/>
                    <w:spacing w:before="0" w:beforeAutospacing="0" w:after="0" w:afterAutospacing="0"/>
                    <w:ind w:right="57"/>
                    <w:jc w:val="center"/>
                    <w:rPr>
                      <w:rFonts w:eastAsia="Calibri"/>
                      <w:bCs/>
                      <w:sz w:val="16"/>
                      <w:szCs w:val="16"/>
                    </w:rPr>
                  </w:pPr>
                </w:p>
              </w:tc>
              <w:tc>
                <w:tcPr>
                  <w:tcW w:w="851" w:type="dxa"/>
                  <w:vAlign w:val="center"/>
                  <w:hideMark/>
                </w:tcPr>
                <w:p w:rsidR="000E345E" w:rsidRPr="005C23C5" w:rsidRDefault="000E345E" w:rsidP="00EF7A50">
                  <w:pPr>
                    <w:pStyle w:val="naiskr"/>
                    <w:framePr w:hSpace="180" w:wrap="around" w:vAnchor="text" w:hAnchor="margin" w:x="5" w:y="149"/>
                    <w:spacing w:before="0" w:beforeAutospacing="0" w:after="0" w:afterAutospacing="0"/>
                    <w:ind w:right="57"/>
                    <w:jc w:val="center"/>
                    <w:rPr>
                      <w:rFonts w:eastAsia="Calibri"/>
                      <w:bCs/>
                      <w:sz w:val="16"/>
                      <w:szCs w:val="16"/>
                    </w:rPr>
                  </w:pPr>
                  <w:r w:rsidRPr="005C23C5">
                    <w:rPr>
                      <w:rFonts w:eastAsia="Calibri"/>
                      <w:bCs/>
                      <w:sz w:val="16"/>
                      <w:szCs w:val="16"/>
                    </w:rPr>
                    <w:t>Līdz 2%</w:t>
                  </w:r>
                </w:p>
              </w:tc>
            </w:tr>
            <w:tr w:rsidR="00D26824" w:rsidRPr="005C23C5" w:rsidTr="005C23C5">
              <w:trPr>
                <w:trHeight w:val="560"/>
              </w:trPr>
              <w:tc>
                <w:tcPr>
                  <w:tcW w:w="1985" w:type="dxa"/>
                  <w:vAlign w:val="center"/>
                  <w:hideMark/>
                </w:tcPr>
                <w:p w:rsidR="00442323" w:rsidRPr="005C23C5" w:rsidRDefault="00D26824" w:rsidP="00C1591C">
                  <w:pPr>
                    <w:pStyle w:val="naiskr"/>
                    <w:framePr w:hSpace="180" w:wrap="around" w:vAnchor="text" w:hAnchor="margin" w:x="5" w:y="149"/>
                    <w:spacing w:before="0" w:beforeAutospacing="0" w:after="0" w:afterAutospacing="0"/>
                    <w:ind w:right="34"/>
                    <w:rPr>
                      <w:rFonts w:eastAsia="Calibri"/>
                      <w:bCs/>
                      <w:sz w:val="16"/>
                      <w:szCs w:val="16"/>
                    </w:rPr>
                  </w:pPr>
                  <w:r w:rsidRPr="005C23C5">
                    <w:rPr>
                      <w:rFonts w:eastAsia="Calibri"/>
                      <w:bCs/>
                      <w:sz w:val="16"/>
                      <w:szCs w:val="16"/>
                    </w:rPr>
                    <w:t>Veicināšanas un profilakses plāna izstrāde un aktualizēšana</w:t>
                  </w:r>
                </w:p>
              </w:tc>
              <w:tc>
                <w:tcPr>
                  <w:tcW w:w="2126" w:type="dxa"/>
                  <w:vAlign w:val="center"/>
                  <w:hideMark/>
                </w:tcPr>
                <w:p w:rsidR="00442323" w:rsidRPr="005C23C5" w:rsidRDefault="000E345E" w:rsidP="000E345E">
                  <w:pPr>
                    <w:pStyle w:val="naiskr"/>
                    <w:framePr w:hSpace="180" w:wrap="around" w:vAnchor="text" w:hAnchor="margin" w:x="5" w:y="149"/>
                    <w:spacing w:before="0" w:beforeAutospacing="0" w:after="0" w:afterAutospacing="0"/>
                    <w:ind w:right="34"/>
                    <w:rPr>
                      <w:rFonts w:eastAsia="Calibri"/>
                      <w:bCs/>
                      <w:sz w:val="16"/>
                      <w:szCs w:val="16"/>
                    </w:rPr>
                  </w:pPr>
                  <w:r>
                    <w:rPr>
                      <w:rFonts w:eastAsia="Calibri"/>
                      <w:bCs/>
                      <w:sz w:val="16"/>
                      <w:szCs w:val="16"/>
                    </w:rPr>
                    <w:t>Izmaksas īstenošanas personālam</w:t>
                  </w:r>
                  <w:r w:rsidRPr="005C23C5">
                    <w:rPr>
                      <w:rFonts w:eastAsia="Calibri"/>
                      <w:bCs/>
                      <w:sz w:val="16"/>
                      <w:szCs w:val="16"/>
                    </w:rPr>
                    <w:t xml:space="preserve"> </w:t>
                  </w:r>
                  <w:r>
                    <w:rPr>
                      <w:rFonts w:eastAsia="Calibri"/>
                      <w:bCs/>
                      <w:sz w:val="16"/>
                      <w:szCs w:val="16"/>
                    </w:rPr>
                    <w:t xml:space="preserve"> un ārpakalpojuma izmaksas</w:t>
                  </w:r>
                  <w:r w:rsidR="00D26824" w:rsidRPr="005C23C5">
                    <w:rPr>
                      <w:rFonts w:eastAsia="Calibri"/>
                      <w:bCs/>
                      <w:sz w:val="16"/>
                      <w:szCs w:val="16"/>
                    </w:rPr>
                    <w:t xml:space="preserve"> ārējiem konsultantiem un rezultātu izplatīšanai </w:t>
                  </w:r>
                </w:p>
              </w:tc>
              <w:tc>
                <w:tcPr>
                  <w:tcW w:w="850" w:type="dxa"/>
                  <w:vAlign w:val="center"/>
                  <w:hideMark/>
                </w:tcPr>
                <w:p w:rsidR="00442323" w:rsidRPr="005C23C5" w:rsidRDefault="00D26824" w:rsidP="00C1591C">
                  <w:pPr>
                    <w:pStyle w:val="naiskr"/>
                    <w:framePr w:hSpace="180" w:wrap="around" w:vAnchor="text" w:hAnchor="margin" w:x="5" w:y="149"/>
                    <w:spacing w:before="0" w:beforeAutospacing="0" w:after="0" w:afterAutospacing="0"/>
                    <w:ind w:right="57"/>
                    <w:jc w:val="center"/>
                    <w:rPr>
                      <w:rFonts w:eastAsia="Calibri"/>
                      <w:bCs/>
                      <w:sz w:val="16"/>
                      <w:szCs w:val="16"/>
                    </w:rPr>
                  </w:pPr>
                  <w:r w:rsidRPr="005C23C5">
                    <w:rPr>
                      <w:rFonts w:eastAsia="Calibri"/>
                      <w:bCs/>
                      <w:sz w:val="16"/>
                      <w:szCs w:val="16"/>
                    </w:rPr>
                    <w:t>Līdz 2%</w:t>
                  </w:r>
                </w:p>
              </w:tc>
              <w:tc>
                <w:tcPr>
                  <w:tcW w:w="851" w:type="dxa"/>
                  <w:vAlign w:val="center"/>
                  <w:hideMark/>
                </w:tcPr>
                <w:p w:rsidR="00442323" w:rsidRPr="005C23C5" w:rsidRDefault="00D26824" w:rsidP="00C1591C">
                  <w:pPr>
                    <w:pStyle w:val="naiskr"/>
                    <w:framePr w:hSpace="180" w:wrap="around" w:vAnchor="text" w:hAnchor="margin" w:x="5" w:y="149"/>
                    <w:spacing w:before="0" w:beforeAutospacing="0" w:after="0" w:afterAutospacing="0"/>
                    <w:ind w:right="57"/>
                    <w:jc w:val="center"/>
                    <w:rPr>
                      <w:rFonts w:eastAsia="Calibri"/>
                      <w:bCs/>
                      <w:sz w:val="16"/>
                      <w:szCs w:val="16"/>
                    </w:rPr>
                  </w:pPr>
                  <w:r w:rsidRPr="005C23C5">
                    <w:rPr>
                      <w:rFonts w:eastAsia="Calibri"/>
                      <w:bCs/>
                      <w:sz w:val="16"/>
                      <w:szCs w:val="16"/>
                    </w:rPr>
                    <w:t>Nav attiecināms</w:t>
                  </w:r>
                </w:p>
              </w:tc>
            </w:tr>
            <w:tr w:rsidR="00D26824" w:rsidRPr="005C23C5" w:rsidTr="005C23C5">
              <w:trPr>
                <w:trHeight w:val="646"/>
              </w:trPr>
              <w:tc>
                <w:tcPr>
                  <w:tcW w:w="1985" w:type="dxa"/>
                  <w:vAlign w:val="center"/>
                  <w:hideMark/>
                </w:tcPr>
                <w:p w:rsidR="00442323" w:rsidRPr="005C23C5" w:rsidRDefault="00D26824" w:rsidP="00C1591C">
                  <w:pPr>
                    <w:pStyle w:val="naiskr"/>
                    <w:framePr w:hSpace="180" w:wrap="around" w:vAnchor="text" w:hAnchor="margin" w:x="5" w:y="149"/>
                    <w:spacing w:before="0" w:beforeAutospacing="0" w:after="0" w:afterAutospacing="0"/>
                    <w:ind w:right="34"/>
                    <w:rPr>
                      <w:rFonts w:eastAsia="Calibri"/>
                      <w:bCs/>
                      <w:sz w:val="16"/>
                      <w:szCs w:val="16"/>
                    </w:rPr>
                  </w:pPr>
                  <w:r w:rsidRPr="005C23C5">
                    <w:rPr>
                      <w:rFonts w:eastAsia="Calibri"/>
                      <w:bCs/>
                      <w:sz w:val="16"/>
                      <w:szCs w:val="16"/>
                    </w:rPr>
                    <w:t xml:space="preserve">Slimību profilakses pasākumi </w:t>
                  </w:r>
                </w:p>
              </w:tc>
              <w:tc>
                <w:tcPr>
                  <w:tcW w:w="2126" w:type="dxa"/>
                  <w:vAlign w:val="center"/>
                  <w:hideMark/>
                </w:tcPr>
                <w:p w:rsidR="00442323" w:rsidRPr="005C23C5" w:rsidRDefault="00B7420A" w:rsidP="00B7420A">
                  <w:pPr>
                    <w:pStyle w:val="naiskr"/>
                    <w:framePr w:hSpace="180" w:wrap="around" w:vAnchor="text" w:hAnchor="margin" w:x="5" w:y="149"/>
                    <w:spacing w:before="0" w:beforeAutospacing="0" w:after="0" w:afterAutospacing="0"/>
                    <w:ind w:right="34"/>
                    <w:rPr>
                      <w:rFonts w:eastAsia="Calibri"/>
                      <w:bCs/>
                      <w:sz w:val="16"/>
                      <w:szCs w:val="16"/>
                    </w:rPr>
                  </w:pPr>
                  <w:r>
                    <w:rPr>
                      <w:rFonts w:eastAsia="Calibri"/>
                      <w:bCs/>
                      <w:sz w:val="16"/>
                      <w:szCs w:val="16"/>
                    </w:rPr>
                    <w:t>Ārpakalpojumu izmaksas - p</w:t>
                  </w:r>
                  <w:r w:rsidR="00D26824" w:rsidRPr="005C23C5">
                    <w:rPr>
                      <w:rFonts w:eastAsia="Calibri"/>
                      <w:bCs/>
                      <w:sz w:val="16"/>
                      <w:szCs w:val="16"/>
                    </w:rPr>
                    <w:t xml:space="preserve">rimārā profilakse, konsultācijas, paškontroles ierīces, mobilitāte un atbalsta personāls </w:t>
                  </w:r>
                </w:p>
              </w:tc>
              <w:tc>
                <w:tcPr>
                  <w:tcW w:w="850" w:type="dxa"/>
                  <w:vAlign w:val="center"/>
                  <w:hideMark/>
                </w:tcPr>
                <w:p w:rsidR="00442323" w:rsidRPr="005C23C5" w:rsidRDefault="00D26824" w:rsidP="00C1591C">
                  <w:pPr>
                    <w:pStyle w:val="naiskr"/>
                    <w:framePr w:hSpace="180" w:wrap="around" w:vAnchor="text" w:hAnchor="margin" w:x="5" w:y="149"/>
                    <w:spacing w:before="0" w:beforeAutospacing="0" w:after="0" w:afterAutospacing="0"/>
                    <w:ind w:right="57"/>
                    <w:jc w:val="center"/>
                    <w:rPr>
                      <w:rFonts w:eastAsia="Calibri"/>
                      <w:bCs/>
                      <w:sz w:val="16"/>
                      <w:szCs w:val="16"/>
                    </w:rPr>
                  </w:pPr>
                  <w:r w:rsidRPr="005C23C5">
                    <w:rPr>
                      <w:rFonts w:eastAsia="Calibri"/>
                      <w:bCs/>
                      <w:sz w:val="16"/>
                      <w:szCs w:val="16"/>
                    </w:rPr>
                    <w:t>-</w:t>
                  </w:r>
                </w:p>
              </w:tc>
              <w:tc>
                <w:tcPr>
                  <w:tcW w:w="851" w:type="dxa"/>
                  <w:vAlign w:val="center"/>
                  <w:hideMark/>
                </w:tcPr>
                <w:p w:rsidR="00442323" w:rsidRPr="005C23C5" w:rsidRDefault="00D26824" w:rsidP="00C1591C">
                  <w:pPr>
                    <w:pStyle w:val="naiskr"/>
                    <w:framePr w:hSpace="180" w:wrap="around" w:vAnchor="text" w:hAnchor="margin" w:x="5" w:y="149"/>
                    <w:spacing w:before="0" w:beforeAutospacing="0" w:after="0" w:afterAutospacing="0"/>
                    <w:ind w:right="57"/>
                    <w:jc w:val="center"/>
                    <w:rPr>
                      <w:rFonts w:eastAsia="Calibri"/>
                      <w:bCs/>
                      <w:sz w:val="16"/>
                      <w:szCs w:val="16"/>
                    </w:rPr>
                  </w:pPr>
                  <w:r w:rsidRPr="005C23C5">
                    <w:rPr>
                      <w:rFonts w:eastAsia="Calibri"/>
                      <w:bCs/>
                      <w:sz w:val="16"/>
                      <w:szCs w:val="16"/>
                    </w:rPr>
                    <w:t>-</w:t>
                  </w:r>
                </w:p>
              </w:tc>
            </w:tr>
            <w:tr w:rsidR="00D26824" w:rsidRPr="005C23C5" w:rsidTr="005C23C5">
              <w:trPr>
                <w:trHeight w:val="274"/>
              </w:trPr>
              <w:tc>
                <w:tcPr>
                  <w:tcW w:w="1985" w:type="dxa"/>
                  <w:vAlign w:val="center"/>
                  <w:hideMark/>
                </w:tcPr>
                <w:p w:rsidR="00442323" w:rsidRPr="005C23C5" w:rsidRDefault="00D26824" w:rsidP="00C1591C">
                  <w:pPr>
                    <w:pStyle w:val="naiskr"/>
                    <w:framePr w:hSpace="180" w:wrap="around" w:vAnchor="text" w:hAnchor="margin" w:x="5" w:y="149"/>
                    <w:spacing w:before="0" w:beforeAutospacing="0" w:after="0" w:afterAutospacing="0"/>
                    <w:ind w:right="34"/>
                    <w:rPr>
                      <w:rFonts w:eastAsia="Calibri"/>
                      <w:bCs/>
                      <w:sz w:val="16"/>
                      <w:szCs w:val="16"/>
                    </w:rPr>
                  </w:pPr>
                  <w:r w:rsidRPr="005C23C5">
                    <w:rPr>
                      <w:rFonts w:eastAsia="Calibri"/>
                      <w:bCs/>
                      <w:sz w:val="16"/>
                      <w:szCs w:val="16"/>
                    </w:rPr>
                    <w:t xml:space="preserve">Vispārējie veselības veicināšanas pasākumi </w:t>
                  </w:r>
                </w:p>
              </w:tc>
              <w:tc>
                <w:tcPr>
                  <w:tcW w:w="2126" w:type="dxa"/>
                  <w:vAlign w:val="center"/>
                  <w:hideMark/>
                </w:tcPr>
                <w:p w:rsidR="00442323" w:rsidRPr="005C23C5" w:rsidRDefault="00B7420A" w:rsidP="00B7420A">
                  <w:pPr>
                    <w:pStyle w:val="naiskr"/>
                    <w:framePr w:hSpace="180" w:wrap="around" w:vAnchor="text" w:hAnchor="margin" w:x="5" w:y="149"/>
                    <w:spacing w:before="0" w:beforeAutospacing="0" w:after="0" w:afterAutospacing="0"/>
                    <w:ind w:right="34"/>
                    <w:rPr>
                      <w:rFonts w:eastAsia="Calibri"/>
                      <w:bCs/>
                      <w:sz w:val="16"/>
                      <w:szCs w:val="16"/>
                    </w:rPr>
                  </w:pPr>
                  <w:r>
                    <w:rPr>
                      <w:rFonts w:eastAsia="Calibri"/>
                      <w:bCs/>
                      <w:sz w:val="16"/>
                      <w:szCs w:val="16"/>
                    </w:rPr>
                    <w:t>Ārpakalpojumu izmaksas - s</w:t>
                  </w:r>
                  <w:r w:rsidR="00D26824" w:rsidRPr="005C23C5">
                    <w:rPr>
                      <w:rFonts w:eastAsia="Calibri"/>
                      <w:bCs/>
                      <w:sz w:val="16"/>
                      <w:szCs w:val="16"/>
                    </w:rPr>
                    <w:t xml:space="preserve">abiedrības informēšanas </w:t>
                  </w:r>
                  <w:r w:rsidRPr="005C23C5">
                    <w:rPr>
                      <w:rFonts w:eastAsia="Calibri"/>
                      <w:bCs/>
                      <w:sz w:val="16"/>
                      <w:szCs w:val="16"/>
                    </w:rPr>
                    <w:t>kampaņ</w:t>
                  </w:r>
                  <w:r>
                    <w:rPr>
                      <w:rFonts w:eastAsia="Calibri"/>
                      <w:bCs/>
                      <w:sz w:val="16"/>
                      <w:szCs w:val="16"/>
                    </w:rPr>
                    <w:t>as, sociālo reklāmu</w:t>
                  </w:r>
                  <w:r w:rsidRPr="005C23C5">
                    <w:rPr>
                      <w:rFonts w:eastAsia="Calibri"/>
                      <w:bCs/>
                      <w:sz w:val="16"/>
                      <w:szCs w:val="16"/>
                    </w:rPr>
                    <w:t xml:space="preserve"> </w:t>
                  </w:r>
                  <w:r w:rsidR="00D26824" w:rsidRPr="005C23C5">
                    <w:rPr>
                      <w:rFonts w:eastAsia="Calibri"/>
                      <w:bCs/>
                      <w:sz w:val="16"/>
                      <w:szCs w:val="16"/>
                    </w:rPr>
                    <w:t>izgatavošana</w:t>
                  </w:r>
                  <w:r>
                    <w:rPr>
                      <w:rFonts w:eastAsia="Calibri"/>
                      <w:bCs/>
                      <w:sz w:val="16"/>
                      <w:szCs w:val="16"/>
                    </w:rPr>
                    <w:t>s</w:t>
                  </w:r>
                  <w:r w:rsidR="00D26824" w:rsidRPr="005C23C5">
                    <w:rPr>
                      <w:rFonts w:eastAsia="Calibri"/>
                      <w:bCs/>
                      <w:sz w:val="16"/>
                      <w:szCs w:val="16"/>
                    </w:rPr>
                    <w:t xml:space="preserve"> un izplatīšana</w:t>
                  </w:r>
                  <w:r>
                    <w:rPr>
                      <w:rFonts w:eastAsia="Calibri"/>
                      <w:bCs/>
                      <w:sz w:val="16"/>
                      <w:szCs w:val="16"/>
                    </w:rPr>
                    <w:t>s izmaksas</w:t>
                  </w:r>
                </w:p>
              </w:tc>
              <w:tc>
                <w:tcPr>
                  <w:tcW w:w="850" w:type="dxa"/>
                  <w:vAlign w:val="center"/>
                  <w:hideMark/>
                </w:tcPr>
                <w:p w:rsidR="00442323" w:rsidRPr="005C23C5" w:rsidRDefault="00D26824" w:rsidP="00EF7A50">
                  <w:pPr>
                    <w:pStyle w:val="naiskr"/>
                    <w:framePr w:hSpace="180" w:wrap="around" w:vAnchor="text" w:hAnchor="margin" w:x="5" w:y="149"/>
                    <w:spacing w:before="0" w:beforeAutospacing="0" w:after="0" w:afterAutospacing="0"/>
                    <w:ind w:right="57"/>
                    <w:jc w:val="center"/>
                    <w:rPr>
                      <w:rFonts w:eastAsia="Calibri"/>
                      <w:bCs/>
                      <w:sz w:val="16"/>
                      <w:szCs w:val="16"/>
                    </w:rPr>
                  </w:pPr>
                  <w:r w:rsidRPr="005C23C5">
                    <w:rPr>
                      <w:rFonts w:eastAsia="Calibri"/>
                      <w:bCs/>
                      <w:sz w:val="16"/>
                      <w:szCs w:val="16"/>
                    </w:rPr>
                    <w:t xml:space="preserve">Vismaz </w:t>
                  </w:r>
                  <w:r w:rsidR="00EF7A50">
                    <w:rPr>
                      <w:rFonts w:eastAsia="Calibri"/>
                      <w:bCs/>
                      <w:sz w:val="16"/>
                      <w:szCs w:val="16"/>
                    </w:rPr>
                    <w:t>5</w:t>
                  </w:r>
                  <w:r w:rsidRPr="005C23C5">
                    <w:rPr>
                      <w:rFonts w:eastAsia="Calibri"/>
                      <w:bCs/>
                      <w:sz w:val="16"/>
                      <w:szCs w:val="16"/>
                    </w:rPr>
                    <w:t>0%</w:t>
                  </w:r>
                </w:p>
              </w:tc>
              <w:tc>
                <w:tcPr>
                  <w:tcW w:w="851" w:type="dxa"/>
                  <w:vAlign w:val="center"/>
                  <w:hideMark/>
                </w:tcPr>
                <w:p w:rsidR="00442323" w:rsidRPr="005C23C5" w:rsidRDefault="00D26824" w:rsidP="00C1591C">
                  <w:pPr>
                    <w:pStyle w:val="naiskr"/>
                    <w:framePr w:hSpace="180" w:wrap="around" w:vAnchor="text" w:hAnchor="margin" w:x="5" w:y="149"/>
                    <w:spacing w:before="0" w:beforeAutospacing="0" w:after="0" w:afterAutospacing="0"/>
                    <w:ind w:right="57"/>
                    <w:jc w:val="center"/>
                    <w:rPr>
                      <w:rFonts w:eastAsia="Calibri"/>
                      <w:bCs/>
                      <w:sz w:val="16"/>
                      <w:szCs w:val="16"/>
                    </w:rPr>
                  </w:pPr>
                  <w:r w:rsidRPr="005C23C5">
                    <w:rPr>
                      <w:rFonts w:eastAsia="Calibri"/>
                      <w:bCs/>
                      <w:sz w:val="16"/>
                      <w:szCs w:val="16"/>
                    </w:rPr>
                    <w:t>Nav attiecināms</w:t>
                  </w:r>
                </w:p>
              </w:tc>
            </w:tr>
            <w:tr w:rsidR="00D26824" w:rsidRPr="005C23C5" w:rsidTr="005C23C5">
              <w:trPr>
                <w:trHeight w:val="457"/>
              </w:trPr>
              <w:tc>
                <w:tcPr>
                  <w:tcW w:w="1985" w:type="dxa"/>
                  <w:vAlign w:val="center"/>
                  <w:hideMark/>
                </w:tcPr>
                <w:p w:rsidR="00D26824" w:rsidRPr="005C23C5" w:rsidRDefault="00D26824" w:rsidP="00C1591C">
                  <w:pPr>
                    <w:pStyle w:val="naiskr"/>
                    <w:framePr w:hSpace="180" w:wrap="around" w:vAnchor="text" w:hAnchor="margin" w:x="5" w:y="149"/>
                    <w:spacing w:before="0" w:beforeAutospacing="0" w:after="0" w:afterAutospacing="0"/>
                    <w:ind w:right="34"/>
                    <w:rPr>
                      <w:rFonts w:eastAsia="Calibri"/>
                      <w:bCs/>
                      <w:sz w:val="16"/>
                      <w:szCs w:val="16"/>
                    </w:rPr>
                  </w:pPr>
                  <w:r w:rsidRPr="005C23C5">
                    <w:rPr>
                      <w:rFonts w:eastAsia="Calibri"/>
                      <w:bCs/>
                      <w:sz w:val="16"/>
                      <w:szCs w:val="16"/>
                    </w:rPr>
                    <w:t>Veselības veicināšanas pasākumi mērķa grupām</w:t>
                  </w:r>
                </w:p>
              </w:tc>
              <w:tc>
                <w:tcPr>
                  <w:tcW w:w="2126" w:type="dxa"/>
                  <w:vMerge w:val="restart"/>
                  <w:vAlign w:val="center"/>
                  <w:hideMark/>
                </w:tcPr>
                <w:p w:rsidR="00D26824" w:rsidRPr="005C23C5" w:rsidRDefault="00D26824" w:rsidP="00C1591C">
                  <w:pPr>
                    <w:pStyle w:val="naiskr"/>
                    <w:framePr w:hSpace="180" w:wrap="around" w:vAnchor="text" w:hAnchor="margin" w:x="5" w:y="149"/>
                    <w:spacing w:before="0" w:beforeAutospacing="0" w:after="0" w:afterAutospacing="0"/>
                    <w:ind w:right="34"/>
                    <w:rPr>
                      <w:rFonts w:eastAsia="Calibri"/>
                      <w:bCs/>
                      <w:sz w:val="16"/>
                      <w:szCs w:val="16"/>
                    </w:rPr>
                  </w:pPr>
                  <w:r w:rsidRPr="005C23C5">
                    <w:rPr>
                      <w:rFonts w:eastAsia="Calibri"/>
                      <w:bCs/>
                      <w:sz w:val="16"/>
                      <w:szCs w:val="16"/>
                    </w:rPr>
                    <w:t xml:space="preserve">Veselības veicināšanas pasākumu plānošana, sagatavošana un īstenošana, darba materiāli un inventārs, mobilitāte un atbalsta personāls </w:t>
                  </w:r>
                </w:p>
              </w:tc>
              <w:tc>
                <w:tcPr>
                  <w:tcW w:w="850" w:type="dxa"/>
                  <w:vMerge w:val="restart"/>
                  <w:vAlign w:val="center"/>
                  <w:hideMark/>
                </w:tcPr>
                <w:p w:rsidR="00D26824" w:rsidRPr="005C23C5" w:rsidRDefault="00D26824" w:rsidP="00C1591C">
                  <w:pPr>
                    <w:pStyle w:val="NormalWeb"/>
                    <w:framePr w:hSpace="180" w:wrap="around" w:vAnchor="text" w:hAnchor="margin" w:x="5" w:y="149"/>
                    <w:spacing w:before="0" w:beforeAutospacing="0" w:after="0" w:afterAutospacing="0"/>
                    <w:jc w:val="center"/>
                    <w:textAlignment w:val="top"/>
                    <w:rPr>
                      <w:sz w:val="16"/>
                      <w:szCs w:val="16"/>
                      <w:lang w:val="lv-LV"/>
                    </w:rPr>
                  </w:pPr>
                  <w:r w:rsidRPr="005C23C5">
                    <w:rPr>
                      <w:sz w:val="16"/>
                      <w:szCs w:val="16"/>
                      <w:lang w:val="lv-LV"/>
                    </w:rPr>
                    <w:t>-</w:t>
                  </w:r>
                </w:p>
              </w:tc>
              <w:tc>
                <w:tcPr>
                  <w:tcW w:w="851" w:type="dxa"/>
                  <w:vMerge w:val="restart"/>
                  <w:vAlign w:val="center"/>
                  <w:hideMark/>
                </w:tcPr>
                <w:p w:rsidR="00D26824" w:rsidRPr="005C23C5" w:rsidRDefault="00D26824" w:rsidP="00EF7A50">
                  <w:pPr>
                    <w:pStyle w:val="NormalWeb"/>
                    <w:framePr w:hSpace="180" w:wrap="around" w:vAnchor="text" w:hAnchor="margin" w:x="5" w:y="149"/>
                    <w:spacing w:before="0" w:beforeAutospacing="0" w:after="0" w:afterAutospacing="0"/>
                    <w:ind w:left="58"/>
                    <w:jc w:val="center"/>
                    <w:textAlignment w:val="top"/>
                    <w:rPr>
                      <w:sz w:val="16"/>
                      <w:szCs w:val="16"/>
                      <w:lang w:val="lv-LV"/>
                    </w:rPr>
                  </w:pPr>
                  <w:r w:rsidRPr="005C23C5">
                    <w:rPr>
                      <w:kern w:val="24"/>
                      <w:sz w:val="16"/>
                      <w:szCs w:val="16"/>
                      <w:lang w:val="lv-LV"/>
                    </w:rPr>
                    <w:t>Vismaz 8</w:t>
                  </w:r>
                  <w:r w:rsidR="00EF7A50">
                    <w:rPr>
                      <w:kern w:val="24"/>
                      <w:sz w:val="16"/>
                      <w:szCs w:val="16"/>
                      <w:lang w:val="lv-LV"/>
                    </w:rPr>
                    <w:t>0</w:t>
                  </w:r>
                  <w:r w:rsidRPr="005C23C5">
                    <w:rPr>
                      <w:kern w:val="24"/>
                      <w:sz w:val="16"/>
                      <w:szCs w:val="16"/>
                      <w:lang w:val="lv-LV"/>
                    </w:rPr>
                    <w:t>%</w:t>
                  </w:r>
                </w:p>
              </w:tc>
            </w:tr>
            <w:tr w:rsidR="00D26824" w:rsidRPr="005C23C5" w:rsidTr="005C23C5">
              <w:trPr>
                <w:trHeight w:val="410"/>
              </w:trPr>
              <w:tc>
                <w:tcPr>
                  <w:tcW w:w="1985" w:type="dxa"/>
                  <w:vAlign w:val="center"/>
                  <w:hideMark/>
                </w:tcPr>
                <w:p w:rsidR="00D26824" w:rsidRPr="005C23C5" w:rsidRDefault="00D26824" w:rsidP="00C1591C">
                  <w:pPr>
                    <w:pStyle w:val="naiskr"/>
                    <w:framePr w:hSpace="180" w:wrap="around" w:vAnchor="text" w:hAnchor="margin" w:x="5" w:y="149"/>
                    <w:spacing w:before="0" w:beforeAutospacing="0" w:after="0" w:afterAutospacing="0"/>
                    <w:ind w:right="34"/>
                    <w:rPr>
                      <w:rFonts w:eastAsia="Calibri"/>
                      <w:bCs/>
                      <w:sz w:val="16"/>
                      <w:szCs w:val="16"/>
                    </w:rPr>
                  </w:pPr>
                  <w:r w:rsidRPr="005C23C5">
                    <w:rPr>
                      <w:rFonts w:eastAsia="Calibri"/>
                      <w:bCs/>
                      <w:sz w:val="16"/>
                      <w:szCs w:val="16"/>
                    </w:rPr>
                    <w:t xml:space="preserve">Veselības veicināšanas pasākumi vietējai sabiedrībai </w:t>
                  </w:r>
                </w:p>
              </w:tc>
              <w:tc>
                <w:tcPr>
                  <w:tcW w:w="2126" w:type="dxa"/>
                  <w:vMerge/>
                  <w:vAlign w:val="center"/>
                  <w:hideMark/>
                </w:tcPr>
                <w:p w:rsidR="00D26824" w:rsidRPr="005C23C5" w:rsidRDefault="00D26824" w:rsidP="00C1591C">
                  <w:pPr>
                    <w:pStyle w:val="naiskr"/>
                    <w:framePr w:hSpace="180" w:wrap="around" w:vAnchor="text" w:hAnchor="margin" w:x="5" w:y="149"/>
                    <w:spacing w:before="0" w:beforeAutospacing="0" w:after="0" w:afterAutospacing="0"/>
                    <w:ind w:right="34"/>
                    <w:rPr>
                      <w:rFonts w:eastAsia="Calibri"/>
                      <w:bCs/>
                      <w:sz w:val="16"/>
                      <w:szCs w:val="16"/>
                    </w:rPr>
                  </w:pPr>
                </w:p>
              </w:tc>
              <w:tc>
                <w:tcPr>
                  <w:tcW w:w="850" w:type="dxa"/>
                  <w:vMerge/>
                  <w:vAlign w:val="center"/>
                  <w:hideMark/>
                </w:tcPr>
                <w:p w:rsidR="00D26824" w:rsidRPr="005C23C5" w:rsidRDefault="00D26824" w:rsidP="00C1591C">
                  <w:pPr>
                    <w:framePr w:hSpace="180" w:wrap="around" w:vAnchor="text" w:hAnchor="margin" w:x="5" w:y="149"/>
                    <w:jc w:val="center"/>
                    <w:rPr>
                      <w:sz w:val="16"/>
                      <w:szCs w:val="16"/>
                    </w:rPr>
                  </w:pPr>
                </w:p>
              </w:tc>
              <w:tc>
                <w:tcPr>
                  <w:tcW w:w="851" w:type="dxa"/>
                  <w:vMerge/>
                  <w:vAlign w:val="center"/>
                  <w:hideMark/>
                </w:tcPr>
                <w:p w:rsidR="00D26824" w:rsidRPr="005C23C5" w:rsidRDefault="00D26824" w:rsidP="00C1591C">
                  <w:pPr>
                    <w:framePr w:hSpace="180" w:wrap="around" w:vAnchor="text" w:hAnchor="margin" w:x="5" w:y="149"/>
                    <w:jc w:val="center"/>
                    <w:rPr>
                      <w:sz w:val="16"/>
                      <w:szCs w:val="16"/>
                    </w:rPr>
                  </w:pPr>
                </w:p>
              </w:tc>
            </w:tr>
            <w:tr w:rsidR="00D26824" w:rsidRPr="005C23C5" w:rsidTr="005C23C5">
              <w:trPr>
                <w:trHeight w:val="324"/>
              </w:trPr>
              <w:tc>
                <w:tcPr>
                  <w:tcW w:w="1985" w:type="dxa"/>
                  <w:vAlign w:val="center"/>
                  <w:hideMark/>
                </w:tcPr>
                <w:p w:rsidR="00D26824" w:rsidRPr="005C23C5" w:rsidRDefault="00D26824" w:rsidP="00C1591C">
                  <w:pPr>
                    <w:pStyle w:val="naiskr"/>
                    <w:framePr w:hSpace="180" w:wrap="around" w:vAnchor="text" w:hAnchor="margin" w:x="5" w:y="149"/>
                    <w:spacing w:before="0" w:beforeAutospacing="0" w:after="0" w:afterAutospacing="0"/>
                    <w:ind w:right="34"/>
                    <w:rPr>
                      <w:rFonts w:eastAsia="Calibri"/>
                      <w:bCs/>
                      <w:sz w:val="16"/>
                      <w:szCs w:val="16"/>
                    </w:rPr>
                  </w:pPr>
                  <w:r w:rsidRPr="005C23C5">
                    <w:rPr>
                      <w:rFonts w:eastAsia="Calibri"/>
                      <w:bCs/>
                      <w:sz w:val="16"/>
                      <w:szCs w:val="16"/>
                    </w:rPr>
                    <w:t xml:space="preserve">Sabiedrības veselības pētījumi </w:t>
                  </w:r>
                </w:p>
              </w:tc>
              <w:tc>
                <w:tcPr>
                  <w:tcW w:w="2126" w:type="dxa"/>
                  <w:vAlign w:val="center"/>
                  <w:hideMark/>
                </w:tcPr>
                <w:p w:rsidR="00D26824" w:rsidRPr="005C23C5" w:rsidRDefault="00D26824" w:rsidP="000E345E">
                  <w:pPr>
                    <w:pStyle w:val="naiskr"/>
                    <w:framePr w:hSpace="180" w:wrap="around" w:vAnchor="text" w:hAnchor="margin" w:x="5" w:y="149"/>
                    <w:spacing w:before="0" w:beforeAutospacing="0" w:after="0" w:afterAutospacing="0"/>
                    <w:ind w:right="34"/>
                    <w:rPr>
                      <w:rFonts w:eastAsia="Calibri"/>
                      <w:bCs/>
                      <w:sz w:val="16"/>
                      <w:szCs w:val="16"/>
                    </w:rPr>
                  </w:pPr>
                  <w:r w:rsidRPr="005C23C5">
                    <w:rPr>
                      <w:rFonts w:eastAsia="Calibri"/>
                      <w:bCs/>
                      <w:sz w:val="16"/>
                      <w:szCs w:val="16"/>
                    </w:rPr>
                    <w:t>Izmaksas īstenošanas personālam</w:t>
                  </w:r>
                  <w:r w:rsidR="000E345E">
                    <w:rPr>
                      <w:rFonts w:eastAsia="Calibri"/>
                      <w:bCs/>
                      <w:sz w:val="16"/>
                      <w:szCs w:val="16"/>
                    </w:rPr>
                    <w:t xml:space="preserve"> un ārpakalpojuma izmaksas</w:t>
                  </w:r>
                  <w:r w:rsidR="000E345E" w:rsidRPr="005C23C5">
                    <w:rPr>
                      <w:rFonts w:eastAsia="Calibri"/>
                      <w:bCs/>
                      <w:sz w:val="16"/>
                      <w:szCs w:val="16"/>
                    </w:rPr>
                    <w:t xml:space="preserve"> </w:t>
                  </w:r>
                  <w:r w:rsidRPr="005C23C5">
                    <w:rPr>
                      <w:rFonts w:eastAsia="Calibri"/>
                      <w:bCs/>
                      <w:sz w:val="16"/>
                      <w:szCs w:val="16"/>
                    </w:rPr>
                    <w:t>ārējiem konsultantiem</w:t>
                  </w:r>
                  <w:r w:rsidR="00DD78D9" w:rsidRPr="005C23C5">
                    <w:rPr>
                      <w:rFonts w:eastAsia="Calibri"/>
                      <w:bCs/>
                      <w:sz w:val="16"/>
                      <w:szCs w:val="16"/>
                    </w:rPr>
                    <w:t>, pētījumu veikšanai un rezultātu izplatīšanai</w:t>
                  </w:r>
                </w:p>
              </w:tc>
              <w:tc>
                <w:tcPr>
                  <w:tcW w:w="850" w:type="dxa"/>
                  <w:vAlign w:val="center"/>
                  <w:hideMark/>
                </w:tcPr>
                <w:p w:rsidR="00D26824" w:rsidRPr="005C23C5" w:rsidRDefault="00D26824" w:rsidP="00C1591C">
                  <w:pPr>
                    <w:pStyle w:val="NormalWeb"/>
                    <w:framePr w:hSpace="180" w:wrap="around" w:vAnchor="text" w:hAnchor="margin" w:x="5" w:y="149"/>
                    <w:spacing w:before="0" w:beforeAutospacing="0" w:after="0" w:afterAutospacing="0"/>
                    <w:ind w:left="58"/>
                    <w:jc w:val="center"/>
                    <w:textAlignment w:val="top"/>
                    <w:rPr>
                      <w:sz w:val="16"/>
                      <w:szCs w:val="16"/>
                      <w:lang w:val="lv-LV"/>
                    </w:rPr>
                  </w:pPr>
                  <w:r w:rsidRPr="005C23C5">
                    <w:rPr>
                      <w:kern w:val="24"/>
                      <w:sz w:val="16"/>
                      <w:szCs w:val="16"/>
                      <w:lang w:val="lv-LV"/>
                    </w:rPr>
                    <w:t>Vismaz 15%</w:t>
                  </w:r>
                </w:p>
              </w:tc>
              <w:tc>
                <w:tcPr>
                  <w:tcW w:w="851" w:type="dxa"/>
                  <w:vAlign w:val="center"/>
                  <w:hideMark/>
                </w:tcPr>
                <w:p w:rsidR="00D26824" w:rsidRPr="005C23C5" w:rsidRDefault="00D26824" w:rsidP="00C1591C">
                  <w:pPr>
                    <w:pStyle w:val="NormalWeb"/>
                    <w:framePr w:hSpace="180" w:wrap="around" w:vAnchor="text" w:hAnchor="margin" w:x="5" w:y="149"/>
                    <w:spacing w:before="0" w:beforeAutospacing="0" w:after="0" w:afterAutospacing="0"/>
                    <w:ind w:left="58"/>
                    <w:jc w:val="center"/>
                    <w:textAlignment w:val="top"/>
                    <w:rPr>
                      <w:sz w:val="16"/>
                      <w:szCs w:val="16"/>
                      <w:lang w:val="lv-LV"/>
                    </w:rPr>
                  </w:pPr>
                  <w:r w:rsidRPr="005C23C5">
                    <w:rPr>
                      <w:kern w:val="24"/>
                      <w:sz w:val="16"/>
                      <w:szCs w:val="16"/>
                      <w:lang w:val="lv-LV"/>
                    </w:rPr>
                    <w:t>Nav attiecināms</w:t>
                  </w:r>
                </w:p>
              </w:tc>
            </w:tr>
            <w:tr w:rsidR="00D26824" w:rsidRPr="005C23C5" w:rsidTr="005C23C5">
              <w:trPr>
                <w:trHeight w:val="417"/>
              </w:trPr>
              <w:tc>
                <w:tcPr>
                  <w:tcW w:w="1985" w:type="dxa"/>
                  <w:vAlign w:val="center"/>
                  <w:hideMark/>
                </w:tcPr>
                <w:p w:rsidR="00D26824" w:rsidRPr="005C23C5" w:rsidRDefault="00D26824" w:rsidP="00C1591C">
                  <w:pPr>
                    <w:pStyle w:val="naiskr"/>
                    <w:framePr w:hSpace="180" w:wrap="around" w:vAnchor="text" w:hAnchor="margin" w:x="5" w:y="149"/>
                    <w:spacing w:before="0" w:beforeAutospacing="0" w:after="0" w:afterAutospacing="0"/>
                    <w:ind w:right="34"/>
                    <w:rPr>
                      <w:rFonts w:eastAsia="Calibri"/>
                      <w:bCs/>
                      <w:sz w:val="16"/>
                      <w:szCs w:val="16"/>
                    </w:rPr>
                  </w:pPr>
                  <w:r w:rsidRPr="005C23C5">
                    <w:rPr>
                      <w:rFonts w:eastAsia="Calibri"/>
                      <w:bCs/>
                      <w:sz w:val="16"/>
                      <w:szCs w:val="16"/>
                    </w:rPr>
                    <w:t xml:space="preserve">Uzraudzības sistēma </w:t>
                  </w:r>
                </w:p>
              </w:tc>
              <w:tc>
                <w:tcPr>
                  <w:tcW w:w="2126" w:type="dxa"/>
                  <w:vAlign w:val="center"/>
                  <w:hideMark/>
                </w:tcPr>
                <w:p w:rsidR="00D26824" w:rsidRPr="005C23C5" w:rsidRDefault="00D26824" w:rsidP="000E345E">
                  <w:pPr>
                    <w:pStyle w:val="naiskr"/>
                    <w:framePr w:hSpace="180" w:wrap="around" w:vAnchor="text" w:hAnchor="margin" w:x="5" w:y="149"/>
                    <w:spacing w:before="0" w:beforeAutospacing="0" w:after="0" w:afterAutospacing="0"/>
                    <w:ind w:right="34"/>
                    <w:rPr>
                      <w:rFonts w:eastAsia="Calibri"/>
                      <w:bCs/>
                      <w:sz w:val="16"/>
                      <w:szCs w:val="16"/>
                    </w:rPr>
                  </w:pPr>
                  <w:r w:rsidRPr="005C23C5">
                    <w:rPr>
                      <w:rFonts w:eastAsia="Calibri"/>
                      <w:bCs/>
                      <w:sz w:val="16"/>
                      <w:szCs w:val="16"/>
                    </w:rPr>
                    <w:t xml:space="preserve">Izmaksas </w:t>
                  </w:r>
                  <w:r w:rsidR="000E345E">
                    <w:rPr>
                      <w:rFonts w:eastAsia="Calibri"/>
                      <w:bCs/>
                      <w:sz w:val="16"/>
                      <w:szCs w:val="16"/>
                    </w:rPr>
                    <w:t xml:space="preserve">īstenošanas </w:t>
                  </w:r>
                  <w:r w:rsidRPr="005C23C5">
                    <w:rPr>
                      <w:rFonts w:eastAsia="Calibri"/>
                      <w:bCs/>
                      <w:sz w:val="16"/>
                      <w:szCs w:val="16"/>
                    </w:rPr>
                    <w:t xml:space="preserve">personālam un </w:t>
                  </w:r>
                  <w:r w:rsidR="000E345E">
                    <w:rPr>
                      <w:rFonts w:eastAsia="Calibri"/>
                      <w:bCs/>
                      <w:sz w:val="16"/>
                      <w:szCs w:val="16"/>
                    </w:rPr>
                    <w:t xml:space="preserve"> ārpakalpojuma izmaksas</w:t>
                  </w:r>
                  <w:r w:rsidR="000E345E" w:rsidRPr="005C23C5">
                    <w:rPr>
                      <w:rFonts w:eastAsia="Calibri"/>
                      <w:bCs/>
                      <w:sz w:val="16"/>
                      <w:szCs w:val="16"/>
                    </w:rPr>
                    <w:t xml:space="preserve">  ārējiem konsultantiem</w:t>
                  </w:r>
                </w:p>
              </w:tc>
              <w:tc>
                <w:tcPr>
                  <w:tcW w:w="850" w:type="dxa"/>
                  <w:vAlign w:val="center"/>
                  <w:hideMark/>
                </w:tcPr>
                <w:p w:rsidR="00D26824" w:rsidRPr="005C23C5" w:rsidRDefault="00D26824" w:rsidP="00EF7A50">
                  <w:pPr>
                    <w:pStyle w:val="NormalWeb"/>
                    <w:framePr w:hSpace="180" w:wrap="around" w:vAnchor="text" w:hAnchor="margin" w:x="5" w:y="149"/>
                    <w:spacing w:before="0" w:beforeAutospacing="0" w:after="0" w:afterAutospacing="0"/>
                    <w:ind w:left="58"/>
                    <w:jc w:val="center"/>
                    <w:textAlignment w:val="top"/>
                    <w:rPr>
                      <w:sz w:val="16"/>
                      <w:szCs w:val="16"/>
                      <w:lang w:val="lv-LV"/>
                    </w:rPr>
                  </w:pPr>
                  <w:r w:rsidRPr="005C23C5">
                    <w:rPr>
                      <w:kern w:val="24"/>
                      <w:sz w:val="16"/>
                      <w:szCs w:val="16"/>
                      <w:lang w:val="lv-LV"/>
                    </w:rPr>
                    <w:t xml:space="preserve">Līdz </w:t>
                  </w:r>
                  <w:r w:rsidR="00EF7A50">
                    <w:rPr>
                      <w:kern w:val="24"/>
                      <w:sz w:val="16"/>
                      <w:szCs w:val="16"/>
                      <w:lang w:val="lv-LV"/>
                    </w:rPr>
                    <w:t>7</w:t>
                  </w:r>
                  <w:r w:rsidRPr="005C23C5">
                    <w:rPr>
                      <w:kern w:val="24"/>
                      <w:sz w:val="16"/>
                      <w:szCs w:val="16"/>
                      <w:lang w:val="lv-LV"/>
                    </w:rPr>
                    <w:t>%</w:t>
                  </w:r>
                </w:p>
              </w:tc>
              <w:tc>
                <w:tcPr>
                  <w:tcW w:w="851" w:type="dxa"/>
                  <w:vAlign w:val="center"/>
                  <w:hideMark/>
                </w:tcPr>
                <w:p w:rsidR="00D26824" w:rsidRPr="005C23C5" w:rsidRDefault="00D26824" w:rsidP="00C1591C">
                  <w:pPr>
                    <w:pStyle w:val="NormalWeb"/>
                    <w:framePr w:hSpace="180" w:wrap="around" w:vAnchor="text" w:hAnchor="margin" w:x="5" w:y="149"/>
                    <w:spacing w:before="0" w:beforeAutospacing="0" w:after="0" w:afterAutospacing="0"/>
                    <w:ind w:left="58"/>
                    <w:jc w:val="center"/>
                    <w:textAlignment w:val="top"/>
                    <w:rPr>
                      <w:sz w:val="16"/>
                      <w:szCs w:val="16"/>
                      <w:lang w:val="lv-LV"/>
                    </w:rPr>
                  </w:pPr>
                  <w:r w:rsidRPr="005C23C5">
                    <w:rPr>
                      <w:kern w:val="24"/>
                      <w:sz w:val="16"/>
                      <w:szCs w:val="16"/>
                      <w:lang w:val="lv-LV"/>
                    </w:rPr>
                    <w:t>Nav attiecināms</w:t>
                  </w:r>
                </w:p>
              </w:tc>
            </w:tr>
            <w:tr w:rsidR="00D26824" w:rsidRPr="005C23C5" w:rsidTr="005C23C5">
              <w:trPr>
                <w:trHeight w:val="133"/>
              </w:trPr>
              <w:tc>
                <w:tcPr>
                  <w:tcW w:w="1985" w:type="dxa"/>
                  <w:vAlign w:val="center"/>
                  <w:hideMark/>
                </w:tcPr>
                <w:p w:rsidR="00D26824" w:rsidRPr="005C23C5" w:rsidRDefault="00D26824" w:rsidP="00C1591C">
                  <w:pPr>
                    <w:pStyle w:val="naiskr"/>
                    <w:framePr w:hSpace="180" w:wrap="around" w:vAnchor="text" w:hAnchor="margin" w:x="5" w:y="149"/>
                    <w:spacing w:before="0" w:beforeAutospacing="0" w:after="0" w:afterAutospacing="0"/>
                    <w:ind w:right="34"/>
                    <w:rPr>
                      <w:rFonts w:eastAsia="Calibri"/>
                      <w:bCs/>
                      <w:sz w:val="16"/>
                      <w:szCs w:val="16"/>
                    </w:rPr>
                  </w:pPr>
                  <w:r w:rsidRPr="005C23C5">
                    <w:rPr>
                      <w:rFonts w:eastAsia="Calibri"/>
                      <w:bCs/>
                      <w:sz w:val="16"/>
                      <w:szCs w:val="16"/>
                    </w:rPr>
                    <w:t xml:space="preserve">Informācijas un publicitātes pasākumi </w:t>
                  </w:r>
                </w:p>
              </w:tc>
              <w:tc>
                <w:tcPr>
                  <w:tcW w:w="2126" w:type="dxa"/>
                  <w:vAlign w:val="center"/>
                  <w:hideMark/>
                </w:tcPr>
                <w:p w:rsidR="00D26824" w:rsidRPr="005C23C5" w:rsidRDefault="00D26824" w:rsidP="00C1591C">
                  <w:pPr>
                    <w:pStyle w:val="naiskr"/>
                    <w:framePr w:hSpace="180" w:wrap="around" w:vAnchor="text" w:hAnchor="margin" w:x="5" w:y="149"/>
                    <w:spacing w:before="0" w:beforeAutospacing="0" w:after="0" w:afterAutospacing="0"/>
                    <w:ind w:right="34"/>
                    <w:rPr>
                      <w:rFonts w:eastAsia="Calibri"/>
                      <w:bCs/>
                      <w:sz w:val="16"/>
                      <w:szCs w:val="16"/>
                    </w:rPr>
                  </w:pPr>
                  <w:r w:rsidRPr="005C23C5">
                    <w:rPr>
                      <w:rFonts w:eastAsia="Calibri"/>
                      <w:bCs/>
                      <w:sz w:val="16"/>
                      <w:szCs w:val="16"/>
                    </w:rPr>
                    <w:t xml:space="preserve">Atbilstoši obligātajām prasībām </w:t>
                  </w:r>
                </w:p>
              </w:tc>
              <w:tc>
                <w:tcPr>
                  <w:tcW w:w="850" w:type="dxa"/>
                  <w:vAlign w:val="center"/>
                  <w:hideMark/>
                </w:tcPr>
                <w:p w:rsidR="00D26824" w:rsidRPr="005C23C5" w:rsidRDefault="00D26824" w:rsidP="00C1591C">
                  <w:pPr>
                    <w:pStyle w:val="NormalWeb"/>
                    <w:framePr w:hSpace="180" w:wrap="around" w:vAnchor="text" w:hAnchor="margin" w:x="5" w:y="149"/>
                    <w:spacing w:before="0" w:beforeAutospacing="0" w:after="0" w:afterAutospacing="0"/>
                    <w:ind w:left="58"/>
                    <w:jc w:val="center"/>
                    <w:textAlignment w:val="top"/>
                    <w:rPr>
                      <w:sz w:val="16"/>
                      <w:szCs w:val="16"/>
                      <w:lang w:val="lv-LV"/>
                    </w:rPr>
                  </w:pPr>
                  <w:r w:rsidRPr="005C23C5">
                    <w:rPr>
                      <w:kern w:val="24"/>
                      <w:sz w:val="16"/>
                      <w:szCs w:val="16"/>
                      <w:lang w:val="lv-LV"/>
                    </w:rPr>
                    <w:t>-</w:t>
                  </w:r>
                </w:p>
              </w:tc>
              <w:tc>
                <w:tcPr>
                  <w:tcW w:w="851" w:type="dxa"/>
                  <w:vAlign w:val="center"/>
                  <w:hideMark/>
                </w:tcPr>
                <w:p w:rsidR="00D26824" w:rsidRPr="005C23C5" w:rsidRDefault="00D26824" w:rsidP="00C1591C">
                  <w:pPr>
                    <w:pStyle w:val="NormalWeb"/>
                    <w:framePr w:hSpace="180" w:wrap="around" w:vAnchor="text" w:hAnchor="margin" w:x="5" w:y="149"/>
                    <w:spacing w:before="0" w:beforeAutospacing="0" w:after="0" w:afterAutospacing="0"/>
                    <w:ind w:left="58"/>
                    <w:jc w:val="center"/>
                    <w:textAlignment w:val="top"/>
                    <w:rPr>
                      <w:sz w:val="16"/>
                      <w:szCs w:val="16"/>
                      <w:lang w:val="lv-LV"/>
                    </w:rPr>
                  </w:pPr>
                  <w:r w:rsidRPr="005C23C5">
                    <w:rPr>
                      <w:kern w:val="24"/>
                      <w:sz w:val="16"/>
                      <w:szCs w:val="16"/>
                      <w:lang w:val="lv-LV"/>
                    </w:rPr>
                    <w:t>-</w:t>
                  </w:r>
                </w:p>
              </w:tc>
            </w:tr>
          </w:tbl>
          <w:p w:rsidR="00AF5D85" w:rsidRDefault="00FA01E5" w:rsidP="00C1591C">
            <w:pPr>
              <w:pStyle w:val="naiskr"/>
              <w:spacing w:before="40" w:beforeAutospacing="0" w:after="40" w:afterAutospacing="0"/>
              <w:ind w:left="57" w:right="57" w:firstLine="284"/>
              <w:jc w:val="both"/>
              <w:rPr>
                <w:rFonts w:eastAsiaTheme="minorEastAsia"/>
                <w:bCs/>
                <w:spacing w:val="-2"/>
              </w:rPr>
            </w:pPr>
            <w:r>
              <w:rPr>
                <w:rFonts w:eastAsiaTheme="minorEastAsia"/>
                <w:bCs/>
                <w:spacing w:val="-2"/>
              </w:rPr>
              <w:t xml:space="preserve">Veselības </w:t>
            </w:r>
            <w:r w:rsidRPr="00EE16A4">
              <w:t>veicināšanas</w:t>
            </w:r>
            <w:r>
              <w:rPr>
                <w:rFonts w:eastAsiaTheme="minorEastAsia"/>
                <w:bCs/>
                <w:spacing w:val="-2"/>
              </w:rPr>
              <w:t>, slimību profilakses un sabiedrības veselības pētījumu atbalstāmo darbību shēma:</w:t>
            </w:r>
          </w:p>
          <w:p w:rsidR="00FA01E5" w:rsidRDefault="00FA01E5" w:rsidP="00FA01E5">
            <w:pPr>
              <w:pStyle w:val="naiskr"/>
              <w:spacing w:before="40" w:beforeAutospacing="0" w:after="40" w:afterAutospacing="0"/>
              <w:ind w:left="57" w:right="57" w:firstLine="57"/>
              <w:jc w:val="both"/>
              <w:rPr>
                <w:rFonts w:eastAsiaTheme="minorEastAsia"/>
                <w:bCs/>
                <w:spacing w:val="-2"/>
              </w:rPr>
            </w:pPr>
            <w:r>
              <w:rPr>
                <w:rFonts w:eastAsiaTheme="minorEastAsia"/>
                <w:bCs/>
                <w:noProof/>
                <w:spacing w:val="-2"/>
                <w:lang w:bidi="ar-SA"/>
              </w:rPr>
              <w:lastRenderedPageBreak/>
              <w:drawing>
                <wp:inline distT="0" distB="0" distL="0" distR="0">
                  <wp:extent cx="3743325" cy="25431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743325" cy="2543175"/>
                          </a:xfrm>
                          <a:prstGeom prst="rect">
                            <a:avLst/>
                          </a:prstGeom>
                          <a:noFill/>
                          <a:ln w="9525">
                            <a:noFill/>
                            <a:miter lim="800000"/>
                            <a:headEnd/>
                            <a:tailEnd/>
                          </a:ln>
                        </pic:spPr>
                      </pic:pic>
                    </a:graphicData>
                  </a:graphic>
                </wp:inline>
              </w:drawing>
            </w:r>
          </w:p>
          <w:p w:rsidR="00757E17" w:rsidRDefault="00757E17" w:rsidP="00C1591C">
            <w:pPr>
              <w:pStyle w:val="naiskr"/>
              <w:spacing w:before="40" w:beforeAutospacing="0" w:after="40" w:afterAutospacing="0"/>
              <w:ind w:left="57" w:right="57" w:firstLine="284"/>
              <w:jc w:val="both"/>
              <w:rPr>
                <w:rFonts w:eastAsiaTheme="minorEastAsia"/>
                <w:bCs/>
                <w:spacing w:val="-2"/>
              </w:rPr>
            </w:pPr>
          </w:p>
          <w:p w:rsidR="00757E17" w:rsidRDefault="00C077F6" w:rsidP="00C1591C">
            <w:pPr>
              <w:pStyle w:val="naiskr"/>
              <w:spacing w:before="40" w:beforeAutospacing="0" w:after="40" w:afterAutospacing="0"/>
              <w:ind w:left="57" w:right="57" w:firstLine="284"/>
              <w:jc w:val="both"/>
              <w:rPr>
                <w:rFonts w:eastAsiaTheme="minorEastAsia"/>
                <w:b/>
                <w:bCs/>
                <w:spacing w:val="-2"/>
                <w:u w:val="single"/>
              </w:rPr>
            </w:pPr>
            <w:r w:rsidRPr="00C077F6">
              <w:rPr>
                <w:rFonts w:eastAsiaTheme="minorEastAsia"/>
                <w:b/>
                <w:bCs/>
                <w:spacing w:val="-2"/>
                <w:u w:val="single"/>
              </w:rPr>
              <w:t>9.2.4.1.</w:t>
            </w:r>
            <w:r w:rsidRPr="00C077F6">
              <w:rPr>
                <w:b/>
                <w:u w:val="single"/>
              </w:rPr>
              <w:t>pasākuma</w:t>
            </w:r>
            <w:r w:rsidRPr="00C077F6">
              <w:rPr>
                <w:rFonts w:eastAsiaTheme="minorEastAsia"/>
                <w:b/>
                <w:bCs/>
                <w:spacing w:val="-2"/>
                <w:u w:val="single"/>
              </w:rPr>
              <w:t xml:space="preserve"> ietvaros ir paredzētas</w:t>
            </w:r>
            <w:r w:rsidR="00757E17">
              <w:rPr>
                <w:rFonts w:eastAsiaTheme="minorEastAsia"/>
                <w:b/>
                <w:bCs/>
                <w:spacing w:val="-2"/>
                <w:u w:val="single"/>
              </w:rPr>
              <w:t>:</w:t>
            </w:r>
          </w:p>
          <w:p w:rsidR="00757E17" w:rsidRPr="00757E17" w:rsidRDefault="00C077F6" w:rsidP="00C1591C">
            <w:pPr>
              <w:pStyle w:val="naiskr"/>
              <w:spacing w:before="40" w:beforeAutospacing="0" w:after="40" w:afterAutospacing="0"/>
              <w:ind w:left="57" w:right="57" w:firstLine="284"/>
              <w:jc w:val="both"/>
              <w:rPr>
                <w:rFonts w:eastAsiaTheme="minorEastAsia"/>
                <w:b/>
                <w:bCs/>
                <w:spacing w:val="-2"/>
                <w:u w:val="single"/>
              </w:rPr>
            </w:pPr>
            <w:r w:rsidRPr="00C077F6">
              <w:t>projekta tiešās attiecināmās personāla atlīdzības izmaksas</w:t>
            </w:r>
            <w:r w:rsidR="00757E17">
              <w:t>, t.sk.</w:t>
            </w:r>
            <w:r w:rsidRPr="00C077F6">
              <w:t>:</w:t>
            </w:r>
          </w:p>
          <w:p w:rsidR="00757E17" w:rsidRPr="00757E17" w:rsidRDefault="00C56D02" w:rsidP="00F25980">
            <w:pPr>
              <w:pStyle w:val="naiskr"/>
              <w:numPr>
                <w:ilvl w:val="0"/>
                <w:numId w:val="27"/>
              </w:numPr>
              <w:spacing w:before="40" w:beforeAutospacing="0" w:after="40" w:afterAutospacing="0"/>
              <w:ind w:right="57"/>
              <w:jc w:val="both"/>
            </w:pPr>
            <w:r w:rsidRPr="00EE16A4">
              <w:rPr>
                <w:rFonts w:eastAsiaTheme="minorEastAsia"/>
                <w:bCs/>
                <w:spacing w:val="-2"/>
                <w:u w:val="single"/>
              </w:rPr>
              <w:t xml:space="preserve">projekta vadības </w:t>
            </w:r>
            <w:r w:rsidR="00F25980">
              <w:rPr>
                <w:rFonts w:eastAsiaTheme="minorEastAsia"/>
                <w:bCs/>
                <w:spacing w:val="-2"/>
                <w:u w:val="single"/>
              </w:rPr>
              <w:t xml:space="preserve">un īstenošanas </w:t>
            </w:r>
            <w:r w:rsidRPr="00EE16A4">
              <w:rPr>
                <w:rFonts w:eastAsiaTheme="minorEastAsia"/>
                <w:bCs/>
                <w:spacing w:val="-2"/>
                <w:u w:val="single"/>
              </w:rPr>
              <w:t>izmaksas</w:t>
            </w:r>
            <w:r w:rsidRPr="00F767F6">
              <w:rPr>
                <w:rFonts w:eastAsiaTheme="minorEastAsia"/>
                <w:bCs/>
                <w:spacing w:val="-2"/>
              </w:rPr>
              <w:t>, kas nepārsniedz 7% no pasākumam pieejamā finansējuma</w:t>
            </w:r>
            <w:r w:rsidR="00757E17">
              <w:rPr>
                <w:rFonts w:eastAsiaTheme="minorEastAsia"/>
                <w:bCs/>
                <w:spacing w:val="-2"/>
              </w:rPr>
              <w:t xml:space="preserve"> un kas ietver </w:t>
            </w:r>
            <w:r w:rsidR="00757E17" w:rsidRPr="00DC0BB4">
              <w:rPr>
                <w:sz w:val="28"/>
                <w:szCs w:val="28"/>
              </w:rPr>
              <w:t xml:space="preserve"> </w:t>
            </w:r>
            <w:r w:rsidR="00C077F6" w:rsidRPr="00C077F6">
              <w:t>finansējuma saņēmēja un sadarbības partneru projekta vadības personāla</w:t>
            </w:r>
            <w:r w:rsidR="00FC2EFF">
              <w:t xml:space="preserve"> un īstenošanas personāla</w:t>
            </w:r>
            <w:r w:rsidR="00F25980">
              <w:t xml:space="preserve"> (attiecībā uz veselības profilakses, vispārējo</w:t>
            </w:r>
            <w:r w:rsidR="00146A34">
              <w:t xml:space="preserve"> veselības veicināšanas</w:t>
            </w:r>
            <w:r w:rsidR="00F25980">
              <w:t xml:space="preserve"> un </w:t>
            </w:r>
            <w:r w:rsidR="00146A34">
              <w:t xml:space="preserve">nacionālā mēroga </w:t>
            </w:r>
            <w:r w:rsidR="00F25980">
              <w:t>mērķa grupu pasākumu īstenošanu)</w:t>
            </w:r>
            <w:r w:rsidR="00C077F6" w:rsidRPr="00C077F6">
              <w:t xml:space="preserve"> atlīdzības izmaksas</w:t>
            </w:r>
            <w:r w:rsidR="00FD4885">
              <w:t xml:space="preserve"> </w:t>
            </w:r>
            <w:r w:rsidR="00FD4885">
              <w:rPr>
                <w:lang w:eastAsia="en-US"/>
              </w:rPr>
              <w:t>(noteikumu projekta 2</w:t>
            </w:r>
            <w:r w:rsidR="00DE0119">
              <w:rPr>
                <w:lang w:eastAsia="en-US"/>
              </w:rPr>
              <w:t>3</w:t>
            </w:r>
            <w:r w:rsidR="00FD4885">
              <w:rPr>
                <w:lang w:eastAsia="en-US"/>
              </w:rPr>
              <w:t>.punkts)</w:t>
            </w:r>
            <w:r w:rsidRPr="00F25980">
              <w:rPr>
                <w:rFonts w:eastAsiaTheme="minorEastAsia"/>
                <w:bCs/>
                <w:spacing w:val="-2"/>
              </w:rPr>
              <w:t xml:space="preserve">. </w:t>
            </w:r>
          </w:p>
          <w:p w:rsidR="00757E17" w:rsidRDefault="00142096" w:rsidP="00757E17">
            <w:pPr>
              <w:pStyle w:val="naiskr"/>
              <w:numPr>
                <w:ilvl w:val="0"/>
                <w:numId w:val="27"/>
              </w:numPr>
              <w:spacing w:before="40" w:beforeAutospacing="0" w:after="40" w:afterAutospacing="0"/>
              <w:ind w:right="57"/>
              <w:jc w:val="both"/>
            </w:pPr>
            <w:r>
              <w:rPr>
                <w:rFonts w:eastAsiaTheme="minorEastAsia"/>
                <w:bCs/>
                <w:spacing w:val="-2"/>
              </w:rPr>
              <w:t>Papildus i</w:t>
            </w:r>
            <w:r w:rsidR="00C56D02" w:rsidRPr="00F767F6">
              <w:rPr>
                <w:rFonts w:eastAsiaTheme="minorEastAsia"/>
                <w:bCs/>
                <w:spacing w:val="-2"/>
              </w:rPr>
              <w:t xml:space="preserve">r paredzētas  </w:t>
            </w:r>
            <w:r w:rsidR="00C077F6" w:rsidRPr="00C077F6">
              <w:rPr>
                <w:u w:val="single"/>
              </w:rPr>
              <w:t xml:space="preserve">finansējuma saņēmēja un sadarbības partneru īstenošanas </w:t>
            </w:r>
            <w:r w:rsidR="00C077F6" w:rsidRPr="00C077F6">
              <w:rPr>
                <w:u w:val="single"/>
                <w:lang w:eastAsia="en-US"/>
              </w:rPr>
              <w:t>personāla atlīdzības izmaksas</w:t>
            </w:r>
            <w:r w:rsidR="009D6632" w:rsidRPr="00F767F6">
              <w:rPr>
                <w:lang w:eastAsia="en-US"/>
              </w:rPr>
              <w:t xml:space="preserve"> šādām atbalstāmajām darbībām </w:t>
            </w:r>
            <w:r w:rsidR="00EE16A4">
              <w:rPr>
                <w:lang w:eastAsia="en-US"/>
              </w:rPr>
              <w:t>–</w:t>
            </w:r>
            <w:r w:rsidR="009D6632" w:rsidRPr="00F767F6">
              <w:rPr>
                <w:lang w:eastAsia="en-US"/>
              </w:rPr>
              <w:t xml:space="preserve"> veselības</w:t>
            </w:r>
            <w:bookmarkStart w:id="8" w:name="plāns_9241"/>
            <w:bookmarkEnd w:id="8"/>
            <w:r w:rsidR="009D6632" w:rsidRPr="00F767F6">
              <w:rPr>
                <w:lang w:eastAsia="en-US"/>
              </w:rPr>
              <w:t xml:space="preserve"> veicināšanas un slimību </w:t>
            </w:r>
            <w:r w:rsidR="009D6632" w:rsidRPr="00142096">
              <w:rPr>
                <w:lang w:eastAsia="en-US"/>
              </w:rPr>
              <w:t>profilakses plāna izstrāde un aktualizēšana</w:t>
            </w:r>
            <w:r w:rsidR="00757E17">
              <w:rPr>
                <w:lang w:eastAsia="en-US"/>
              </w:rPr>
              <w:t xml:space="preserve"> (noteikumu projekta 2</w:t>
            </w:r>
            <w:r w:rsidR="00DE0119">
              <w:rPr>
                <w:lang w:eastAsia="en-US"/>
              </w:rPr>
              <w:t>4</w:t>
            </w:r>
            <w:r w:rsidR="00757E17">
              <w:rPr>
                <w:lang w:eastAsia="en-US"/>
              </w:rPr>
              <w:t>.1.apakšpunkts)</w:t>
            </w:r>
            <w:r w:rsidR="00C56D02" w:rsidRPr="00142096">
              <w:rPr>
                <w:lang w:eastAsia="en-US"/>
              </w:rPr>
              <w:t>,</w:t>
            </w:r>
            <w:r w:rsidR="00B1330A" w:rsidRPr="00142096">
              <w:t xml:space="preserve"> sabied</w:t>
            </w:r>
            <w:bookmarkStart w:id="9" w:name="pētījumi_9241"/>
            <w:bookmarkEnd w:id="9"/>
            <w:r w:rsidR="00B1330A" w:rsidRPr="00142096">
              <w:t xml:space="preserve">rības veselības pētījumi </w:t>
            </w:r>
            <w:r w:rsidR="00757E17">
              <w:t>(</w:t>
            </w:r>
            <w:r w:rsidR="00757E17">
              <w:rPr>
                <w:lang w:eastAsia="en-US"/>
              </w:rPr>
              <w:t xml:space="preserve">noteikumu projekta </w:t>
            </w:r>
            <w:r w:rsidR="00757E17">
              <w:t>2</w:t>
            </w:r>
            <w:r w:rsidR="00DE0119">
              <w:t>8</w:t>
            </w:r>
            <w:r w:rsidR="00757E17">
              <w:t xml:space="preserve">.1.1.apakšpunkts) </w:t>
            </w:r>
            <w:r w:rsidR="00B1330A" w:rsidRPr="00142096">
              <w:t xml:space="preserve">un veselības </w:t>
            </w:r>
            <w:bookmarkStart w:id="10" w:name="uzraudzība_9241"/>
            <w:bookmarkEnd w:id="10"/>
            <w:r w:rsidR="00B1330A" w:rsidRPr="00142096">
              <w:t>veicināšanas un slimību profilakses uzraudzība</w:t>
            </w:r>
            <w:r w:rsidR="00757E17">
              <w:t xml:space="preserve"> (</w:t>
            </w:r>
            <w:r w:rsidR="00757E17">
              <w:rPr>
                <w:lang w:eastAsia="en-US"/>
              </w:rPr>
              <w:t xml:space="preserve">noteikumu projekta </w:t>
            </w:r>
            <w:r w:rsidR="00DE0119">
              <w:t>29</w:t>
            </w:r>
            <w:r w:rsidR="00757E17">
              <w:t>.1.apakšpunkts)</w:t>
            </w:r>
            <w:r w:rsidR="00B1330A" w:rsidRPr="00142096">
              <w:t xml:space="preserve">. </w:t>
            </w:r>
          </w:p>
          <w:p w:rsidR="00C42A69" w:rsidRDefault="00C077F6">
            <w:pPr>
              <w:pStyle w:val="naiskr"/>
              <w:spacing w:before="40" w:beforeAutospacing="0" w:after="40" w:afterAutospacing="0"/>
              <w:ind w:left="398" w:right="57"/>
              <w:jc w:val="both"/>
            </w:pPr>
            <w:r w:rsidRPr="00C077F6">
              <w:t>pārējās tiešās attiecināmās īstenošanas izmaksas</w:t>
            </w:r>
            <w:r w:rsidR="00757E17">
              <w:t xml:space="preserve">, </w:t>
            </w:r>
            <w:r w:rsidRPr="00C077F6">
              <w:rPr>
                <w:b/>
              </w:rPr>
              <w:t>kas atbalstāmas tikai ārpakalpojumā, ievērojot publisko iepirkumu jomu regulējošos normatīvos aktu</w:t>
            </w:r>
            <w:r w:rsidRPr="00C077F6">
              <w:t>s, t.sk.:</w:t>
            </w:r>
          </w:p>
          <w:p w:rsidR="00C42A69" w:rsidRDefault="00757E17">
            <w:pPr>
              <w:pStyle w:val="naiskr"/>
              <w:numPr>
                <w:ilvl w:val="0"/>
                <w:numId w:val="28"/>
              </w:numPr>
              <w:spacing w:before="40" w:beforeAutospacing="0" w:after="40" w:afterAutospacing="0"/>
              <w:ind w:right="57"/>
              <w:jc w:val="both"/>
            </w:pPr>
            <w:r w:rsidRPr="00F767F6">
              <w:rPr>
                <w:lang w:eastAsia="en-US"/>
              </w:rPr>
              <w:t xml:space="preserve"> veselības veicināšanas un slimību </w:t>
            </w:r>
            <w:r w:rsidRPr="00142096">
              <w:rPr>
                <w:lang w:eastAsia="en-US"/>
              </w:rPr>
              <w:t>profilakses plāna izstrāde un aktualizēšana</w:t>
            </w:r>
            <w:r w:rsidDel="00757E17">
              <w:t xml:space="preserve"> </w:t>
            </w:r>
            <w:r>
              <w:rPr>
                <w:lang w:eastAsia="en-US"/>
              </w:rPr>
              <w:t>(noteikumu projekta 2</w:t>
            </w:r>
            <w:r w:rsidR="00DE0119">
              <w:rPr>
                <w:lang w:eastAsia="en-US"/>
              </w:rPr>
              <w:t>4</w:t>
            </w:r>
            <w:r>
              <w:rPr>
                <w:lang w:eastAsia="en-US"/>
              </w:rPr>
              <w:t>.</w:t>
            </w:r>
            <w:r w:rsidR="00FD4885">
              <w:rPr>
                <w:lang w:eastAsia="en-US"/>
              </w:rPr>
              <w:t>2</w:t>
            </w:r>
            <w:r>
              <w:rPr>
                <w:lang w:eastAsia="en-US"/>
              </w:rPr>
              <w:t>.</w:t>
            </w:r>
            <w:r w:rsidR="00FD4885">
              <w:rPr>
                <w:lang w:eastAsia="en-US"/>
              </w:rPr>
              <w:t xml:space="preserve"> un 2</w:t>
            </w:r>
            <w:r w:rsidR="00DE0119">
              <w:rPr>
                <w:lang w:eastAsia="en-US"/>
              </w:rPr>
              <w:t>4</w:t>
            </w:r>
            <w:r w:rsidR="00FD4885">
              <w:rPr>
                <w:lang w:eastAsia="en-US"/>
              </w:rPr>
              <w:t>.3.</w:t>
            </w:r>
            <w:r>
              <w:rPr>
                <w:lang w:eastAsia="en-US"/>
              </w:rPr>
              <w:t>apakšpunkts);</w:t>
            </w:r>
          </w:p>
          <w:p w:rsidR="00C42A69" w:rsidRDefault="00C56D02">
            <w:pPr>
              <w:pStyle w:val="naiskr"/>
              <w:numPr>
                <w:ilvl w:val="0"/>
                <w:numId w:val="28"/>
              </w:numPr>
              <w:spacing w:before="40" w:beforeAutospacing="0" w:after="40" w:afterAutospacing="0"/>
              <w:ind w:right="57"/>
              <w:jc w:val="both"/>
            </w:pPr>
            <w:r w:rsidRPr="00142096">
              <w:rPr>
                <w:lang w:eastAsia="en-US"/>
              </w:rPr>
              <w:t>slimību</w:t>
            </w:r>
            <w:bookmarkStart w:id="11" w:name="profilake_9241"/>
            <w:bookmarkEnd w:id="11"/>
            <w:r w:rsidRPr="00142096">
              <w:rPr>
                <w:lang w:eastAsia="en-US"/>
              </w:rPr>
              <w:t xml:space="preserve"> profilakses pasākumi</w:t>
            </w:r>
            <w:r w:rsidR="00757E17">
              <w:rPr>
                <w:lang w:eastAsia="en-US"/>
              </w:rPr>
              <w:t xml:space="preserve"> (noteikumu </w:t>
            </w:r>
            <w:r w:rsidR="00757E17">
              <w:rPr>
                <w:lang w:eastAsia="en-US"/>
              </w:rPr>
              <w:lastRenderedPageBreak/>
              <w:t xml:space="preserve">projekta </w:t>
            </w:r>
            <w:r w:rsidR="00FD4885">
              <w:rPr>
                <w:lang w:eastAsia="en-US"/>
              </w:rPr>
              <w:t>2</w:t>
            </w:r>
            <w:r w:rsidR="00DE0119">
              <w:rPr>
                <w:lang w:eastAsia="en-US"/>
              </w:rPr>
              <w:t>5</w:t>
            </w:r>
            <w:r w:rsidR="00FD4885">
              <w:rPr>
                <w:lang w:eastAsia="en-US"/>
              </w:rPr>
              <w:t>.</w:t>
            </w:r>
            <w:r w:rsidR="00757E17">
              <w:rPr>
                <w:lang w:eastAsia="en-US"/>
              </w:rPr>
              <w:t>punkts);</w:t>
            </w:r>
          </w:p>
          <w:p w:rsidR="00C42A69" w:rsidRDefault="00C56D02">
            <w:pPr>
              <w:pStyle w:val="naiskr"/>
              <w:numPr>
                <w:ilvl w:val="0"/>
                <w:numId w:val="28"/>
              </w:numPr>
              <w:spacing w:before="40" w:beforeAutospacing="0" w:after="40" w:afterAutospacing="0"/>
              <w:ind w:right="57"/>
              <w:jc w:val="both"/>
            </w:pPr>
            <w:r w:rsidRPr="00142096">
              <w:t xml:space="preserve"> </w:t>
            </w:r>
            <w:r w:rsidRPr="00142096">
              <w:rPr>
                <w:lang w:eastAsia="en-US"/>
              </w:rPr>
              <w:t xml:space="preserve">vispārējie </w:t>
            </w:r>
            <w:bookmarkStart w:id="12" w:name="visparejie_pasakumi_9241"/>
            <w:bookmarkEnd w:id="12"/>
            <w:r w:rsidRPr="00142096">
              <w:rPr>
                <w:lang w:eastAsia="en-US"/>
              </w:rPr>
              <w:t>sabiedrības veselības veicināšanas pasākumi</w:t>
            </w:r>
            <w:r w:rsidR="00757E17">
              <w:rPr>
                <w:lang w:eastAsia="en-US"/>
              </w:rPr>
              <w:t xml:space="preserve"> (noteikumu projekta </w:t>
            </w:r>
            <w:r w:rsidR="00FD4885">
              <w:rPr>
                <w:lang w:eastAsia="en-US"/>
              </w:rPr>
              <w:t>2</w:t>
            </w:r>
            <w:r w:rsidR="00DE0119">
              <w:rPr>
                <w:lang w:eastAsia="en-US"/>
              </w:rPr>
              <w:t>6</w:t>
            </w:r>
            <w:r w:rsidR="00FD4885">
              <w:rPr>
                <w:lang w:eastAsia="en-US"/>
              </w:rPr>
              <w:t>.</w:t>
            </w:r>
            <w:r w:rsidR="00757E17">
              <w:rPr>
                <w:lang w:eastAsia="en-US"/>
              </w:rPr>
              <w:t>punkts);</w:t>
            </w:r>
          </w:p>
          <w:p w:rsidR="00C42A69" w:rsidRDefault="00C56D02">
            <w:pPr>
              <w:pStyle w:val="naiskr"/>
              <w:numPr>
                <w:ilvl w:val="0"/>
                <w:numId w:val="28"/>
              </w:numPr>
              <w:spacing w:before="40" w:beforeAutospacing="0" w:after="40" w:afterAutospacing="0"/>
              <w:ind w:right="57"/>
              <w:jc w:val="both"/>
            </w:pPr>
            <w:r w:rsidRPr="00142096">
              <w:rPr>
                <w:lang w:eastAsia="en-US"/>
              </w:rPr>
              <w:t>nacionāla mēroga veselības veicināšanas pasākumi mērķa grupām un</w:t>
            </w:r>
            <w:r w:rsidRPr="00142096">
              <w:t xml:space="preserve"> vietējai sabiedrībai</w:t>
            </w:r>
            <w:r w:rsidR="00FD4885">
              <w:t xml:space="preserve"> </w:t>
            </w:r>
            <w:r w:rsidR="00FD4885">
              <w:rPr>
                <w:lang w:eastAsia="en-US"/>
              </w:rPr>
              <w:t>(noteikumu projekta 2</w:t>
            </w:r>
            <w:r w:rsidR="00DE0119">
              <w:rPr>
                <w:lang w:eastAsia="en-US"/>
              </w:rPr>
              <w:t>7</w:t>
            </w:r>
            <w:r w:rsidR="00FD4885">
              <w:rPr>
                <w:lang w:eastAsia="en-US"/>
              </w:rPr>
              <w:t>.punkts);</w:t>
            </w:r>
          </w:p>
          <w:p w:rsidR="00C42A69" w:rsidRDefault="00FD4885">
            <w:pPr>
              <w:pStyle w:val="naiskr"/>
              <w:numPr>
                <w:ilvl w:val="0"/>
                <w:numId w:val="28"/>
              </w:numPr>
              <w:spacing w:before="40" w:beforeAutospacing="0" w:after="40" w:afterAutospacing="0"/>
              <w:ind w:right="57"/>
              <w:jc w:val="both"/>
            </w:pPr>
            <w:r w:rsidRPr="00142096">
              <w:t xml:space="preserve">sabiedrības veselības pētījumi </w:t>
            </w:r>
            <w:r>
              <w:t>(</w:t>
            </w:r>
            <w:r>
              <w:rPr>
                <w:lang w:eastAsia="en-US"/>
              </w:rPr>
              <w:t xml:space="preserve">noteikumu projekta </w:t>
            </w:r>
            <w:r>
              <w:t>2</w:t>
            </w:r>
            <w:r w:rsidR="00DE0119">
              <w:t>8</w:t>
            </w:r>
            <w:r>
              <w:t>.1.2.apakšpunkts);</w:t>
            </w:r>
          </w:p>
          <w:p w:rsidR="00C42A69" w:rsidRDefault="00FD4885">
            <w:pPr>
              <w:pStyle w:val="naiskr"/>
              <w:numPr>
                <w:ilvl w:val="0"/>
                <w:numId w:val="28"/>
              </w:numPr>
              <w:spacing w:before="40" w:beforeAutospacing="0" w:after="40" w:afterAutospacing="0"/>
              <w:ind w:right="57"/>
              <w:jc w:val="both"/>
            </w:pPr>
            <w:r w:rsidRPr="00142096">
              <w:t>veselības veicināšanas un slimību profilakses uzraudzība</w:t>
            </w:r>
            <w:r>
              <w:t xml:space="preserve"> (</w:t>
            </w:r>
            <w:r>
              <w:rPr>
                <w:lang w:eastAsia="en-US"/>
              </w:rPr>
              <w:t xml:space="preserve">noteikumu projekta </w:t>
            </w:r>
            <w:r w:rsidR="00DE0119">
              <w:t>29</w:t>
            </w:r>
            <w:r>
              <w:t xml:space="preserve">.2. un </w:t>
            </w:r>
            <w:r w:rsidR="00DE0119">
              <w:t>29</w:t>
            </w:r>
            <w:r>
              <w:t>.3.apakšpunkts);</w:t>
            </w:r>
          </w:p>
          <w:p w:rsidR="00C42A69" w:rsidRDefault="00C077F6">
            <w:pPr>
              <w:pStyle w:val="naiskr"/>
              <w:numPr>
                <w:ilvl w:val="0"/>
                <w:numId w:val="28"/>
              </w:numPr>
              <w:spacing w:before="40" w:beforeAutospacing="0" w:after="40" w:afterAutospacing="0"/>
              <w:ind w:right="57"/>
              <w:jc w:val="both"/>
            </w:pPr>
            <w:r w:rsidRPr="00C077F6">
              <w:t>informācijas un publicitātes pasākumu nodrošināšana (</w:t>
            </w:r>
            <w:r w:rsidR="00FD4885">
              <w:rPr>
                <w:lang w:eastAsia="en-US"/>
              </w:rPr>
              <w:t xml:space="preserve">noteikumu projekta </w:t>
            </w:r>
            <w:r w:rsidR="00FD4885">
              <w:t>3</w:t>
            </w:r>
            <w:r w:rsidR="00DE0119">
              <w:t>0</w:t>
            </w:r>
            <w:r w:rsidR="00FD4885">
              <w:t>.punkts)</w:t>
            </w:r>
          </w:p>
          <w:p w:rsidR="00FD4885" w:rsidRDefault="00B1330A" w:rsidP="00C56D02">
            <w:pPr>
              <w:pStyle w:val="naiskr"/>
              <w:spacing w:before="40" w:beforeAutospacing="0" w:after="40" w:afterAutospacing="0"/>
              <w:ind w:left="57" w:right="57" w:firstLine="284"/>
              <w:jc w:val="both"/>
              <w:rPr>
                <w:rFonts w:eastAsiaTheme="minorEastAsia"/>
                <w:bCs/>
                <w:spacing w:val="-2"/>
              </w:rPr>
            </w:pPr>
            <w:r w:rsidRPr="00F767F6">
              <w:rPr>
                <w:rFonts w:eastAsiaTheme="minorEastAsia"/>
                <w:bCs/>
                <w:spacing w:val="-2"/>
              </w:rPr>
              <w:t>9.2.4.2.</w:t>
            </w:r>
            <w:r w:rsidRPr="00EE16A4">
              <w:t>pasākuma</w:t>
            </w:r>
            <w:r w:rsidRPr="00F767F6">
              <w:rPr>
                <w:rFonts w:eastAsiaTheme="minorEastAsia"/>
                <w:bCs/>
                <w:spacing w:val="-2"/>
              </w:rPr>
              <w:t xml:space="preserve"> ietvaros ir paredzētas</w:t>
            </w:r>
            <w:r w:rsidR="00FD4885">
              <w:rPr>
                <w:rFonts w:eastAsiaTheme="minorEastAsia"/>
                <w:bCs/>
                <w:spacing w:val="-2"/>
              </w:rPr>
              <w:t>:</w:t>
            </w:r>
          </w:p>
          <w:p w:rsidR="00FD4885" w:rsidRPr="00757E17" w:rsidRDefault="00FD4885" w:rsidP="00FD4885">
            <w:pPr>
              <w:pStyle w:val="naiskr"/>
              <w:spacing w:before="40" w:beforeAutospacing="0" w:after="40" w:afterAutospacing="0"/>
              <w:ind w:left="57" w:right="57" w:firstLine="284"/>
              <w:jc w:val="both"/>
              <w:rPr>
                <w:rFonts w:eastAsiaTheme="minorEastAsia"/>
                <w:b/>
                <w:bCs/>
                <w:spacing w:val="-2"/>
                <w:u w:val="single"/>
              </w:rPr>
            </w:pPr>
            <w:r w:rsidRPr="00757E17">
              <w:t xml:space="preserve"> projekta tiešās attiecināmās personāla atlīdzības izmaksas</w:t>
            </w:r>
            <w:r>
              <w:t>, t.sk.</w:t>
            </w:r>
            <w:r w:rsidRPr="00757E17">
              <w:t>:</w:t>
            </w:r>
          </w:p>
          <w:p w:rsidR="00FC2EFF" w:rsidRDefault="00C56D02" w:rsidP="00FC2EFF">
            <w:pPr>
              <w:pStyle w:val="naiskr"/>
              <w:numPr>
                <w:ilvl w:val="0"/>
                <w:numId w:val="29"/>
              </w:numPr>
              <w:spacing w:before="40" w:beforeAutospacing="0" w:after="40" w:afterAutospacing="0"/>
              <w:ind w:right="57"/>
              <w:jc w:val="both"/>
              <w:rPr>
                <w:rFonts w:eastAsiaTheme="minorEastAsia"/>
                <w:bCs/>
                <w:spacing w:val="-2"/>
              </w:rPr>
            </w:pPr>
            <w:r w:rsidRPr="00F767F6">
              <w:rPr>
                <w:rFonts w:eastAsiaTheme="minorEastAsia"/>
                <w:bCs/>
                <w:spacing w:val="-2"/>
              </w:rPr>
              <w:t>projekta vadības izmaksas, kas nepārsniedz 5% no pasākumam pieejamā finansējuma</w:t>
            </w:r>
            <w:r w:rsidR="00FD4885">
              <w:rPr>
                <w:rFonts w:eastAsiaTheme="minorEastAsia"/>
                <w:bCs/>
                <w:spacing w:val="-2"/>
              </w:rPr>
              <w:t xml:space="preserve"> </w:t>
            </w:r>
            <w:r w:rsidR="00FD4885">
              <w:t>(</w:t>
            </w:r>
            <w:r w:rsidR="00FD4885">
              <w:rPr>
                <w:lang w:eastAsia="en-US"/>
              </w:rPr>
              <w:t xml:space="preserve">noteikumu projekta </w:t>
            </w:r>
            <w:r w:rsidR="00FD4885">
              <w:t>3</w:t>
            </w:r>
            <w:r w:rsidR="00DE0119">
              <w:t>5</w:t>
            </w:r>
            <w:r w:rsidR="00FD4885">
              <w:t>.punkts)</w:t>
            </w:r>
            <w:r w:rsidRPr="00F767F6">
              <w:rPr>
                <w:rFonts w:eastAsiaTheme="minorEastAsia"/>
                <w:bCs/>
                <w:spacing w:val="-2"/>
              </w:rPr>
              <w:t xml:space="preserve">, </w:t>
            </w:r>
          </w:p>
          <w:p w:rsidR="00FC2EFF" w:rsidRPr="00FC2EFF" w:rsidRDefault="00C56D02" w:rsidP="00FC2EFF">
            <w:pPr>
              <w:pStyle w:val="naiskr"/>
              <w:numPr>
                <w:ilvl w:val="0"/>
                <w:numId w:val="29"/>
              </w:numPr>
              <w:spacing w:before="40" w:beforeAutospacing="0" w:after="40" w:afterAutospacing="0"/>
              <w:ind w:right="57"/>
              <w:jc w:val="both"/>
              <w:rPr>
                <w:rFonts w:eastAsiaTheme="minorEastAsia"/>
                <w:bCs/>
                <w:spacing w:val="-2"/>
              </w:rPr>
            </w:pPr>
            <w:r w:rsidRPr="00FC2EFF">
              <w:rPr>
                <w:rFonts w:eastAsiaTheme="minorEastAsia"/>
                <w:bCs/>
                <w:spacing w:val="-2"/>
              </w:rPr>
              <w:t>projekta īstenošanas personāla izmaksas, kas nepārsniedz 2% no pasākumam pieejamā finansējuma</w:t>
            </w:r>
            <w:r w:rsidR="00FD4885" w:rsidRPr="00FC2EFF">
              <w:rPr>
                <w:rFonts w:eastAsiaTheme="minorEastAsia"/>
                <w:bCs/>
                <w:spacing w:val="-2"/>
              </w:rPr>
              <w:t xml:space="preserve"> </w:t>
            </w:r>
            <w:r w:rsidR="00FD4885">
              <w:t>(</w:t>
            </w:r>
            <w:r w:rsidR="00FD4885">
              <w:rPr>
                <w:lang w:eastAsia="en-US"/>
              </w:rPr>
              <w:t xml:space="preserve">noteikumu projekta </w:t>
            </w:r>
            <w:r w:rsidR="00FD4885">
              <w:t>3</w:t>
            </w:r>
            <w:r w:rsidR="00DE0119">
              <w:t>6</w:t>
            </w:r>
            <w:r w:rsidR="00FD4885">
              <w:t>.punkts)</w:t>
            </w:r>
            <w:r w:rsidRPr="00FC2EFF">
              <w:rPr>
                <w:rFonts w:eastAsiaTheme="minorEastAsia"/>
                <w:bCs/>
                <w:spacing w:val="-2"/>
              </w:rPr>
              <w:t xml:space="preserve">.  </w:t>
            </w:r>
            <w:r w:rsidR="00FD4885" w:rsidRPr="00757E17">
              <w:t xml:space="preserve"> </w:t>
            </w:r>
          </w:p>
          <w:p w:rsidR="00FD4885" w:rsidRPr="00FC2EFF" w:rsidRDefault="00FD4885" w:rsidP="00FC2EFF">
            <w:pPr>
              <w:pStyle w:val="naiskr"/>
              <w:spacing w:before="40" w:beforeAutospacing="0" w:after="40" w:afterAutospacing="0"/>
              <w:ind w:left="398" w:right="57"/>
              <w:jc w:val="both"/>
              <w:rPr>
                <w:rFonts w:eastAsiaTheme="minorEastAsia"/>
                <w:bCs/>
                <w:spacing w:val="-2"/>
              </w:rPr>
            </w:pPr>
            <w:r w:rsidRPr="00757E17">
              <w:t>pārējās tiešās attiecināmās īstenošanas izmaksas</w:t>
            </w:r>
            <w:r>
              <w:t xml:space="preserve">, </w:t>
            </w:r>
            <w:r w:rsidRPr="00FC2EFF">
              <w:rPr>
                <w:b/>
              </w:rPr>
              <w:t>kas atbalstāmas tikai ārpakalpojumā, ievērojot publisko iepirkumu jomu regulējošos normatīvos aktu</w:t>
            </w:r>
            <w:r w:rsidRPr="00757E17">
              <w:t>s, t.sk.:</w:t>
            </w:r>
          </w:p>
          <w:p w:rsidR="00C42A69" w:rsidRDefault="00C56D02">
            <w:pPr>
              <w:pStyle w:val="naiskr"/>
              <w:numPr>
                <w:ilvl w:val="0"/>
                <w:numId w:val="29"/>
              </w:numPr>
              <w:spacing w:before="40" w:beforeAutospacing="0" w:after="40" w:afterAutospacing="0"/>
              <w:ind w:right="57"/>
              <w:jc w:val="both"/>
              <w:rPr>
                <w:rFonts w:eastAsiaTheme="minorEastAsia"/>
                <w:bCs/>
                <w:spacing w:val="-2"/>
              </w:rPr>
            </w:pPr>
            <w:r w:rsidRPr="00142096">
              <w:rPr>
                <w:rFonts w:eastAsiaTheme="minorEastAsia"/>
                <w:bCs/>
                <w:spacing w:val="-2"/>
              </w:rPr>
              <w:t xml:space="preserve">slimību </w:t>
            </w:r>
            <w:bookmarkStart w:id="13" w:name="profilake_9242"/>
            <w:bookmarkEnd w:id="13"/>
            <w:r w:rsidRPr="00142096">
              <w:rPr>
                <w:rFonts w:eastAsiaTheme="minorEastAsia"/>
                <w:bCs/>
                <w:spacing w:val="-2"/>
              </w:rPr>
              <w:t xml:space="preserve">profilakses pasākumi </w:t>
            </w:r>
            <w:r w:rsidR="006A14BD">
              <w:rPr>
                <w:rFonts w:eastAsiaTheme="minorEastAsia"/>
                <w:bCs/>
                <w:spacing w:val="-2"/>
              </w:rPr>
              <w:t xml:space="preserve">mērķa grupām un </w:t>
            </w:r>
            <w:r w:rsidRPr="00142096">
              <w:rPr>
                <w:rFonts w:eastAsiaTheme="minorEastAsia"/>
                <w:bCs/>
                <w:spacing w:val="-2"/>
              </w:rPr>
              <w:t>vietējai sabiedrībai</w:t>
            </w:r>
            <w:r w:rsidR="00FD4885">
              <w:rPr>
                <w:rFonts w:eastAsiaTheme="minorEastAsia"/>
                <w:bCs/>
                <w:spacing w:val="-2"/>
              </w:rPr>
              <w:t xml:space="preserve"> </w:t>
            </w:r>
            <w:r w:rsidR="00FD4885" w:rsidRPr="00FD4885">
              <w:t>(</w:t>
            </w:r>
            <w:r w:rsidR="00FD4885">
              <w:rPr>
                <w:lang w:eastAsia="en-US"/>
              </w:rPr>
              <w:t xml:space="preserve">noteikumu projekta </w:t>
            </w:r>
            <w:r w:rsidR="00FD4885">
              <w:t>3</w:t>
            </w:r>
            <w:r w:rsidR="00DE0119">
              <w:t>7</w:t>
            </w:r>
            <w:r w:rsidR="00FD4885">
              <w:t>.punkts)</w:t>
            </w:r>
            <w:r w:rsidR="00FD4885">
              <w:rPr>
                <w:rFonts w:eastAsiaTheme="minorEastAsia"/>
                <w:bCs/>
                <w:spacing w:val="-2"/>
              </w:rPr>
              <w:t>;</w:t>
            </w:r>
          </w:p>
          <w:p w:rsidR="00C42A69" w:rsidRDefault="00C56D02">
            <w:pPr>
              <w:pStyle w:val="naiskr"/>
              <w:numPr>
                <w:ilvl w:val="0"/>
                <w:numId w:val="29"/>
              </w:numPr>
              <w:spacing w:before="40" w:beforeAutospacing="0" w:after="40" w:afterAutospacing="0"/>
              <w:ind w:right="57"/>
              <w:jc w:val="both"/>
              <w:rPr>
                <w:rFonts w:eastAsiaTheme="minorEastAsia"/>
                <w:bCs/>
                <w:spacing w:val="-2"/>
              </w:rPr>
            </w:pPr>
            <w:r w:rsidRPr="00142096">
              <w:rPr>
                <w:rFonts w:eastAsiaTheme="minorEastAsia"/>
                <w:bCs/>
                <w:spacing w:val="-2"/>
              </w:rPr>
              <w:t xml:space="preserve">veselības </w:t>
            </w:r>
            <w:bookmarkStart w:id="14" w:name="vietejie_pasakumi_9242"/>
            <w:bookmarkEnd w:id="14"/>
            <w:r w:rsidRPr="00142096">
              <w:rPr>
                <w:rFonts w:eastAsiaTheme="minorEastAsia"/>
                <w:bCs/>
                <w:spacing w:val="-2"/>
              </w:rPr>
              <w:t>veicināšanas pasākumi mērķa grupām un vietējai sabiedrībai</w:t>
            </w:r>
            <w:r w:rsidR="00FD4885">
              <w:rPr>
                <w:rFonts w:eastAsiaTheme="minorEastAsia"/>
                <w:bCs/>
                <w:spacing w:val="-2"/>
              </w:rPr>
              <w:t xml:space="preserve"> </w:t>
            </w:r>
            <w:r w:rsidR="00FD4885" w:rsidRPr="00FD4885">
              <w:t>(</w:t>
            </w:r>
            <w:r w:rsidR="00FD4885">
              <w:rPr>
                <w:lang w:eastAsia="en-US"/>
              </w:rPr>
              <w:t xml:space="preserve">noteikumu projekta </w:t>
            </w:r>
            <w:r w:rsidR="00FD4885">
              <w:t>3</w:t>
            </w:r>
            <w:r w:rsidR="00DE0119">
              <w:t>8</w:t>
            </w:r>
            <w:r w:rsidR="00FD4885">
              <w:t>.punkts)</w:t>
            </w:r>
            <w:r w:rsidR="00FD4885">
              <w:rPr>
                <w:rFonts w:eastAsiaTheme="minorEastAsia"/>
                <w:bCs/>
                <w:spacing w:val="-2"/>
              </w:rPr>
              <w:t>;</w:t>
            </w:r>
          </w:p>
          <w:p w:rsidR="00C42A69" w:rsidRDefault="00FD4885">
            <w:pPr>
              <w:pStyle w:val="naiskr"/>
              <w:numPr>
                <w:ilvl w:val="0"/>
                <w:numId w:val="29"/>
              </w:numPr>
              <w:spacing w:before="40" w:beforeAutospacing="0" w:after="40" w:afterAutospacing="0"/>
              <w:ind w:right="57"/>
              <w:jc w:val="both"/>
              <w:rPr>
                <w:rFonts w:eastAsiaTheme="minorEastAsia"/>
                <w:bCs/>
                <w:spacing w:val="-2"/>
              </w:rPr>
            </w:pPr>
            <w:r w:rsidRPr="00FD4885">
              <w:t>informācijas un publicitātes pasākumu nodrošināšana (</w:t>
            </w:r>
            <w:r>
              <w:rPr>
                <w:lang w:eastAsia="en-US"/>
              </w:rPr>
              <w:t xml:space="preserve">noteikumu projekta </w:t>
            </w:r>
            <w:r w:rsidR="00DE0119">
              <w:t>39</w:t>
            </w:r>
            <w:r>
              <w:t>.punkts).</w:t>
            </w:r>
          </w:p>
          <w:p w:rsidR="00C56D02" w:rsidRPr="00142096" w:rsidRDefault="00C56D02" w:rsidP="00C56D02">
            <w:pPr>
              <w:pStyle w:val="naiskr"/>
              <w:spacing w:before="40" w:beforeAutospacing="0" w:after="40" w:afterAutospacing="0"/>
              <w:ind w:left="57" w:right="57" w:firstLine="284"/>
              <w:jc w:val="both"/>
              <w:rPr>
                <w:rFonts w:eastAsiaTheme="minorEastAsia"/>
                <w:bCs/>
                <w:spacing w:val="-2"/>
              </w:rPr>
            </w:pPr>
            <w:r w:rsidRPr="00F767F6">
              <w:rPr>
                <w:rFonts w:eastAsiaTheme="minorEastAsia"/>
                <w:bCs/>
                <w:spacing w:val="-2"/>
              </w:rPr>
              <w:t>9.2.4.1.pasākuma un 9.2.4.2.pasākuma p</w:t>
            </w:r>
            <w:r w:rsidR="00EE16A4">
              <w:rPr>
                <w:rFonts w:eastAsiaTheme="minorEastAsia"/>
                <w:bCs/>
                <w:spacing w:val="-2"/>
              </w:rPr>
              <w:t>rojekta vadības izmaksu apjoma ierobežojums noteikts</w:t>
            </w:r>
            <w:r w:rsidRPr="00142096">
              <w:rPr>
                <w:rFonts w:eastAsiaTheme="minorEastAsia"/>
                <w:bCs/>
                <w:spacing w:val="-2"/>
              </w:rPr>
              <w:t>, balstoties uz pieredzi ES fondu 2007.</w:t>
            </w:r>
            <w:r w:rsidR="00EE16A4">
              <w:rPr>
                <w:rFonts w:eastAsiaTheme="minorEastAsia"/>
                <w:bCs/>
                <w:spacing w:val="-2"/>
              </w:rPr>
              <w:t>-</w:t>
            </w:r>
            <w:r w:rsidRPr="00142096">
              <w:rPr>
                <w:rFonts w:eastAsiaTheme="minorEastAsia"/>
                <w:bCs/>
                <w:spacing w:val="-2"/>
              </w:rPr>
              <w:t xml:space="preserve">2013.gada plānošanas perioda </w:t>
            </w:r>
            <w:r w:rsidR="00EE16A4" w:rsidRPr="00EE16A4">
              <w:rPr>
                <w:rFonts w:eastAsiaTheme="minorEastAsia"/>
                <w:bCs/>
                <w:spacing w:val="-2"/>
              </w:rPr>
              <w:t>1.3.2.3.aktivitātē "</w:t>
            </w:r>
            <w:r w:rsidR="00EE16A4" w:rsidRPr="00EE16A4">
              <w:rPr>
                <w:rFonts w:eastAsiaTheme="minorEastAsia"/>
                <w:bCs/>
                <w:i/>
                <w:iCs/>
                <w:spacing w:val="-2"/>
              </w:rPr>
              <w:t>Veselības aprūpes un veicināšanas procesā iesaistīto institūciju personāla kompetences, prasmju un iemaņu līmeņa paaugstināšana</w:t>
            </w:r>
            <w:r w:rsidR="00EE16A4" w:rsidRPr="00EE16A4">
              <w:rPr>
                <w:rFonts w:eastAsiaTheme="minorEastAsia"/>
                <w:bCs/>
                <w:spacing w:val="-2"/>
              </w:rPr>
              <w:t>"</w:t>
            </w:r>
            <w:r w:rsidRPr="00142096">
              <w:rPr>
                <w:rFonts w:eastAsiaTheme="minorEastAsia"/>
                <w:bCs/>
                <w:spacing w:val="-2"/>
              </w:rPr>
              <w:t>,</w:t>
            </w:r>
            <w:r w:rsidR="00EE16A4">
              <w:rPr>
                <w:rFonts w:eastAsiaTheme="minorEastAsia"/>
                <w:bCs/>
                <w:spacing w:val="-2"/>
              </w:rPr>
              <w:t xml:space="preserve"> kur administrēšanas izmaksas tika ierobežotas līdz pieciem procentiem no projekta izmaksām. 9.2.4.1.pasākuma projekta vadības nodrošināšanas izmaksas palielinātas līdz septiņiem procentiem, ņemot vērā 9.2.4.1.pasākuma ieviešanas modeli, kas paredz pl</w:t>
            </w:r>
            <w:r w:rsidR="00FC2EFF">
              <w:rPr>
                <w:rFonts w:eastAsiaTheme="minorEastAsia"/>
                <w:bCs/>
                <w:spacing w:val="-2"/>
              </w:rPr>
              <w:t>a</w:t>
            </w:r>
            <w:r w:rsidR="00EE16A4">
              <w:rPr>
                <w:rFonts w:eastAsiaTheme="minorEastAsia"/>
                <w:bCs/>
                <w:spacing w:val="-2"/>
              </w:rPr>
              <w:t>šu sadarbības partneru iesaisti</w:t>
            </w:r>
            <w:r w:rsidR="0013287B" w:rsidRPr="00142096">
              <w:rPr>
                <w:rFonts w:eastAsiaTheme="minorEastAsia"/>
                <w:bCs/>
                <w:spacing w:val="-2"/>
              </w:rPr>
              <w:t>.</w:t>
            </w:r>
            <w:r w:rsidR="00EE16A4">
              <w:rPr>
                <w:rFonts w:eastAsiaTheme="minorEastAsia"/>
                <w:bCs/>
                <w:spacing w:val="-2"/>
              </w:rPr>
              <w:t xml:space="preserve"> Jāņem vērā arī ārpakalpojumu līgumu skaitu, kas veselības veicināšanas un slimību profilakses pasākumu gadījumā plānots lielāks nekā </w:t>
            </w:r>
            <w:r w:rsidR="00EE16A4">
              <w:rPr>
                <w:rFonts w:eastAsiaTheme="minorEastAsia"/>
                <w:bCs/>
                <w:spacing w:val="-2"/>
              </w:rPr>
              <w:lastRenderedPageBreak/>
              <w:t>tālākizglītības pasākumu gadījumā.</w:t>
            </w:r>
          </w:p>
          <w:p w:rsidR="00AF5D85" w:rsidRPr="00DA355C" w:rsidRDefault="00AF5D85" w:rsidP="00C1591C">
            <w:pPr>
              <w:pStyle w:val="naiskr"/>
              <w:spacing w:before="40" w:beforeAutospacing="0" w:after="40" w:afterAutospacing="0"/>
              <w:ind w:left="57" w:right="57" w:firstLine="284"/>
              <w:jc w:val="both"/>
              <w:rPr>
                <w:lang w:eastAsia="en-US"/>
              </w:rPr>
            </w:pPr>
            <w:r w:rsidRPr="00F767F6">
              <w:rPr>
                <w:rFonts w:eastAsiaTheme="minorEastAsia"/>
                <w:bCs/>
                <w:spacing w:val="-2"/>
              </w:rPr>
              <w:t>9.2.4.1.pasākuma un 9.2.4.2.pasākuma atbalstāmo darbību</w:t>
            </w:r>
            <w:r w:rsidR="00D43D08" w:rsidRPr="00F767F6">
              <w:rPr>
                <w:lang w:eastAsia="en-US"/>
              </w:rPr>
              <w:t xml:space="preserve"> veselības ve</w:t>
            </w:r>
            <w:bookmarkStart w:id="15" w:name="vietejie_pasakumi_9241"/>
            <w:bookmarkEnd w:id="15"/>
            <w:r w:rsidR="00D43D08" w:rsidRPr="00F767F6">
              <w:rPr>
                <w:lang w:eastAsia="en-US"/>
              </w:rPr>
              <w:t xml:space="preserve">icināšanas </w:t>
            </w:r>
            <w:r w:rsidR="008A77D4" w:rsidRPr="00F767F6">
              <w:rPr>
                <w:lang w:eastAsia="en-US"/>
              </w:rPr>
              <w:t xml:space="preserve">un slimības profilakses </w:t>
            </w:r>
            <w:r w:rsidR="00D43D08" w:rsidRPr="00F767F6">
              <w:rPr>
                <w:lang w:eastAsia="en-US"/>
              </w:rPr>
              <w:t xml:space="preserve">pasākumu īstenošanai </w:t>
            </w:r>
            <w:r w:rsidR="00D43D08" w:rsidRPr="00EE16A4">
              <w:rPr>
                <w:rFonts w:eastAsiaTheme="minorEastAsia"/>
                <w:bCs/>
                <w:spacing w:val="-2"/>
              </w:rPr>
              <w:t>ir</w:t>
            </w:r>
            <w:r w:rsidR="00D43D08" w:rsidRPr="00F767F6">
              <w:rPr>
                <w:lang w:eastAsia="en-US"/>
              </w:rPr>
              <w:t xml:space="preserve"> attiecināmas  </w:t>
            </w:r>
            <w:r w:rsidR="00D43D08" w:rsidRPr="00EE16A4">
              <w:rPr>
                <w:bCs/>
                <w:u w:val="single"/>
                <w:lang w:eastAsia="en-US"/>
              </w:rPr>
              <w:t>inventāra</w:t>
            </w:r>
            <w:r w:rsidR="00FC2EFF">
              <w:rPr>
                <w:bCs/>
                <w:u w:val="single"/>
                <w:lang w:eastAsia="en-US"/>
              </w:rPr>
              <w:t xml:space="preserve"> un</w:t>
            </w:r>
            <w:r w:rsidR="008A77D4" w:rsidRPr="00EE16A4">
              <w:rPr>
                <w:bCs/>
                <w:u w:val="single"/>
                <w:lang w:eastAsia="en-US"/>
              </w:rPr>
              <w:t xml:space="preserve"> veselības parametru paškontroles ierīču un aprīkojuma izmaksas</w:t>
            </w:r>
            <w:r w:rsidR="0086681C">
              <w:rPr>
                <w:lang w:eastAsia="en-US"/>
              </w:rPr>
              <w:t xml:space="preserve">, tai skaitā nomas </w:t>
            </w:r>
            <w:r w:rsidR="00D43D08" w:rsidRPr="00F767F6">
              <w:rPr>
                <w:lang w:eastAsia="en-US"/>
              </w:rPr>
              <w:t xml:space="preserve">un darbības nodrošināšanas izmaksas projekta īstenošanas laikā. Atbilstoši </w:t>
            </w:r>
            <w:r w:rsidR="00D43D08" w:rsidRPr="00DA355C">
              <w:rPr>
                <w:lang w:eastAsia="en-US"/>
              </w:rPr>
              <w:t>Ministru kabineta 2009.gada 15.decembra noteikumiem Nr.1486 “Kārtība, kādā budžeta iestādes kārto grāmatvedības uzskaiti”</w:t>
            </w:r>
            <w:r w:rsidRPr="00DA355C">
              <w:rPr>
                <w:lang w:eastAsia="en-US"/>
              </w:rPr>
              <w:t xml:space="preserve"> un </w:t>
            </w:r>
            <w:r w:rsidR="00D43D08" w:rsidRPr="00DA355C">
              <w:rPr>
                <w:lang w:eastAsia="en-US"/>
              </w:rPr>
              <w:t xml:space="preserve">Ministru kabineta 2005.gada 27.decembra noteikumiem Nr.1031 „Noteikumi par budžetu izdevumu klasifikāciju atbilstoši ekonomiskajām kategorijām” par </w:t>
            </w:r>
            <w:r w:rsidR="00C55928" w:rsidRPr="00DA355C">
              <w:rPr>
                <w:lang w:eastAsia="en-US"/>
              </w:rPr>
              <w:t xml:space="preserve">inventāru </w:t>
            </w:r>
            <w:r w:rsidR="00944623" w:rsidRPr="00DA355C">
              <w:rPr>
                <w:lang w:eastAsia="en-US"/>
              </w:rPr>
              <w:t>i</w:t>
            </w:r>
            <w:r w:rsidR="00C55928" w:rsidRPr="00DA355C">
              <w:rPr>
                <w:lang w:eastAsia="en-US"/>
              </w:rPr>
              <w:t xml:space="preserve">zdevumiem uzskatāmi </w:t>
            </w:r>
            <w:r w:rsidR="00EE16A4">
              <w:rPr>
                <w:lang w:eastAsia="en-US"/>
              </w:rPr>
              <w:t>–</w:t>
            </w:r>
            <w:r w:rsidR="00C55928" w:rsidRPr="00DA355C">
              <w:rPr>
                <w:lang w:eastAsia="en-US"/>
              </w:rPr>
              <w:t xml:space="preserve"> </w:t>
            </w:r>
            <w:r w:rsidR="00D43D08" w:rsidRPr="00DA355C">
              <w:rPr>
                <w:lang w:eastAsia="en-US"/>
              </w:rPr>
              <w:t xml:space="preserve">iestādes darbības nodrošināšanai nepieciešamā inventāra un to priekšmetu, kuru kalpošanas laiks ir mazāks par vienu gadu, neatkarīgi no to vērtības, kā arī kuru vērtība ir </w:t>
            </w:r>
            <w:r w:rsidR="00A73D10">
              <w:rPr>
                <w:lang w:eastAsia="en-US"/>
              </w:rPr>
              <w:t>mazāka par</w:t>
            </w:r>
            <w:r w:rsidR="00A73D10" w:rsidRPr="00DA355C">
              <w:rPr>
                <w:lang w:eastAsia="en-US"/>
              </w:rPr>
              <w:t xml:space="preserve"> </w:t>
            </w:r>
            <w:r w:rsidR="00D43D08" w:rsidRPr="00DA355C">
              <w:rPr>
                <w:lang w:eastAsia="en-US"/>
              </w:rPr>
              <w:t xml:space="preserve">213 </w:t>
            </w:r>
            <w:proofErr w:type="spellStart"/>
            <w:r w:rsidR="00D43D08" w:rsidRPr="00146A34">
              <w:rPr>
                <w:i/>
                <w:lang w:eastAsia="en-US"/>
              </w:rPr>
              <w:t>euro</w:t>
            </w:r>
            <w:proofErr w:type="spellEnd"/>
            <w:r w:rsidR="00D43D08" w:rsidRPr="00DA355C">
              <w:rPr>
                <w:lang w:eastAsia="en-US"/>
              </w:rPr>
              <w:t xml:space="preserve"> par vienību, ieskaitot ar pirkuma piegādi saistītos izdevumus, neatkarīgi no to kalpošanas ilguma, iegādes un norakstīšanas izdevumi</w:t>
            </w:r>
            <w:r w:rsidR="00C55928" w:rsidRPr="00DA355C">
              <w:rPr>
                <w:lang w:eastAsia="en-US"/>
              </w:rPr>
              <w:t>.</w:t>
            </w:r>
            <w:r w:rsidR="00EB3AF3" w:rsidRPr="00DA355C">
              <w:rPr>
                <w:lang w:eastAsia="en-US"/>
              </w:rPr>
              <w:t xml:space="preserve"> Līdz ar to ir attiecināmas </w:t>
            </w:r>
            <w:r w:rsidR="00DA355C">
              <w:rPr>
                <w:lang w:eastAsia="en-US"/>
              </w:rPr>
              <w:t>arī</w:t>
            </w:r>
            <w:r w:rsidR="00DA355C" w:rsidRPr="00DA355C">
              <w:rPr>
                <w:lang w:eastAsia="en-US"/>
              </w:rPr>
              <w:t xml:space="preserve"> darba materiālu un inventāra, veselības parametru paškontroles ierīču un aprīkojuma </w:t>
            </w:r>
            <w:r w:rsidR="00EB3AF3" w:rsidRPr="00DA355C">
              <w:rPr>
                <w:lang w:eastAsia="en-US"/>
              </w:rPr>
              <w:t>iegādes izmaksas</w:t>
            </w:r>
            <w:r w:rsidR="0086681C" w:rsidRPr="00DA355C">
              <w:rPr>
                <w:lang w:eastAsia="en-US"/>
              </w:rPr>
              <w:t xml:space="preserve"> vērtībai </w:t>
            </w:r>
            <w:r w:rsidR="00A73D10">
              <w:rPr>
                <w:lang w:eastAsia="en-US"/>
              </w:rPr>
              <w:t>mazāk par</w:t>
            </w:r>
            <w:r w:rsidR="00A73D10" w:rsidRPr="00DA355C">
              <w:rPr>
                <w:lang w:eastAsia="en-US"/>
              </w:rPr>
              <w:t xml:space="preserve"> </w:t>
            </w:r>
            <w:r w:rsidR="0086681C" w:rsidRPr="00DA355C">
              <w:rPr>
                <w:lang w:eastAsia="en-US"/>
              </w:rPr>
              <w:t xml:space="preserve">213 </w:t>
            </w:r>
            <w:proofErr w:type="spellStart"/>
            <w:r w:rsidR="0086681C" w:rsidRPr="00146A34">
              <w:rPr>
                <w:i/>
                <w:lang w:eastAsia="en-US"/>
              </w:rPr>
              <w:t>euro</w:t>
            </w:r>
            <w:proofErr w:type="spellEnd"/>
            <w:r w:rsidR="00EB3AF3" w:rsidRPr="00DA355C">
              <w:rPr>
                <w:lang w:eastAsia="en-US"/>
              </w:rPr>
              <w:t xml:space="preserve">. Ja </w:t>
            </w:r>
            <w:r w:rsidR="00DA355C" w:rsidRPr="00DA355C">
              <w:rPr>
                <w:lang w:eastAsia="en-US"/>
              </w:rPr>
              <w:t xml:space="preserve"> darba materiālu un </w:t>
            </w:r>
            <w:r w:rsidR="00DA355C" w:rsidRPr="00EE16A4">
              <w:rPr>
                <w:rFonts w:eastAsiaTheme="minorEastAsia"/>
                <w:bCs/>
                <w:spacing w:val="-2"/>
              </w:rPr>
              <w:t>inventāra</w:t>
            </w:r>
            <w:r w:rsidR="00DA355C" w:rsidRPr="00DA355C">
              <w:rPr>
                <w:lang w:eastAsia="en-US"/>
              </w:rPr>
              <w:t xml:space="preserve">, veselības parametru paškontroles ierīču un aprīkojuma </w:t>
            </w:r>
            <w:r w:rsidR="00EB3AF3" w:rsidRPr="00DA355C">
              <w:rPr>
                <w:lang w:eastAsia="en-US"/>
              </w:rPr>
              <w:t xml:space="preserve">izmaksas pārsniedz 213 </w:t>
            </w:r>
            <w:proofErr w:type="spellStart"/>
            <w:r w:rsidR="00D43D08" w:rsidRPr="00146A34">
              <w:rPr>
                <w:i/>
                <w:lang w:eastAsia="en-US"/>
              </w:rPr>
              <w:t>euro</w:t>
            </w:r>
            <w:proofErr w:type="spellEnd"/>
            <w:r w:rsidR="00EB3AF3" w:rsidRPr="00DA355C">
              <w:rPr>
                <w:lang w:eastAsia="en-US"/>
              </w:rPr>
              <w:t xml:space="preserve"> robežvērtību ir atbalstāmas to nomas izmaksas uz projekta īstenošanas laiku.</w:t>
            </w:r>
          </w:p>
          <w:p w:rsidR="00440839" w:rsidRDefault="00D8093A" w:rsidP="00EE16A4">
            <w:pPr>
              <w:pStyle w:val="naiskr"/>
              <w:spacing w:before="40" w:beforeAutospacing="0" w:after="40" w:afterAutospacing="0"/>
              <w:ind w:left="57" w:right="57" w:firstLine="284"/>
              <w:jc w:val="both"/>
              <w:rPr>
                <w:lang w:eastAsia="en-US"/>
              </w:rPr>
            </w:pPr>
            <w:r w:rsidRPr="00F767F6">
              <w:rPr>
                <w:lang w:eastAsia="en-US"/>
              </w:rPr>
              <w:t xml:space="preserve">Ar darbības nodrošināšanas izmaksām projekta īstenošanas laikā </w:t>
            </w:r>
            <w:r w:rsidRPr="00EE16A4">
              <w:rPr>
                <w:rFonts w:eastAsiaTheme="minorEastAsia"/>
                <w:bCs/>
                <w:spacing w:val="-2"/>
              </w:rPr>
              <w:t>saprotot</w:t>
            </w:r>
            <w:r w:rsidRPr="00F767F6">
              <w:rPr>
                <w:lang w:eastAsia="en-US"/>
              </w:rPr>
              <w:t xml:space="preserve"> tādas izmaksas, kas nepieciešamas </w:t>
            </w:r>
            <w:r w:rsidR="00944623" w:rsidRPr="00DA355C">
              <w:rPr>
                <w:lang w:eastAsia="en-US"/>
              </w:rPr>
              <w:t>darba materiālu, inventāra, veselības parametru paškontroles ierīču un aprīkojuma</w:t>
            </w:r>
            <w:r w:rsidR="00944623" w:rsidRPr="00F767F6">
              <w:rPr>
                <w:lang w:eastAsia="en-US"/>
              </w:rPr>
              <w:t xml:space="preserve"> </w:t>
            </w:r>
            <w:r w:rsidRPr="00F767F6">
              <w:rPr>
                <w:lang w:eastAsia="en-US"/>
              </w:rPr>
              <w:t>darbības nodrošināšanai projekta īstenošanas laikā.</w:t>
            </w:r>
          </w:p>
          <w:p w:rsidR="000C6E9B" w:rsidRPr="00440839" w:rsidRDefault="000C6E9B" w:rsidP="00EE16A4">
            <w:pPr>
              <w:pStyle w:val="naiskr"/>
              <w:spacing w:before="40" w:beforeAutospacing="0" w:after="40" w:afterAutospacing="0"/>
              <w:ind w:left="57" w:right="57" w:firstLine="284"/>
              <w:jc w:val="both"/>
              <w:rPr>
                <w:lang w:eastAsia="en-US"/>
              </w:rPr>
            </w:pPr>
            <w:r w:rsidRPr="00440839">
              <w:rPr>
                <w:lang w:eastAsia="en-US"/>
              </w:rPr>
              <w:t xml:space="preserve">SAM </w:t>
            </w:r>
            <w:r w:rsidRPr="00440839">
              <w:rPr>
                <w:rFonts w:eastAsiaTheme="minorEastAsia"/>
              </w:rPr>
              <w:t xml:space="preserve">pasākumu ietvaros nav attiecināmas būvdarbu un </w:t>
            </w:r>
            <w:r w:rsidRPr="00EE16A4">
              <w:rPr>
                <w:rFonts w:eastAsiaTheme="minorEastAsia"/>
                <w:bCs/>
                <w:spacing w:val="-2"/>
              </w:rPr>
              <w:t>piegādes</w:t>
            </w:r>
            <w:r w:rsidRPr="00440839">
              <w:rPr>
                <w:rFonts w:eastAsiaTheme="minorEastAsia"/>
              </w:rPr>
              <w:t xml:space="preserve"> </w:t>
            </w:r>
            <w:r>
              <w:rPr>
                <w:rFonts w:eastAsiaTheme="minorEastAsia"/>
              </w:rPr>
              <w:t>(</w:t>
            </w:r>
            <w:proofErr w:type="spellStart"/>
            <w:r w:rsidRPr="00EE16A4">
              <w:rPr>
                <w:lang w:eastAsia="en-US"/>
              </w:rPr>
              <w:t>pamatlīdzeķlu</w:t>
            </w:r>
            <w:proofErr w:type="spellEnd"/>
            <w:r>
              <w:rPr>
                <w:rFonts w:eastAsiaTheme="minorEastAsia"/>
              </w:rPr>
              <w:t xml:space="preserve"> iegādes) </w:t>
            </w:r>
            <w:r w:rsidRPr="00440839">
              <w:rPr>
                <w:rFonts w:eastAsiaTheme="minorEastAsia"/>
              </w:rPr>
              <w:t xml:space="preserve">izmaksas, izņemot ierīču, darba materiālu un inventāra, </w:t>
            </w:r>
            <w:r w:rsidRPr="00440839">
              <w:t xml:space="preserve">kuru vērtība par vienu vienību </w:t>
            </w:r>
            <w:r w:rsidR="00A73D10">
              <w:t xml:space="preserve">ir mazāka par </w:t>
            </w:r>
            <w:r w:rsidRPr="00440839">
              <w:t xml:space="preserve">213 </w:t>
            </w:r>
            <w:proofErr w:type="spellStart"/>
            <w:r w:rsidRPr="00440839">
              <w:rPr>
                <w:i/>
              </w:rPr>
              <w:t>euro</w:t>
            </w:r>
            <w:proofErr w:type="spellEnd"/>
            <w:r w:rsidRPr="00440839">
              <w:t>, piegādes izmaksas</w:t>
            </w:r>
            <w:r w:rsidRPr="00440839">
              <w:rPr>
                <w:i/>
              </w:rPr>
              <w:t>.</w:t>
            </w:r>
          </w:p>
          <w:p w:rsidR="009D2633" w:rsidRDefault="009D2633" w:rsidP="00EE16A4">
            <w:pPr>
              <w:pStyle w:val="naiskr"/>
              <w:spacing w:before="40" w:beforeAutospacing="0" w:after="40" w:afterAutospacing="0"/>
              <w:ind w:left="57" w:right="57" w:firstLine="284"/>
              <w:jc w:val="both"/>
            </w:pPr>
            <w:r>
              <w:rPr>
                <w:rFonts w:eastAsiaTheme="minorEastAsia"/>
                <w:bCs/>
                <w:spacing w:val="-2"/>
              </w:rPr>
              <w:t xml:space="preserve">9.2.4.1.pasākuma </w:t>
            </w:r>
            <w:r w:rsidRPr="00C55928">
              <w:rPr>
                <w:rFonts w:eastAsiaTheme="minorEastAsia"/>
                <w:bCs/>
                <w:spacing w:val="-2"/>
              </w:rPr>
              <w:t>atbalstām</w:t>
            </w:r>
            <w:r>
              <w:rPr>
                <w:rFonts w:eastAsiaTheme="minorEastAsia"/>
                <w:bCs/>
                <w:spacing w:val="-2"/>
              </w:rPr>
              <w:t>ās</w:t>
            </w:r>
            <w:r w:rsidRPr="00C55928">
              <w:rPr>
                <w:rFonts w:eastAsiaTheme="minorEastAsia"/>
                <w:bCs/>
                <w:spacing w:val="-2"/>
              </w:rPr>
              <w:t xml:space="preserve"> darbīb</w:t>
            </w:r>
            <w:r>
              <w:rPr>
                <w:rFonts w:eastAsiaTheme="minorEastAsia"/>
                <w:bCs/>
                <w:spacing w:val="-2"/>
              </w:rPr>
              <w:t>as ietvaros tiks izstrādāts</w:t>
            </w:r>
            <w:r w:rsidRPr="00C243D7">
              <w:t xml:space="preserve"> </w:t>
            </w:r>
            <w:r w:rsidRPr="00EE16A4">
              <w:rPr>
                <w:rFonts w:eastAsiaTheme="minorEastAsia"/>
                <w:u w:val="single"/>
              </w:rPr>
              <w:t>veselības veicināšanas un slimību profilakses plān</w:t>
            </w:r>
            <w:r w:rsidR="00D47DBC" w:rsidRPr="00EE16A4">
              <w:rPr>
                <w:rFonts w:eastAsiaTheme="minorEastAsia"/>
                <w:u w:val="single"/>
              </w:rPr>
              <w:t>s</w:t>
            </w:r>
            <w:r w:rsidR="00485E89">
              <w:rPr>
                <w:rFonts w:eastAsiaTheme="minorEastAsia"/>
              </w:rPr>
              <w:t>,</w:t>
            </w:r>
            <w:r w:rsidRPr="009D2633">
              <w:rPr>
                <w:rFonts w:eastAsiaTheme="minorEastAsia"/>
              </w:rPr>
              <w:t xml:space="preserve"> </w:t>
            </w:r>
            <w:r w:rsidRPr="00EE16A4">
              <w:t>pamatojoties</w:t>
            </w:r>
            <w:r w:rsidRPr="009D2633">
              <w:rPr>
                <w:rFonts w:eastAsiaTheme="minorEastAsia"/>
              </w:rPr>
              <w:t xml:space="preserve"> uz iedzīvotāju veselību ietekmējošo paradumu, veselības riska faktoru un teritoriālo analīzi, kā arī Sabiedrības veselības pamatnostādnēs 2014.-2020.gadam un Starptautiskās Rekonstrukcijas un attīstības bankas izstrādātajā veselības veicināšanas pārskatā noteikto</w:t>
            </w:r>
            <w:r w:rsidR="00485E89">
              <w:rPr>
                <w:rFonts w:eastAsiaTheme="minorEastAsia"/>
              </w:rPr>
              <w:t>, tiks</w:t>
            </w:r>
            <w:r w:rsidR="00485E89" w:rsidRPr="009D2633">
              <w:rPr>
                <w:rFonts w:eastAsiaTheme="minorEastAsia"/>
              </w:rPr>
              <w:t xml:space="preserve"> izstrādā</w:t>
            </w:r>
            <w:r w:rsidR="00485E89">
              <w:rPr>
                <w:rFonts w:eastAsiaTheme="minorEastAsia"/>
              </w:rPr>
              <w:t>ts</w:t>
            </w:r>
            <w:r w:rsidR="00485E89" w:rsidRPr="009D2633">
              <w:rPr>
                <w:rFonts w:eastAsiaTheme="minorEastAsia"/>
              </w:rPr>
              <w:t xml:space="preserve"> līdz 2017.gada 1.jūlijam</w:t>
            </w:r>
            <w:r w:rsidRPr="009D2633">
              <w:rPr>
                <w:rFonts w:eastAsiaTheme="minorEastAsia"/>
              </w:rPr>
              <w:t xml:space="preserve">, un, ņemot vērā veselības veicināšanas un slimību profilakses uzraudzības ietvaros konstatēto, reizi gadā aktualizē. </w:t>
            </w:r>
          </w:p>
          <w:p w:rsidR="00EE16A4" w:rsidRDefault="004163B4" w:rsidP="00EE16A4">
            <w:pPr>
              <w:pStyle w:val="naiskr"/>
              <w:spacing w:before="40" w:beforeAutospacing="0" w:after="40" w:afterAutospacing="0"/>
              <w:ind w:left="57" w:right="57" w:firstLine="284"/>
              <w:jc w:val="both"/>
              <w:rPr>
                <w:rFonts w:eastAsiaTheme="minorEastAsia"/>
              </w:rPr>
            </w:pPr>
            <w:r w:rsidRPr="00DA355C">
              <w:rPr>
                <w:rFonts w:eastAsiaTheme="minorEastAsia"/>
              </w:rPr>
              <w:t xml:space="preserve">Plāns tiks izstrādāts, lai nodrošinātu visaptverošu, vienotu un </w:t>
            </w:r>
            <w:r w:rsidR="00D543B1" w:rsidRPr="00D543B1">
              <w:rPr>
                <w:rFonts w:eastAsiaTheme="minorEastAsia"/>
              </w:rPr>
              <w:t xml:space="preserve">uz pierādījumiem balstītu </w:t>
            </w:r>
            <w:r w:rsidRPr="00DA355C">
              <w:rPr>
                <w:rFonts w:eastAsiaTheme="minorEastAsia"/>
              </w:rPr>
              <w:t xml:space="preserve"> pieeju veselības veicināšanas </w:t>
            </w:r>
            <w:r w:rsidRPr="00DA355C">
              <w:rPr>
                <w:rFonts w:eastAsiaTheme="minorEastAsia"/>
              </w:rPr>
              <w:lastRenderedPageBreak/>
              <w:t xml:space="preserve">un slimību profilakses nodrošināšanā. Šobrīd veselības veicināšanas un slimību profilakses pasākumi ir jāplāno balstoties uz vairākiem ne vienmēr savstarpēji saistītiem </w:t>
            </w:r>
            <w:r w:rsidRPr="00D543B1">
              <w:rPr>
                <w:rFonts w:eastAsiaTheme="minorEastAsia"/>
              </w:rPr>
              <w:t>dokumentiem</w:t>
            </w:r>
            <w:r w:rsidR="00D543B1" w:rsidRPr="00D543B1">
              <w:rPr>
                <w:rFonts w:eastAsiaTheme="minorEastAsia"/>
              </w:rPr>
              <w:t xml:space="preserve"> ( Sabiedrības veselības pamatnostādnes 2014.-2020.gadam, vadlīnijas pašvaldībām veselības veicināšanā, Slimību profilakses un kontroles centra izstrādātie teritoriju veselības profili)</w:t>
            </w:r>
            <w:r w:rsidRPr="00DA355C">
              <w:rPr>
                <w:rFonts w:eastAsiaTheme="minorEastAsia"/>
              </w:rPr>
              <w:t>, kas pārsvarā tika apstiprināti vēl pirms Starptautiskās Rekonstrukcijas un attīstības bankas izstrādāt</w:t>
            </w:r>
            <w:r w:rsidR="00846370">
              <w:rPr>
                <w:rFonts w:eastAsiaTheme="minorEastAsia"/>
              </w:rPr>
              <w:t xml:space="preserve">ā </w:t>
            </w:r>
            <w:r w:rsidRPr="00DA355C">
              <w:rPr>
                <w:rFonts w:eastAsiaTheme="minorEastAsia"/>
              </w:rPr>
              <w:t>veselības veicināšanas pārskata izstrādes un netika aktualizēti, kā arī minēto dokumentu detalizācija ir nepietiekama augst</w:t>
            </w:r>
            <w:r w:rsidR="00846370">
              <w:rPr>
                <w:rFonts w:eastAsiaTheme="minorEastAsia"/>
              </w:rPr>
              <w:t>a</w:t>
            </w:r>
            <w:r w:rsidRPr="00DA355C">
              <w:rPr>
                <w:rFonts w:eastAsiaTheme="minorEastAsia"/>
              </w:rPr>
              <w:t>s efektivitātes pasākumu plānošanai un īstenošanai. Plāna izstrāde nodrošinās plānošanas ietvaru, sasaistot visus nepieciešamos dokumentu</w:t>
            </w:r>
            <w:r w:rsidR="00846370">
              <w:rPr>
                <w:rFonts w:eastAsiaTheme="minorEastAsia"/>
              </w:rPr>
              <w:t>s</w:t>
            </w:r>
            <w:r w:rsidRPr="00DA355C">
              <w:rPr>
                <w:rFonts w:eastAsiaTheme="minorEastAsia"/>
              </w:rPr>
              <w:t>, aktualizējot izmantoto informāciju un papildinot dokumentos noteikto, tai skaitā:</w:t>
            </w:r>
          </w:p>
          <w:p w:rsidR="004163B4" w:rsidRPr="00EE16A4" w:rsidRDefault="004163B4" w:rsidP="00EE16A4">
            <w:pPr>
              <w:pStyle w:val="ListParagraph"/>
              <w:numPr>
                <w:ilvl w:val="0"/>
                <w:numId w:val="11"/>
              </w:numPr>
              <w:spacing w:after="120"/>
              <w:ind w:left="397" w:right="57" w:firstLine="0"/>
              <w:jc w:val="both"/>
              <w:outlineLvl w:val="0"/>
            </w:pPr>
            <w:r w:rsidRPr="00EE16A4">
              <w:t>vispārīgi aprakstīs plānotos veselības veicināšanas un slimību profilakses pasākumus;</w:t>
            </w:r>
          </w:p>
          <w:p w:rsidR="00EE16A4" w:rsidRPr="00EE16A4" w:rsidRDefault="004163B4" w:rsidP="00EE16A4">
            <w:pPr>
              <w:pStyle w:val="ListParagraph"/>
              <w:numPr>
                <w:ilvl w:val="0"/>
                <w:numId w:val="11"/>
              </w:numPr>
              <w:spacing w:after="120"/>
              <w:ind w:left="397" w:right="57" w:firstLine="0"/>
              <w:jc w:val="both"/>
              <w:outlineLvl w:val="0"/>
              <w:rPr>
                <w:rFonts w:eastAsiaTheme="minorEastAsia"/>
              </w:rPr>
            </w:pPr>
            <w:r w:rsidRPr="00EE16A4">
              <w:t>identificēs, noteiks laika plānojumu un īstenošanas nosacījumus nacionālā līmenī īstenojam</w:t>
            </w:r>
            <w:r w:rsidR="00846370">
              <w:t>aj</w:t>
            </w:r>
            <w:r w:rsidRPr="00EE16A4">
              <w:t>ām veselības veicināšanas iniciatīvām (tai skaitā sabiedrības informēšanas kampa</w:t>
            </w:r>
            <w:r w:rsidR="00EE16A4">
              <w:t>ņām par veselīgu dzīvesveidu);</w:t>
            </w:r>
          </w:p>
          <w:p w:rsidR="00EE16A4" w:rsidRDefault="004163B4" w:rsidP="00EE16A4">
            <w:pPr>
              <w:pStyle w:val="ListParagraph"/>
              <w:numPr>
                <w:ilvl w:val="0"/>
                <w:numId w:val="11"/>
              </w:numPr>
              <w:spacing w:after="120"/>
              <w:ind w:left="397" w:right="57" w:firstLine="0"/>
              <w:jc w:val="both"/>
              <w:outlineLvl w:val="0"/>
              <w:rPr>
                <w:rFonts w:eastAsiaTheme="minorEastAsia"/>
              </w:rPr>
            </w:pPr>
            <w:r w:rsidRPr="00EE16A4">
              <w:t>identificēs un aprakstīs veselības veicināšanas pasākumus mērķa grupām un vietējai sabiedrībai un vietējo slimību profilakses</w:t>
            </w:r>
            <w:r w:rsidRPr="00EE16A4">
              <w:rPr>
                <w:rFonts w:eastAsiaTheme="minorEastAsia"/>
              </w:rPr>
              <w:t xml:space="preserve"> pasākumiem, sniedzot specifiskas rekomendācijas ņemot vērā pasākumu īste</w:t>
            </w:r>
            <w:r w:rsidR="00EE16A4">
              <w:rPr>
                <w:rFonts w:eastAsiaTheme="minorEastAsia"/>
              </w:rPr>
              <w:t>nošanas teritorijas specifiku.</w:t>
            </w:r>
          </w:p>
          <w:p w:rsidR="004163B4" w:rsidRPr="00EE16A4" w:rsidRDefault="004163B4" w:rsidP="00EE16A4">
            <w:pPr>
              <w:pStyle w:val="naiskr"/>
              <w:spacing w:before="40" w:beforeAutospacing="0" w:after="40" w:afterAutospacing="0"/>
              <w:ind w:left="57" w:right="57" w:firstLine="284"/>
              <w:jc w:val="both"/>
              <w:rPr>
                <w:rFonts w:eastAsiaTheme="minorEastAsia"/>
              </w:rPr>
            </w:pPr>
            <w:r w:rsidRPr="00EE16A4">
              <w:rPr>
                <w:rFonts w:eastAsiaTheme="minorEastAsia"/>
              </w:rPr>
              <w:t>Pasākumu īstenošanas nosacījumos varēs noteikt prasības iesaistāma</w:t>
            </w:r>
            <w:r w:rsidR="00846370">
              <w:rPr>
                <w:rFonts w:eastAsiaTheme="minorEastAsia"/>
              </w:rPr>
              <w:t>jam</w:t>
            </w:r>
            <w:r w:rsidRPr="00EE16A4">
              <w:rPr>
                <w:rFonts w:eastAsiaTheme="minorEastAsia"/>
              </w:rPr>
              <w:t xml:space="preserve"> personālam, metodiskajam materiālam un infrastruktūrai, pasākumu mērķa grupu, tās lielumu un uzrunāšanas kanālus, pasākumu izmaksu ierobežojumus, pasākumu savstarpējas sasaistes prasības, pasākumu ilgumu un periodiskumu u.c., tādējādi samazinot neefektīvo pasākumu risku un nodrošinot precīz</w:t>
            </w:r>
            <w:r w:rsidR="00846370">
              <w:rPr>
                <w:rFonts w:eastAsiaTheme="minorEastAsia"/>
              </w:rPr>
              <w:t>a</w:t>
            </w:r>
            <w:r w:rsidRPr="00EE16A4">
              <w:rPr>
                <w:rFonts w:eastAsiaTheme="minorEastAsia"/>
              </w:rPr>
              <w:t xml:space="preserve">s vadlīnijas </w:t>
            </w:r>
            <w:r w:rsidR="00846370">
              <w:rPr>
                <w:rFonts w:eastAsiaTheme="minorEastAsia"/>
              </w:rPr>
              <w:t xml:space="preserve">attiecībā uz </w:t>
            </w:r>
            <w:r w:rsidRPr="00EE16A4">
              <w:rPr>
                <w:rFonts w:eastAsiaTheme="minorEastAsia"/>
              </w:rPr>
              <w:t xml:space="preserve">ne tikai kādus pasākumus var īstenot, bet arī kā tos īstenot efektīvi. </w:t>
            </w:r>
            <w:r w:rsidRPr="00EE16A4">
              <w:rPr>
                <w:rFonts w:eastAsiaTheme="minorEastAsia"/>
              </w:rPr>
              <w:br/>
              <w:t>Plānu paredzēts regulāri aktualizēt, balstoties uz veselības veicināšanas un slimību profilakses pasākumu ieviešanas monitoringa rezultātiem, kas ļaus pārnest pasākumu īstenošanas „labu praksi” un sasniegt vēl augstāku pasākumu efektivitāti.</w:t>
            </w:r>
          </w:p>
          <w:p w:rsidR="00C725BD" w:rsidRDefault="002E0E0E" w:rsidP="00EE16A4">
            <w:pPr>
              <w:pStyle w:val="naiskr"/>
              <w:spacing w:before="40" w:beforeAutospacing="0" w:after="40" w:afterAutospacing="0"/>
              <w:ind w:left="57" w:right="57" w:firstLine="284"/>
              <w:jc w:val="both"/>
              <w:rPr>
                <w:rFonts w:eastAsiaTheme="minorEastAsia"/>
                <w:bCs/>
                <w:spacing w:val="-2"/>
              </w:rPr>
            </w:pPr>
            <w:r>
              <w:rPr>
                <w:rFonts w:eastAsiaTheme="minorEastAsia"/>
                <w:bCs/>
                <w:spacing w:val="-2"/>
              </w:rPr>
              <w:t xml:space="preserve">Gan 9.2.4.1.pasākuma, gan 9.2.4.2.pasākuma ietvaros veselības veicināšanas un slimību profilakses pasākumus īsteno atbilstoši </w:t>
            </w:r>
            <w:r w:rsidRPr="009D2633">
              <w:rPr>
                <w:rFonts w:eastAsiaTheme="minorEastAsia"/>
              </w:rPr>
              <w:t>veselības veicināšanas un slim</w:t>
            </w:r>
            <w:r>
              <w:rPr>
                <w:rFonts w:eastAsiaTheme="minorEastAsia"/>
              </w:rPr>
              <w:t>ību profilakses plānam</w:t>
            </w:r>
            <w:r>
              <w:rPr>
                <w:rFonts w:eastAsiaTheme="minorEastAsia"/>
                <w:bCs/>
                <w:spacing w:val="-2"/>
              </w:rPr>
              <w:t xml:space="preserve">. Līdz </w:t>
            </w:r>
            <w:r w:rsidRPr="009D2633">
              <w:rPr>
                <w:rFonts w:eastAsiaTheme="minorEastAsia"/>
              </w:rPr>
              <w:t xml:space="preserve">veselības </w:t>
            </w:r>
            <w:r w:rsidR="00FB0E56" w:rsidRPr="00FB0E56">
              <w:rPr>
                <w:rFonts w:eastAsiaTheme="minorEastAsia"/>
                <w:bCs/>
                <w:spacing w:val="-2"/>
              </w:rPr>
              <w:t>veicināšanas un slimību profilakses plānu</w:t>
            </w:r>
            <w:r>
              <w:rPr>
                <w:rFonts w:eastAsiaTheme="minorEastAsia"/>
                <w:bCs/>
                <w:spacing w:val="-2"/>
              </w:rPr>
              <w:t xml:space="preserve"> izstrādei darbības tiek plānotas un  īstenotas </w:t>
            </w:r>
            <w:r w:rsidR="00FB0E56" w:rsidRPr="00FB0E56">
              <w:rPr>
                <w:rFonts w:eastAsiaTheme="minorEastAsia"/>
                <w:bCs/>
                <w:spacing w:val="-2"/>
              </w:rPr>
              <w:t xml:space="preserve">atbilstoši </w:t>
            </w:r>
            <w:r w:rsidR="00FB0E56" w:rsidRPr="00FB0E56">
              <w:rPr>
                <w:rFonts w:eastAsiaTheme="minorEastAsia"/>
                <w:bCs/>
                <w:spacing w:val="-2"/>
              </w:rPr>
              <w:lastRenderedPageBreak/>
              <w:t>Sabiedrības veselības pamatnostādnēs 2014.-2020.gadam, vadlīnijām pašvaldībām veselības veicināšanā, Slimību profilakses un kontroles centra izstrādātajiem teritoriju veselības profiliem un 9.2.4.1.pasākuma projekta 2017.gada darba plānam</w:t>
            </w:r>
            <w:r>
              <w:rPr>
                <w:rFonts w:eastAsiaTheme="minorEastAsia"/>
                <w:bCs/>
                <w:spacing w:val="-2"/>
              </w:rPr>
              <w:t>.</w:t>
            </w:r>
          </w:p>
          <w:p w:rsidR="00DE15B9" w:rsidRDefault="00DE15B9" w:rsidP="00C1591C">
            <w:pPr>
              <w:pStyle w:val="naiskr"/>
              <w:spacing w:before="40" w:beforeAutospacing="0" w:after="40" w:afterAutospacing="0"/>
              <w:ind w:left="57" w:right="57" w:firstLine="284"/>
              <w:jc w:val="both"/>
              <w:rPr>
                <w:rFonts w:eastAsiaTheme="minorEastAsia"/>
                <w:bCs/>
                <w:spacing w:val="-2"/>
              </w:rPr>
            </w:pPr>
            <w:r w:rsidRPr="00D43D08">
              <w:rPr>
                <w:rFonts w:eastAsiaTheme="minorEastAsia"/>
                <w:bCs/>
                <w:spacing w:val="-2"/>
              </w:rPr>
              <w:t>9</w:t>
            </w:r>
            <w:r w:rsidRPr="00DE15B9">
              <w:rPr>
                <w:rFonts w:eastAsiaTheme="minorEastAsia"/>
                <w:bCs/>
                <w:spacing w:val="-2"/>
              </w:rPr>
              <w:t xml:space="preserve">.2.4.1.pasākuma atbalstāmās darbības </w:t>
            </w:r>
            <w:r w:rsidRPr="00EE16A4">
              <w:rPr>
                <w:lang w:eastAsia="en-US"/>
              </w:rPr>
              <w:t xml:space="preserve">vispārējie sabiedrības veselības veicināšanas pasākumi attiecināmo izmaksu pozīcijas sabiedrības informēšanas kampaņu īstenošanas izmaksās </w:t>
            </w:r>
            <w:r w:rsidR="00C34826" w:rsidRPr="00EE16A4">
              <w:rPr>
                <w:lang w:eastAsia="en-US"/>
              </w:rPr>
              <w:t>pakalpojumu līgumu ietvaros ir</w:t>
            </w:r>
            <w:r w:rsidRPr="00DE15B9">
              <w:rPr>
                <w:lang w:eastAsia="en-US"/>
              </w:rPr>
              <w:t xml:space="preserve"> attiecināmas </w:t>
            </w:r>
            <w:r w:rsidR="00C34826">
              <w:rPr>
                <w:lang w:eastAsia="en-US"/>
              </w:rPr>
              <w:t xml:space="preserve">arī </w:t>
            </w:r>
            <w:r w:rsidRPr="00EE16A4">
              <w:rPr>
                <w:u w:val="single"/>
                <w:lang w:eastAsia="en-US"/>
              </w:rPr>
              <w:t xml:space="preserve">izmaksas par mobilo aplikāciju, mājas lapu un citu </w:t>
            </w:r>
            <w:r w:rsidRPr="00EE16A4">
              <w:rPr>
                <w:rFonts w:eastAsiaTheme="minorEastAsia"/>
                <w:u w:val="single"/>
              </w:rPr>
              <w:t>IT</w:t>
            </w:r>
            <w:r w:rsidRPr="00EE16A4">
              <w:rPr>
                <w:u w:val="single"/>
                <w:lang w:eastAsia="en-US"/>
              </w:rPr>
              <w:t xml:space="preserve"> risinājumu izgatavošan</w:t>
            </w:r>
            <w:r w:rsidR="00C34826" w:rsidRPr="00EE16A4">
              <w:rPr>
                <w:u w:val="single"/>
                <w:lang w:eastAsia="en-US"/>
              </w:rPr>
              <w:t>u</w:t>
            </w:r>
            <w:r w:rsidRPr="00EE16A4">
              <w:rPr>
                <w:u w:val="single"/>
                <w:lang w:eastAsia="en-US"/>
              </w:rPr>
              <w:t>, izplatīšan</w:t>
            </w:r>
            <w:r w:rsidR="00C34826" w:rsidRPr="00EE16A4">
              <w:rPr>
                <w:u w:val="single"/>
                <w:lang w:eastAsia="en-US"/>
              </w:rPr>
              <w:t>u</w:t>
            </w:r>
            <w:r w:rsidRPr="00EE16A4">
              <w:rPr>
                <w:u w:val="single"/>
                <w:lang w:eastAsia="en-US"/>
              </w:rPr>
              <w:t xml:space="preserve"> un darbības nodrošināšan</w:t>
            </w:r>
            <w:r w:rsidR="00C34826" w:rsidRPr="00EE16A4">
              <w:rPr>
                <w:u w:val="single"/>
                <w:lang w:eastAsia="en-US"/>
              </w:rPr>
              <w:t>u</w:t>
            </w:r>
            <w:r w:rsidRPr="00DE15B9">
              <w:rPr>
                <w:lang w:eastAsia="en-US"/>
              </w:rPr>
              <w:t>.</w:t>
            </w:r>
          </w:p>
          <w:p w:rsidR="00D26824" w:rsidRDefault="00D26824" w:rsidP="00C1591C">
            <w:pPr>
              <w:pStyle w:val="naiskr"/>
              <w:spacing w:before="40" w:beforeAutospacing="0" w:after="40" w:afterAutospacing="0"/>
              <w:ind w:left="57" w:right="57" w:firstLine="284"/>
              <w:jc w:val="both"/>
              <w:rPr>
                <w:rFonts w:eastAsiaTheme="minorEastAsia"/>
                <w:bCs/>
                <w:spacing w:val="-2"/>
              </w:rPr>
            </w:pPr>
            <w:r>
              <w:rPr>
                <w:rFonts w:eastAsiaTheme="minorEastAsia"/>
                <w:bCs/>
                <w:spacing w:val="-2"/>
              </w:rPr>
              <w:t xml:space="preserve">Papildus noteikumu projektā noteikti </w:t>
            </w:r>
            <w:r w:rsidRPr="00D26824">
              <w:rPr>
                <w:rFonts w:eastAsiaTheme="minorEastAsia"/>
                <w:b/>
                <w:bCs/>
                <w:spacing w:val="-2"/>
              </w:rPr>
              <w:t>nosacījumi attiecībā uz izmaksu plānošanu un efektivitātes nodrošināšanu</w:t>
            </w:r>
            <w:r>
              <w:rPr>
                <w:rFonts w:eastAsiaTheme="minorEastAsia"/>
                <w:bCs/>
                <w:spacing w:val="-2"/>
              </w:rPr>
              <w:t>, tai skaitā paredzēts:</w:t>
            </w:r>
          </w:p>
          <w:p w:rsidR="00D26824" w:rsidRDefault="00D26824" w:rsidP="00C1591C">
            <w:pPr>
              <w:pStyle w:val="ListParagraph"/>
              <w:numPr>
                <w:ilvl w:val="0"/>
                <w:numId w:val="11"/>
              </w:numPr>
              <w:spacing w:after="120"/>
              <w:ind w:left="397" w:right="57" w:firstLine="0"/>
              <w:jc w:val="both"/>
              <w:outlineLvl w:val="0"/>
              <w:rPr>
                <w:rFonts w:eastAsiaTheme="minorEastAsia"/>
                <w:bCs/>
                <w:spacing w:val="-2"/>
                <w:lang w:eastAsia="lv-LV"/>
              </w:rPr>
            </w:pPr>
            <w:r>
              <w:rPr>
                <w:rFonts w:eastAsiaTheme="minorEastAsia"/>
                <w:bCs/>
                <w:spacing w:val="-2"/>
                <w:lang w:eastAsia="lv-LV"/>
              </w:rPr>
              <w:t xml:space="preserve">iespēja projektu īstenošanā iesaistīt finansējuma saņēmēju un sadarbības partneru esošos darbiniekus, nodrošinot, ka iesaiste </w:t>
            </w:r>
            <w:r w:rsidR="00A308E2">
              <w:rPr>
                <w:rFonts w:eastAsiaTheme="minorEastAsia"/>
                <w:bCs/>
                <w:spacing w:val="-2"/>
                <w:lang w:eastAsia="lv-LV"/>
              </w:rPr>
              <w:t xml:space="preserve">projektā </w:t>
            </w:r>
            <w:r>
              <w:rPr>
                <w:rFonts w:eastAsiaTheme="minorEastAsia"/>
                <w:bCs/>
                <w:spacing w:val="-2"/>
                <w:lang w:eastAsia="lv-LV"/>
              </w:rPr>
              <w:t>ir vismaz 30% no darbinieka slodzes;</w:t>
            </w:r>
          </w:p>
          <w:p w:rsidR="00D26824" w:rsidRDefault="00B133AF" w:rsidP="00C1591C">
            <w:pPr>
              <w:pStyle w:val="ListParagraph"/>
              <w:numPr>
                <w:ilvl w:val="0"/>
                <w:numId w:val="11"/>
              </w:numPr>
              <w:spacing w:after="120"/>
              <w:ind w:left="397" w:right="57" w:firstLine="0"/>
              <w:jc w:val="both"/>
              <w:outlineLvl w:val="0"/>
              <w:rPr>
                <w:rFonts w:eastAsiaTheme="minorEastAsia"/>
                <w:bCs/>
                <w:spacing w:val="-2"/>
              </w:rPr>
            </w:pPr>
            <w:r w:rsidRPr="00B133AF">
              <w:rPr>
                <w:rFonts w:eastAsiaTheme="minorEastAsia"/>
                <w:bCs/>
                <w:spacing w:val="-2"/>
                <w:lang w:eastAsia="lv-LV"/>
              </w:rPr>
              <w:t>ārpakalpojum</w:t>
            </w:r>
            <w:r>
              <w:rPr>
                <w:rFonts w:eastAsiaTheme="minorEastAsia"/>
                <w:bCs/>
                <w:spacing w:val="-2"/>
                <w:lang w:eastAsia="lv-LV"/>
              </w:rPr>
              <w:t xml:space="preserve">a iepirkumos, </w:t>
            </w:r>
            <w:r w:rsidRPr="00B133AF">
              <w:rPr>
                <w:bCs/>
                <w:color w:val="414142"/>
                <w:shd w:val="clear" w:color="auto" w:fill="FFFFFF"/>
              </w:rPr>
              <w:t>kuros samaksa par pakalpojumu veikta, pamatojoties uz nostrādāto stundu skaitu,</w:t>
            </w:r>
            <w:r w:rsidRPr="00B133AF">
              <w:rPr>
                <w:rFonts w:eastAsiaTheme="minorEastAsia"/>
                <w:bCs/>
                <w:spacing w:val="-2"/>
                <w:lang w:eastAsia="lv-LV"/>
              </w:rPr>
              <w:t xml:space="preserve"> </w:t>
            </w:r>
            <w:r w:rsidR="00D26824" w:rsidRPr="00B133AF">
              <w:rPr>
                <w:rFonts w:eastAsiaTheme="minorEastAsia"/>
                <w:bCs/>
                <w:spacing w:val="-2"/>
                <w:lang w:eastAsia="lv-LV"/>
              </w:rPr>
              <w:t xml:space="preserve">piesaistāmo cilvēkresursu </w:t>
            </w:r>
            <w:r w:rsidRPr="00B133AF">
              <w:rPr>
                <w:rFonts w:eastAsiaTheme="minorEastAsia"/>
                <w:bCs/>
                <w:spacing w:val="-2"/>
                <w:lang w:eastAsia="lv-LV"/>
              </w:rPr>
              <w:t>izmaks</w:t>
            </w:r>
            <w:r>
              <w:rPr>
                <w:rFonts w:eastAsiaTheme="minorEastAsia"/>
                <w:bCs/>
                <w:spacing w:val="-2"/>
                <w:lang w:eastAsia="lv-LV"/>
              </w:rPr>
              <w:t>u ierobežojums</w:t>
            </w:r>
            <w:r w:rsidR="00D26824">
              <w:rPr>
                <w:rFonts w:eastAsiaTheme="minorEastAsia"/>
                <w:bCs/>
                <w:spacing w:val="-2"/>
                <w:lang w:eastAsia="lv-LV"/>
              </w:rPr>
              <w:t xml:space="preserve"> </w:t>
            </w:r>
            <w:r w:rsidR="00EF7A50">
              <w:rPr>
                <w:rFonts w:eastAsiaTheme="minorEastAsia"/>
                <w:bCs/>
                <w:spacing w:val="-2"/>
                <w:lang w:eastAsia="lv-LV"/>
              </w:rPr>
              <w:t>proporcionāli iesaistes intensitātei</w:t>
            </w:r>
            <w:r w:rsidR="00D26824">
              <w:rPr>
                <w:rFonts w:eastAsiaTheme="minorEastAsia"/>
                <w:bCs/>
                <w:spacing w:val="-2"/>
                <w:lang w:eastAsia="lv-LV"/>
              </w:rPr>
              <w:t>, izņemot gadījumu</w:t>
            </w:r>
            <w:r w:rsidR="00EF7A50">
              <w:rPr>
                <w:rFonts w:eastAsiaTheme="minorEastAsia"/>
                <w:bCs/>
                <w:spacing w:val="-2"/>
                <w:lang w:eastAsia="lv-LV"/>
              </w:rPr>
              <w:t>s, kad ir attiecīgs saskaņojums:</w:t>
            </w:r>
          </w:p>
          <w:tbl>
            <w:tblPr>
              <w:tblW w:w="5527" w:type="dxa"/>
              <w:tblInd w:w="421" w:type="dxa"/>
              <w:tblLayout w:type="fixed"/>
              <w:tblLook w:val="04A0"/>
            </w:tblPr>
            <w:tblGrid>
              <w:gridCol w:w="2551"/>
              <w:gridCol w:w="992"/>
              <w:gridCol w:w="992"/>
              <w:gridCol w:w="992"/>
            </w:tblGrid>
            <w:tr w:rsidR="00EF7A50" w:rsidRPr="002A0738" w:rsidTr="00EF7A50">
              <w:trPr>
                <w:trHeight w:val="41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jc w:val="center"/>
                    <w:rPr>
                      <w:color w:val="000000"/>
                      <w:sz w:val="16"/>
                      <w:szCs w:val="16"/>
                    </w:rPr>
                  </w:pPr>
                  <w:r w:rsidRPr="002A0738">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jc w:val="center"/>
                    <w:rPr>
                      <w:color w:val="000000"/>
                      <w:sz w:val="16"/>
                      <w:szCs w:val="16"/>
                    </w:rPr>
                  </w:pPr>
                  <w:r w:rsidRPr="002A0738">
                    <w:rPr>
                      <w:color w:val="000000"/>
                      <w:sz w:val="16"/>
                      <w:szCs w:val="16"/>
                    </w:rPr>
                    <w:t>Likme pie stundu skaita nedēļā līdz 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jc w:val="center"/>
                    <w:rPr>
                      <w:color w:val="000000"/>
                      <w:sz w:val="16"/>
                      <w:szCs w:val="16"/>
                    </w:rPr>
                  </w:pPr>
                  <w:r w:rsidRPr="002A0738">
                    <w:rPr>
                      <w:color w:val="000000"/>
                      <w:sz w:val="16"/>
                      <w:szCs w:val="16"/>
                    </w:rPr>
                    <w:t>Likme pie stundu skaita nedēļā no 7 līdz 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jc w:val="center"/>
                    <w:rPr>
                      <w:color w:val="000000"/>
                      <w:sz w:val="16"/>
                      <w:szCs w:val="16"/>
                    </w:rPr>
                  </w:pPr>
                  <w:r w:rsidRPr="002A0738">
                    <w:rPr>
                      <w:color w:val="000000"/>
                      <w:sz w:val="16"/>
                      <w:szCs w:val="16"/>
                    </w:rPr>
                    <w:t>Likme pie stundu skaita nedēļā virs 17</w:t>
                  </w:r>
                </w:p>
              </w:tc>
            </w:tr>
            <w:tr w:rsidR="00EF7A50" w:rsidRPr="002A0738" w:rsidTr="00EF7A50">
              <w:trPr>
                <w:trHeight w:val="7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EF7A50" w:rsidRPr="00EE16A4" w:rsidRDefault="00EF7A50" w:rsidP="00EF7A50">
                  <w:pPr>
                    <w:framePr w:hSpace="180" w:wrap="around" w:vAnchor="text" w:hAnchor="margin" w:x="5" w:y="149"/>
                    <w:rPr>
                      <w:b/>
                      <w:bCs/>
                      <w:color w:val="000000"/>
                      <w:sz w:val="16"/>
                      <w:szCs w:val="16"/>
                    </w:rPr>
                  </w:pPr>
                  <w:r w:rsidRPr="00EE16A4">
                    <w:rPr>
                      <w:b/>
                      <w:bCs/>
                      <w:color w:val="000000"/>
                      <w:sz w:val="16"/>
                      <w:szCs w:val="16"/>
                    </w:rPr>
                    <w:t>Likme [EUR/stundā]</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EE16A4" w:rsidRDefault="00EF7A50" w:rsidP="00EF7A50">
                  <w:pPr>
                    <w:framePr w:hSpace="180" w:wrap="around" w:vAnchor="text" w:hAnchor="margin" w:x="5" w:y="149"/>
                    <w:jc w:val="right"/>
                    <w:rPr>
                      <w:b/>
                      <w:bCs/>
                      <w:color w:val="000000"/>
                      <w:sz w:val="16"/>
                      <w:szCs w:val="16"/>
                    </w:rPr>
                  </w:pPr>
                  <w:r w:rsidRPr="00EE16A4">
                    <w:rPr>
                      <w:b/>
                      <w:bCs/>
                      <w:color w:val="000000"/>
                      <w:sz w:val="16"/>
                      <w:szCs w:val="16"/>
                    </w:rPr>
                    <w:t>80</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EE16A4" w:rsidRDefault="00EF7A50" w:rsidP="00EF7A50">
                  <w:pPr>
                    <w:framePr w:hSpace="180" w:wrap="around" w:vAnchor="text" w:hAnchor="margin" w:x="5" w:y="149"/>
                    <w:jc w:val="right"/>
                    <w:rPr>
                      <w:b/>
                      <w:bCs/>
                      <w:color w:val="000000"/>
                      <w:sz w:val="16"/>
                      <w:szCs w:val="16"/>
                    </w:rPr>
                  </w:pPr>
                  <w:r w:rsidRPr="00EE16A4">
                    <w:rPr>
                      <w:b/>
                      <w:bCs/>
                      <w:color w:val="000000"/>
                      <w:sz w:val="16"/>
                      <w:szCs w:val="16"/>
                    </w:rPr>
                    <w:t>40</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EE16A4" w:rsidRDefault="00EF7A50" w:rsidP="00EF7A50">
                  <w:pPr>
                    <w:framePr w:hSpace="180" w:wrap="around" w:vAnchor="text" w:hAnchor="margin" w:x="5" w:y="149"/>
                    <w:jc w:val="right"/>
                    <w:rPr>
                      <w:b/>
                      <w:bCs/>
                      <w:color w:val="000000"/>
                      <w:sz w:val="16"/>
                      <w:szCs w:val="16"/>
                    </w:rPr>
                  </w:pPr>
                  <w:r w:rsidRPr="00EE16A4">
                    <w:rPr>
                      <w:b/>
                      <w:bCs/>
                      <w:color w:val="000000"/>
                      <w:sz w:val="16"/>
                      <w:szCs w:val="16"/>
                    </w:rPr>
                    <w:t>30</w:t>
                  </w:r>
                </w:p>
              </w:tc>
            </w:tr>
            <w:tr w:rsidR="00EF7A50" w:rsidRPr="002A0738" w:rsidTr="00EF7A50">
              <w:trPr>
                <w:trHeight w:val="7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rPr>
                      <w:color w:val="000000"/>
                      <w:sz w:val="16"/>
                      <w:szCs w:val="16"/>
                    </w:rPr>
                  </w:pPr>
                </w:p>
              </w:tc>
            </w:tr>
            <w:tr w:rsidR="00EF7A50" w:rsidRPr="002A0738" w:rsidTr="00EF7A50">
              <w:trPr>
                <w:trHeight w:val="56"/>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rPr>
                      <w:color w:val="000000"/>
                      <w:sz w:val="16"/>
                      <w:szCs w:val="16"/>
                    </w:rPr>
                  </w:pPr>
                  <w:r w:rsidRPr="002A0738">
                    <w:rPr>
                      <w:color w:val="000000"/>
                      <w:sz w:val="16"/>
                      <w:szCs w:val="16"/>
                    </w:rPr>
                    <w:t>Minimālais stundu skaits nedēļā [stundas]</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17</w:t>
                  </w:r>
                </w:p>
              </w:tc>
            </w:tr>
            <w:tr w:rsidR="00EF7A50" w:rsidRPr="002A0738" w:rsidTr="00EF7A50">
              <w:trPr>
                <w:trHeight w:val="373"/>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rPr>
                      <w:color w:val="000000"/>
                      <w:sz w:val="16"/>
                      <w:szCs w:val="16"/>
                    </w:rPr>
                  </w:pPr>
                  <w:r w:rsidRPr="002A0738">
                    <w:rPr>
                      <w:color w:val="000000"/>
                      <w:sz w:val="16"/>
                      <w:szCs w:val="16"/>
                    </w:rPr>
                    <w:t>Minimālais kopējais finansējums [EUR/nedēļā]</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80</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280</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510</w:t>
                  </w:r>
                </w:p>
              </w:tc>
            </w:tr>
            <w:tr w:rsidR="00EF7A50" w:rsidRPr="002A0738" w:rsidTr="00EF7A50">
              <w:trPr>
                <w:trHeight w:val="7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rPr>
                      <w:color w:val="000000"/>
                      <w:sz w:val="16"/>
                      <w:szCs w:val="16"/>
                    </w:rPr>
                  </w:pPr>
                  <w:r w:rsidRPr="002A0738">
                    <w:rPr>
                      <w:color w:val="000000"/>
                      <w:sz w:val="16"/>
                      <w:szCs w:val="16"/>
                    </w:rPr>
                    <w:t>Vidēji nepieciešamais dienu skaits [dienas]</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2,5</w:t>
                  </w:r>
                </w:p>
              </w:tc>
            </w:tr>
            <w:tr w:rsidR="00EF7A50" w:rsidRPr="002A0738" w:rsidTr="00EF7A50">
              <w:trPr>
                <w:trHeight w:val="7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rPr>
                      <w:color w:val="000000"/>
                      <w:sz w:val="16"/>
                      <w:szCs w:val="16"/>
                    </w:rPr>
                  </w:pPr>
                  <w:r w:rsidRPr="002A0738">
                    <w:rPr>
                      <w:color w:val="000000"/>
                      <w:sz w:val="16"/>
                      <w:szCs w:val="16"/>
                    </w:rPr>
                    <w:t>Finansējums dienā [EUR/diena]</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80</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187</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204</w:t>
                  </w:r>
                </w:p>
              </w:tc>
            </w:tr>
            <w:tr w:rsidR="00EF7A50" w:rsidRPr="002A0738" w:rsidTr="00EF7A50">
              <w:trPr>
                <w:trHeight w:val="7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rPr>
                      <w:color w:val="000000"/>
                      <w:sz w:val="16"/>
                      <w:szCs w:val="16"/>
                    </w:rPr>
                  </w:pPr>
                  <w:r w:rsidRPr="002A0738">
                    <w:rPr>
                      <w:color w:val="000000"/>
                      <w:sz w:val="16"/>
                      <w:szCs w:val="16"/>
                    </w:rPr>
                    <w:t>Vidēja iespējamā alga nedēļā [EUR/nedēļā]</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 xml:space="preserve">560 </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 xml:space="preserve">1 307 </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 xml:space="preserve">1 428 </w:t>
                  </w:r>
                </w:p>
              </w:tc>
            </w:tr>
            <w:tr w:rsidR="00EF7A50" w:rsidRPr="002A0738" w:rsidTr="00EF7A50">
              <w:trPr>
                <w:trHeight w:val="7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rPr>
                      <w:color w:val="000000"/>
                      <w:sz w:val="16"/>
                      <w:szCs w:val="16"/>
                    </w:rPr>
                  </w:pPr>
                </w:p>
              </w:tc>
            </w:tr>
            <w:tr w:rsidR="00EF7A50" w:rsidRPr="002A0738" w:rsidTr="00EF7A50">
              <w:trPr>
                <w:trHeight w:val="7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rPr>
                      <w:color w:val="000000"/>
                      <w:sz w:val="16"/>
                      <w:szCs w:val="16"/>
                    </w:rPr>
                  </w:pPr>
                  <w:r w:rsidRPr="002A0738">
                    <w:rPr>
                      <w:color w:val="000000"/>
                      <w:sz w:val="16"/>
                      <w:szCs w:val="16"/>
                    </w:rPr>
                    <w:t>Maksimālais stundu skaits nedēļā [stundas]</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16</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40</w:t>
                  </w:r>
                </w:p>
              </w:tc>
            </w:tr>
            <w:tr w:rsidR="00EF7A50" w:rsidRPr="002A0738" w:rsidTr="00EF7A50">
              <w:trPr>
                <w:trHeight w:val="7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rPr>
                      <w:color w:val="000000"/>
                      <w:sz w:val="16"/>
                      <w:szCs w:val="16"/>
                    </w:rPr>
                  </w:pPr>
                  <w:r w:rsidRPr="002A0738">
                    <w:rPr>
                      <w:color w:val="000000"/>
                      <w:sz w:val="16"/>
                      <w:szCs w:val="16"/>
                    </w:rPr>
                    <w:t>Maksimālais kopējais finansējums</w:t>
                  </w:r>
                  <w:r w:rsidR="00237AA7">
                    <w:rPr>
                      <w:color w:val="000000"/>
                      <w:sz w:val="16"/>
                      <w:szCs w:val="16"/>
                    </w:rPr>
                    <w:t xml:space="preserve"> </w:t>
                  </w:r>
                  <w:r w:rsidRPr="002A0738">
                    <w:rPr>
                      <w:color w:val="000000"/>
                      <w:sz w:val="16"/>
                      <w:szCs w:val="16"/>
                    </w:rPr>
                    <w:t>[EUR/nedēļā]</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480</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640</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1200</w:t>
                  </w:r>
                </w:p>
              </w:tc>
            </w:tr>
            <w:tr w:rsidR="00EF7A50" w:rsidRPr="002A0738" w:rsidTr="00EF7A50">
              <w:trPr>
                <w:trHeight w:val="7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rPr>
                      <w:color w:val="000000"/>
                      <w:sz w:val="16"/>
                      <w:szCs w:val="16"/>
                    </w:rPr>
                  </w:pPr>
                  <w:r w:rsidRPr="002A0738">
                    <w:rPr>
                      <w:color w:val="000000"/>
                      <w:sz w:val="16"/>
                      <w:szCs w:val="16"/>
                    </w:rPr>
                    <w:t>Vidēji nepieciešamais dienu skaits [dienas]</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2,5</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5</w:t>
                  </w:r>
                </w:p>
              </w:tc>
            </w:tr>
            <w:tr w:rsidR="00EF7A50" w:rsidRPr="002A0738" w:rsidTr="00EF7A50">
              <w:trPr>
                <w:trHeight w:val="7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rPr>
                      <w:color w:val="000000"/>
                      <w:sz w:val="16"/>
                      <w:szCs w:val="16"/>
                    </w:rPr>
                  </w:pPr>
                  <w:r w:rsidRPr="002A0738">
                    <w:rPr>
                      <w:color w:val="000000"/>
                      <w:sz w:val="16"/>
                      <w:szCs w:val="16"/>
                    </w:rPr>
                    <w:t>Finansējums dienā [EUR/diena]</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320</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256</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240</w:t>
                  </w:r>
                </w:p>
              </w:tc>
            </w:tr>
            <w:tr w:rsidR="00EF7A50" w:rsidRPr="002A0738" w:rsidTr="00EF7A50">
              <w:trPr>
                <w:trHeight w:val="7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rPr>
                      <w:color w:val="000000"/>
                      <w:sz w:val="16"/>
                      <w:szCs w:val="16"/>
                    </w:rPr>
                  </w:pPr>
                  <w:r w:rsidRPr="002A0738">
                    <w:rPr>
                      <w:color w:val="000000"/>
                      <w:sz w:val="16"/>
                      <w:szCs w:val="16"/>
                    </w:rPr>
                    <w:t>Vidēja iespējamā alga nedēļā [EUR/nedēļā]</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 xml:space="preserve">2 240 </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 xml:space="preserve">1 792 </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 xml:space="preserve">1 680 </w:t>
                  </w:r>
                </w:p>
              </w:tc>
            </w:tr>
            <w:tr w:rsidR="00EF7A50" w:rsidRPr="002A0738" w:rsidTr="00EF7A50">
              <w:trPr>
                <w:trHeight w:val="7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rPr>
                      <w:color w:val="000000"/>
                      <w:sz w:val="16"/>
                      <w:szCs w:val="16"/>
                    </w:rPr>
                  </w:pPr>
                </w:p>
              </w:tc>
            </w:tr>
            <w:tr w:rsidR="00EF7A50" w:rsidRPr="002A0738" w:rsidTr="00EF7A50">
              <w:trPr>
                <w:trHeight w:val="211"/>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EF7A50" w:rsidRPr="002A0738" w:rsidRDefault="00EF7A50" w:rsidP="00EF7A50">
                  <w:pPr>
                    <w:framePr w:hSpace="180" w:wrap="around" w:vAnchor="text" w:hAnchor="margin" w:x="5" w:y="149"/>
                    <w:rPr>
                      <w:color w:val="000000"/>
                      <w:sz w:val="16"/>
                      <w:szCs w:val="16"/>
                    </w:rPr>
                  </w:pPr>
                  <w:r w:rsidRPr="002A0738">
                    <w:rPr>
                      <w:color w:val="000000"/>
                      <w:sz w:val="16"/>
                      <w:szCs w:val="16"/>
                    </w:rPr>
                    <w:t>Vidēja alga starp minimālo un maksimālo variantu [EUR/nedēļā]</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 xml:space="preserve">1 400 </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 xml:space="preserve">1 549 </w:t>
                  </w:r>
                </w:p>
              </w:tc>
              <w:tc>
                <w:tcPr>
                  <w:tcW w:w="992" w:type="dxa"/>
                  <w:tcBorders>
                    <w:top w:val="nil"/>
                    <w:left w:val="nil"/>
                    <w:bottom w:val="single" w:sz="4" w:space="0" w:color="auto"/>
                    <w:right w:val="single" w:sz="4" w:space="0" w:color="auto"/>
                  </w:tcBorders>
                  <w:shd w:val="clear" w:color="auto" w:fill="auto"/>
                  <w:noWrap/>
                  <w:vAlign w:val="center"/>
                  <w:hideMark/>
                </w:tcPr>
                <w:p w:rsidR="00EF7A50" w:rsidRPr="002A0738" w:rsidRDefault="00EF7A50" w:rsidP="00EF7A50">
                  <w:pPr>
                    <w:framePr w:hSpace="180" w:wrap="around" w:vAnchor="text" w:hAnchor="margin" w:x="5" w:y="149"/>
                    <w:jc w:val="right"/>
                    <w:rPr>
                      <w:color w:val="000000"/>
                      <w:sz w:val="16"/>
                      <w:szCs w:val="16"/>
                    </w:rPr>
                  </w:pPr>
                  <w:r w:rsidRPr="002A0738">
                    <w:rPr>
                      <w:color w:val="000000"/>
                      <w:sz w:val="16"/>
                      <w:szCs w:val="16"/>
                    </w:rPr>
                    <w:t xml:space="preserve">1 554 </w:t>
                  </w:r>
                </w:p>
              </w:tc>
            </w:tr>
          </w:tbl>
          <w:p w:rsidR="00D26824" w:rsidRDefault="00D26824" w:rsidP="00C1591C">
            <w:pPr>
              <w:pStyle w:val="ListParagraph"/>
              <w:numPr>
                <w:ilvl w:val="0"/>
                <w:numId w:val="11"/>
              </w:numPr>
              <w:spacing w:after="120"/>
              <w:ind w:left="397" w:right="57" w:firstLine="0"/>
              <w:jc w:val="both"/>
              <w:outlineLvl w:val="0"/>
              <w:rPr>
                <w:rFonts w:eastAsiaTheme="minorEastAsia"/>
                <w:bCs/>
                <w:spacing w:val="-2"/>
                <w:lang w:eastAsia="lv-LV"/>
              </w:rPr>
            </w:pPr>
            <w:r>
              <w:rPr>
                <w:rFonts w:eastAsiaTheme="minorEastAsia"/>
                <w:bCs/>
                <w:spacing w:val="-2"/>
                <w:lang w:eastAsia="lv-LV"/>
              </w:rPr>
              <w:t>nosacījums projektu finansējuma vienmērīgai plānošanai visā projektu īstenošanas laikā;</w:t>
            </w:r>
          </w:p>
          <w:p w:rsidR="00D26824" w:rsidRDefault="00EF7A50" w:rsidP="00C1591C">
            <w:pPr>
              <w:pStyle w:val="ListParagraph"/>
              <w:numPr>
                <w:ilvl w:val="0"/>
                <w:numId w:val="11"/>
              </w:numPr>
              <w:spacing w:after="120"/>
              <w:ind w:left="397" w:right="57" w:firstLine="0"/>
              <w:jc w:val="both"/>
              <w:outlineLvl w:val="0"/>
              <w:rPr>
                <w:rFonts w:eastAsiaTheme="minorEastAsia"/>
                <w:bCs/>
                <w:spacing w:val="-2"/>
                <w:lang w:eastAsia="lv-LV"/>
              </w:rPr>
            </w:pPr>
            <w:r>
              <w:rPr>
                <w:rFonts w:eastAsiaTheme="minorEastAsia"/>
                <w:bCs/>
                <w:spacing w:val="-2"/>
                <w:lang w:eastAsia="lv-LV"/>
              </w:rPr>
              <w:lastRenderedPageBreak/>
              <w:t>9.2.4.2.pasākuma projektu finansējuma noteikšanas kritēriji:</w:t>
            </w:r>
          </w:p>
          <w:tbl>
            <w:tblPr>
              <w:tblStyle w:val="TableGrid"/>
              <w:tblW w:w="5496" w:type="dxa"/>
              <w:tblInd w:w="421" w:type="dxa"/>
              <w:tblLayout w:type="fixed"/>
              <w:tblLook w:val="04A0"/>
            </w:tblPr>
            <w:tblGrid>
              <w:gridCol w:w="2409"/>
              <w:gridCol w:w="1044"/>
              <w:gridCol w:w="992"/>
              <w:gridCol w:w="1051"/>
            </w:tblGrid>
            <w:tr w:rsidR="00EF7A50" w:rsidRPr="00EF7A50" w:rsidTr="00EE16A4">
              <w:trPr>
                <w:trHeight w:val="584"/>
              </w:trPr>
              <w:tc>
                <w:tcPr>
                  <w:tcW w:w="2409" w:type="dxa"/>
                  <w:vAlign w:val="center"/>
                  <w:hideMark/>
                </w:tcPr>
                <w:p w:rsidR="001F3706" w:rsidRPr="00EF7A50" w:rsidRDefault="00EF7A50" w:rsidP="00EF7A50">
                  <w:pPr>
                    <w:framePr w:hSpace="180" w:wrap="around" w:vAnchor="text" w:hAnchor="margin" w:x="5" w:y="149"/>
                    <w:jc w:val="center"/>
                    <w:rPr>
                      <w:color w:val="000000"/>
                      <w:sz w:val="16"/>
                      <w:szCs w:val="16"/>
                    </w:rPr>
                  </w:pPr>
                  <w:r w:rsidRPr="00EF7A50">
                    <w:rPr>
                      <w:color w:val="000000"/>
                      <w:sz w:val="16"/>
                      <w:szCs w:val="16"/>
                    </w:rPr>
                    <w:t>Kritēriji</w:t>
                  </w:r>
                </w:p>
              </w:tc>
              <w:tc>
                <w:tcPr>
                  <w:tcW w:w="1044" w:type="dxa"/>
                  <w:vAlign w:val="center"/>
                  <w:hideMark/>
                </w:tcPr>
                <w:p w:rsidR="001F3706" w:rsidRPr="00EF7A50" w:rsidRDefault="00EF7A50" w:rsidP="00EF7A50">
                  <w:pPr>
                    <w:framePr w:hSpace="180" w:wrap="around" w:vAnchor="text" w:hAnchor="margin" w:x="5" w:y="149"/>
                    <w:jc w:val="center"/>
                    <w:rPr>
                      <w:color w:val="000000"/>
                      <w:sz w:val="16"/>
                      <w:szCs w:val="16"/>
                    </w:rPr>
                  </w:pPr>
                  <w:r w:rsidRPr="00EF7A50">
                    <w:rPr>
                      <w:color w:val="000000"/>
                      <w:sz w:val="16"/>
                      <w:szCs w:val="16"/>
                    </w:rPr>
                    <w:t>Finansējuma īpatsvars uz kritēriju</w:t>
                  </w:r>
                </w:p>
              </w:tc>
              <w:tc>
                <w:tcPr>
                  <w:tcW w:w="992" w:type="dxa"/>
                  <w:vAlign w:val="center"/>
                  <w:hideMark/>
                </w:tcPr>
                <w:p w:rsidR="00EF7A50" w:rsidRPr="00EF7A50" w:rsidRDefault="00EE16A4" w:rsidP="00EF7A50">
                  <w:pPr>
                    <w:framePr w:hSpace="180" w:wrap="around" w:vAnchor="text" w:hAnchor="margin" w:x="5" w:y="149"/>
                    <w:jc w:val="center"/>
                    <w:rPr>
                      <w:color w:val="000000"/>
                      <w:sz w:val="16"/>
                      <w:szCs w:val="16"/>
                    </w:rPr>
                  </w:pPr>
                  <w:r>
                    <w:rPr>
                      <w:color w:val="000000"/>
                      <w:sz w:val="16"/>
                      <w:szCs w:val="16"/>
                    </w:rPr>
                    <w:t>Indikatīvais k</w:t>
                  </w:r>
                  <w:r w:rsidR="00EF7A50" w:rsidRPr="00EF7A50">
                    <w:rPr>
                      <w:color w:val="000000"/>
                      <w:sz w:val="16"/>
                      <w:szCs w:val="16"/>
                    </w:rPr>
                    <w:t>ritērija finansējums</w:t>
                  </w:r>
                </w:p>
                <w:p w:rsidR="001F3706" w:rsidRPr="00EF7A50" w:rsidRDefault="00EF7A50" w:rsidP="00EF7A50">
                  <w:pPr>
                    <w:framePr w:hSpace="180" w:wrap="around" w:vAnchor="text" w:hAnchor="margin" w:x="5" w:y="149"/>
                    <w:jc w:val="center"/>
                    <w:rPr>
                      <w:color w:val="000000"/>
                      <w:sz w:val="16"/>
                      <w:szCs w:val="16"/>
                    </w:rPr>
                  </w:pPr>
                  <w:r w:rsidRPr="00EF7A50">
                    <w:rPr>
                      <w:color w:val="000000"/>
                      <w:sz w:val="16"/>
                      <w:szCs w:val="16"/>
                    </w:rPr>
                    <w:t>[EUR]</w:t>
                  </w:r>
                </w:p>
              </w:tc>
              <w:tc>
                <w:tcPr>
                  <w:tcW w:w="1051" w:type="dxa"/>
                  <w:vAlign w:val="center"/>
                  <w:hideMark/>
                </w:tcPr>
                <w:p w:rsidR="00EF7A50" w:rsidRPr="00EF7A50" w:rsidRDefault="00EF7A50" w:rsidP="00EF7A50">
                  <w:pPr>
                    <w:framePr w:hSpace="180" w:wrap="around" w:vAnchor="text" w:hAnchor="margin" w:x="5" w:y="149"/>
                    <w:jc w:val="center"/>
                    <w:rPr>
                      <w:color w:val="000000"/>
                      <w:sz w:val="16"/>
                      <w:szCs w:val="16"/>
                    </w:rPr>
                  </w:pPr>
                  <w:r w:rsidRPr="00EF7A50">
                    <w:rPr>
                      <w:color w:val="000000"/>
                      <w:sz w:val="16"/>
                      <w:szCs w:val="16"/>
                    </w:rPr>
                    <w:t>Finansējums uz vienu vienību</w:t>
                  </w:r>
                </w:p>
                <w:p w:rsidR="001F3706" w:rsidRPr="00EF7A50" w:rsidRDefault="00EF7A50" w:rsidP="00EF7A50">
                  <w:pPr>
                    <w:framePr w:hSpace="180" w:wrap="around" w:vAnchor="text" w:hAnchor="margin" w:x="5" w:y="149"/>
                    <w:jc w:val="center"/>
                    <w:rPr>
                      <w:color w:val="000000"/>
                      <w:sz w:val="16"/>
                      <w:szCs w:val="16"/>
                    </w:rPr>
                  </w:pPr>
                  <w:r w:rsidRPr="00EF7A50">
                    <w:rPr>
                      <w:color w:val="000000"/>
                      <w:sz w:val="16"/>
                      <w:szCs w:val="16"/>
                    </w:rPr>
                    <w:t>[EUR]</w:t>
                  </w:r>
                </w:p>
              </w:tc>
            </w:tr>
            <w:tr w:rsidR="00EE16A4" w:rsidRPr="00EF7A50" w:rsidTr="00D378F0">
              <w:trPr>
                <w:trHeight w:val="56"/>
              </w:trPr>
              <w:tc>
                <w:tcPr>
                  <w:tcW w:w="2409" w:type="dxa"/>
                  <w:vAlign w:val="center"/>
                  <w:hideMark/>
                </w:tcPr>
                <w:p w:rsidR="00EE16A4" w:rsidRPr="00EF7A50" w:rsidRDefault="00EE16A4" w:rsidP="001767BB">
                  <w:pPr>
                    <w:framePr w:hSpace="180" w:wrap="around" w:vAnchor="text" w:hAnchor="margin" w:x="5" w:y="149"/>
                    <w:rPr>
                      <w:color w:val="000000"/>
                      <w:sz w:val="16"/>
                      <w:szCs w:val="16"/>
                    </w:rPr>
                  </w:pPr>
                  <w:r w:rsidRPr="00EF7A50">
                    <w:rPr>
                      <w:color w:val="000000"/>
                      <w:sz w:val="16"/>
                      <w:szCs w:val="16"/>
                    </w:rPr>
                    <w:t>Iedzīvotāju skaits kopā</w:t>
                  </w:r>
                </w:p>
              </w:tc>
              <w:tc>
                <w:tcPr>
                  <w:tcW w:w="1044" w:type="dxa"/>
                  <w:vAlign w:val="center"/>
                  <w:hideMark/>
                </w:tcPr>
                <w:p w:rsidR="00EE16A4" w:rsidRPr="00EF7A50" w:rsidRDefault="00EE16A4" w:rsidP="001767BB">
                  <w:pPr>
                    <w:framePr w:hSpace="180" w:wrap="around" w:vAnchor="text" w:hAnchor="margin" w:x="5" w:y="149"/>
                    <w:jc w:val="center"/>
                    <w:rPr>
                      <w:color w:val="000000"/>
                      <w:sz w:val="16"/>
                      <w:szCs w:val="16"/>
                    </w:rPr>
                  </w:pPr>
                  <w:r w:rsidRPr="00EF7A50">
                    <w:rPr>
                      <w:color w:val="000000"/>
                      <w:sz w:val="16"/>
                      <w:szCs w:val="16"/>
                    </w:rPr>
                    <w:t>72,5%</w:t>
                  </w:r>
                </w:p>
              </w:tc>
              <w:tc>
                <w:tcPr>
                  <w:tcW w:w="992" w:type="dxa"/>
                  <w:vAlign w:val="bottom"/>
                  <w:hideMark/>
                </w:tcPr>
                <w:p w:rsidR="00EE16A4" w:rsidRPr="00EE16A4" w:rsidRDefault="00EE16A4">
                  <w:pPr>
                    <w:framePr w:hSpace="180" w:wrap="around" w:vAnchor="text" w:hAnchor="margin" w:x="5" w:y="149"/>
                    <w:jc w:val="right"/>
                    <w:rPr>
                      <w:color w:val="000000"/>
                      <w:sz w:val="16"/>
                      <w:szCs w:val="16"/>
                    </w:rPr>
                  </w:pPr>
                  <w:r w:rsidRPr="00EE16A4">
                    <w:rPr>
                      <w:color w:val="000000"/>
                      <w:sz w:val="16"/>
                      <w:szCs w:val="16"/>
                    </w:rPr>
                    <w:t>28 051 989</w:t>
                  </w:r>
                </w:p>
              </w:tc>
              <w:tc>
                <w:tcPr>
                  <w:tcW w:w="1051" w:type="dxa"/>
                  <w:vAlign w:val="bottom"/>
                  <w:hideMark/>
                </w:tcPr>
                <w:p w:rsidR="00EE16A4" w:rsidRPr="00EE16A4" w:rsidRDefault="00EE16A4">
                  <w:pPr>
                    <w:framePr w:hSpace="180" w:wrap="around" w:vAnchor="text" w:hAnchor="margin" w:x="5" w:y="149"/>
                    <w:jc w:val="right"/>
                    <w:rPr>
                      <w:color w:val="000000"/>
                      <w:sz w:val="16"/>
                      <w:szCs w:val="16"/>
                    </w:rPr>
                  </w:pPr>
                  <w:r w:rsidRPr="00EE16A4">
                    <w:rPr>
                      <w:color w:val="000000"/>
                      <w:sz w:val="16"/>
                      <w:szCs w:val="16"/>
                    </w:rPr>
                    <w:t>12,87</w:t>
                  </w:r>
                </w:p>
              </w:tc>
            </w:tr>
            <w:tr w:rsidR="00EE16A4" w:rsidRPr="00EF7A50" w:rsidTr="00D378F0">
              <w:trPr>
                <w:trHeight w:val="56"/>
              </w:trPr>
              <w:tc>
                <w:tcPr>
                  <w:tcW w:w="2409" w:type="dxa"/>
                  <w:vAlign w:val="center"/>
                  <w:hideMark/>
                </w:tcPr>
                <w:p w:rsidR="00EE16A4" w:rsidRPr="00EF7A50" w:rsidRDefault="00EE16A4" w:rsidP="001767BB">
                  <w:pPr>
                    <w:framePr w:hSpace="180" w:wrap="around" w:vAnchor="text" w:hAnchor="margin" w:x="5" w:y="149"/>
                    <w:rPr>
                      <w:color w:val="000000"/>
                      <w:sz w:val="16"/>
                      <w:szCs w:val="16"/>
                    </w:rPr>
                  </w:pPr>
                  <w:r w:rsidRPr="00EF7A50">
                    <w:rPr>
                      <w:color w:val="000000"/>
                      <w:sz w:val="16"/>
                      <w:szCs w:val="16"/>
                    </w:rPr>
                    <w:t xml:space="preserve">Bērnu skaits </w:t>
                  </w:r>
                </w:p>
              </w:tc>
              <w:tc>
                <w:tcPr>
                  <w:tcW w:w="1044" w:type="dxa"/>
                  <w:vAlign w:val="center"/>
                  <w:hideMark/>
                </w:tcPr>
                <w:p w:rsidR="00EE16A4" w:rsidRPr="00EF7A50" w:rsidRDefault="00EE16A4" w:rsidP="001767BB">
                  <w:pPr>
                    <w:framePr w:hSpace="180" w:wrap="around" w:vAnchor="text" w:hAnchor="margin" w:x="5" w:y="149"/>
                    <w:jc w:val="center"/>
                    <w:rPr>
                      <w:color w:val="000000"/>
                      <w:sz w:val="16"/>
                      <w:szCs w:val="16"/>
                    </w:rPr>
                  </w:pPr>
                  <w:r w:rsidRPr="00EF7A50">
                    <w:rPr>
                      <w:color w:val="000000"/>
                      <w:sz w:val="16"/>
                      <w:szCs w:val="16"/>
                    </w:rPr>
                    <w:t>10,0%</w:t>
                  </w:r>
                </w:p>
              </w:tc>
              <w:tc>
                <w:tcPr>
                  <w:tcW w:w="992" w:type="dxa"/>
                  <w:vAlign w:val="bottom"/>
                  <w:hideMark/>
                </w:tcPr>
                <w:p w:rsidR="00EE16A4" w:rsidRPr="00EE16A4" w:rsidRDefault="00EE16A4">
                  <w:pPr>
                    <w:framePr w:hSpace="180" w:wrap="around" w:vAnchor="text" w:hAnchor="margin" w:x="5" w:y="149"/>
                    <w:jc w:val="right"/>
                    <w:rPr>
                      <w:color w:val="000000"/>
                      <w:sz w:val="16"/>
                      <w:szCs w:val="16"/>
                    </w:rPr>
                  </w:pPr>
                  <w:r w:rsidRPr="00EE16A4">
                    <w:rPr>
                      <w:color w:val="000000"/>
                      <w:sz w:val="16"/>
                      <w:szCs w:val="16"/>
                    </w:rPr>
                    <w:t>3 869 240</w:t>
                  </w:r>
                </w:p>
              </w:tc>
              <w:tc>
                <w:tcPr>
                  <w:tcW w:w="1051" w:type="dxa"/>
                  <w:vAlign w:val="bottom"/>
                  <w:hideMark/>
                </w:tcPr>
                <w:p w:rsidR="00EE16A4" w:rsidRPr="00EE16A4" w:rsidRDefault="00EE16A4">
                  <w:pPr>
                    <w:framePr w:hSpace="180" w:wrap="around" w:vAnchor="text" w:hAnchor="margin" w:x="5" w:y="149"/>
                    <w:jc w:val="right"/>
                    <w:rPr>
                      <w:color w:val="000000"/>
                      <w:sz w:val="16"/>
                      <w:szCs w:val="16"/>
                    </w:rPr>
                  </w:pPr>
                  <w:r w:rsidRPr="00EE16A4">
                    <w:rPr>
                      <w:color w:val="000000"/>
                      <w:sz w:val="16"/>
                      <w:szCs w:val="16"/>
                    </w:rPr>
                    <w:t>10,60</w:t>
                  </w:r>
                </w:p>
              </w:tc>
            </w:tr>
            <w:tr w:rsidR="00EE16A4" w:rsidRPr="00EF7A50" w:rsidTr="00D378F0">
              <w:trPr>
                <w:trHeight w:val="168"/>
              </w:trPr>
              <w:tc>
                <w:tcPr>
                  <w:tcW w:w="2409" w:type="dxa"/>
                  <w:vAlign w:val="center"/>
                  <w:hideMark/>
                </w:tcPr>
                <w:p w:rsidR="00EE16A4" w:rsidRPr="00EF7A50" w:rsidRDefault="00EE16A4" w:rsidP="001767BB">
                  <w:pPr>
                    <w:framePr w:hSpace="180" w:wrap="around" w:vAnchor="text" w:hAnchor="margin" w:x="5" w:y="149"/>
                    <w:rPr>
                      <w:color w:val="000000"/>
                      <w:sz w:val="16"/>
                      <w:szCs w:val="16"/>
                    </w:rPr>
                  </w:pPr>
                  <w:r w:rsidRPr="00EF7A50">
                    <w:rPr>
                      <w:color w:val="000000"/>
                      <w:sz w:val="16"/>
                      <w:szCs w:val="16"/>
                    </w:rPr>
                    <w:t>Iedzīvotāju 5</w:t>
                  </w:r>
                  <w:r>
                    <w:rPr>
                      <w:color w:val="000000"/>
                      <w:sz w:val="16"/>
                      <w:szCs w:val="16"/>
                    </w:rPr>
                    <w:t>4</w:t>
                  </w:r>
                  <w:r w:rsidRPr="00EF7A50">
                    <w:rPr>
                      <w:color w:val="000000"/>
                      <w:sz w:val="16"/>
                      <w:szCs w:val="16"/>
                    </w:rPr>
                    <w:t xml:space="preserve">+ skaits </w:t>
                  </w:r>
                </w:p>
              </w:tc>
              <w:tc>
                <w:tcPr>
                  <w:tcW w:w="1044" w:type="dxa"/>
                  <w:vAlign w:val="center"/>
                  <w:hideMark/>
                </w:tcPr>
                <w:p w:rsidR="00EE16A4" w:rsidRPr="00EF7A50" w:rsidRDefault="00EE16A4" w:rsidP="001767BB">
                  <w:pPr>
                    <w:framePr w:hSpace="180" w:wrap="around" w:vAnchor="text" w:hAnchor="margin" w:x="5" w:y="149"/>
                    <w:jc w:val="center"/>
                    <w:rPr>
                      <w:color w:val="000000"/>
                      <w:sz w:val="16"/>
                      <w:szCs w:val="16"/>
                    </w:rPr>
                  </w:pPr>
                  <w:r w:rsidRPr="00EF7A50">
                    <w:rPr>
                      <w:color w:val="000000"/>
                      <w:sz w:val="16"/>
                      <w:szCs w:val="16"/>
                    </w:rPr>
                    <w:t>5,0%</w:t>
                  </w:r>
                </w:p>
              </w:tc>
              <w:tc>
                <w:tcPr>
                  <w:tcW w:w="992" w:type="dxa"/>
                  <w:vAlign w:val="bottom"/>
                  <w:hideMark/>
                </w:tcPr>
                <w:p w:rsidR="00EE16A4" w:rsidRPr="00EE16A4" w:rsidRDefault="00EE16A4">
                  <w:pPr>
                    <w:framePr w:hSpace="180" w:wrap="around" w:vAnchor="text" w:hAnchor="margin" w:x="5" w:y="149"/>
                    <w:jc w:val="right"/>
                    <w:rPr>
                      <w:color w:val="000000"/>
                      <w:sz w:val="16"/>
                      <w:szCs w:val="16"/>
                    </w:rPr>
                  </w:pPr>
                  <w:r w:rsidRPr="00EE16A4">
                    <w:rPr>
                      <w:color w:val="000000"/>
                      <w:sz w:val="16"/>
                      <w:szCs w:val="16"/>
                    </w:rPr>
                    <w:t>1 934 620</w:t>
                  </w:r>
                </w:p>
              </w:tc>
              <w:tc>
                <w:tcPr>
                  <w:tcW w:w="1051" w:type="dxa"/>
                  <w:vAlign w:val="bottom"/>
                  <w:hideMark/>
                </w:tcPr>
                <w:p w:rsidR="00EE16A4" w:rsidRPr="00EE16A4" w:rsidRDefault="00EE16A4">
                  <w:pPr>
                    <w:framePr w:hSpace="180" w:wrap="around" w:vAnchor="text" w:hAnchor="margin" w:x="5" w:y="149"/>
                    <w:jc w:val="right"/>
                    <w:rPr>
                      <w:color w:val="000000"/>
                      <w:sz w:val="16"/>
                      <w:szCs w:val="16"/>
                    </w:rPr>
                  </w:pPr>
                  <w:r w:rsidRPr="00EE16A4">
                    <w:rPr>
                      <w:color w:val="000000"/>
                      <w:sz w:val="16"/>
                      <w:szCs w:val="16"/>
                    </w:rPr>
                    <w:t>2,43</w:t>
                  </w:r>
                </w:p>
              </w:tc>
            </w:tr>
            <w:tr w:rsidR="00EE16A4" w:rsidRPr="00EF7A50" w:rsidTr="00D378F0">
              <w:trPr>
                <w:trHeight w:val="56"/>
              </w:trPr>
              <w:tc>
                <w:tcPr>
                  <w:tcW w:w="2409" w:type="dxa"/>
                  <w:vAlign w:val="center"/>
                  <w:hideMark/>
                </w:tcPr>
                <w:p w:rsidR="00EE16A4" w:rsidRPr="00EF7A50" w:rsidRDefault="00EE16A4" w:rsidP="001767BB">
                  <w:pPr>
                    <w:framePr w:hSpace="180" w:wrap="around" w:vAnchor="text" w:hAnchor="margin" w:x="5" w:y="149"/>
                    <w:rPr>
                      <w:color w:val="000000"/>
                      <w:sz w:val="16"/>
                      <w:szCs w:val="16"/>
                    </w:rPr>
                  </w:pPr>
                  <w:r w:rsidRPr="00EF7A50">
                    <w:rPr>
                      <w:color w:val="000000"/>
                      <w:sz w:val="16"/>
                      <w:szCs w:val="16"/>
                    </w:rPr>
                    <w:t xml:space="preserve">Bezdarbnieku skaits </w:t>
                  </w:r>
                </w:p>
              </w:tc>
              <w:tc>
                <w:tcPr>
                  <w:tcW w:w="1044" w:type="dxa"/>
                  <w:vAlign w:val="center"/>
                  <w:hideMark/>
                </w:tcPr>
                <w:p w:rsidR="00EE16A4" w:rsidRPr="00EF7A50" w:rsidRDefault="00EE16A4" w:rsidP="001767BB">
                  <w:pPr>
                    <w:framePr w:hSpace="180" w:wrap="around" w:vAnchor="text" w:hAnchor="margin" w:x="5" w:y="149"/>
                    <w:jc w:val="center"/>
                    <w:rPr>
                      <w:color w:val="000000"/>
                      <w:sz w:val="16"/>
                      <w:szCs w:val="16"/>
                    </w:rPr>
                  </w:pPr>
                  <w:r w:rsidRPr="00EF7A50">
                    <w:rPr>
                      <w:color w:val="000000"/>
                      <w:sz w:val="16"/>
                      <w:szCs w:val="16"/>
                    </w:rPr>
                    <w:t>2,5%</w:t>
                  </w:r>
                </w:p>
              </w:tc>
              <w:tc>
                <w:tcPr>
                  <w:tcW w:w="992" w:type="dxa"/>
                  <w:vAlign w:val="bottom"/>
                  <w:hideMark/>
                </w:tcPr>
                <w:p w:rsidR="00EE16A4" w:rsidRPr="00EE16A4" w:rsidRDefault="00EE16A4">
                  <w:pPr>
                    <w:framePr w:hSpace="180" w:wrap="around" w:vAnchor="text" w:hAnchor="margin" w:x="5" w:y="149"/>
                    <w:jc w:val="right"/>
                    <w:rPr>
                      <w:color w:val="000000"/>
                      <w:sz w:val="16"/>
                      <w:szCs w:val="16"/>
                    </w:rPr>
                  </w:pPr>
                  <w:r w:rsidRPr="00EE16A4">
                    <w:rPr>
                      <w:color w:val="000000"/>
                      <w:sz w:val="16"/>
                      <w:szCs w:val="16"/>
                    </w:rPr>
                    <w:t>967 310</w:t>
                  </w:r>
                </w:p>
              </w:tc>
              <w:tc>
                <w:tcPr>
                  <w:tcW w:w="1051" w:type="dxa"/>
                  <w:vAlign w:val="bottom"/>
                  <w:hideMark/>
                </w:tcPr>
                <w:p w:rsidR="00EE16A4" w:rsidRPr="00EE16A4" w:rsidRDefault="00EE16A4">
                  <w:pPr>
                    <w:framePr w:hSpace="180" w:wrap="around" w:vAnchor="text" w:hAnchor="margin" w:x="5" w:y="149"/>
                    <w:jc w:val="right"/>
                    <w:rPr>
                      <w:color w:val="000000"/>
                      <w:sz w:val="16"/>
                      <w:szCs w:val="16"/>
                    </w:rPr>
                  </w:pPr>
                  <w:r w:rsidRPr="00EE16A4">
                    <w:rPr>
                      <w:color w:val="000000"/>
                      <w:sz w:val="16"/>
                      <w:szCs w:val="16"/>
                    </w:rPr>
                    <w:t>11,02</w:t>
                  </w:r>
                </w:p>
              </w:tc>
            </w:tr>
            <w:tr w:rsidR="00EE16A4" w:rsidRPr="00EF7A50" w:rsidTr="00D378F0">
              <w:trPr>
                <w:trHeight w:val="56"/>
              </w:trPr>
              <w:tc>
                <w:tcPr>
                  <w:tcW w:w="2409" w:type="dxa"/>
                  <w:vAlign w:val="center"/>
                  <w:hideMark/>
                </w:tcPr>
                <w:p w:rsidR="00EE16A4" w:rsidRPr="00EF7A50" w:rsidRDefault="00EE16A4" w:rsidP="001767BB">
                  <w:pPr>
                    <w:framePr w:hSpace="180" w:wrap="around" w:vAnchor="text" w:hAnchor="margin" w:x="5" w:y="149"/>
                    <w:rPr>
                      <w:color w:val="000000"/>
                      <w:sz w:val="16"/>
                      <w:szCs w:val="16"/>
                    </w:rPr>
                  </w:pPr>
                  <w:r w:rsidRPr="00EF7A50">
                    <w:rPr>
                      <w:color w:val="000000"/>
                      <w:sz w:val="16"/>
                      <w:szCs w:val="16"/>
                    </w:rPr>
                    <w:t xml:space="preserve">Trūcīgo personu skaits </w:t>
                  </w:r>
                </w:p>
              </w:tc>
              <w:tc>
                <w:tcPr>
                  <w:tcW w:w="1044" w:type="dxa"/>
                  <w:vAlign w:val="center"/>
                  <w:hideMark/>
                </w:tcPr>
                <w:p w:rsidR="00EE16A4" w:rsidRPr="00EF7A50" w:rsidRDefault="00EE16A4" w:rsidP="001767BB">
                  <w:pPr>
                    <w:framePr w:hSpace="180" w:wrap="around" w:vAnchor="text" w:hAnchor="margin" w:x="5" w:y="149"/>
                    <w:jc w:val="center"/>
                    <w:rPr>
                      <w:color w:val="000000"/>
                      <w:sz w:val="16"/>
                      <w:szCs w:val="16"/>
                    </w:rPr>
                  </w:pPr>
                  <w:r w:rsidRPr="00EF7A50">
                    <w:rPr>
                      <w:color w:val="000000"/>
                      <w:sz w:val="16"/>
                      <w:szCs w:val="16"/>
                    </w:rPr>
                    <w:t>2,5%</w:t>
                  </w:r>
                </w:p>
              </w:tc>
              <w:tc>
                <w:tcPr>
                  <w:tcW w:w="992" w:type="dxa"/>
                  <w:vAlign w:val="bottom"/>
                  <w:hideMark/>
                </w:tcPr>
                <w:p w:rsidR="00EE16A4" w:rsidRPr="00EE16A4" w:rsidRDefault="00EE16A4">
                  <w:pPr>
                    <w:framePr w:hSpace="180" w:wrap="around" w:vAnchor="text" w:hAnchor="margin" w:x="5" w:y="149"/>
                    <w:jc w:val="right"/>
                    <w:rPr>
                      <w:color w:val="000000"/>
                      <w:sz w:val="16"/>
                      <w:szCs w:val="16"/>
                    </w:rPr>
                  </w:pPr>
                  <w:r w:rsidRPr="00EE16A4">
                    <w:rPr>
                      <w:color w:val="000000"/>
                      <w:sz w:val="16"/>
                      <w:szCs w:val="16"/>
                    </w:rPr>
                    <w:t>967 310</w:t>
                  </w:r>
                </w:p>
              </w:tc>
              <w:tc>
                <w:tcPr>
                  <w:tcW w:w="1051" w:type="dxa"/>
                  <w:vAlign w:val="bottom"/>
                  <w:hideMark/>
                </w:tcPr>
                <w:p w:rsidR="00EE16A4" w:rsidRPr="00EE16A4" w:rsidRDefault="00EE16A4">
                  <w:pPr>
                    <w:framePr w:hSpace="180" w:wrap="around" w:vAnchor="text" w:hAnchor="margin" w:x="5" w:y="149"/>
                    <w:jc w:val="right"/>
                    <w:rPr>
                      <w:color w:val="000000"/>
                      <w:sz w:val="16"/>
                      <w:szCs w:val="16"/>
                    </w:rPr>
                  </w:pPr>
                  <w:r w:rsidRPr="00EE16A4">
                    <w:rPr>
                      <w:color w:val="000000"/>
                      <w:sz w:val="16"/>
                      <w:szCs w:val="16"/>
                    </w:rPr>
                    <w:t>9,25</w:t>
                  </w:r>
                </w:p>
              </w:tc>
            </w:tr>
            <w:tr w:rsidR="00EE16A4" w:rsidRPr="00EF7A50" w:rsidTr="00D378F0">
              <w:trPr>
                <w:trHeight w:val="56"/>
              </w:trPr>
              <w:tc>
                <w:tcPr>
                  <w:tcW w:w="2409" w:type="dxa"/>
                  <w:vAlign w:val="center"/>
                  <w:hideMark/>
                </w:tcPr>
                <w:p w:rsidR="00EE16A4" w:rsidRPr="00EF7A50" w:rsidRDefault="00EE16A4" w:rsidP="001767BB">
                  <w:pPr>
                    <w:framePr w:hSpace="180" w:wrap="around" w:vAnchor="text" w:hAnchor="margin" w:x="5" w:y="149"/>
                    <w:rPr>
                      <w:color w:val="000000"/>
                      <w:sz w:val="16"/>
                      <w:szCs w:val="16"/>
                    </w:rPr>
                  </w:pPr>
                  <w:r w:rsidRPr="00EF7A50">
                    <w:rPr>
                      <w:color w:val="000000"/>
                      <w:sz w:val="16"/>
                      <w:szCs w:val="16"/>
                    </w:rPr>
                    <w:t xml:space="preserve">Personu ar invaliditāti skaits </w:t>
                  </w:r>
                </w:p>
              </w:tc>
              <w:tc>
                <w:tcPr>
                  <w:tcW w:w="1044" w:type="dxa"/>
                  <w:vAlign w:val="center"/>
                  <w:hideMark/>
                </w:tcPr>
                <w:p w:rsidR="00EE16A4" w:rsidRPr="00EF7A50" w:rsidRDefault="00EE16A4" w:rsidP="001767BB">
                  <w:pPr>
                    <w:framePr w:hSpace="180" w:wrap="around" w:vAnchor="text" w:hAnchor="margin" w:x="5" w:y="149"/>
                    <w:jc w:val="center"/>
                    <w:rPr>
                      <w:color w:val="000000"/>
                      <w:sz w:val="16"/>
                      <w:szCs w:val="16"/>
                    </w:rPr>
                  </w:pPr>
                  <w:r w:rsidRPr="00EF7A50">
                    <w:rPr>
                      <w:color w:val="000000"/>
                      <w:sz w:val="16"/>
                      <w:szCs w:val="16"/>
                    </w:rPr>
                    <w:t>2,5%</w:t>
                  </w:r>
                </w:p>
              </w:tc>
              <w:tc>
                <w:tcPr>
                  <w:tcW w:w="992" w:type="dxa"/>
                  <w:vAlign w:val="bottom"/>
                  <w:hideMark/>
                </w:tcPr>
                <w:p w:rsidR="00EE16A4" w:rsidRPr="00EE16A4" w:rsidRDefault="00EE16A4">
                  <w:pPr>
                    <w:framePr w:hSpace="180" w:wrap="around" w:vAnchor="text" w:hAnchor="margin" w:x="5" w:y="149"/>
                    <w:jc w:val="right"/>
                    <w:rPr>
                      <w:color w:val="000000"/>
                      <w:sz w:val="16"/>
                      <w:szCs w:val="16"/>
                    </w:rPr>
                  </w:pPr>
                  <w:r w:rsidRPr="00EE16A4">
                    <w:rPr>
                      <w:color w:val="000000"/>
                      <w:sz w:val="16"/>
                      <w:szCs w:val="16"/>
                    </w:rPr>
                    <w:t>967 310</w:t>
                  </w:r>
                </w:p>
              </w:tc>
              <w:tc>
                <w:tcPr>
                  <w:tcW w:w="1051" w:type="dxa"/>
                  <w:vAlign w:val="bottom"/>
                  <w:hideMark/>
                </w:tcPr>
                <w:p w:rsidR="00EE16A4" w:rsidRPr="00EE16A4" w:rsidRDefault="00EE16A4">
                  <w:pPr>
                    <w:framePr w:hSpace="180" w:wrap="around" w:vAnchor="text" w:hAnchor="margin" w:x="5" w:y="149"/>
                    <w:jc w:val="right"/>
                    <w:rPr>
                      <w:color w:val="000000"/>
                      <w:sz w:val="16"/>
                      <w:szCs w:val="16"/>
                    </w:rPr>
                  </w:pPr>
                  <w:r w:rsidRPr="00EE16A4">
                    <w:rPr>
                      <w:color w:val="000000"/>
                      <w:sz w:val="16"/>
                      <w:szCs w:val="16"/>
                    </w:rPr>
                    <w:t>5,79</w:t>
                  </w:r>
                </w:p>
              </w:tc>
            </w:tr>
            <w:tr w:rsidR="00EE16A4" w:rsidRPr="00EF7A50" w:rsidTr="00EE16A4">
              <w:trPr>
                <w:trHeight w:val="56"/>
              </w:trPr>
              <w:tc>
                <w:tcPr>
                  <w:tcW w:w="2409" w:type="dxa"/>
                  <w:vAlign w:val="center"/>
                  <w:hideMark/>
                </w:tcPr>
                <w:p w:rsidR="00EE16A4" w:rsidRPr="00EF7A50" w:rsidRDefault="00EE16A4" w:rsidP="001767BB">
                  <w:pPr>
                    <w:framePr w:hSpace="180" w:wrap="around" w:vAnchor="text" w:hAnchor="margin" w:x="5" w:y="149"/>
                    <w:rPr>
                      <w:color w:val="000000"/>
                      <w:sz w:val="16"/>
                      <w:szCs w:val="16"/>
                    </w:rPr>
                  </w:pPr>
                  <w:r>
                    <w:rPr>
                      <w:color w:val="000000"/>
                      <w:sz w:val="16"/>
                      <w:szCs w:val="16"/>
                    </w:rPr>
                    <w:t xml:space="preserve">Lauku iedzīvotāju skaits teritorijās ārpus pilsētām ar blīvumu zem 50 iedzīvotājiem uz </w:t>
                  </w:r>
                  <w:proofErr w:type="spellStart"/>
                  <w:r>
                    <w:rPr>
                      <w:color w:val="000000"/>
                      <w:sz w:val="16"/>
                      <w:szCs w:val="16"/>
                    </w:rPr>
                    <w:t>kvadrātklometru</w:t>
                  </w:r>
                  <w:proofErr w:type="spellEnd"/>
                </w:p>
              </w:tc>
              <w:tc>
                <w:tcPr>
                  <w:tcW w:w="1044" w:type="dxa"/>
                  <w:vAlign w:val="center"/>
                  <w:hideMark/>
                </w:tcPr>
                <w:p w:rsidR="00EE16A4" w:rsidRPr="00EF7A50" w:rsidRDefault="00EE16A4" w:rsidP="001767BB">
                  <w:pPr>
                    <w:framePr w:hSpace="180" w:wrap="around" w:vAnchor="text" w:hAnchor="margin" w:x="5" w:y="149"/>
                    <w:jc w:val="center"/>
                    <w:rPr>
                      <w:color w:val="000000"/>
                      <w:sz w:val="16"/>
                      <w:szCs w:val="16"/>
                    </w:rPr>
                  </w:pPr>
                  <w:r w:rsidRPr="00EF7A50">
                    <w:rPr>
                      <w:color w:val="000000"/>
                      <w:sz w:val="16"/>
                      <w:szCs w:val="16"/>
                    </w:rPr>
                    <w:t>5,0%</w:t>
                  </w:r>
                </w:p>
              </w:tc>
              <w:tc>
                <w:tcPr>
                  <w:tcW w:w="992" w:type="dxa"/>
                  <w:vAlign w:val="center"/>
                  <w:hideMark/>
                </w:tcPr>
                <w:p w:rsidR="00EE16A4" w:rsidRPr="00EE16A4" w:rsidRDefault="00EE16A4" w:rsidP="00EE16A4">
                  <w:pPr>
                    <w:framePr w:hSpace="180" w:wrap="around" w:vAnchor="text" w:hAnchor="margin" w:x="5" w:y="149"/>
                    <w:jc w:val="right"/>
                    <w:rPr>
                      <w:color w:val="000000"/>
                      <w:sz w:val="16"/>
                      <w:szCs w:val="16"/>
                    </w:rPr>
                  </w:pPr>
                  <w:r w:rsidRPr="00EE16A4">
                    <w:rPr>
                      <w:color w:val="000000"/>
                      <w:sz w:val="16"/>
                      <w:szCs w:val="16"/>
                    </w:rPr>
                    <w:t>1 934 620</w:t>
                  </w:r>
                </w:p>
              </w:tc>
              <w:tc>
                <w:tcPr>
                  <w:tcW w:w="1051" w:type="dxa"/>
                  <w:vAlign w:val="center"/>
                  <w:hideMark/>
                </w:tcPr>
                <w:p w:rsidR="00EE16A4" w:rsidRPr="00EE16A4" w:rsidRDefault="00EE16A4" w:rsidP="00EE16A4">
                  <w:pPr>
                    <w:framePr w:hSpace="180" w:wrap="around" w:vAnchor="text" w:hAnchor="margin" w:x="5" w:y="149"/>
                    <w:jc w:val="right"/>
                    <w:rPr>
                      <w:color w:val="000000"/>
                      <w:sz w:val="16"/>
                      <w:szCs w:val="16"/>
                    </w:rPr>
                  </w:pPr>
                  <w:r w:rsidRPr="00EE16A4">
                    <w:rPr>
                      <w:color w:val="000000"/>
                      <w:sz w:val="16"/>
                      <w:szCs w:val="16"/>
                    </w:rPr>
                    <w:t>3,30</w:t>
                  </w:r>
                </w:p>
              </w:tc>
            </w:tr>
            <w:tr w:rsidR="00EE16A4" w:rsidRPr="00EF7A50" w:rsidTr="00D378F0">
              <w:trPr>
                <w:trHeight w:val="56"/>
              </w:trPr>
              <w:tc>
                <w:tcPr>
                  <w:tcW w:w="2409" w:type="dxa"/>
                  <w:vAlign w:val="center"/>
                  <w:hideMark/>
                </w:tcPr>
                <w:p w:rsidR="00EE16A4" w:rsidRPr="00EF7A50" w:rsidRDefault="00EE16A4" w:rsidP="00EE16A4">
                  <w:pPr>
                    <w:framePr w:hSpace="180" w:wrap="around" w:vAnchor="text" w:hAnchor="margin" w:x="5" w:y="149"/>
                    <w:rPr>
                      <w:color w:val="000000"/>
                      <w:sz w:val="16"/>
                      <w:szCs w:val="16"/>
                    </w:rPr>
                  </w:pPr>
                  <w:r>
                    <w:rPr>
                      <w:color w:val="000000"/>
                      <w:sz w:val="16"/>
                      <w:szCs w:val="16"/>
                    </w:rPr>
                    <w:t>Maksimālais projekta finansējums</w:t>
                  </w:r>
                </w:p>
              </w:tc>
              <w:tc>
                <w:tcPr>
                  <w:tcW w:w="1044" w:type="dxa"/>
                  <w:vAlign w:val="center"/>
                  <w:hideMark/>
                </w:tcPr>
                <w:p w:rsidR="00EE16A4" w:rsidRPr="00EF7A50" w:rsidRDefault="00EE16A4" w:rsidP="00EE16A4">
                  <w:pPr>
                    <w:framePr w:hSpace="180" w:wrap="around" w:vAnchor="text" w:hAnchor="margin" w:x="5" w:y="149"/>
                    <w:jc w:val="center"/>
                    <w:rPr>
                      <w:color w:val="000000"/>
                      <w:sz w:val="16"/>
                      <w:szCs w:val="16"/>
                    </w:rPr>
                  </w:pPr>
                  <w:r>
                    <w:rPr>
                      <w:color w:val="000000"/>
                      <w:sz w:val="16"/>
                      <w:szCs w:val="16"/>
                    </w:rPr>
                    <w:t>-</w:t>
                  </w:r>
                </w:p>
              </w:tc>
              <w:tc>
                <w:tcPr>
                  <w:tcW w:w="992" w:type="dxa"/>
                  <w:vAlign w:val="center"/>
                  <w:hideMark/>
                </w:tcPr>
                <w:p w:rsidR="00EE16A4" w:rsidRPr="00EF7A50" w:rsidRDefault="00EE16A4" w:rsidP="00EE16A4">
                  <w:pPr>
                    <w:framePr w:hSpace="180" w:wrap="around" w:vAnchor="text" w:hAnchor="margin" w:x="5" w:y="149"/>
                    <w:jc w:val="right"/>
                    <w:rPr>
                      <w:color w:val="000000"/>
                      <w:sz w:val="16"/>
                      <w:szCs w:val="16"/>
                    </w:rPr>
                  </w:pPr>
                  <w:r>
                    <w:rPr>
                      <w:color w:val="000000"/>
                      <w:sz w:val="16"/>
                      <w:szCs w:val="16"/>
                    </w:rPr>
                    <w:t>3 500 000</w:t>
                  </w:r>
                </w:p>
              </w:tc>
              <w:tc>
                <w:tcPr>
                  <w:tcW w:w="1051" w:type="dxa"/>
                  <w:vAlign w:val="center"/>
                  <w:hideMark/>
                </w:tcPr>
                <w:p w:rsidR="00EE16A4" w:rsidRPr="00EF7A50" w:rsidRDefault="00EE16A4" w:rsidP="00EE16A4">
                  <w:pPr>
                    <w:framePr w:hSpace="180" w:wrap="around" w:vAnchor="text" w:hAnchor="margin" w:x="5" w:y="149"/>
                    <w:jc w:val="right"/>
                    <w:rPr>
                      <w:color w:val="000000"/>
                      <w:sz w:val="16"/>
                      <w:szCs w:val="16"/>
                    </w:rPr>
                  </w:pPr>
                  <w:r>
                    <w:rPr>
                      <w:color w:val="000000"/>
                      <w:sz w:val="16"/>
                      <w:szCs w:val="16"/>
                    </w:rPr>
                    <w:t>-</w:t>
                  </w:r>
                </w:p>
              </w:tc>
            </w:tr>
            <w:tr w:rsidR="001767BB" w:rsidRPr="00EF7A50" w:rsidTr="00EE16A4">
              <w:trPr>
                <w:trHeight w:val="56"/>
              </w:trPr>
              <w:tc>
                <w:tcPr>
                  <w:tcW w:w="2409" w:type="dxa"/>
                  <w:vAlign w:val="center"/>
                  <w:hideMark/>
                </w:tcPr>
                <w:p w:rsidR="001767BB" w:rsidRPr="00EF7A50" w:rsidRDefault="001767BB" w:rsidP="001767BB">
                  <w:pPr>
                    <w:framePr w:hSpace="180" w:wrap="around" w:vAnchor="text" w:hAnchor="margin" w:x="5" w:y="149"/>
                    <w:rPr>
                      <w:color w:val="000000"/>
                      <w:sz w:val="16"/>
                      <w:szCs w:val="16"/>
                    </w:rPr>
                  </w:pPr>
                  <w:r>
                    <w:rPr>
                      <w:color w:val="000000"/>
                      <w:sz w:val="16"/>
                      <w:szCs w:val="16"/>
                    </w:rPr>
                    <w:t>Korekcija, ja nav Nacionālajā veselīgo pašvaldību tīklā</w:t>
                  </w:r>
                </w:p>
              </w:tc>
              <w:tc>
                <w:tcPr>
                  <w:tcW w:w="1044" w:type="dxa"/>
                  <w:vAlign w:val="center"/>
                  <w:hideMark/>
                </w:tcPr>
                <w:p w:rsidR="001767BB" w:rsidRPr="00EF7A50" w:rsidRDefault="004473C8" w:rsidP="001767BB">
                  <w:pPr>
                    <w:framePr w:hSpace="180" w:wrap="around" w:vAnchor="text" w:hAnchor="margin" w:x="5" w:y="149"/>
                    <w:jc w:val="center"/>
                    <w:rPr>
                      <w:color w:val="000000"/>
                      <w:sz w:val="16"/>
                      <w:szCs w:val="16"/>
                    </w:rPr>
                  </w:pPr>
                  <w:r>
                    <w:rPr>
                      <w:color w:val="000000"/>
                      <w:sz w:val="16"/>
                      <w:szCs w:val="16"/>
                    </w:rPr>
                    <w:t>50</w:t>
                  </w:r>
                  <w:r w:rsidR="001767BB">
                    <w:rPr>
                      <w:color w:val="000000"/>
                      <w:sz w:val="16"/>
                      <w:szCs w:val="16"/>
                    </w:rPr>
                    <w:t>%</w:t>
                  </w:r>
                </w:p>
              </w:tc>
              <w:tc>
                <w:tcPr>
                  <w:tcW w:w="992" w:type="dxa"/>
                  <w:vAlign w:val="center"/>
                  <w:hideMark/>
                </w:tcPr>
                <w:p w:rsidR="001767BB" w:rsidRPr="00EF7A50" w:rsidRDefault="001767BB" w:rsidP="001767BB">
                  <w:pPr>
                    <w:framePr w:hSpace="180" w:wrap="around" w:vAnchor="text" w:hAnchor="margin" w:x="5" w:y="149"/>
                    <w:jc w:val="right"/>
                    <w:rPr>
                      <w:color w:val="000000"/>
                      <w:sz w:val="16"/>
                      <w:szCs w:val="16"/>
                    </w:rPr>
                  </w:pPr>
                  <w:r>
                    <w:rPr>
                      <w:color w:val="000000"/>
                      <w:sz w:val="16"/>
                      <w:szCs w:val="16"/>
                    </w:rPr>
                    <w:t>-</w:t>
                  </w:r>
                </w:p>
              </w:tc>
              <w:tc>
                <w:tcPr>
                  <w:tcW w:w="1051" w:type="dxa"/>
                  <w:vAlign w:val="center"/>
                  <w:hideMark/>
                </w:tcPr>
                <w:p w:rsidR="001767BB" w:rsidRPr="00EF7A50" w:rsidRDefault="001767BB" w:rsidP="001767BB">
                  <w:pPr>
                    <w:framePr w:hSpace="180" w:wrap="around" w:vAnchor="text" w:hAnchor="margin" w:x="5" w:y="149"/>
                    <w:jc w:val="right"/>
                    <w:rPr>
                      <w:color w:val="000000"/>
                      <w:sz w:val="16"/>
                      <w:szCs w:val="16"/>
                    </w:rPr>
                  </w:pPr>
                  <w:r>
                    <w:rPr>
                      <w:color w:val="000000"/>
                      <w:sz w:val="16"/>
                      <w:szCs w:val="16"/>
                    </w:rPr>
                    <w:t>-</w:t>
                  </w:r>
                </w:p>
              </w:tc>
            </w:tr>
          </w:tbl>
          <w:p w:rsidR="00240676" w:rsidRDefault="00D26824" w:rsidP="00C1591C">
            <w:pPr>
              <w:pStyle w:val="naiskr"/>
              <w:spacing w:before="40" w:beforeAutospacing="0" w:after="40" w:afterAutospacing="0"/>
              <w:ind w:left="57" w:right="57" w:firstLine="284"/>
              <w:jc w:val="both"/>
              <w:rPr>
                <w:rFonts w:eastAsiaTheme="minorEastAsia"/>
                <w:bCs/>
                <w:spacing w:val="-2"/>
              </w:rPr>
            </w:pPr>
            <w:r>
              <w:rPr>
                <w:rFonts w:eastAsiaTheme="minorEastAsia"/>
                <w:bCs/>
                <w:spacing w:val="-2"/>
              </w:rPr>
              <w:t xml:space="preserve">SAM efektīvai ieviešanai īpaša uzmanība pievērsta </w:t>
            </w:r>
            <w:r w:rsidRPr="00D26824">
              <w:rPr>
                <w:rFonts w:eastAsiaTheme="minorEastAsia"/>
                <w:b/>
                <w:bCs/>
                <w:spacing w:val="-2"/>
              </w:rPr>
              <w:t>plānošanai un uzraudzībai</w:t>
            </w:r>
            <w:r>
              <w:rPr>
                <w:rFonts w:eastAsiaTheme="minorEastAsia"/>
                <w:bCs/>
                <w:spacing w:val="-2"/>
              </w:rPr>
              <w:t>, tai skaitā paredzēts:</w:t>
            </w:r>
          </w:p>
          <w:p w:rsidR="00D26824" w:rsidRDefault="00497B9B" w:rsidP="00C1591C">
            <w:pPr>
              <w:pStyle w:val="ListParagraph"/>
              <w:numPr>
                <w:ilvl w:val="0"/>
                <w:numId w:val="11"/>
              </w:numPr>
              <w:spacing w:after="120"/>
              <w:ind w:left="397" w:right="57" w:firstLine="0"/>
              <w:jc w:val="both"/>
              <w:outlineLvl w:val="0"/>
              <w:rPr>
                <w:rFonts w:eastAsiaTheme="minorEastAsia"/>
                <w:bCs/>
                <w:spacing w:val="-2"/>
                <w:lang w:eastAsia="lv-LV"/>
              </w:rPr>
            </w:pPr>
            <w:r>
              <w:rPr>
                <w:rFonts w:eastAsiaTheme="minorEastAsia"/>
                <w:bCs/>
                <w:spacing w:val="-2"/>
                <w:lang w:eastAsia="lv-LV"/>
              </w:rPr>
              <w:t xml:space="preserve">veselības veicināšanas un slimību profilakses </w:t>
            </w:r>
            <w:r w:rsidR="00D26824">
              <w:rPr>
                <w:rFonts w:eastAsiaTheme="minorEastAsia"/>
                <w:bCs/>
                <w:spacing w:val="-2"/>
                <w:lang w:eastAsia="lv-LV"/>
              </w:rPr>
              <w:t>pasākumu plāna izstrāde, kas būs par pamatu SAM darbību plānošanai un efektīvai īstenošanai, kas ietver:</w:t>
            </w:r>
          </w:p>
          <w:p w:rsidR="00D26824" w:rsidRPr="00D26824" w:rsidRDefault="00D26824" w:rsidP="00EE16A4">
            <w:pPr>
              <w:pStyle w:val="ListParagraph"/>
              <w:numPr>
                <w:ilvl w:val="1"/>
                <w:numId w:val="11"/>
              </w:numPr>
              <w:ind w:left="823" w:right="57" w:hanging="425"/>
              <w:jc w:val="both"/>
              <w:outlineLvl w:val="0"/>
              <w:rPr>
                <w:rFonts w:eastAsiaTheme="minorEastAsia"/>
                <w:bCs/>
                <w:spacing w:val="-2"/>
                <w:lang w:eastAsia="lv-LV"/>
              </w:rPr>
            </w:pPr>
            <w:r>
              <w:t>nacionālā līmenī īstenojamo veselības veicināšanas iniciatīvu aprakstu;</w:t>
            </w:r>
          </w:p>
          <w:p w:rsidR="00D26824" w:rsidRPr="00D26824" w:rsidRDefault="00C82864" w:rsidP="00EE16A4">
            <w:pPr>
              <w:pStyle w:val="ListParagraph"/>
              <w:numPr>
                <w:ilvl w:val="1"/>
                <w:numId w:val="11"/>
              </w:numPr>
              <w:ind w:left="823" w:right="57" w:hanging="425"/>
              <w:jc w:val="both"/>
              <w:outlineLvl w:val="0"/>
              <w:rPr>
                <w:rFonts w:eastAsiaTheme="minorEastAsia"/>
                <w:bCs/>
                <w:spacing w:val="-2"/>
                <w:lang w:eastAsia="lv-LV"/>
              </w:rPr>
            </w:pPr>
            <w:r>
              <w:t>vispārīgu</w:t>
            </w:r>
            <w:r w:rsidRPr="00D9303E">
              <w:t xml:space="preserve"> </w:t>
            </w:r>
            <w:r w:rsidR="00D26824" w:rsidRPr="00D9303E">
              <w:t xml:space="preserve">veselības veicināšanas un slimību profilakses </w:t>
            </w:r>
            <w:r w:rsidR="00D26824">
              <w:t>plānoto pasākumu aprakstu;</w:t>
            </w:r>
          </w:p>
          <w:p w:rsidR="00D26824" w:rsidRPr="00DD78D9" w:rsidRDefault="00D26824" w:rsidP="00EE16A4">
            <w:pPr>
              <w:pStyle w:val="ListParagraph"/>
              <w:numPr>
                <w:ilvl w:val="1"/>
                <w:numId w:val="11"/>
              </w:numPr>
              <w:ind w:left="823" w:right="57" w:hanging="425"/>
              <w:jc w:val="both"/>
              <w:outlineLvl w:val="0"/>
              <w:rPr>
                <w:rFonts w:eastAsiaTheme="minorEastAsia"/>
                <w:bCs/>
                <w:spacing w:val="-2"/>
                <w:lang w:eastAsia="lv-LV"/>
              </w:rPr>
            </w:pPr>
            <w:r w:rsidRPr="00D9303E">
              <w:t xml:space="preserve">veselības veicināšanas </w:t>
            </w:r>
            <w:r>
              <w:t xml:space="preserve">pasākumu </w:t>
            </w:r>
            <w:r w:rsidRPr="00D9303E">
              <w:t>mērķa grupām</w:t>
            </w:r>
            <w:r>
              <w:t xml:space="preserve"> un </w:t>
            </w:r>
            <w:r w:rsidRPr="00D9303E">
              <w:t>vietējai sabiedrībai</w:t>
            </w:r>
            <w:r>
              <w:t xml:space="preserve"> un vietējo slimību profilakses pasākumu aprakstu;</w:t>
            </w:r>
          </w:p>
          <w:p w:rsidR="00DD78D9" w:rsidRPr="00DD78D9" w:rsidRDefault="00DD78D9" w:rsidP="00EE16A4">
            <w:pPr>
              <w:pStyle w:val="ListParagraph"/>
              <w:numPr>
                <w:ilvl w:val="1"/>
                <w:numId w:val="11"/>
              </w:numPr>
              <w:ind w:left="823" w:right="57" w:hanging="425"/>
              <w:jc w:val="both"/>
              <w:outlineLvl w:val="0"/>
            </w:pPr>
            <w:r w:rsidRPr="00DD78D9">
              <w:t xml:space="preserve">rekomendācijas veselības veicināšanas un slimību profilakses pasākumu </w:t>
            </w:r>
            <w:r w:rsidR="001449CC">
              <w:t>nepieciešamībai teritoriālā dalījumā;</w:t>
            </w:r>
          </w:p>
          <w:p w:rsidR="00D26824" w:rsidRDefault="00D26824" w:rsidP="00EE16A4">
            <w:pPr>
              <w:pStyle w:val="ListParagraph"/>
              <w:numPr>
                <w:ilvl w:val="1"/>
                <w:numId w:val="11"/>
              </w:numPr>
              <w:ind w:left="823" w:right="57" w:hanging="425"/>
              <w:jc w:val="both"/>
              <w:outlineLvl w:val="0"/>
              <w:rPr>
                <w:rFonts w:eastAsiaTheme="minorEastAsia"/>
                <w:bCs/>
                <w:spacing w:val="-2"/>
                <w:lang w:eastAsia="lv-LV"/>
              </w:rPr>
            </w:pPr>
            <w:r>
              <w:t xml:space="preserve">vadlīnijas </w:t>
            </w:r>
            <w:r w:rsidRPr="00D9303E">
              <w:t xml:space="preserve">veselības veicināšanas un slimību profilakses </w:t>
            </w:r>
            <w:r>
              <w:t>pasākumu īstenošanai.</w:t>
            </w:r>
          </w:p>
          <w:p w:rsidR="00D26824" w:rsidRDefault="00D26824" w:rsidP="00C1591C">
            <w:pPr>
              <w:pStyle w:val="ListParagraph"/>
              <w:numPr>
                <w:ilvl w:val="0"/>
                <w:numId w:val="11"/>
              </w:numPr>
              <w:spacing w:after="120"/>
              <w:ind w:left="397" w:right="57" w:firstLine="0"/>
              <w:jc w:val="both"/>
              <w:outlineLvl w:val="0"/>
              <w:rPr>
                <w:rFonts w:eastAsiaTheme="minorEastAsia"/>
                <w:bCs/>
                <w:spacing w:val="-2"/>
                <w:lang w:eastAsia="lv-LV"/>
              </w:rPr>
            </w:pPr>
            <w:proofErr w:type="spellStart"/>
            <w:r>
              <w:rPr>
                <w:rFonts w:eastAsiaTheme="minorEastAsia"/>
                <w:bCs/>
                <w:spacing w:val="-2"/>
                <w:lang w:eastAsia="lv-LV"/>
              </w:rPr>
              <w:t>starpsektor</w:t>
            </w:r>
            <w:r w:rsidR="004C465E">
              <w:rPr>
                <w:rFonts w:eastAsiaTheme="minorEastAsia"/>
                <w:bCs/>
                <w:spacing w:val="-2"/>
                <w:lang w:eastAsia="lv-LV"/>
              </w:rPr>
              <w:t>u</w:t>
            </w:r>
            <w:proofErr w:type="spellEnd"/>
            <w:r>
              <w:rPr>
                <w:rFonts w:eastAsiaTheme="minorEastAsia"/>
                <w:bCs/>
                <w:spacing w:val="-2"/>
                <w:lang w:eastAsia="lv-LV"/>
              </w:rPr>
              <w:t xml:space="preserve"> sadarbības komitejas izveide, iesaistot ministrijas, iestādes un nevalstiskās organizācijas, kas risinās </w:t>
            </w:r>
            <w:proofErr w:type="spellStart"/>
            <w:r>
              <w:rPr>
                <w:rFonts w:eastAsiaTheme="minorEastAsia"/>
                <w:bCs/>
                <w:spacing w:val="-2"/>
                <w:lang w:eastAsia="lv-LV"/>
              </w:rPr>
              <w:t>starpsektor</w:t>
            </w:r>
            <w:r w:rsidR="004C465E">
              <w:rPr>
                <w:rFonts w:eastAsiaTheme="minorEastAsia"/>
                <w:bCs/>
                <w:spacing w:val="-2"/>
                <w:lang w:eastAsia="lv-LV"/>
              </w:rPr>
              <w:t>u</w:t>
            </w:r>
            <w:proofErr w:type="spellEnd"/>
            <w:r>
              <w:rPr>
                <w:rFonts w:eastAsiaTheme="minorEastAsia"/>
                <w:bCs/>
                <w:spacing w:val="-2"/>
                <w:lang w:eastAsia="lv-LV"/>
              </w:rPr>
              <w:t xml:space="preserve"> jautājumus, saskaņos atsevišķus plānošanas jautājumus un uzraudzīs SAM ieviešanu;</w:t>
            </w:r>
          </w:p>
          <w:p w:rsidR="00D26824" w:rsidRDefault="00497B9B" w:rsidP="00C1591C">
            <w:pPr>
              <w:pStyle w:val="ListParagraph"/>
              <w:numPr>
                <w:ilvl w:val="0"/>
                <w:numId w:val="11"/>
              </w:numPr>
              <w:spacing w:after="120"/>
              <w:ind w:left="397" w:right="57" w:firstLine="0"/>
              <w:jc w:val="both"/>
              <w:outlineLvl w:val="0"/>
              <w:rPr>
                <w:rFonts w:eastAsiaTheme="minorEastAsia"/>
                <w:bCs/>
                <w:spacing w:val="-2"/>
                <w:lang w:eastAsia="lv-LV"/>
              </w:rPr>
            </w:pPr>
            <w:r w:rsidRPr="00A03B30">
              <w:rPr>
                <w:rFonts w:eastAsiaTheme="minorEastAsia"/>
                <w:bCs/>
                <w:spacing w:val="-2"/>
                <w:lang w:eastAsia="lv-LV"/>
              </w:rPr>
              <w:t>projekt</w:t>
            </w:r>
            <w:r>
              <w:rPr>
                <w:rFonts w:eastAsiaTheme="minorEastAsia"/>
                <w:bCs/>
                <w:spacing w:val="-2"/>
                <w:lang w:eastAsia="lv-LV"/>
              </w:rPr>
              <w:t>u</w:t>
            </w:r>
            <w:r w:rsidRPr="00A03B30">
              <w:rPr>
                <w:rFonts w:eastAsiaTheme="minorEastAsia"/>
                <w:bCs/>
                <w:spacing w:val="-2"/>
                <w:lang w:eastAsia="lv-LV"/>
              </w:rPr>
              <w:t xml:space="preserve"> </w:t>
            </w:r>
            <w:r w:rsidR="006F75C1">
              <w:rPr>
                <w:rFonts w:eastAsiaTheme="minorEastAsia"/>
                <w:bCs/>
                <w:spacing w:val="-2"/>
                <w:lang w:eastAsia="lv-LV"/>
              </w:rPr>
              <w:t>ar izmaksām virs 1</w:t>
            </w:r>
            <w:r w:rsidR="00C82864">
              <w:rPr>
                <w:rFonts w:eastAsiaTheme="minorEastAsia"/>
                <w:bCs/>
                <w:spacing w:val="-2"/>
                <w:lang w:eastAsia="lv-LV"/>
              </w:rPr>
              <w:t>,5</w:t>
            </w:r>
            <w:r w:rsidR="006F75C1">
              <w:rPr>
                <w:rFonts w:eastAsiaTheme="minorEastAsia"/>
                <w:bCs/>
                <w:spacing w:val="-2"/>
                <w:lang w:eastAsia="lv-LV"/>
              </w:rPr>
              <w:t xml:space="preserve"> </w:t>
            </w:r>
            <w:proofErr w:type="spellStart"/>
            <w:r w:rsidR="006F75C1" w:rsidRPr="006F75C1">
              <w:rPr>
                <w:rFonts w:eastAsiaTheme="minorEastAsia"/>
                <w:bCs/>
                <w:i/>
                <w:spacing w:val="-2"/>
                <w:lang w:eastAsia="lv-LV"/>
              </w:rPr>
              <w:t>milj.euro</w:t>
            </w:r>
            <w:proofErr w:type="spellEnd"/>
            <w:r w:rsidR="006F75C1">
              <w:rPr>
                <w:rFonts w:eastAsiaTheme="minorEastAsia"/>
                <w:bCs/>
                <w:spacing w:val="-2"/>
                <w:lang w:eastAsia="lv-LV"/>
              </w:rPr>
              <w:t xml:space="preserve"> </w:t>
            </w:r>
            <w:r w:rsidRPr="006F75C1">
              <w:rPr>
                <w:rFonts w:eastAsiaTheme="minorEastAsia"/>
                <w:bCs/>
                <w:spacing w:val="-2"/>
                <w:lang w:eastAsia="lv-LV"/>
              </w:rPr>
              <w:t>vadības</w:t>
            </w:r>
            <w:r w:rsidRPr="00A03B30">
              <w:rPr>
                <w:rFonts w:eastAsiaTheme="minorEastAsia"/>
                <w:bCs/>
                <w:spacing w:val="-2"/>
                <w:lang w:eastAsia="lv-LV"/>
              </w:rPr>
              <w:t xml:space="preserve"> un kontroles komisij</w:t>
            </w:r>
            <w:r>
              <w:rPr>
                <w:rFonts w:eastAsiaTheme="minorEastAsia"/>
                <w:bCs/>
                <w:spacing w:val="-2"/>
                <w:lang w:eastAsia="lv-LV"/>
              </w:rPr>
              <w:t>as</w:t>
            </w:r>
            <w:r w:rsidDel="00A03B30">
              <w:rPr>
                <w:rFonts w:eastAsiaTheme="minorEastAsia"/>
                <w:bCs/>
                <w:spacing w:val="-2"/>
                <w:lang w:eastAsia="lv-LV"/>
              </w:rPr>
              <w:t xml:space="preserve"> </w:t>
            </w:r>
            <w:r>
              <w:rPr>
                <w:rFonts w:eastAsiaTheme="minorEastAsia"/>
                <w:bCs/>
                <w:spacing w:val="-2"/>
                <w:lang w:eastAsia="lv-LV"/>
              </w:rPr>
              <w:t>izveidi</w:t>
            </w:r>
            <w:r w:rsidR="00D26824">
              <w:rPr>
                <w:rFonts w:eastAsiaTheme="minorEastAsia"/>
                <w:bCs/>
                <w:spacing w:val="-2"/>
                <w:lang w:eastAsia="lv-LV"/>
              </w:rPr>
              <w:t xml:space="preserve">, kas </w:t>
            </w:r>
            <w:r>
              <w:rPr>
                <w:rFonts w:eastAsiaTheme="minorEastAsia"/>
                <w:bCs/>
                <w:spacing w:val="-2"/>
                <w:lang w:eastAsia="lv-LV"/>
              </w:rPr>
              <w:t xml:space="preserve">nodrošinās regulāru projektu ieviešanas plānošanu un </w:t>
            </w:r>
            <w:r w:rsidR="00D26824">
              <w:rPr>
                <w:rFonts w:eastAsiaTheme="minorEastAsia"/>
                <w:bCs/>
                <w:spacing w:val="-2"/>
                <w:lang w:eastAsia="lv-LV"/>
              </w:rPr>
              <w:t>kontrol</w:t>
            </w:r>
            <w:r>
              <w:rPr>
                <w:rFonts w:eastAsiaTheme="minorEastAsia"/>
                <w:bCs/>
                <w:spacing w:val="-2"/>
                <w:lang w:eastAsia="lv-LV"/>
              </w:rPr>
              <w:t>i</w:t>
            </w:r>
            <w:r w:rsidR="00D26824">
              <w:rPr>
                <w:rFonts w:eastAsiaTheme="minorEastAsia"/>
                <w:bCs/>
                <w:spacing w:val="-2"/>
                <w:lang w:eastAsia="lv-LV"/>
              </w:rPr>
              <w:t>;</w:t>
            </w:r>
          </w:p>
          <w:p w:rsidR="00D26824" w:rsidRPr="00FA01E5" w:rsidRDefault="00D26824" w:rsidP="00C1591C">
            <w:pPr>
              <w:pStyle w:val="ListParagraph"/>
              <w:numPr>
                <w:ilvl w:val="0"/>
                <w:numId w:val="11"/>
              </w:numPr>
              <w:spacing w:after="120"/>
              <w:ind w:left="397" w:right="57" w:firstLine="0"/>
              <w:jc w:val="both"/>
              <w:outlineLvl w:val="0"/>
              <w:rPr>
                <w:rFonts w:eastAsiaTheme="minorEastAsia"/>
                <w:bCs/>
                <w:spacing w:val="-2"/>
                <w:lang w:eastAsia="lv-LV"/>
              </w:rPr>
            </w:pPr>
            <w:r>
              <w:rPr>
                <w:rFonts w:eastAsiaTheme="minorEastAsia"/>
                <w:bCs/>
                <w:spacing w:val="-2"/>
                <w:lang w:eastAsia="lv-LV"/>
              </w:rPr>
              <w:t>9.2.4.2.pasākuma projektu efektivitātes novērtējums</w:t>
            </w:r>
            <w:r w:rsidR="007C316D">
              <w:rPr>
                <w:rFonts w:eastAsiaTheme="minorEastAsia"/>
                <w:bCs/>
                <w:spacing w:val="-2"/>
                <w:lang w:eastAsia="lv-LV"/>
              </w:rPr>
              <w:t xml:space="preserve">, īstenojot atbalstāmo darbību </w:t>
            </w:r>
            <w:r w:rsidR="007C316D" w:rsidRPr="00995C48">
              <w:t xml:space="preserve">slimību profilakses un veselības veicināšanas uzraudzība </w:t>
            </w:r>
            <w:r>
              <w:rPr>
                <w:rFonts w:eastAsiaTheme="minorEastAsia"/>
                <w:bCs/>
                <w:spacing w:val="-2"/>
                <w:lang w:eastAsia="lv-LV"/>
              </w:rPr>
              <w:t xml:space="preserve">nodrošinās iespēju veikt korekcijas </w:t>
            </w:r>
            <w:r w:rsidR="007C316D">
              <w:rPr>
                <w:rFonts w:eastAsiaTheme="minorEastAsia"/>
                <w:bCs/>
                <w:spacing w:val="-2"/>
                <w:lang w:eastAsia="lv-LV"/>
              </w:rPr>
              <w:t xml:space="preserve">veselības veicināšanas un slimību profilakses </w:t>
            </w:r>
            <w:r>
              <w:rPr>
                <w:rFonts w:eastAsiaTheme="minorEastAsia"/>
                <w:bCs/>
                <w:spacing w:val="-2"/>
                <w:lang w:eastAsia="lv-LV"/>
              </w:rPr>
              <w:t xml:space="preserve">pasākuma plānā un projektos, lai nodrošinātu </w:t>
            </w:r>
            <w:r w:rsidR="005C23C5">
              <w:rPr>
                <w:rFonts w:eastAsiaTheme="minorEastAsia"/>
                <w:bCs/>
                <w:spacing w:val="-2"/>
                <w:lang w:eastAsia="lv-LV"/>
              </w:rPr>
              <w:t>9.2.4.2.pasākumā īstenojamo darbību augstāku efektivitāti</w:t>
            </w:r>
            <w:r>
              <w:rPr>
                <w:rFonts w:eastAsiaTheme="minorEastAsia"/>
                <w:bCs/>
                <w:spacing w:val="-2"/>
                <w:lang w:eastAsia="lv-LV"/>
              </w:rPr>
              <w:t>.</w:t>
            </w:r>
          </w:p>
          <w:p w:rsidR="00FA01E5" w:rsidRDefault="00FA01E5" w:rsidP="00FA01E5">
            <w:pPr>
              <w:pStyle w:val="ListParagraph"/>
              <w:spacing w:after="120"/>
              <w:ind w:left="397" w:right="57"/>
              <w:jc w:val="both"/>
              <w:outlineLvl w:val="0"/>
              <w:rPr>
                <w:rFonts w:eastAsiaTheme="minorEastAsia"/>
                <w:bCs/>
                <w:spacing w:val="-2"/>
                <w:lang w:eastAsia="lv-LV"/>
              </w:rPr>
            </w:pPr>
            <w:r>
              <w:rPr>
                <w:rFonts w:eastAsiaTheme="minorEastAsia"/>
                <w:bCs/>
                <w:spacing w:val="-2"/>
                <w:lang w:eastAsia="lv-LV"/>
              </w:rPr>
              <w:t>9.2.4.1.pasākuma projektu atlases un uzraudzības shēma:</w:t>
            </w:r>
          </w:p>
          <w:p w:rsidR="00EF7A50" w:rsidRDefault="006B3CA6" w:rsidP="004E00AB">
            <w:pPr>
              <w:pStyle w:val="ListParagraph"/>
              <w:tabs>
                <w:tab w:val="left" w:pos="426"/>
              </w:tabs>
              <w:spacing w:before="120"/>
              <w:ind w:left="0"/>
              <w:contextualSpacing w:val="0"/>
              <w:jc w:val="both"/>
            </w:pPr>
            <w:r>
              <w:rPr>
                <w:noProof/>
                <w:lang w:eastAsia="lv-LV"/>
              </w:rPr>
              <w:lastRenderedPageBreak/>
              <w:drawing>
                <wp:inline distT="0" distB="0" distL="0" distR="0">
                  <wp:extent cx="3848100" cy="26955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848100" cy="2695575"/>
                          </a:xfrm>
                          <a:prstGeom prst="rect">
                            <a:avLst/>
                          </a:prstGeom>
                          <a:noFill/>
                          <a:ln w="9525">
                            <a:noFill/>
                            <a:miter lim="800000"/>
                            <a:headEnd/>
                            <a:tailEnd/>
                          </a:ln>
                        </pic:spPr>
                      </pic:pic>
                    </a:graphicData>
                  </a:graphic>
                </wp:inline>
              </w:drawing>
            </w:r>
          </w:p>
          <w:p w:rsidR="001767BB" w:rsidRPr="008A2E52" w:rsidRDefault="00D240D1" w:rsidP="00D240D1">
            <w:pPr>
              <w:pStyle w:val="ListParagraph"/>
              <w:numPr>
                <w:ilvl w:val="0"/>
                <w:numId w:val="11"/>
              </w:numPr>
              <w:spacing w:after="120"/>
              <w:ind w:left="397" w:right="57" w:firstLine="0"/>
              <w:jc w:val="both"/>
              <w:outlineLvl w:val="0"/>
            </w:pPr>
            <w:r>
              <w:rPr>
                <w:rFonts w:eastAsiaTheme="minorEastAsia"/>
                <w:bCs/>
                <w:spacing w:val="-2"/>
                <w:lang w:eastAsia="lv-LV"/>
              </w:rPr>
              <w:t>9.2.4.2.pasākuma projektu trešā gada izmaksas būs attiecināmās tikai gadījumā, ja novērtēšanas procesa ietvaros par projekta pirmā gada izmaksām ir sniegts pozitīvs atzinums.</w:t>
            </w:r>
          </w:p>
          <w:p w:rsidR="008A2E52" w:rsidRDefault="008A2E52" w:rsidP="008A2E52">
            <w:pPr>
              <w:pStyle w:val="ListParagraph"/>
              <w:numPr>
                <w:ilvl w:val="0"/>
                <w:numId w:val="11"/>
              </w:numPr>
              <w:spacing w:after="120"/>
              <w:ind w:left="397" w:right="57" w:firstLine="0"/>
              <w:jc w:val="both"/>
              <w:outlineLvl w:val="0"/>
            </w:pPr>
            <w:r w:rsidRPr="008A2E52">
              <w:t xml:space="preserve">Plānotājos sabiedrības veselības pētījumos paredzēts </w:t>
            </w:r>
            <w:r w:rsidR="00D378F0">
              <w:t xml:space="preserve">veikt </w:t>
            </w:r>
            <w:r w:rsidRPr="008A2E52">
              <w:t>sabiedrības veselības un veselības aprūpes mijiedarbības, veselības aprūpes speciālistu viedokļu un ietekmes uz veselības veicināšanu analīz</w:t>
            </w:r>
            <w:r w:rsidR="00D378F0">
              <w:t>i</w:t>
            </w:r>
            <w:r w:rsidRPr="008A2E52">
              <w:t>. Līdz ar to atbilstoši attiecīgā pētījuma tēmai un izmantotajām metodēm, tiks iesaistītas arī ārstniecības personas. P</w:t>
            </w:r>
            <w:r w:rsidRPr="00FD5CA4">
              <w:t>ētījumu tēm</w:t>
            </w:r>
            <w:r>
              <w:t xml:space="preserve">as tiks saskaņotas </w:t>
            </w:r>
            <w:proofErr w:type="spellStart"/>
            <w:r>
              <w:rPr>
                <w:rFonts w:eastAsiaTheme="minorEastAsia"/>
                <w:bCs/>
                <w:spacing w:val="-2"/>
                <w:lang w:eastAsia="lv-LV"/>
              </w:rPr>
              <w:t>starpsektoru</w:t>
            </w:r>
            <w:proofErr w:type="spellEnd"/>
            <w:r>
              <w:rPr>
                <w:rFonts w:eastAsiaTheme="minorEastAsia"/>
                <w:bCs/>
                <w:spacing w:val="-2"/>
                <w:lang w:eastAsia="lv-LV"/>
              </w:rPr>
              <w:t xml:space="preserve"> sadarbības komitejā, </w:t>
            </w:r>
            <w:r w:rsidRPr="00FD5CA4">
              <w:t xml:space="preserve"> </w:t>
            </w:r>
            <w:r>
              <w:t>pieaicino</w:t>
            </w:r>
            <w:r w:rsidRPr="00FD5CA4">
              <w:t xml:space="preserve">t </w:t>
            </w:r>
            <w:proofErr w:type="spellStart"/>
            <w:r>
              <w:t>Pārresoru</w:t>
            </w:r>
            <w:proofErr w:type="spellEnd"/>
            <w:r>
              <w:t xml:space="preserve"> koordinācijas centra</w:t>
            </w:r>
            <w:r w:rsidRPr="00FD5CA4">
              <w:t xml:space="preserve"> un citu iestāžu pārstāvj</w:t>
            </w:r>
            <w:r>
              <w:t>us.</w:t>
            </w:r>
          </w:p>
          <w:p w:rsidR="00515C04" w:rsidRPr="003A7C39" w:rsidRDefault="00515C04" w:rsidP="00CE029B">
            <w:pPr>
              <w:tabs>
                <w:tab w:val="left" w:pos="1134"/>
              </w:tabs>
              <w:spacing w:before="60"/>
              <w:ind w:left="114" w:right="142"/>
              <w:jc w:val="both"/>
              <w:rPr>
                <w:bCs/>
              </w:rPr>
            </w:pPr>
            <w:r>
              <w:rPr>
                <w:rFonts w:eastAsiaTheme="minorEastAsia"/>
                <w:bCs/>
                <w:spacing w:val="-2"/>
                <w:lang w:eastAsia="lv-LV"/>
              </w:rPr>
              <w:t>9.2.4.2.</w:t>
            </w:r>
            <w:r w:rsidRPr="00CE029B">
              <w:rPr>
                <w:rFonts w:eastAsiaTheme="minorEastAsia"/>
                <w:bCs/>
                <w:spacing w:val="-2"/>
                <w:lang w:eastAsia="lv-LV"/>
              </w:rPr>
              <w:t>pasākum</w:t>
            </w:r>
            <w:r w:rsidRPr="00CE029B">
              <w:rPr>
                <w:rFonts w:eastAsiaTheme="minorEastAsia"/>
                <w:bCs/>
                <w:spacing w:val="-2"/>
              </w:rPr>
              <w:t>a</w:t>
            </w:r>
            <w:r w:rsidRPr="00CE029B">
              <w:rPr>
                <w:rFonts w:eastAsiaTheme="minorEastAsia"/>
                <w:bCs/>
                <w:spacing w:val="-2"/>
                <w:lang w:eastAsia="lv-LV"/>
              </w:rPr>
              <w:t xml:space="preserve"> </w:t>
            </w:r>
            <w:r w:rsidRPr="00CE029B">
              <w:rPr>
                <w:rFonts w:eastAsiaTheme="minorEastAsia"/>
                <w:bCs/>
                <w:spacing w:val="-2"/>
              </w:rPr>
              <w:t>finansējuma saņēmēji</w:t>
            </w:r>
            <w:r w:rsidR="00CE029B">
              <w:rPr>
                <w:rFonts w:eastAsiaTheme="minorEastAsia"/>
                <w:bCs/>
                <w:spacing w:val="-2"/>
              </w:rPr>
              <w:t>,</w:t>
            </w:r>
            <w:r w:rsidRPr="00CE029B">
              <w:rPr>
                <w:rFonts w:eastAsiaTheme="minorEastAsia"/>
                <w:bCs/>
                <w:spacing w:val="-2"/>
              </w:rPr>
              <w:t xml:space="preserve"> pirms uzsāk </w:t>
            </w:r>
            <w:bookmarkStart w:id="16" w:name="_Ref447888195"/>
            <w:r w:rsidRPr="00CE029B">
              <w:t xml:space="preserve"> slimību profilakses pasākumu </w:t>
            </w:r>
            <w:r w:rsidRPr="00CE029B">
              <w:rPr>
                <w:rFonts w:eastAsiaTheme="minorEastAsia"/>
                <w:lang w:eastAsia="lv-LV"/>
              </w:rPr>
              <w:t>vietējai sabiedrībai</w:t>
            </w:r>
            <w:bookmarkEnd w:id="16"/>
            <w:r w:rsidRPr="00CE029B">
              <w:t xml:space="preserve"> un veselības veicināšanas pasākumu mērķa grupām un</w:t>
            </w:r>
            <w:r w:rsidRPr="00CE029B">
              <w:rPr>
                <w:rFonts w:eastAsiaTheme="minorEastAsia"/>
                <w:lang w:eastAsia="lv-LV"/>
              </w:rPr>
              <w:t xml:space="preserve"> vietējai sabiedrībai darbības, </w:t>
            </w:r>
            <w:r w:rsidRPr="00CE029B">
              <w:rPr>
                <w:bCs/>
              </w:rPr>
              <w:t>10 darba dienu laikā pēc projekta iesnieguma apstiprināšanas un turpmāk līdz kārtējā gada 1.septembrim izstrādā un iesniedz sadarbības iestādē projekta gada plānu.</w:t>
            </w:r>
            <w:r w:rsidRPr="00CE029B">
              <w:rPr>
                <w:rFonts w:eastAsiaTheme="minorEastAsia"/>
                <w:bCs/>
                <w:spacing w:val="-2"/>
              </w:rPr>
              <w:t xml:space="preserve"> </w:t>
            </w:r>
            <w:r w:rsidR="00CE029B">
              <w:rPr>
                <w:rFonts w:eastAsiaTheme="minorEastAsia"/>
                <w:lang w:eastAsia="lv-LV"/>
              </w:rPr>
              <w:t>S</w:t>
            </w:r>
            <w:r w:rsidRPr="00CE029B">
              <w:rPr>
                <w:rFonts w:eastAsiaTheme="minorEastAsia"/>
                <w:lang w:eastAsia="lv-LV"/>
              </w:rPr>
              <w:t xml:space="preserve">adarbības iestāde sadarbībā </w:t>
            </w:r>
            <w:r w:rsidRPr="00CE029B">
              <w:rPr>
                <w:bCs/>
              </w:rPr>
              <w:t xml:space="preserve">ar </w:t>
            </w:r>
            <w:r w:rsidRPr="00CE029B">
              <w:t>9.2.4.1.pasākuma finansējuma saņēmēju un tā sadarbības partneriem</w:t>
            </w:r>
            <w:r w:rsidRPr="00CE029B">
              <w:rPr>
                <w:bCs/>
              </w:rPr>
              <w:t xml:space="preserve"> 25 darbdienu laikā pēc projekta gada plāna saņemšanas pārbauda vai</w:t>
            </w:r>
            <w:r w:rsidR="00CE029B" w:rsidRPr="00CE029B">
              <w:t xml:space="preserve"> plāns ir aizpildīts saskaņā ar MK noteikumu 1.pielikumu, vai plāns atbilst apstiprinātajam projekta iesniegumam, vai plāns atbilst veselības veicināšanas un slimību profilakses plānam, vai</w:t>
            </w:r>
            <w:r w:rsidR="00CE029B" w:rsidRPr="00CE029B">
              <w:rPr>
                <w:bCs/>
              </w:rPr>
              <w:t xml:space="preserve"> plāna pasākumi nedublē 9.2.4.1.pasākuma projekta plānotos pasākumus, vai projekta turpmākā īstenošanas atbilst 9.</w:t>
            </w:r>
            <w:r w:rsidR="00CE029B" w:rsidRPr="00CE029B">
              <w:t xml:space="preserve">2.4.1.pasākuma finansējuma saņēmēja un sadarbības </w:t>
            </w:r>
            <w:r w:rsidR="00CE029B" w:rsidRPr="003A7C39">
              <w:t xml:space="preserve">partneru </w:t>
            </w:r>
            <w:r w:rsidR="00CE029B" w:rsidRPr="003A7C39">
              <w:rPr>
                <w:bCs/>
              </w:rPr>
              <w:t>atzinumam</w:t>
            </w:r>
            <w:r w:rsidR="00CE029B" w:rsidRPr="003A7C39">
              <w:t xml:space="preserve"> jeb īstenoto veselības veicināšanas un </w:t>
            </w:r>
            <w:r w:rsidR="00CE029B" w:rsidRPr="003A7C39">
              <w:lastRenderedPageBreak/>
              <w:t xml:space="preserve">profilakses pasākumu efektivitātes ikgadējo </w:t>
            </w:r>
            <w:proofErr w:type="spellStart"/>
            <w:r w:rsidR="00CE029B" w:rsidRPr="003A7C39">
              <w:t>starpnovērtējuma</w:t>
            </w:r>
            <w:r w:rsidR="00810B42">
              <w:t>m</w:t>
            </w:r>
            <w:proofErr w:type="spellEnd"/>
            <w:r w:rsidR="00810B42">
              <w:t>.</w:t>
            </w:r>
            <w:r w:rsidR="00810B42">
              <w:rPr>
                <w:bCs/>
              </w:rPr>
              <w:t xml:space="preserve"> </w:t>
            </w:r>
          </w:p>
          <w:p w:rsidR="00CE029B" w:rsidRPr="003A7C39" w:rsidRDefault="00810B42" w:rsidP="00CE029B">
            <w:pPr>
              <w:tabs>
                <w:tab w:val="left" w:pos="1134"/>
              </w:tabs>
              <w:spacing w:before="60"/>
              <w:ind w:left="114" w:right="142"/>
              <w:jc w:val="both"/>
              <w:rPr>
                <w:rFonts w:asciiTheme="minorHAnsi" w:eastAsiaTheme="minorEastAsia" w:hAnsiTheme="minorHAnsi" w:cstheme="minorBidi"/>
                <w:lang w:eastAsia="lv-LV"/>
              </w:rPr>
            </w:pPr>
            <w:r>
              <w:rPr>
                <w:bCs/>
              </w:rPr>
              <w:t>Sadarbības iestāde un 9.</w:t>
            </w:r>
            <w:r>
              <w:t>2.4.1.pasākuma finansējuma saņēmējs savu sadarbību</w:t>
            </w:r>
            <w:r w:rsidR="003A7C39">
              <w:t xml:space="preserve">, iestāžu kompetences, atbildību un </w:t>
            </w:r>
            <w:r w:rsidR="001B1BEB">
              <w:t xml:space="preserve">pienākumu īstenošanas </w:t>
            </w:r>
            <w:r w:rsidR="003A7C39">
              <w:t>kārtību</w:t>
            </w:r>
            <w:r w:rsidR="00CE029B" w:rsidRPr="003A7C39">
              <w:t xml:space="preserve"> </w:t>
            </w:r>
            <w:r w:rsidR="00CE029B" w:rsidRPr="003A7C39">
              <w:rPr>
                <w:bCs/>
              </w:rPr>
              <w:t>9.</w:t>
            </w:r>
            <w:r w:rsidR="00CE029B" w:rsidRPr="003A7C39">
              <w:t xml:space="preserve">2.4.2.pasākuma finansējumu saņēmēju </w:t>
            </w:r>
            <w:r w:rsidR="006A4472" w:rsidRPr="003A7C39">
              <w:t xml:space="preserve">īstenoto pasākumu </w:t>
            </w:r>
            <w:r w:rsidR="00CE029B" w:rsidRPr="003A7C39">
              <w:t xml:space="preserve">ikgadējo darbu plānu  </w:t>
            </w:r>
            <w:r w:rsidRPr="00810B42">
              <w:rPr>
                <w:u w:val="single"/>
              </w:rPr>
              <w:t>izvērtēšanai</w:t>
            </w:r>
            <w:r w:rsidR="00CE029B" w:rsidRPr="003A7C39">
              <w:t xml:space="preserve">, </w:t>
            </w:r>
            <w:r w:rsidR="003A7C39" w:rsidRPr="003A7C39">
              <w:t>plānu</w:t>
            </w:r>
            <w:r w:rsidR="006A4472" w:rsidRPr="003A7C39">
              <w:t xml:space="preserve"> izpildes </w:t>
            </w:r>
            <w:r w:rsidRPr="00810B42">
              <w:rPr>
                <w:u w:val="single"/>
              </w:rPr>
              <w:t>uzraudzībai</w:t>
            </w:r>
            <w:r w:rsidR="006A4472" w:rsidRPr="003A7C39">
              <w:t xml:space="preserve"> un īstenošanas efektivitātes un ietekmes </w:t>
            </w:r>
            <w:r w:rsidRPr="00810B42">
              <w:rPr>
                <w:u w:val="single"/>
              </w:rPr>
              <w:t>novērtējumam</w:t>
            </w:r>
            <w:r w:rsidR="006A4472" w:rsidRPr="003A7C39">
              <w:t xml:space="preserve">, kā arī izmaksu un konstatēto neatbilstoši veikto izmaksu apjomu </w:t>
            </w:r>
            <w:r w:rsidRPr="00810B42">
              <w:rPr>
                <w:u w:val="single"/>
              </w:rPr>
              <w:t>salīdzinājuma starp projektiem veikšanai</w:t>
            </w:r>
            <w:r w:rsidR="006A4472" w:rsidRPr="003A7C39">
              <w:t xml:space="preserve">, nosaka </w:t>
            </w:r>
            <w:r w:rsidR="006A4472" w:rsidRPr="003A7C39">
              <w:rPr>
                <w:bCs/>
              </w:rPr>
              <w:t>9.</w:t>
            </w:r>
            <w:r w:rsidR="006A4472" w:rsidRPr="003A7C39">
              <w:t xml:space="preserve">2.4.1.pasākuma </w:t>
            </w:r>
            <w:r w:rsidR="00AE5AFB">
              <w:t>vienošanās</w:t>
            </w:r>
            <w:r w:rsidR="006A4472" w:rsidRPr="003A7C39">
              <w:t xml:space="preserve"> par projekta īstenošanu.</w:t>
            </w:r>
          </w:p>
          <w:p w:rsidR="00515C04" w:rsidRDefault="00515C04" w:rsidP="00EF7A50">
            <w:pPr>
              <w:pStyle w:val="naiskr"/>
              <w:spacing w:before="40" w:beforeAutospacing="0" w:after="40" w:afterAutospacing="0"/>
              <w:ind w:left="57" w:right="57" w:firstLine="284"/>
              <w:jc w:val="both"/>
            </w:pPr>
          </w:p>
          <w:p w:rsidR="004E00AB" w:rsidRDefault="004E00AB" w:rsidP="00EF7A50">
            <w:pPr>
              <w:pStyle w:val="naiskr"/>
              <w:spacing w:before="40" w:beforeAutospacing="0" w:after="40" w:afterAutospacing="0"/>
              <w:ind w:left="57" w:right="57" w:firstLine="284"/>
              <w:jc w:val="both"/>
              <w:rPr>
                <w:rFonts w:eastAsiaTheme="minorEastAsia" w:cstheme="minorBidi"/>
              </w:rPr>
            </w:pPr>
            <w:r w:rsidRPr="00C376F4">
              <w:t>SAM ir tieša pozitīva ietekme uz horizontālo principu “</w:t>
            </w:r>
            <w:r w:rsidRPr="004E00AB">
              <w:t>Vienlīdzīgas iespējas”, līdz ar to noteikumu projekts nosaka</w:t>
            </w:r>
            <w:r>
              <w:t>, ka, ī</w:t>
            </w:r>
            <w:r w:rsidRPr="004E00AB">
              <w:rPr>
                <w:rFonts w:eastAsiaTheme="minorEastAsia" w:cstheme="minorBidi"/>
              </w:rPr>
              <w:t>stenojot projektus finansējuma saņēmēji uzkrāj šādus datus</w:t>
            </w:r>
            <w:r>
              <w:rPr>
                <w:rFonts w:eastAsiaTheme="minorEastAsia" w:cstheme="minorBidi"/>
              </w:rPr>
              <w:t xml:space="preserve"> </w:t>
            </w:r>
            <w:r w:rsidRPr="004E00AB">
              <w:rPr>
                <w:rFonts w:eastAsiaTheme="minorEastAsia" w:cstheme="minorBidi"/>
              </w:rPr>
              <w:t>par šādu horizontālā principa “Vienlīdzīgas iespējas” horizontālo rādītāju sasniegšanu:</w:t>
            </w:r>
          </w:p>
          <w:p w:rsidR="004E00AB" w:rsidRPr="004E00AB" w:rsidRDefault="004E00AB" w:rsidP="004E00AB">
            <w:pPr>
              <w:pStyle w:val="ListParagraph"/>
              <w:numPr>
                <w:ilvl w:val="0"/>
                <w:numId w:val="22"/>
              </w:numPr>
              <w:tabs>
                <w:tab w:val="left" w:pos="426"/>
              </w:tabs>
              <w:spacing w:before="120"/>
              <w:contextualSpacing w:val="0"/>
              <w:jc w:val="both"/>
            </w:pPr>
            <w:r w:rsidRPr="004E00AB">
              <w:rPr>
                <w:rFonts w:eastAsiaTheme="minorEastAsia"/>
                <w:lang w:eastAsia="lv-LV"/>
              </w:rPr>
              <w:t>atbalstu</w:t>
            </w:r>
            <w:r w:rsidRPr="004E00AB">
              <w:rPr>
                <w:rFonts w:eastAsiaTheme="minorEastAsia" w:cstheme="minorBidi"/>
                <w:lang w:eastAsia="lv-LV"/>
              </w:rPr>
              <w:t xml:space="preserve"> saņēmušo sociālās atstumtības riskam pakļauto iedzīvotāju skaits;</w:t>
            </w:r>
          </w:p>
          <w:p w:rsidR="004E00AB" w:rsidRPr="004E00AB" w:rsidRDefault="004E00AB" w:rsidP="004E00AB">
            <w:pPr>
              <w:pStyle w:val="ListParagraph"/>
              <w:numPr>
                <w:ilvl w:val="0"/>
                <w:numId w:val="22"/>
              </w:numPr>
              <w:tabs>
                <w:tab w:val="left" w:pos="426"/>
              </w:tabs>
              <w:spacing w:before="120"/>
              <w:contextualSpacing w:val="0"/>
              <w:jc w:val="both"/>
              <w:rPr>
                <w:rFonts w:eastAsiaTheme="minorEastAsia"/>
                <w:bCs/>
                <w:spacing w:val="-2"/>
              </w:rPr>
            </w:pPr>
            <w:r w:rsidRPr="004E00AB">
              <w:rPr>
                <w:rFonts w:eastAsiaTheme="minorEastAsia" w:cstheme="minorBidi"/>
                <w:lang w:eastAsia="lv-LV"/>
              </w:rPr>
              <w:t>par vienlīdzīgu iespēju aspektiem (dzimumu līdztiesība, invaliditāte, vecums vai etniskā piederība) apmācīto personu skaits</w:t>
            </w:r>
            <w:r>
              <w:t>.</w:t>
            </w:r>
          </w:p>
          <w:p w:rsidR="00907FB0" w:rsidRDefault="00907FB0" w:rsidP="00907FB0">
            <w:pPr>
              <w:pStyle w:val="naiskr"/>
              <w:spacing w:before="0" w:beforeAutospacing="0" w:after="0" w:afterAutospacing="0"/>
              <w:ind w:left="57" w:right="57" w:firstLine="284"/>
              <w:jc w:val="both"/>
            </w:pPr>
          </w:p>
          <w:p w:rsidR="00907FB0" w:rsidRPr="00907FB0" w:rsidRDefault="00907FB0" w:rsidP="00DA355C">
            <w:pPr>
              <w:pStyle w:val="naiskr"/>
              <w:spacing w:before="40" w:beforeAutospacing="0" w:after="40" w:afterAutospacing="0"/>
              <w:ind w:left="57" w:right="57" w:firstLine="284"/>
              <w:jc w:val="both"/>
              <w:rPr>
                <w:color w:val="000000"/>
              </w:rPr>
            </w:pPr>
            <w:r w:rsidRPr="00907FB0">
              <w:t>Lai nodrošinātu ESF atbalstu saņēmušo unikālo dalībnieku uzskaiti</w:t>
            </w:r>
            <w:r w:rsidR="00F02A68">
              <w:rPr>
                <w:sz w:val="28"/>
                <w:szCs w:val="28"/>
              </w:rPr>
              <w:t xml:space="preserve">, </w:t>
            </w:r>
            <w:r w:rsidR="009651E9" w:rsidRPr="009651E9">
              <w:t xml:space="preserve">kuri uzskaitāmi atbilstoši </w:t>
            </w:r>
            <w:r w:rsidR="009651E9" w:rsidRPr="009651E9">
              <w:rPr>
                <w:shd w:val="clear" w:color="auto" w:fill="FFFFFF"/>
              </w:rPr>
              <w:t>Eiropas Parlamenta un Padomes 2013.gada 17.decembra Regulas (ES) Nr.1304/2013 par Eiropas Sociālo fondu un ar ko atceļ Padomes Regulu (EK) Nr.1081/2006 (turpmāk – Regula Nr. 1304/2013) 1.pielikumā par kopējo iznākuma un rezultāta rādītājiem dalībniekiem noteiktajam</w:t>
            </w:r>
            <w:r w:rsidRPr="00907FB0">
              <w:t>, finansējuma saņēmējs veic</w:t>
            </w:r>
            <w:r w:rsidRPr="00907FB0">
              <w:rPr>
                <w:color w:val="000000"/>
              </w:rPr>
              <w:t xml:space="preserve"> atbalstu saņēmušo personu anketēšanu</w:t>
            </w:r>
            <w:r w:rsidRPr="00907FB0">
              <w:t xml:space="preserve"> </w:t>
            </w:r>
            <w:r w:rsidRPr="00907FB0">
              <w:rPr>
                <w:color w:val="000000"/>
              </w:rPr>
              <w:t xml:space="preserve">atbilstoši normatīvajiem aktiem, kas nosaka </w:t>
            </w:r>
            <w:r w:rsidRPr="00DA355C">
              <w:t>Eiropas</w:t>
            </w:r>
            <w:r w:rsidRPr="00907FB0">
              <w:rPr>
                <w:color w:val="000000"/>
              </w:rPr>
              <w:t xml:space="preserve"> Savienības struktūrfondu un Kohēzijas fonda projektu pārbaužu veikšanas kārtību 2014.-2020.gada plānošanas periodā, un maksājuma pieprasījuma veidlapā noteiktajiem datiem, anketējot tikai personas:</w:t>
            </w:r>
          </w:p>
          <w:p w:rsidR="00907FB0" w:rsidRPr="00907FB0" w:rsidRDefault="00907FB0" w:rsidP="00907FB0">
            <w:pPr>
              <w:pStyle w:val="naiskr"/>
              <w:numPr>
                <w:ilvl w:val="0"/>
                <w:numId w:val="24"/>
              </w:numPr>
              <w:spacing w:before="0" w:beforeAutospacing="0" w:after="0" w:afterAutospacing="0"/>
              <w:ind w:right="57"/>
              <w:jc w:val="both"/>
            </w:pPr>
            <w:r>
              <w:rPr>
                <w:color w:val="000000"/>
              </w:rPr>
              <w:t xml:space="preserve">kas </w:t>
            </w:r>
            <w:r w:rsidRPr="00907FB0">
              <w:rPr>
                <w:color w:val="000000"/>
              </w:rPr>
              <w:t>piedalās veselības veicināšanas vai slimību profilakses pasākumā mērķa grupām vai vietējai sabiedrībai;</w:t>
            </w:r>
          </w:p>
          <w:p w:rsidR="00907FB0" w:rsidRPr="005154D7" w:rsidRDefault="00907FB0" w:rsidP="00907FB0">
            <w:pPr>
              <w:pStyle w:val="naiskr"/>
              <w:numPr>
                <w:ilvl w:val="0"/>
                <w:numId w:val="24"/>
              </w:numPr>
              <w:spacing w:before="0" w:beforeAutospacing="0" w:after="0" w:afterAutospacing="0"/>
              <w:ind w:right="57"/>
              <w:jc w:val="both"/>
              <w:rPr>
                <w:color w:val="000000"/>
              </w:rPr>
            </w:pPr>
            <w:r>
              <w:rPr>
                <w:color w:val="000000"/>
              </w:rPr>
              <w:t xml:space="preserve">ja </w:t>
            </w:r>
            <w:r w:rsidRPr="00907FB0">
              <w:rPr>
                <w:color w:val="000000"/>
              </w:rPr>
              <w:t xml:space="preserve">pasākuma vai viena pasākuma cikla </w:t>
            </w:r>
            <w:r w:rsidRPr="00907FB0">
              <w:t xml:space="preserve"> </w:t>
            </w:r>
            <w:r w:rsidR="008A264A">
              <w:t>(</w:t>
            </w:r>
            <w:r w:rsidRPr="00907FB0">
              <w:t>neatkārtojamo darbību virkne noteiktajā laika periodā</w:t>
            </w:r>
            <w:r w:rsidRPr="00907FB0">
              <w:rPr>
                <w:color w:val="000000"/>
              </w:rPr>
              <w:t xml:space="preserve"> ) ilgums ir vismaz 8 stundas.</w:t>
            </w:r>
          </w:p>
          <w:p w:rsidR="00F02A68" w:rsidRPr="00907FB0" w:rsidRDefault="00102FEA" w:rsidP="00F02A68">
            <w:pPr>
              <w:pStyle w:val="naiskr"/>
              <w:spacing w:before="0" w:beforeAutospacing="0" w:after="0" w:afterAutospacing="0"/>
              <w:ind w:right="57"/>
              <w:jc w:val="both"/>
            </w:pPr>
            <w:r>
              <w:rPr>
                <w:color w:val="000000"/>
              </w:rPr>
              <w:t xml:space="preserve">Konsultējoties ar ekspertiem (vadošā iestāde, sadarbības iestādes, finansējuma saņēmējs un sadarbības partneris), tika </w:t>
            </w:r>
            <w:r>
              <w:rPr>
                <w:color w:val="000000"/>
              </w:rPr>
              <w:lastRenderedPageBreak/>
              <w:t>pieņemts, ka a</w:t>
            </w:r>
            <w:r w:rsidR="00F02A68">
              <w:rPr>
                <w:color w:val="000000"/>
              </w:rPr>
              <w:t xml:space="preserve">nketējamo </w:t>
            </w:r>
            <w:r>
              <w:rPr>
                <w:color w:val="000000"/>
              </w:rPr>
              <w:t>dalībnieku</w:t>
            </w:r>
            <w:r w:rsidR="00F02A68">
              <w:rPr>
                <w:color w:val="000000"/>
              </w:rPr>
              <w:t xml:space="preserve"> loks ierobežots tikai </w:t>
            </w:r>
            <w:r w:rsidR="00F02A68" w:rsidRPr="00907FB0">
              <w:rPr>
                <w:color w:val="000000"/>
              </w:rPr>
              <w:t xml:space="preserve"> veselības veicināšanas vai slimību profilakses pasākum</w:t>
            </w:r>
            <w:r w:rsidR="00F02A68">
              <w:rPr>
                <w:color w:val="000000"/>
              </w:rPr>
              <w:t>os</w:t>
            </w:r>
            <w:r w:rsidR="00F02A68" w:rsidRPr="00907FB0">
              <w:rPr>
                <w:color w:val="000000"/>
              </w:rPr>
              <w:t xml:space="preserve"> mērķa grupām vai vietējai sabiedrībai</w:t>
            </w:r>
            <w:r w:rsidR="00F02A68">
              <w:rPr>
                <w:color w:val="000000"/>
              </w:rPr>
              <w:t xml:space="preserve"> un tikai tad, ja pasākuma ilgums ir vismaz 8 stundas, </w:t>
            </w:r>
            <w:r w:rsidR="008A264A">
              <w:rPr>
                <w:color w:val="000000"/>
              </w:rPr>
              <w:t>jo</w:t>
            </w:r>
            <w:r>
              <w:rPr>
                <w:color w:val="000000"/>
              </w:rPr>
              <w:t xml:space="preserve"> </w:t>
            </w:r>
            <w:r w:rsidR="008A264A">
              <w:rPr>
                <w:color w:val="000000"/>
              </w:rPr>
              <w:t xml:space="preserve">tika pieņemts, ka tieši šo atbalstāmo darbību ietvaros ir reāli un iespējami </w:t>
            </w:r>
            <w:r w:rsidR="00590345">
              <w:rPr>
                <w:color w:val="000000"/>
              </w:rPr>
              <w:t xml:space="preserve">anketēt dalībniekus, lieki neapgrūtinot tos, kā arī organizatoriski to ir labāk veikt pasākumos, kur cilvēki vismaz vienu darba dienu </w:t>
            </w:r>
            <w:r>
              <w:rPr>
                <w:color w:val="000000"/>
              </w:rPr>
              <w:t xml:space="preserve">(8 stundas) </w:t>
            </w:r>
            <w:r w:rsidR="00590345">
              <w:rPr>
                <w:color w:val="000000"/>
              </w:rPr>
              <w:t>nepārtraukti tiek nodarbināti, tādejādi pasākuma formāts dod iespēju dalībniekiem aizpildīt anketu.</w:t>
            </w:r>
          </w:p>
          <w:p w:rsidR="00907FB0" w:rsidRPr="00DA355C" w:rsidRDefault="00907FB0" w:rsidP="00DA355C">
            <w:pPr>
              <w:pStyle w:val="naiskr"/>
              <w:spacing w:before="40" w:beforeAutospacing="0" w:after="40" w:afterAutospacing="0"/>
              <w:ind w:left="57" w:right="57" w:firstLine="284"/>
              <w:jc w:val="both"/>
            </w:pPr>
            <w:r w:rsidRPr="00907FB0">
              <w:t>Dati par dalībniekiem netiek vākti šādu atbalstāmo darbību ietvaros: projekta vadības nodrošināšana, p</w:t>
            </w:r>
            <w:bookmarkStart w:id="17" w:name="projekta_vadiba_9241"/>
            <w:bookmarkEnd w:id="17"/>
            <w:r w:rsidRPr="00907FB0">
              <w:t xml:space="preserve">rojekta vadības un īstenošanas nodrošināšana, veselības veicināšanas un slimību profilakses plāna izstrāde un aktualizēšana, vispārējie sabiedrības </w:t>
            </w:r>
            <w:r w:rsidRPr="00DA355C">
              <w:t xml:space="preserve">veselības veicināšanas pasākumi, sabiedrības veselības pētījumi, veselības veicināšanas un slimību profilakses uzraudzība un informācijas </w:t>
            </w:r>
            <w:bookmarkStart w:id="18" w:name="publicitate_9241"/>
            <w:bookmarkEnd w:id="18"/>
            <w:r w:rsidRPr="00DA355C">
              <w:t>un publicitātes pasākumu nodrošināšana.</w:t>
            </w:r>
          </w:p>
          <w:p w:rsidR="001C2401" w:rsidRPr="00DA355C" w:rsidRDefault="001C2401" w:rsidP="00DA355C">
            <w:pPr>
              <w:pStyle w:val="naiskr"/>
              <w:spacing w:before="40" w:beforeAutospacing="0" w:after="40" w:afterAutospacing="0"/>
              <w:ind w:left="57" w:right="57" w:firstLine="284"/>
              <w:jc w:val="both"/>
            </w:pPr>
            <w:r w:rsidRPr="00DA355C">
              <w:rPr>
                <w:lang w:eastAsia="en-US"/>
              </w:rPr>
              <w:t xml:space="preserve">Ievērojot Fizisko personu datu aizsardzības likuma (turpmāk – Likums) nosacījumus, ja tiek veikta </w:t>
            </w:r>
            <w:proofErr w:type="spellStart"/>
            <w:r w:rsidRPr="00DA355C">
              <w:rPr>
                <w:lang w:eastAsia="en-US"/>
              </w:rPr>
              <w:t>sensitīvo</w:t>
            </w:r>
            <w:proofErr w:type="spellEnd"/>
            <w:r w:rsidRPr="00DA355C">
              <w:rPr>
                <w:lang w:eastAsia="en-US"/>
              </w:rPr>
              <w:t xml:space="preserve"> personas datu apstrāde, pārzinis (persona, kas atbild par personas datu apstrādi) </w:t>
            </w:r>
            <w:r w:rsidRPr="00DA355C">
              <w:t>pirms</w:t>
            </w:r>
            <w:r w:rsidRPr="00DA355C">
              <w:rPr>
                <w:lang w:eastAsia="en-US"/>
              </w:rPr>
              <w:t xml:space="preserve"> personas datu apstrādes uzsākšanas reģistrē personas datu apstrādi Datu valsts inspekcijā. Minētais nosacījums nav jāievēro, ja pārzinis saskaņā ar Fizisko personu datu aizsardzības likuma 21</w:t>
            </w:r>
            <w:r w:rsidRPr="00DA355C">
              <w:rPr>
                <w:vertAlign w:val="superscript"/>
                <w:lang w:eastAsia="en-US"/>
              </w:rPr>
              <w:t>1</w:t>
            </w:r>
            <w:r w:rsidRPr="00DA355C">
              <w:rPr>
                <w:lang w:eastAsia="en-US"/>
              </w:rPr>
              <w:t>.panta pirmo daļu norīko personas datu aizsardzības speciālistu, kurš atbilst minētā likuma 21</w:t>
            </w:r>
            <w:r w:rsidRPr="00DA355C">
              <w:rPr>
                <w:vertAlign w:val="superscript"/>
                <w:lang w:eastAsia="en-US"/>
              </w:rPr>
              <w:t>1</w:t>
            </w:r>
            <w:r w:rsidRPr="00DA355C">
              <w:rPr>
                <w:lang w:eastAsia="en-US"/>
              </w:rPr>
              <w:t xml:space="preserve">.panta pirmajā un </w:t>
            </w:r>
            <w:r w:rsidRPr="00DA355C">
              <w:rPr>
                <w:lang w:eastAsia="en-US"/>
              </w:rPr>
              <w:lastRenderedPageBreak/>
              <w:t>otrajā daļā noteiktajiem nosacījumiem.</w:t>
            </w:r>
          </w:p>
          <w:p w:rsidR="006F75C1" w:rsidRDefault="00CC4CE3" w:rsidP="006F75C1">
            <w:pPr>
              <w:pStyle w:val="naiskr"/>
              <w:spacing w:before="40" w:beforeAutospacing="0" w:after="40" w:afterAutospacing="0"/>
              <w:ind w:left="57" w:right="57" w:firstLine="284"/>
              <w:jc w:val="both"/>
            </w:pPr>
            <w:r w:rsidRPr="00EF7A50">
              <w:t>Lai nodrošinātu 9.2.4.1.pasākuma projekta vadību un īstenošanu, kā arī realizētu atbalstāmas darbības saistībā ar sabiedrības veselības pētījumu veikšanu un veselības veicināšanas un slimību profilakses pakalpojumu uzraudzības veikšanu, paredz</w:t>
            </w:r>
            <w:r w:rsidR="00EF7A50">
              <w:t>ēts</w:t>
            </w:r>
            <w:r w:rsidRPr="00EF7A50">
              <w:t xml:space="preserve"> uz projekta īstenošanas laiku izveidot </w:t>
            </w:r>
            <w:r w:rsidR="00EF7A50">
              <w:t>septiņas</w:t>
            </w:r>
            <w:r w:rsidR="00DB1DD2" w:rsidRPr="00EF7A50">
              <w:t xml:space="preserve"> </w:t>
            </w:r>
            <w:r w:rsidR="00A308E2" w:rsidRPr="00EF7A50">
              <w:t xml:space="preserve">jaunas </w:t>
            </w:r>
            <w:r w:rsidRPr="00EF7A50">
              <w:t>štata vietas</w:t>
            </w:r>
            <w:r w:rsidR="00DE7E28" w:rsidRPr="00EF7A50">
              <w:t>, to finansēšanu nodrošinot 9.2.4.1.pasākuma ietvaros.</w:t>
            </w:r>
          </w:p>
          <w:p w:rsidR="00D20C65" w:rsidRPr="006F75C1" w:rsidRDefault="0019043A" w:rsidP="00DA355C">
            <w:pPr>
              <w:pStyle w:val="naiskr"/>
              <w:spacing w:before="40" w:beforeAutospacing="0" w:after="40" w:afterAutospacing="0"/>
              <w:ind w:left="57" w:right="57" w:firstLine="284"/>
              <w:jc w:val="both"/>
            </w:pPr>
            <w:r w:rsidRPr="00FA01E5">
              <w:t xml:space="preserve">Atbilstoši darbības </w:t>
            </w:r>
            <w:r w:rsidRPr="00DA355C">
              <w:t>programmā</w:t>
            </w:r>
            <w:r w:rsidRPr="00FA01E5">
              <w:t xml:space="preserve"> “</w:t>
            </w:r>
            <w:r w:rsidRPr="00FA01E5">
              <w:rPr>
                <w:i/>
              </w:rPr>
              <w:t>Izaugsme un nodarbinātība</w:t>
            </w:r>
            <w:r w:rsidRPr="00FA01E5">
              <w:t xml:space="preserve">” noteiktajam  </w:t>
            </w:r>
            <w:r w:rsidRPr="0019043A">
              <w:t>SAM tiek īstenots sinerģijā ar specifiskajiem atbalsta mērķiem Nr. 9.1.1.</w:t>
            </w:r>
            <w:r w:rsidRPr="0019043A">
              <w:rPr>
                <w:rStyle w:val="FootnoteReference"/>
              </w:rPr>
              <w:footnoteReference w:id="22"/>
            </w:r>
            <w:r w:rsidRPr="0019043A">
              <w:t>,  un Nr. 9.</w:t>
            </w:r>
            <w:r w:rsidR="006B0D61">
              <w:t>2.3</w:t>
            </w:r>
            <w:r w:rsidRPr="0019043A">
              <w:t>.</w:t>
            </w:r>
            <w:r w:rsidRPr="0019043A">
              <w:rPr>
                <w:rStyle w:val="FootnoteReference"/>
              </w:rPr>
              <w:footnoteReference w:id="23"/>
            </w:r>
            <w:r w:rsidRPr="0019043A">
              <w:t>, projektu īstenošana paredzama arī sinerģijā ar specifiskajiem atbalsta mērķiem Nr. 5.4.1.</w:t>
            </w:r>
            <w:r w:rsidRPr="0019043A">
              <w:rPr>
                <w:rStyle w:val="FootnoteReference"/>
              </w:rPr>
              <w:footnoteReference w:id="24"/>
            </w:r>
            <w:r w:rsidRPr="0019043A">
              <w:t>, 5.5.1.</w:t>
            </w:r>
            <w:r w:rsidRPr="0019043A">
              <w:rPr>
                <w:rStyle w:val="FootnoteReference"/>
              </w:rPr>
              <w:footnoteReference w:id="25"/>
            </w:r>
            <w:r w:rsidRPr="0019043A">
              <w:t>, 7.3.1.</w:t>
            </w:r>
            <w:r w:rsidRPr="0019043A">
              <w:rPr>
                <w:rStyle w:val="FootnoteReference"/>
              </w:rPr>
              <w:footnoteReference w:id="26"/>
            </w:r>
            <w:r w:rsidRPr="0019043A">
              <w:t>, 8.1.2.</w:t>
            </w:r>
            <w:r w:rsidRPr="0019043A">
              <w:rPr>
                <w:rStyle w:val="FootnoteReference"/>
              </w:rPr>
              <w:footnoteReference w:id="27"/>
            </w:r>
            <w:r w:rsidRPr="0019043A">
              <w:t>, 8.1.3.</w:t>
            </w:r>
            <w:r w:rsidRPr="0019043A">
              <w:rPr>
                <w:rStyle w:val="FootnoteReference"/>
              </w:rPr>
              <w:footnoteReference w:id="28"/>
            </w:r>
            <w:r w:rsidRPr="0019043A">
              <w:t>, 9.1.2.</w:t>
            </w:r>
            <w:r w:rsidRPr="0019043A">
              <w:rPr>
                <w:rStyle w:val="FootnoteReference"/>
              </w:rPr>
              <w:footnoteReference w:id="29"/>
            </w:r>
            <w:r w:rsidRPr="0019043A">
              <w:t>, 7.3.2.</w:t>
            </w:r>
            <w:r w:rsidRPr="0019043A">
              <w:rPr>
                <w:rStyle w:val="FootnoteReference"/>
              </w:rPr>
              <w:footnoteReference w:id="30"/>
            </w:r>
            <w:r w:rsidRPr="0019043A">
              <w:t xml:space="preserve"> un  9.2.1. </w:t>
            </w:r>
            <w:r w:rsidRPr="0019043A">
              <w:rPr>
                <w:rStyle w:val="FootnoteReference"/>
              </w:rPr>
              <w:footnoteReference w:id="31"/>
            </w:r>
            <w:r w:rsidRPr="0019043A">
              <w:t xml:space="preserve">, un pārējiem Veselības ministrijas </w:t>
            </w:r>
            <w:proofErr w:type="spellStart"/>
            <w:r w:rsidRPr="0019043A">
              <w:t>pārziņā</w:t>
            </w:r>
            <w:proofErr w:type="spellEnd"/>
            <w:r w:rsidRPr="0019043A">
              <w:t xml:space="preserve"> esošajiem specifiskajiem atbalsta mērķiem. </w:t>
            </w:r>
          </w:p>
        </w:tc>
      </w:tr>
      <w:tr w:rsidR="003735C6" w:rsidRPr="00D26824" w:rsidTr="00C1591C">
        <w:trPr>
          <w:trHeight w:val="476"/>
        </w:trPr>
        <w:tc>
          <w:tcPr>
            <w:tcW w:w="251" w:type="pct"/>
          </w:tcPr>
          <w:p w:rsidR="003735C6" w:rsidRPr="00D26824" w:rsidRDefault="003735C6" w:rsidP="00C1591C">
            <w:pPr>
              <w:pStyle w:val="naiskr"/>
              <w:spacing w:before="0" w:beforeAutospacing="0" w:after="0" w:afterAutospacing="0"/>
              <w:ind w:left="57" w:right="57"/>
              <w:jc w:val="center"/>
            </w:pPr>
            <w:r w:rsidRPr="00D26824">
              <w:lastRenderedPageBreak/>
              <w:t>3.</w:t>
            </w:r>
          </w:p>
        </w:tc>
        <w:tc>
          <w:tcPr>
            <w:tcW w:w="1354" w:type="pct"/>
          </w:tcPr>
          <w:p w:rsidR="003735C6" w:rsidRPr="00D26824" w:rsidRDefault="003735C6" w:rsidP="00C1591C">
            <w:pPr>
              <w:pStyle w:val="naiskr"/>
              <w:spacing w:before="0" w:beforeAutospacing="0" w:after="0" w:afterAutospacing="0"/>
              <w:ind w:left="57" w:right="57"/>
            </w:pPr>
            <w:r w:rsidRPr="00D26824">
              <w:t>Projekta izstrādē iesaistītās institūcijas</w:t>
            </w:r>
          </w:p>
        </w:tc>
        <w:tc>
          <w:tcPr>
            <w:tcW w:w="3395" w:type="pct"/>
          </w:tcPr>
          <w:p w:rsidR="00C44299" w:rsidRPr="00D26824" w:rsidRDefault="007454B7" w:rsidP="00C1591C">
            <w:pPr>
              <w:pStyle w:val="naiskr"/>
              <w:spacing w:before="40" w:beforeAutospacing="0" w:after="40" w:afterAutospacing="0"/>
              <w:ind w:left="57" w:right="57" w:firstLine="284"/>
              <w:jc w:val="both"/>
              <w:rPr>
                <w:szCs w:val="28"/>
              </w:rPr>
            </w:pPr>
            <w:r w:rsidRPr="00D26824">
              <w:t xml:space="preserve">MK noteikumu </w:t>
            </w:r>
            <w:r w:rsidR="00452AA8" w:rsidRPr="00D26824">
              <w:t>projekta izstrādē</w:t>
            </w:r>
            <w:r w:rsidR="00BE38A1" w:rsidRPr="00D26824">
              <w:t xml:space="preserve"> tika </w:t>
            </w:r>
            <w:r w:rsidR="00BE38A1" w:rsidRPr="00D26824">
              <w:rPr>
                <w:szCs w:val="28"/>
              </w:rPr>
              <w:t>iesaistīta</w:t>
            </w:r>
            <w:r w:rsidR="00BE38A1" w:rsidRPr="00D26824">
              <w:t xml:space="preserve"> </w:t>
            </w:r>
            <w:r w:rsidR="00CE7C07" w:rsidRPr="00D26824">
              <w:t>Veselības ministrija</w:t>
            </w:r>
            <w:r w:rsidR="00452AA8" w:rsidRPr="00D26824">
              <w:t xml:space="preserve"> un Slimību profilakses </w:t>
            </w:r>
            <w:r w:rsidR="00F8247D">
              <w:t xml:space="preserve">un kontroles </w:t>
            </w:r>
            <w:r w:rsidR="00452AA8" w:rsidRPr="00D26824">
              <w:t>centrs.</w:t>
            </w:r>
          </w:p>
        </w:tc>
      </w:tr>
      <w:tr w:rsidR="003735C6" w:rsidRPr="00D26824" w:rsidTr="00C1591C">
        <w:tc>
          <w:tcPr>
            <w:tcW w:w="251" w:type="pct"/>
          </w:tcPr>
          <w:p w:rsidR="003735C6" w:rsidRPr="00D26824" w:rsidRDefault="003735C6" w:rsidP="00C1591C">
            <w:pPr>
              <w:pStyle w:val="naiskr"/>
              <w:spacing w:before="0" w:beforeAutospacing="0" w:after="0" w:afterAutospacing="0"/>
              <w:ind w:left="57" w:right="57"/>
              <w:jc w:val="center"/>
            </w:pPr>
            <w:r w:rsidRPr="00D26824">
              <w:t>4.</w:t>
            </w:r>
          </w:p>
        </w:tc>
        <w:tc>
          <w:tcPr>
            <w:tcW w:w="1354" w:type="pct"/>
          </w:tcPr>
          <w:p w:rsidR="003735C6" w:rsidRPr="00D26824" w:rsidRDefault="003735C6" w:rsidP="00C1591C">
            <w:pPr>
              <w:pStyle w:val="naiskr"/>
              <w:spacing w:before="0" w:beforeAutospacing="0" w:after="0" w:afterAutospacing="0"/>
              <w:ind w:left="57" w:right="57"/>
            </w:pPr>
            <w:r w:rsidRPr="00D26824">
              <w:t>Cita informācija</w:t>
            </w:r>
          </w:p>
        </w:tc>
        <w:tc>
          <w:tcPr>
            <w:tcW w:w="3395" w:type="pct"/>
          </w:tcPr>
          <w:p w:rsidR="00A9277C" w:rsidRPr="00D26824" w:rsidRDefault="007454B7" w:rsidP="00C1591C">
            <w:pPr>
              <w:pStyle w:val="naiskr"/>
              <w:spacing w:before="40" w:beforeAutospacing="0" w:after="40" w:afterAutospacing="0"/>
              <w:ind w:left="57" w:right="57" w:firstLine="284"/>
              <w:jc w:val="both"/>
            </w:pPr>
            <w:r w:rsidRPr="00D26824">
              <w:t>Nav.</w:t>
            </w:r>
          </w:p>
        </w:tc>
      </w:tr>
    </w:tbl>
    <w:p w:rsidR="00C1591C" w:rsidRDefault="00C1591C" w:rsidP="00E224D1">
      <w:pPr>
        <w:autoSpaceDE w:val="0"/>
        <w:autoSpaceDN w:val="0"/>
        <w:adjustRightInd w:val="0"/>
        <w:jc w:val="both"/>
        <w:outlineLvl w:val="0"/>
      </w:pPr>
    </w:p>
    <w:p w:rsidR="00513043" w:rsidRPr="00D26824" w:rsidRDefault="00513043" w:rsidP="00E224D1">
      <w:pPr>
        <w:autoSpaceDE w:val="0"/>
        <w:autoSpaceDN w:val="0"/>
        <w:adjustRightInd w:val="0"/>
        <w:jc w:val="both"/>
        <w:outlineLvl w:val="0"/>
      </w:pPr>
    </w:p>
    <w:tbl>
      <w:tblPr>
        <w:tblpPr w:leftFromText="180" w:rightFromText="180" w:vertAnchor="text" w:horzAnchor="margin" w:tblpX="13" w:tblpY="119"/>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409"/>
        <w:gridCol w:w="6082"/>
      </w:tblGrid>
      <w:tr w:rsidR="003735C6" w:rsidRPr="00D26824" w:rsidTr="00C1591C">
        <w:trPr>
          <w:trHeight w:val="556"/>
        </w:trPr>
        <w:tc>
          <w:tcPr>
            <w:tcW w:w="8922" w:type="dxa"/>
            <w:gridSpan w:val="3"/>
            <w:vAlign w:val="center"/>
          </w:tcPr>
          <w:p w:rsidR="003735C6" w:rsidRPr="00D26824" w:rsidRDefault="003735C6" w:rsidP="00C1591C">
            <w:pPr>
              <w:pStyle w:val="naisnod"/>
              <w:spacing w:before="0" w:beforeAutospacing="0" w:after="0" w:afterAutospacing="0"/>
              <w:ind w:left="57" w:right="57"/>
              <w:jc w:val="center"/>
              <w:rPr>
                <w:b/>
              </w:rPr>
            </w:pPr>
            <w:r w:rsidRPr="00D26824">
              <w:rPr>
                <w:b/>
              </w:rPr>
              <w:t>II. Tiesību akta projekta ietekme uz sabiedrību, tautsaimniecības attīstību</w:t>
            </w:r>
          </w:p>
          <w:p w:rsidR="003735C6" w:rsidRPr="00D26824" w:rsidRDefault="003735C6" w:rsidP="00C1591C">
            <w:pPr>
              <w:pStyle w:val="naisnod"/>
              <w:spacing w:before="0" w:beforeAutospacing="0" w:after="0" w:afterAutospacing="0"/>
              <w:ind w:left="57" w:right="57"/>
              <w:jc w:val="center"/>
              <w:rPr>
                <w:b/>
              </w:rPr>
            </w:pPr>
            <w:r w:rsidRPr="00D26824">
              <w:rPr>
                <w:b/>
              </w:rPr>
              <w:t>un administratīvo slogu</w:t>
            </w:r>
          </w:p>
        </w:tc>
      </w:tr>
      <w:tr w:rsidR="003735C6" w:rsidRPr="00D26824" w:rsidTr="00C1591C">
        <w:trPr>
          <w:trHeight w:val="467"/>
        </w:trPr>
        <w:tc>
          <w:tcPr>
            <w:tcW w:w="431" w:type="dxa"/>
          </w:tcPr>
          <w:p w:rsidR="003735C6" w:rsidRPr="00D26824" w:rsidRDefault="003735C6" w:rsidP="00C1591C">
            <w:pPr>
              <w:pStyle w:val="naiskr"/>
              <w:spacing w:before="0" w:beforeAutospacing="0" w:after="0" w:afterAutospacing="0"/>
              <w:ind w:left="57" w:right="57"/>
              <w:jc w:val="both"/>
            </w:pPr>
            <w:r w:rsidRPr="00D26824">
              <w:t>1.</w:t>
            </w:r>
          </w:p>
        </w:tc>
        <w:tc>
          <w:tcPr>
            <w:tcW w:w="2409" w:type="dxa"/>
          </w:tcPr>
          <w:p w:rsidR="003735C6" w:rsidRPr="00D26824" w:rsidRDefault="003735C6" w:rsidP="00C1591C">
            <w:pPr>
              <w:pStyle w:val="naiskr"/>
              <w:spacing w:before="0" w:beforeAutospacing="0" w:after="0" w:afterAutospacing="0"/>
              <w:ind w:left="57" w:right="57"/>
            </w:pPr>
            <w:r w:rsidRPr="00D26824">
              <w:t xml:space="preserve">Sabiedrības mērķgrupas, kuras </w:t>
            </w:r>
            <w:r w:rsidRPr="00D26824">
              <w:lastRenderedPageBreak/>
              <w:t>tiesiskais regulējums ietekmē vai varētu ietekmēt</w:t>
            </w:r>
          </w:p>
        </w:tc>
        <w:tc>
          <w:tcPr>
            <w:tcW w:w="6082" w:type="dxa"/>
          </w:tcPr>
          <w:p w:rsidR="003735C6" w:rsidRPr="00D26824" w:rsidRDefault="005B2F32" w:rsidP="00601201">
            <w:pPr>
              <w:pStyle w:val="naiskr"/>
              <w:spacing w:before="40" w:beforeAutospacing="0" w:after="40" w:afterAutospacing="0"/>
              <w:ind w:left="57" w:right="57" w:firstLine="284"/>
              <w:jc w:val="both"/>
            </w:pPr>
            <w:bookmarkStart w:id="19" w:name="p21"/>
            <w:bookmarkEnd w:id="19"/>
            <w:r w:rsidRPr="00D26824">
              <w:lastRenderedPageBreak/>
              <w:t>Tiesiskais regulējums ietekmē</w:t>
            </w:r>
            <w:r w:rsidR="002C6B64">
              <w:t xml:space="preserve"> </w:t>
            </w:r>
            <w:r w:rsidR="00424E0C" w:rsidRPr="004C0A2D">
              <w:t>Veselības ministriju</w:t>
            </w:r>
            <w:r w:rsidR="00424E0C">
              <w:t>,</w:t>
            </w:r>
            <w:r w:rsidR="00237AA7">
              <w:t xml:space="preserve"> </w:t>
            </w:r>
            <w:r w:rsidR="00460FE0" w:rsidRPr="00460FE0">
              <w:t>Ekonomikas</w:t>
            </w:r>
            <w:r w:rsidR="00237AA7">
              <w:t xml:space="preserve"> </w:t>
            </w:r>
            <w:r w:rsidR="00460FE0" w:rsidRPr="004C0A2D">
              <w:t>ministriju</w:t>
            </w:r>
            <w:r w:rsidR="00460FE0" w:rsidRPr="00460FE0">
              <w:t>, Finanšu</w:t>
            </w:r>
            <w:r w:rsidR="00237AA7">
              <w:t xml:space="preserve"> </w:t>
            </w:r>
            <w:r w:rsidR="00460FE0" w:rsidRPr="004C0A2D">
              <w:t>ministriju</w:t>
            </w:r>
            <w:r w:rsidR="00460FE0" w:rsidRPr="00460FE0">
              <w:t xml:space="preserve">, Izglītības un </w:t>
            </w:r>
            <w:r w:rsidR="00460FE0" w:rsidRPr="00460FE0">
              <w:lastRenderedPageBreak/>
              <w:t>zinātnes</w:t>
            </w:r>
            <w:r w:rsidR="00237AA7">
              <w:t xml:space="preserve"> </w:t>
            </w:r>
            <w:r w:rsidR="00460FE0" w:rsidRPr="004C0A2D">
              <w:t>ministriju</w:t>
            </w:r>
            <w:r w:rsidR="00460FE0" w:rsidRPr="00460FE0">
              <w:t>, Kultūras</w:t>
            </w:r>
            <w:r w:rsidR="00237AA7">
              <w:t xml:space="preserve"> </w:t>
            </w:r>
            <w:r w:rsidR="00460FE0" w:rsidRPr="004C0A2D">
              <w:t>ministriju</w:t>
            </w:r>
            <w:r w:rsidR="00460FE0" w:rsidRPr="00460FE0">
              <w:t>, Labklājības</w:t>
            </w:r>
            <w:r w:rsidR="00237AA7">
              <w:t xml:space="preserve"> </w:t>
            </w:r>
            <w:r w:rsidR="00460FE0" w:rsidRPr="004C0A2D">
              <w:t>ministriju</w:t>
            </w:r>
            <w:r w:rsidR="00460FE0" w:rsidRPr="00460FE0">
              <w:t>, Satiksmes</w:t>
            </w:r>
            <w:r w:rsidR="00237AA7">
              <w:t xml:space="preserve"> </w:t>
            </w:r>
            <w:r w:rsidR="00460FE0" w:rsidRPr="004C0A2D">
              <w:t>ministriju</w:t>
            </w:r>
            <w:r w:rsidR="00460FE0" w:rsidRPr="00460FE0">
              <w:t>, Tieslietu</w:t>
            </w:r>
            <w:r w:rsidR="00237AA7">
              <w:t xml:space="preserve"> </w:t>
            </w:r>
            <w:r w:rsidR="00460FE0" w:rsidRPr="004C0A2D">
              <w:t>ministriju</w:t>
            </w:r>
            <w:r w:rsidR="00460FE0" w:rsidRPr="00460FE0">
              <w:t>, Vides aizsardzības un reģionālās attīstības</w:t>
            </w:r>
            <w:r w:rsidR="00237AA7">
              <w:t xml:space="preserve"> </w:t>
            </w:r>
            <w:r w:rsidR="00460FE0" w:rsidRPr="004C0A2D">
              <w:t>ministriju</w:t>
            </w:r>
            <w:r w:rsidR="00460FE0" w:rsidRPr="00460FE0">
              <w:t>, Zemkopības</w:t>
            </w:r>
            <w:r w:rsidR="00237AA7">
              <w:t xml:space="preserve"> </w:t>
            </w:r>
            <w:r w:rsidR="00460FE0" w:rsidRPr="004C0A2D">
              <w:t>ministriju</w:t>
            </w:r>
            <w:r w:rsidR="00460FE0" w:rsidRPr="00460FE0">
              <w:t xml:space="preserve">, </w:t>
            </w:r>
            <w:proofErr w:type="spellStart"/>
            <w:r w:rsidR="00460FE0" w:rsidRPr="00460FE0">
              <w:t>Pārresoru</w:t>
            </w:r>
            <w:proofErr w:type="spellEnd"/>
            <w:r w:rsidR="00460FE0" w:rsidRPr="00460FE0">
              <w:t xml:space="preserve"> koordinācijas centru, </w:t>
            </w:r>
            <w:r w:rsidR="00601201">
              <w:t xml:space="preserve">Latvijas Lielo pilsētu asociāciju, </w:t>
            </w:r>
            <w:r w:rsidR="00460FE0" w:rsidRPr="00460FE0">
              <w:t>Latvijas Pašvaldību savienību</w:t>
            </w:r>
            <w:r w:rsidR="00424E0C">
              <w:t>, veselības nozares valsts pārvaldes iestādes, pašvaldības.</w:t>
            </w:r>
          </w:p>
        </w:tc>
      </w:tr>
      <w:tr w:rsidR="003735C6" w:rsidRPr="00D26824" w:rsidTr="00C1591C">
        <w:trPr>
          <w:trHeight w:val="523"/>
        </w:trPr>
        <w:tc>
          <w:tcPr>
            <w:tcW w:w="431" w:type="dxa"/>
          </w:tcPr>
          <w:p w:rsidR="003735C6" w:rsidRPr="00D26824" w:rsidRDefault="003735C6" w:rsidP="00C1591C">
            <w:pPr>
              <w:pStyle w:val="naiskr"/>
              <w:spacing w:before="0" w:beforeAutospacing="0" w:after="0" w:afterAutospacing="0"/>
              <w:ind w:left="57" w:right="57"/>
              <w:jc w:val="both"/>
            </w:pPr>
            <w:r w:rsidRPr="00D26824">
              <w:lastRenderedPageBreak/>
              <w:t>2.</w:t>
            </w:r>
          </w:p>
        </w:tc>
        <w:tc>
          <w:tcPr>
            <w:tcW w:w="2409" w:type="dxa"/>
          </w:tcPr>
          <w:p w:rsidR="003735C6" w:rsidRPr="00D26824" w:rsidRDefault="003735C6" w:rsidP="00C1591C">
            <w:pPr>
              <w:pStyle w:val="naiskr"/>
              <w:spacing w:before="0" w:beforeAutospacing="0" w:after="0" w:afterAutospacing="0"/>
              <w:ind w:left="57" w:right="57"/>
            </w:pPr>
            <w:r w:rsidRPr="00D26824">
              <w:t>Tiesiskā regulējuma ietekme uz tautsaimniecību un administratīvo slogu</w:t>
            </w:r>
          </w:p>
        </w:tc>
        <w:tc>
          <w:tcPr>
            <w:tcW w:w="6082" w:type="dxa"/>
          </w:tcPr>
          <w:p w:rsidR="003735C6" w:rsidRPr="00D26824" w:rsidRDefault="003735C6" w:rsidP="00C1591C">
            <w:pPr>
              <w:pStyle w:val="naiskr"/>
              <w:spacing w:before="40" w:beforeAutospacing="0" w:after="40" w:afterAutospacing="0"/>
              <w:ind w:left="57" w:right="57" w:firstLine="284"/>
              <w:jc w:val="both"/>
            </w:pPr>
            <w:r w:rsidRPr="00D26824">
              <w:rPr>
                <w:szCs w:val="28"/>
              </w:rPr>
              <w:t>Sabiedrības</w:t>
            </w:r>
            <w:r w:rsidRPr="00D26824">
              <w:t xml:space="preserve"> grupām un institūcijām projekta tiesiskais regulējums nemaina tiesības un pienākumus, kā arī veicamās darbības</w:t>
            </w:r>
            <w:r w:rsidR="005B0C40" w:rsidRPr="00D26824">
              <w:t xml:space="preserve"> pēc būtības</w:t>
            </w:r>
            <w:r w:rsidRPr="00D26824">
              <w:t>.</w:t>
            </w:r>
            <w:r w:rsidR="005B0C40" w:rsidRPr="00D26824">
              <w:t xml:space="preserve"> Tiesiskā regulējuma ietvaros noteiktie pienākumi tiks īstenoti esošo finan</w:t>
            </w:r>
            <w:r w:rsidR="00361E0D" w:rsidRPr="00D26824">
              <w:t>š</w:t>
            </w:r>
            <w:r w:rsidR="005B0C40" w:rsidRPr="00D26824">
              <w:t>u un darbinieku kapacitātes ietvaros.</w:t>
            </w:r>
          </w:p>
        </w:tc>
      </w:tr>
      <w:tr w:rsidR="003735C6" w:rsidRPr="00D26824" w:rsidTr="00C1591C">
        <w:trPr>
          <w:trHeight w:val="523"/>
        </w:trPr>
        <w:tc>
          <w:tcPr>
            <w:tcW w:w="431" w:type="dxa"/>
          </w:tcPr>
          <w:p w:rsidR="003735C6" w:rsidRPr="00D26824" w:rsidRDefault="003735C6" w:rsidP="00C1591C">
            <w:pPr>
              <w:pStyle w:val="naiskr"/>
              <w:spacing w:before="0" w:beforeAutospacing="0" w:after="0" w:afterAutospacing="0"/>
              <w:ind w:left="57" w:right="57"/>
              <w:jc w:val="both"/>
            </w:pPr>
            <w:r w:rsidRPr="00D26824">
              <w:t>3.</w:t>
            </w:r>
          </w:p>
        </w:tc>
        <w:tc>
          <w:tcPr>
            <w:tcW w:w="2409" w:type="dxa"/>
          </w:tcPr>
          <w:p w:rsidR="003735C6" w:rsidRPr="00D26824" w:rsidRDefault="003735C6" w:rsidP="00C1591C">
            <w:pPr>
              <w:pStyle w:val="naiskr"/>
              <w:spacing w:before="0" w:beforeAutospacing="0" w:after="0" w:afterAutospacing="0"/>
              <w:ind w:left="57" w:right="57"/>
            </w:pPr>
            <w:r w:rsidRPr="00D26824">
              <w:t>Administratīvo izmaksu monetārs novērtējums</w:t>
            </w:r>
          </w:p>
        </w:tc>
        <w:tc>
          <w:tcPr>
            <w:tcW w:w="6082" w:type="dxa"/>
          </w:tcPr>
          <w:p w:rsidR="003735C6" w:rsidRPr="00D26824" w:rsidRDefault="003735C6" w:rsidP="00C1591C">
            <w:pPr>
              <w:pStyle w:val="naiskr"/>
              <w:spacing w:before="40" w:beforeAutospacing="0" w:after="40" w:afterAutospacing="0"/>
              <w:ind w:left="57" w:right="57" w:firstLine="284"/>
              <w:jc w:val="both"/>
            </w:pPr>
            <w:r w:rsidRPr="00D26824">
              <w:t xml:space="preserve">MK </w:t>
            </w:r>
            <w:r w:rsidRPr="00D26824">
              <w:rPr>
                <w:szCs w:val="28"/>
              </w:rPr>
              <w:t>noteikumu</w:t>
            </w:r>
            <w:r w:rsidRPr="00D26824">
              <w:t xml:space="preserve"> projekts šo jomu neskar.</w:t>
            </w:r>
          </w:p>
        </w:tc>
      </w:tr>
      <w:tr w:rsidR="003735C6" w:rsidRPr="00D26824" w:rsidTr="00C1591C">
        <w:trPr>
          <w:trHeight w:val="357"/>
        </w:trPr>
        <w:tc>
          <w:tcPr>
            <w:tcW w:w="431" w:type="dxa"/>
          </w:tcPr>
          <w:p w:rsidR="003735C6" w:rsidRPr="00D26824" w:rsidRDefault="003735C6" w:rsidP="00C1591C">
            <w:pPr>
              <w:pStyle w:val="naiskr"/>
              <w:spacing w:before="0" w:beforeAutospacing="0" w:after="0" w:afterAutospacing="0"/>
              <w:ind w:left="57" w:right="57"/>
              <w:jc w:val="both"/>
            </w:pPr>
            <w:r w:rsidRPr="00D26824">
              <w:t>4.</w:t>
            </w:r>
          </w:p>
        </w:tc>
        <w:tc>
          <w:tcPr>
            <w:tcW w:w="2409" w:type="dxa"/>
          </w:tcPr>
          <w:p w:rsidR="003735C6" w:rsidRPr="00D26824" w:rsidRDefault="003735C6" w:rsidP="00C1591C">
            <w:pPr>
              <w:pStyle w:val="naiskr"/>
              <w:spacing w:before="0" w:beforeAutospacing="0" w:after="0" w:afterAutospacing="0"/>
              <w:ind w:left="57" w:right="57"/>
            </w:pPr>
            <w:r w:rsidRPr="00D26824">
              <w:t>Cita informācija</w:t>
            </w:r>
          </w:p>
        </w:tc>
        <w:tc>
          <w:tcPr>
            <w:tcW w:w="6082" w:type="dxa"/>
          </w:tcPr>
          <w:p w:rsidR="003735C6" w:rsidRPr="00D26824" w:rsidRDefault="003735C6" w:rsidP="00C1591C">
            <w:pPr>
              <w:pStyle w:val="naiskr"/>
              <w:spacing w:before="40" w:beforeAutospacing="0" w:after="40" w:afterAutospacing="0"/>
              <w:ind w:left="57" w:right="57" w:firstLine="284"/>
              <w:jc w:val="both"/>
            </w:pPr>
            <w:r w:rsidRPr="00D26824">
              <w:rPr>
                <w:szCs w:val="28"/>
              </w:rPr>
              <w:t>Nav</w:t>
            </w:r>
            <w:r w:rsidRPr="00D26824">
              <w:t>.</w:t>
            </w:r>
          </w:p>
        </w:tc>
      </w:tr>
    </w:tbl>
    <w:p w:rsidR="003735C6" w:rsidRDefault="003735C6" w:rsidP="00E224D1">
      <w:pPr>
        <w:autoSpaceDE w:val="0"/>
        <w:autoSpaceDN w:val="0"/>
        <w:adjustRightInd w:val="0"/>
        <w:jc w:val="both"/>
        <w:outlineLvl w:val="0"/>
      </w:pPr>
    </w:p>
    <w:p w:rsidR="00513043" w:rsidRDefault="00513043" w:rsidP="00E224D1">
      <w:pPr>
        <w:autoSpaceDE w:val="0"/>
        <w:autoSpaceDN w:val="0"/>
        <w:adjustRightInd w:val="0"/>
        <w:jc w:val="both"/>
        <w:outlineLvl w:val="0"/>
      </w:pPr>
    </w:p>
    <w:tbl>
      <w:tblPr>
        <w:tblW w:w="891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1134"/>
        <w:gridCol w:w="1276"/>
        <w:gridCol w:w="1260"/>
        <w:gridCol w:w="1276"/>
        <w:gridCol w:w="1291"/>
      </w:tblGrid>
      <w:tr w:rsidR="00DA78C4" w:rsidRPr="00D26824" w:rsidTr="00C1591C">
        <w:trPr>
          <w:trHeight w:val="361"/>
        </w:trPr>
        <w:tc>
          <w:tcPr>
            <w:tcW w:w="8917" w:type="dxa"/>
            <w:gridSpan w:val="6"/>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E224D1">
            <w:pPr>
              <w:pStyle w:val="naisnod"/>
              <w:spacing w:before="0" w:beforeAutospacing="0" w:after="0" w:afterAutospacing="0"/>
              <w:ind w:left="57" w:right="57"/>
              <w:jc w:val="center"/>
              <w:rPr>
                <w:b/>
              </w:rPr>
            </w:pPr>
            <w:r w:rsidRPr="00D26824">
              <w:rPr>
                <w:b/>
              </w:rPr>
              <w:br w:type="page"/>
              <w:t>III. Tiesību akta projekta ietekme uz valsts budžetu un pašvaldību budžetiem</w:t>
            </w:r>
          </w:p>
        </w:tc>
      </w:tr>
      <w:tr w:rsidR="00DA78C4" w:rsidRPr="00D26824" w:rsidTr="00C1591C">
        <w:tc>
          <w:tcPr>
            <w:tcW w:w="2680" w:type="dxa"/>
            <w:vMerge w:val="restart"/>
            <w:tcBorders>
              <w:top w:val="single" w:sz="4" w:space="0" w:color="auto"/>
              <w:left w:val="single" w:sz="4" w:space="0" w:color="auto"/>
              <w:bottom w:val="single" w:sz="4" w:space="0" w:color="auto"/>
              <w:right w:val="single" w:sz="4" w:space="0" w:color="auto"/>
            </w:tcBorders>
            <w:vAlign w:val="center"/>
          </w:tcPr>
          <w:p w:rsidR="00DA78C4" w:rsidRPr="00D26824" w:rsidRDefault="00DA78C4" w:rsidP="00AA46F7">
            <w:pPr>
              <w:pStyle w:val="naisf"/>
              <w:spacing w:before="0" w:beforeAutospacing="0" w:after="0" w:afterAutospacing="0"/>
              <w:jc w:val="center"/>
              <w:rPr>
                <w:b/>
                <w:lang w:val="lv-LV"/>
              </w:rPr>
            </w:pPr>
            <w:r w:rsidRPr="00D26824">
              <w:rPr>
                <w:b/>
                <w:lang w:val="lv-LV"/>
              </w:rPr>
              <w:t>Rādītāji</w:t>
            </w:r>
          </w:p>
          <w:p w:rsidR="00DA78C4" w:rsidRPr="00D26824" w:rsidRDefault="00DA78C4" w:rsidP="00AA46F7">
            <w:pPr>
              <w:rPr>
                <w:lang w:eastAsia="lv-LV"/>
              </w:rPr>
            </w:pPr>
          </w:p>
          <w:p w:rsidR="00DA78C4" w:rsidRPr="00D26824" w:rsidRDefault="00DA78C4" w:rsidP="00AA46F7">
            <w:pPr>
              <w:rPr>
                <w:lang w:eastAsia="lv-LV"/>
              </w:rPr>
            </w:pPr>
          </w:p>
          <w:p w:rsidR="00DA78C4" w:rsidRPr="00D26824" w:rsidRDefault="00DA78C4" w:rsidP="00C1591C">
            <w:pPr>
              <w:ind w:left="-142" w:firstLine="142"/>
              <w:rPr>
                <w:lang w:eastAsia="lv-LV"/>
              </w:rPr>
            </w:pP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483C82">
            <w:pPr>
              <w:pStyle w:val="naisf"/>
              <w:spacing w:before="0" w:beforeAutospacing="0" w:after="0" w:afterAutospacing="0"/>
              <w:jc w:val="center"/>
              <w:rPr>
                <w:b/>
                <w:lang w:val="lv-LV"/>
              </w:rPr>
            </w:pPr>
            <w:r w:rsidRPr="00D26824">
              <w:rPr>
                <w:b/>
                <w:lang w:val="lv-LV"/>
              </w:rPr>
              <w:t>201</w:t>
            </w:r>
            <w:r w:rsidR="00483C82">
              <w:rPr>
                <w:b/>
                <w:lang w:val="lv-LV"/>
              </w:rPr>
              <w:t>6</w:t>
            </w:r>
            <w:r w:rsidRPr="00D26824">
              <w:rPr>
                <w:b/>
                <w:lang w:val="lv-LV"/>
              </w:rPr>
              <w:t>.gads</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
                <w:i/>
                <w:lang w:val="lv-LV"/>
              </w:rPr>
            </w:pPr>
            <w:r w:rsidRPr="00D26824">
              <w:rPr>
                <w:lang w:val="lv-LV"/>
              </w:rPr>
              <w:t>Turpmākie trīs gadi (</w:t>
            </w:r>
            <w:proofErr w:type="spellStart"/>
            <w:r w:rsidRPr="00D26824">
              <w:rPr>
                <w:i/>
                <w:lang w:val="lv-LV"/>
              </w:rPr>
              <w:t>euro</w:t>
            </w:r>
            <w:proofErr w:type="spellEnd"/>
            <w:r w:rsidRPr="00D26824">
              <w:rPr>
                <w:lang w:val="lv-LV"/>
              </w:rPr>
              <w:t>)</w:t>
            </w:r>
          </w:p>
        </w:tc>
      </w:tr>
      <w:tr w:rsidR="00DA78C4" w:rsidRPr="00D26824" w:rsidTr="00C1591C">
        <w:tc>
          <w:tcPr>
            <w:tcW w:w="2680" w:type="dxa"/>
            <w:vMerge/>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rPr>
                <w:lang w:eastAsia="lv-LV"/>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rPr>
                <w:rFonts w:eastAsia="Arial Unicode MS"/>
                <w:b/>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483C82">
            <w:pPr>
              <w:pStyle w:val="naisf"/>
              <w:spacing w:before="0" w:beforeAutospacing="0" w:after="0" w:afterAutospacing="0"/>
              <w:jc w:val="center"/>
              <w:rPr>
                <w:b/>
                <w:i/>
                <w:lang w:val="lv-LV"/>
              </w:rPr>
            </w:pPr>
            <w:r w:rsidRPr="00D26824">
              <w:rPr>
                <w:b/>
                <w:bCs/>
                <w:lang w:val="lv-LV"/>
              </w:rPr>
              <w:t>201</w:t>
            </w:r>
            <w:r w:rsidR="00483C82">
              <w:rPr>
                <w:b/>
                <w:bCs/>
                <w:lang w:val="lv-LV"/>
              </w:rPr>
              <w:t>7</w:t>
            </w:r>
            <w:r w:rsidRPr="00D26824">
              <w:rPr>
                <w:b/>
                <w:bCs/>
                <w:lang w:val="lv-LV"/>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483C82">
            <w:pPr>
              <w:pStyle w:val="naisf"/>
              <w:spacing w:before="0" w:beforeAutospacing="0" w:after="0" w:afterAutospacing="0"/>
              <w:jc w:val="center"/>
              <w:rPr>
                <w:b/>
                <w:i/>
                <w:lang w:val="lv-LV"/>
              </w:rPr>
            </w:pPr>
            <w:r w:rsidRPr="00D26824">
              <w:rPr>
                <w:b/>
                <w:bCs/>
                <w:lang w:val="lv-LV"/>
              </w:rPr>
              <w:t>201</w:t>
            </w:r>
            <w:r w:rsidR="00483C82">
              <w:rPr>
                <w:b/>
                <w:bCs/>
                <w:lang w:val="lv-LV"/>
              </w:rPr>
              <w:t>8</w:t>
            </w:r>
            <w:r w:rsidRPr="00D26824">
              <w:rPr>
                <w:b/>
                <w:bCs/>
                <w:lang w:val="lv-LV"/>
              </w:rPr>
              <w:t>.</w:t>
            </w:r>
          </w:p>
        </w:tc>
        <w:tc>
          <w:tcPr>
            <w:tcW w:w="1291"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483C82">
            <w:pPr>
              <w:pStyle w:val="naisf"/>
              <w:spacing w:before="0" w:beforeAutospacing="0" w:after="0" w:afterAutospacing="0"/>
              <w:jc w:val="center"/>
              <w:rPr>
                <w:b/>
                <w:i/>
                <w:lang w:val="lv-LV"/>
              </w:rPr>
            </w:pPr>
            <w:r w:rsidRPr="00D26824">
              <w:rPr>
                <w:b/>
                <w:bCs/>
                <w:lang w:val="lv-LV"/>
              </w:rPr>
              <w:t>201</w:t>
            </w:r>
            <w:r w:rsidR="00483C82">
              <w:rPr>
                <w:b/>
                <w:bCs/>
                <w:lang w:val="lv-LV"/>
              </w:rPr>
              <w:t>9</w:t>
            </w:r>
            <w:r w:rsidRPr="00D26824">
              <w:rPr>
                <w:b/>
                <w:bCs/>
                <w:lang w:val="lv-LV"/>
              </w:rPr>
              <w:t>.</w:t>
            </w:r>
          </w:p>
        </w:tc>
      </w:tr>
      <w:tr w:rsidR="00DA78C4" w:rsidRPr="00D26824" w:rsidTr="00C1591C">
        <w:tc>
          <w:tcPr>
            <w:tcW w:w="2680" w:type="dxa"/>
            <w:vMerge/>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rPr>
                <w:lang w:eastAsia="lv-LV"/>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
                <w:i/>
                <w:lang w:val="lv-LV"/>
              </w:rPr>
            </w:pPr>
            <w:r w:rsidRPr="00D26824">
              <w:rPr>
                <w:lang w:val="lv-LV"/>
              </w:rPr>
              <w:t>saskaņā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
                <w:i/>
                <w:lang w:val="lv-LV"/>
              </w:rPr>
            </w:pPr>
            <w:r w:rsidRPr="00D26824">
              <w:rPr>
                <w:lang w:val="lv-LV"/>
              </w:rPr>
              <w:t>izmaiņas kārtējā gadā, salīdzinot ar valsts budžetu kārtējam gadam</w:t>
            </w:r>
          </w:p>
        </w:tc>
        <w:tc>
          <w:tcPr>
            <w:tcW w:w="1260"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
                <w:i/>
                <w:lang w:val="lv-LV"/>
              </w:rPr>
            </w:pPr>
            <w:r w:rsidRPr="00D26824">
              <w:rPr>
                <w:lang w:val="lv-LV"/>
              </w:rPr>
              <w:t>izmaiņas, salīdzinot ar kārtējo (n) gadu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
                <w:i/>
                <w:lang w:val="lv-LV"/>
              </w:rPr>
            </w:pPr>
            <w:r w:rsidRPr="00D26824">
              <w:rPr>
                <w:lang w:val="lv-LV"/>
              </w:rPr>
              <w:t>izmaiņas, salīdzinot ar kārtējo (n) gadu</w:t>
            </w:r>
          </w:p>
        </w:tc>
        <w:tc>
          <w:tcPr>
            <w:tcW w:w="1291"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
                <w:i/>
                <w:lang w:val="lv-LV"/>
              </w:rPr>
            </w:pPr>
            <w:r w:rsidRPr="00D26824">
              <w:rPr>
                <w:lang w:val="lv-LV"/>
              </w:rPr>
              <w:t>izmaiņas, salīdzinot ar kārtējo (n) gadu</w:t>
            </w:r>
          </w:p>
        </w:tc>
      </w:tr>
      <w:tr w:rsidR="00DA78C4" w:rsidRPr="00D26824" w:rsidTr="00C1591C">
        <w:tc>
          <w:tcPr>
            <w:tcW w:w="2680"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Cs/>
                <w:lang w:val="lv-LV"/>
              </w:rPr>
            </w:pPr>
            <w:r w:rsidRPr="00D26824">
              <w:rPr>
                <w:bCs/>
                <w:lang w:val="lv-LV"/>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Cs/>
                <w:lang w:val="lv-LV"/>
              </w:rPr>
            </w:pPr>
            <w:r w:rsidRPr="00D26824">
              <w:rPr>
                <w:bCs/>
                <w:lang w:val="lv-LV"/>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Cs/>
                <w:lang w:val="lv-LV"/>
              </w:rPr>
            </w:pPr>
            <w:r w:rsidRPr="00D26824">
              <w:rPr>
                <w:bCs/>
                <w:lang w:val="lv-LV"/>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Cs/>
                <w:lang w:val="lv-LV"/>
              </w:rPr>
            </w:pPr>
            <w:r w:rsidRPr="00D26824">
              <w:rPr>
                <w:bCs/>
                <w:lang w:val="lv-LV"/>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Cs/>
                <w:lang w:val="lv-LV"/>
              </w:rPr>
            </w:pPr>
            <w:r w:rsidRPr="00D26824">
              <w:rPr>
                <w:bCs/>
                <w:lang w:val="lv-LV"/>
              </w:rPr>
              <w:t>5</w:t>
            </w:r>
          </w:p>
        </w:tc>
        <w:tc>
          <w:tcPr>
            <w:tcW w:w="1291"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Cs/>
                <w:lang w:val="lv-LV"/>
              </w:rPr>
            </w:pPr>
            <w:r w:rsidRPr="00D26824">
              <w:rPr>
                <w:bCs/>
                <w:lang w:val="lv-LV"/>
              </w:rPr>
              <w:t>6</w:t>
            </w:r>
          </w:p>
        </w:tc>
      </w:tr>
      <w:tr w:rsidR="00483C82" w:rsidRPr="00D26824" w:rsidTr="00C1591C">
        <w:tc>
          <w:tcPr>
            <w:tcW w:w="2680" w:type="dxa"/>
            <w:tcBorders>
              <w:top w:val="single" w:sz="4" w:space="0" w:color="auto"/>
              <w:left w:val="single" w:sz="4" w:space="0" w:color="auto"/>
              <w:bottom w:val="single" w:sz="4" w:space="0" w:color="auto"/>
              <w:right w:val="single" w:sz="4" w:space="0" w:color="auto"/>
            </w:tcBorders>
            <w:hideMark/>
          </w:tcPr>
          <w:p w:rsidR="00483C82" w:rsidRPr="00D26824" w:rsidRDefault="00483C82" w:rsidP="00AA46F7">
            <w:pPr>
              <w:pStyle w:val="naisf"/>
              <w:spacing w:before="0" w:beforeAutospacing="0" w:after="0" w:afterAutospacing="0"/>
              <w:rPr>
                <w:i/>
                <w:lang w:val="lv-LV"/>
              </w:rPr>
            </w:pPr>
            <w:r w:rsidRPr="00D26824">
              <w:rPr>
                <w:lang w:val="lv-LV"/>
              </w:rPr>
              <w:t>1. Budžeta ieņēmumi: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3C82" w:rsidRPr="00D26824" w:rsidRDefault="00483C82" w:rsidP="00AA46F7">
            <w:pPr>
              <w:pStyle w:val="naisf"/>
              <w:spacing w:before="0" w:beforeAutospacing="0" w:after="0" w:afterAutospacing="0"/>
              <w:jc w:val="center"/>
              <w:rPr>
                <w:lang w:val="lv-LV"/>
              </w:rPr>
            </w:pPr>
            <w:r w:rsidRPr="00D26824">
              <w:rPr>
                <w:lang w:val="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3C82" w:rsidRPr="00D26824" w:rsidRDefault="00483C82" w:rsidP="00C0091F">
            <w:pPr>
              <w:pStyle w:val="naisf"/>
              <w:spacing w:before="0" w:beforeAutospacing="0" w:after="0" w:afterAutospacing="0"/>
              <w:jc w:val="center"/>
              <w:rPr>
                <w:lang w:val="lv-LV"/>
              </w:rPr>
            </w:pPr>
            <w:r w:rsidRPr="00D26824">
              <w:rPr>
                <w:lang w:val="lv-LV"/>
              </w:rPr>
              <w:t>1 018 083</w:t>
            </w:r>
            <w:r>
              <w:rPr>
                <w:lang w:val="lv-LV"/>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483C82" w:rsidRPr="00D26824" w:rsidRDefault="00483C82" w:rsidP="00C0091F">
            <w:pPr>
              <w:pStyle w:val="naisf"/>
              <w:spacing w:before="0" w:beforeAutospacing="0" w:after="0" w:afterAutospacing="0"/>
              <w:jc w:val="center"/>
              <w:rPr>
                <w:lang w:val="lv-LV"/>
              </w:rPr>
            </w:pPr>
            <w:r w:rsidRPr="00D26824">
              <w:rPr>
                <w:lang w:val="lv-LV"/>
              </w:rPr>
              <w:t>7 676 555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3C82" w:rsidRPr="00D26824" w:rsidRDefault="00483C82" w:rsidP="001026F6">
            <w:pPr>
              <w:pStyle w:val="naisf"/>
              <w:spacing w:before="0" w:beforeAutospacing="0" w:after="0" w:afterAutospacing="0"/>
              <w:jc w:val="center"/>
              <w:rPr>
                <w:lang w:val="lv-LV"/>
              </w:rPr>
            </w:pPr>
            <w:r w:rsidRPr="00D26824">
              <w:rPr>
                <w:lang w:val="lv-LV"/>
              </w:rPr>
              <w:t>7 676 555</w:t>
            </w:r>
          </w:p>
        </w:tc>
        <w:tc>
          <w:tcPr>
            <w:tcW w:w="1291" w:type="dxa"/>
            <w:tcBorders>
              <w:top w:val="single" w:sz="4" w:space="0" w:color="auto"/>
              <w:left w:val="single" w:sz="4" w:space="0" w:color="auto"/>
              <w:bottom w:val="single" w:sz="4" w:space="0" w:color="auto"/>
              <w:right w:val="single" w:sz="4" w:space="0" w:color="auto"/>
            </w:tcBorders>
            <w:vAlign w:val="center"/>
            <w:hideMark/>
          </w:tcPr>
          <w:p w:rsidR="00483C82" w:rsidRPr="00D26824" w:rsidRDefault="00483C82" w:rsidP="001026F6">
            <w:pPr>
              <w:pStyle w:val="naisf"/>
              <w:spacing w:before="0" w:beforeAutospacing="0" w:after="0" w:afterAutospacing="0"/>
              <w:jc w:val="center"/>
              <w:rPr>
                <w:lang w:val="lv-LV"/>
              </w:rPr>
            </w:pPr>
            <w:r w:rsidRPr="00D26824">
              <w:rPr>
                <w:lang w:val="lv-LV"/>
              </w:rPr>
              <w:t>7 676 555</w:t>
            </w:r>
          </w:p>
        </w:tc>
      </w:tr>
      <w:tr w:rsidR="00483C82" w:rsidRPr="00D26824" w:rsidTr="00C1591C">
        <w:tc>
          <w:tcPr>
            <w:tcW w:w="2680" w:type="dxa"/>
            <w:tcBorders>
              <w:top w:val="single" w:sz="4" w:space="0" w:color="auto"/>
              <w:left w:val="single" w:sz="4" w:space="0" w:color="auto"/>
              <w:bottom w:val="single" w:sz="4" w:space="0" w:color="auto"/>
              <w:right w:val="single" w:sz="4" w:space="0" w:color="auto"/>
            </w:tcBorders>
            <w:hideMark/>
          </w:tcPr>
          <w:p w:rsidR="00483C82" w:rsidRPr="00D26824" w:rsidRDefault="00483C82" w:rsidP="00AA46F7">
            <w:r w:rsidRPr="00D26824">
              <w:t>2. Budžeta izdevumi: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3C82" w:rsidRPr="00D26824" w:rsidRDefault="00483C82" w:rsidP="00AA46F7">
            <w:pPr>
              <w:pStyle w:val="naisf"/>
              <w:spacing w:before="0" w:beforeAutospacing="0" w:after="0" w:afterAutospacing="0"/>
              <w:jc w:val="center"/>
              <w:rPr>
                <w:lang w:val="lv-LV"/>
              </w:rPr>
            </w:pPr>
            <w:r w:rsidRPr="00D26824">
              <w:rPr>
                <w:lang w:val="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3C82" w:rsidRPr="00D26824" w:rsidRDefault="00483C82" w:rsidP="00C0091F">
            <w:pPr>
              <w:pStyle w:val="naisf"/>
              <w:spacing w:before="0" w:beforeAutospacing="0" w:after="0" w:afterAutospacing="0"/>
              <w:jc w:val="center"/>
              <w:rPr>
                <w:lang w:val="lv-LV"/>
              </w:rPr>
            </w:pPr>
            <w:r w:rsidRPr="00D26824">
              <w:rPr>
                <w:lang w:val="lv-LV"/>
              </w:rPr>
              <w:t>1 197 745</w:t>
            </w:r>
          </w:p>
        </w:tc>
        <w:tc>
          <w:tcPr>
            <w:tcW w:w="1260" w:type="dxa"/>
            <w:tcBorders>
              <w:top w:val="single" w:sz="4" w:space="0" w:color="auto"/>
              <w:left w:val="single" w:sz="4" w:space="0" w:color="auto"/>
              <w:bottom w:val="single" w:sz="4" w:space="0" w:color="auto"/>
              <w:right w:val="single" w:sz="4" w:space="0" w:color="auto"/>
            </w:tcBorders>
            <w:vAlign w:val="center"/>
            <w:hideMark/>
          </w:tcPr>
          <w:p w:rsidR="00483C82" w:rsidRPr="00D26824" w:rsidRDefault="00483C82" w:rsidP="00C0091F">
            <w:pPr>
              <w:pStyle w:val="naisf"/>
              <w:spacing w:before="0" w:beforeAutospacing="0" w:after="0" w:afterAutospacing="0"/>
              <w:jc w:val="center"/>
              <w:rPr>
                <w:lang w:val="lv-LV"/>
              </w:rPr>
            </w:pPr>
            <w:r w:rsidRPr="00D26824">
              <w:rPr>
                <w:lang w:val="lv-LV"/>
              </w:rPr>
              <w:t>9 031 242</w:t>
            </w:r>
            <w:r>
              <w:rPr>
                <w:lang w:val="lv-LV"/>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3C82" w:rsidRPr="00D26824" w:rsidRDefault="00483C82" w:rsidP="00F65398">
            <w:pPr>
              <w:pStyle w:val="naisf"/>
              <w:spacing w:before="0" w:beforeAutospacing="0" w:after="0" w:afterAutospacing="0"/>
              <w:jc w:val="center"/>
              <w:rPr>
                <w:lang w:val="lv-LV"/>
              </w:rPr>
            </w:pPr>
            <w:r w:rsidRPr="00D26824">
              <w:rPr>
                <w:lang w:val="lv-LV"/>
              </w:rPr>
              <w:t>9 031 242</w:t>
            </w:r>
            <w:r>
              <w:rPr>
                <w:lang w:val="lv-LV"/>
              </w:rPr>
              <w:t xml:space="preserve"> </w:t>
            </w:r>
          </w:p>
        </w:tc>
        <w:tc>
          <w:tcPr>
            <w:tcW w:w="1291" w:type="dxa"/>
            <w:tcBorders>
              <w:top w:val="single" w:sz="4" w:space="0" w:color="auto"/>
              <w:left w:val="single" w:sz="4" w:space="0" w:color="auto"/>
              <w:bottom w:val="single" w:sz="4" w:space="0" w:color="auto"/>
              <w:right w:val="single" w:sz="4" w:space="0" w:color="auto"/>
            </w:tcBorders>
            <w:vAlign w:val="center"/>
            <w:hideMark/>
          </w:tcPr>
          <w:p w:rsidR="00483C82" w:rsidRPr="00D26824" w:rsidRDefault="00483C82" w:rsidP="001026F6">
            <w:pPr>
              <w:pStyle w:val="naisf"/>
              <w:spacing w:before="0" w:beforeAutospacing="0" w:after="0" w:afterAutospacing="0"/>
              <w:jc w:val="center"/>
              <w:rPr>
                <w:lang w:val="lv-LV"/>
              </w:rPr>
            </w:pPr>
            <w:r w:rsidRPr="00D26824">
              <w:rPr>
                <w:lang w:val="lv-LV"/>
              </w:rPr>
              <w:t>9 031 242</w:t>
            </w:r>
          </w:p>
        </w:tc>
      </w:tr>
      <w:tr w:rsidR="00483C82" w:rsidRPr="00D26824" w:rsidTr="00C1591C">
        <w:tc>
          <w:tcPr>
            <w:tcW w:w="2680" w:type="dxa"/>
            <w:tcBorders>
              <w:top w:val="single" w:sz="4" w:space="0" w:color="auto"/>
              <w:left w:val="single" w:sz="4" w:space="0" w:color="auto"/>
              <w:bottom w:val="single" w:sz="4" w:space="0" w:color="auto"/>
              <w:right w:val="single" w:sz="4" w:space="0" w:color="auto"/>
            </w:tcBorders>
            <w:hideMark/>
          </w:tcPr>
          <w:p w:rsidR="00483C82" w:rsidRPr="00D26824" w:rsidRDefault="00483C82" w:rsidP="00AA46F7">
            <w:r w:rsidRPr="00D26824">
              <w:t>3. Finansiālā ietekme:</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3C82" w:rsidRPr="00D26824" w:rsidRDefault="00483C82" w:rsidP="00AA46F7">
            <w:pPr>
              <w:pStyle w:val="naisf"/>
              <w:spacing w:before="0" w:beforeAutospacing="0" w:after="0" w:afterAutospacing="0"/>
              <w:jc w:val="center"/>
              <w:rPr>
                <w:lang w:val="lv-LV"/>
              </w:rPr>
            </w:pPr>
            <w:r w:rsidRPr="00D26824">
              <w:rPr>
                <w:lang w:val="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3C82" w:rsidRPr="00D26824" w:rsidRDefault="00483C82" w:rsidP="00C0091F">
            <w:pPr>
              <w:pStyle w:val="naisf"/>
              <w:spacing w:before="0" w:beforeAutospacing="0" w:after="0" w:afterAutospacing="0"/>
              <w:jc w:val="center"/>
              <w:rPr>
                <w:lang w:val="lv-LV"/>
              </w:rPr>
            </w:pPr>
            <w:r>
              <w:rPr>
                <w:lang w:val="lv-LV"/>
              </w:rPr>
              <w:t>-</w:t>
            </w:r>
            <w:r w:rsidRPr="00D26824">
              <w:rPr>
                <w:lang w:val="lv-LV"/>
              </w:rPr>
              <w:t>179 662</w:t>
            </w:r>
          </w:p>
        </w:tc>
        <w:tc>
          <w:tcPr>
            <w:tcW w:w="1260" w:type="dxa"/>
            <w:tcBorders>
              <w:top w:val="single" w:sz="4" w:space="0" w:color="auto"/>
              <w:left w:val="single" w:sz="4" w:space="0" w:color="auto"/>
              <w:bottom w:val="single" w:sz="4" w:space="0" w:color="auto"/>
              <w:right w:val="single" w:sz="4" w:space="0" w:color="auto"/>
            </w:tcBorders>
            <w:vAlign w:val="center"/>
            <w:hideMark/>
          </w:tcPr>
          <w:p w:rsidR="00483C82" w:rsidRPr="00D26824" w:rsidRDefault="00483C82" w:rsidP="00C0091F">
            <w:pPr>
              <w:pStyle w:val="naisf"/>
              <w:spacing w:before="0" w:beforeAutospacing="0" w:after="0" w:afterAutospacing="0"/>
              <w:jc w:val="center"/>
              <w:rPr>
                <w:lang w:val="lv-LV"/>
              </w:rPr>
            </w:pPr>
            <w:r>
              <w:rPr>
                <w:lang w:val="lv-LV"/>
              </w:rPr>
              <w:t>-</w:t>
            </w:r>
            <w:r w:rsidRPr="00D26824">
              <w:rPr>
                <w:lang w:val="lv-LV"/>
              </w:rPr>
              <w:t>1 354 687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3C82" w:rsidRPr="00D26824" w:rsidRDefault="00483C82" w:rsidP="001026F6">
            <w:pPr>
              <w:pStyle w:val="naisf"/>
              <w:spacing w:before="0" w:beforeAutospacing="0" w:after="0" w:afterAutospacing="0"/>
              <w:jc w:val="center"/>
              <w:rPr>
                <w:lang w:val="lv-LV"/>
              </w:rPr>
            </w:pPr>
            <w:r>
              <w:rPr>
                <w:lang w:val="lv-LV"/>
              </w:rPr>
              <w:t>-</w:t>
            </w:r>
            <w:r w:rsidRPr="00D26824">
              <w:rPr>
                <w:lang w:val="lv-LV"/>
              </w:rPr>
              <w:t>1 354 687</w:t>
            </w:r>
          </w:p>
        </w:tc>
        <w:tc>
          <w:tcPr>
            <w:tcW w:w="1291" w:type="dxa"/>
            <w:tcBorders>
              <w:top w:val="single" w:sz="4" w:space="0" w:color="auto"/>
              <w:left w:val="single" w:sz="4" w:space="0" w:color="auto"/>
              <w:bottom w:val="single" w:sz="4" w:space="0" w:color="auto"/>
              <w:right w:val="single" w:sz="4" w:space="0" w:color="auto"/>
            </w:tcBorders>
            <w:vAlign w:val="center"/>
            <w:hideMark/>
          </w:tcPr>
          <w:p w:rsidR="00483C82" w:rsidRPr="00D26824" w:rsidRDefault="00483C82" w:rsidP="001026F6">
            <w:pPr>
              <w:pStyle w:val="naisf"/>
              <w:spacing w:before="0" w:beforeAutospacing="0" w:after="0" w:afterAutospacing="0"/>
              <w:jc w:val="center"/>
              <w:rPr>
                <w:lang w:val="lv-LV"/>
              </w:rPr>
            </w:pPr>
            <w:r>
              <w:rPr>
                <w:lang w:val="lv-LV"/>
              </w:rPr>
              <w:t>-</w:t>
            </w:r>
            <w:r w:rsidRPr="00D26824">
              <w:rPr>
                <w:lang w:val="lv-LV"/>
              </w:rPr>
              <w:t>1 354 687</w:t>
            </w:r>
          </w:p>
        </w:tc>
      </w:tr>
      <w:tr w:rsidR="004C14EB" w:rsidRPr="00D26824" w:rsidTr="00C1591C">
        <w:trPr>
          <w:trHeight w:val="1380"/>
        </w:trPr>
        <w:tc>
          <w:tcPr>
            <w:tcW w:w="2680" w:type="dxa"/>
            <w:tcBorders>
              <w:top w:val="single" w:sz="4" w:space="0" w:color="auto"/>
              <w:left w:val="single" w:sz="4" w:space="0" w:color="auto"/>
              <w:bottom w:val="single" w:sz="4" w:space="0" w:color="auto"/>
              <w:right w:val="single" w:sz="4" w:space="0" w:color="auto"/>
            </w:tcBorders>
            <w:hideMark/>
          </w:tcPr>
          <w:p w:rsidR="004C14EB" w:rsidRPr="00D26824" w:rsidRDefault="004C14EB" w:rsidP="00AA46F7">
            <w:r w:rsidRPr="00D26824">
              <w:t>4. Finanšu līdzekļi papildu izdevumu finansēšanai (kompensējošu izdevumu samazinājumu norāda ar "+" zīmi)</w:t>
            </w:r>
          </w:p>
        </w:tc>
        <w:tc>
          <w:tcPr>
            <w:tcW w:w="1134" w:type="dxa"/>
            <w:tcBorders>
              <w:top w:val="single" w:sz="4" w:space="0" w:color="auto"/>
              <w:left w:val="single" w:sz="4" w:space="0" w:color="auto"/>
              <w:bottom w:val="single" w:sz="4" w:space="0" w:color="auto"/>
              <w:right w:val="single" w:sz="4" w:space="0" w:color="auto"/>
            </w:tcBorders>
            <w:hideMark/>
          </w:tcPr>
          <w:p w:rsidR="004C14EB" w:rsidRPr="00D26824" w:rsidRDefault="00F65398" w:rsidP="00AA46F7">
            <w:pPr>
              <w:pStyle w:val="naisf"/>
              <w:spacing w:before="0" w:beforeAutospacing="0" w:after="0" w:afterAutospacing="0"/>
              <w:jc w:val="center"/>
              <w:rPr>
                <w:lang w:val="lv-LV"/>
              </w:rPr>
            </w:pPr>
            <w:r>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4C14EB" w:rsidRPr="00D26824" w:rsidRDefault="004C14EB" w:rsidP="00AA46F7">
            <w:pPr>
              <w:pStyle w:val="naisf"/>
              <w:spacing w:before="0" w:beforeAutospacing="0" w:after="0" w:afterAutospacing="0"/>
              <w:jc w:val="center"/>
              <w:rPr>
                <w:lang w:val="lv-LV"/>
              </w:rPr>
            </w:pPr>
            <w:r w:rsidRPr="00D26824">
              <w:rPr>
                <w:lang w:val="lv-LV"/>
              </w:rPr>
              <w:t>0</w:t>
            </w:r>
          </w:p>
        </w:tc>
        <w:tc>
          <w:tcPr>
            <w:tcW w:w="1260" w:type="dxa"/>
            <w:tcBorders>
              <w:top w:val="single" w:sz="4" w:space="0" w:color="auto"/>
              <w:left w:val="single" w:sz="4" w:space="0" w:color="auto"/>
              <w:bottom w:val="single" w:sz="4" w:space="0" w:color="auto"/>
              <w:right w:val="single" w:sz="4" w:space="0" w:color="auto"/>
            </w:tcBorders>
            <w:hideMark/>
          </w:tcPr>
          <w:p w:rsidR="004C14EB" w:rsidRPr="00D26824" w:rsidRDefault="004C14EB" w:rsidP="00AA46F7">
            <w:pPr>
              <w:pStyle w:val="naisf"/>
              <w:spacing w:before="0" w:beforeAutospacing="0" w:after="0" w:afterAutospacing="0"/>
              <w:jc w:val="center"/>
              <w:rPr>
                <w:lang w:val="lv-LV"/>
              </w:rPr>
            </w:pPr>
            <w:r w:rsidRPr="00D26824">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4C14EB" w:rsidRPr="00D26824" w:rsidRDefault="004C14EB" w:rsidP="00AA46F7">
            <w:pPr>
              <w:pStyle w:val="naisf"/>
              <w:spacing w:before="0" w:beforeAutospacing="0" w:after="0" w:afterAutospacing="0"/>
              <w:jc w:val="center"/>
              <w:rPr>
                <w:lang w:val="lv-LV"/>
              </w:rPr>
            </w:pPr>
            <w:r w:rsidRPr="00D26824">
              <w:rPr>
                <w:lang w:val="lv-LV"/>
              </w:rPr>
              <w:t>0</w:t>
            </w:r>
          </w:p>
        </w:tc>
        <w:tc>
          <w:tcPr>
            <w:tcW w:w="1291" w:type="dxa"/>
            <w:tcBorders>
              <w:top w:val="single" w:sz="4" w:space="0" w:color="auto"/>
              <w:left w:val="single" w:sz="4" w:space="0" w:color="auto"/>
              <w:bottom w:val="single" w:sz="4" w:space="0" w:color="auto"/>
              <w:right w:val="single" w:sz="4" w:space="0" w:color="auto"/>
            </w:tcBorders>
            <w:hideMark/>
          </w:tcPr>
          <w:p w:rsidR="004C14EB" w:rsidRPr="00D26824" w:rsidRDefault="004C14EB" w:rsidP="00AA46F7">
            <w:pPr>
              <w:pStyle w:val="naisf"/>
              <w:spacing w:before="0" w:beforeAutospacing="0" w:after="0" w:afterAutospacing="0"/>
              <w:jc w:val="center"/>
              <w:rPr>
                <w:lang w:val="lv-LV"/>
              </w:rPr>
            </w:pPr>
            <w:r w:rsidRPr="00D26824">
              <w:rPr>
                <w:lang w:val="lv-LV"/>
              </w:rPr>
              <w:t>0</w:t>
            </w:r>
          </w:p>
        </w:tc>
      </w:tr>
      <w:tr w:rsidR="004C14EB" w:rsidRPr="00D26824" w:rsidTr="00C1591C">
        <w:tc>
          <w:tcPr>
            <w:tcW w:w="2680" w:type="dxa"/>
            <w:tcBorders>
              <w:top w:val="single" w:sz="4" w:space="0" w:color="auto"/>
              <w:left w:val="single" w:sz="4" w:space="0" w:color="auto"/>
              <w:bottom w:val="single" w:sz="4" w:space="0" w:color="auto"/>
              <w:right w:val="single" w:sz="4" w:space="0" w:color="auto"/>
            </w:tcBorders>
            <w:hideMark/>
          </w:tcPr>
          <w:p w:rsidR="004C14EB" w:rsidRPr="00D26824" w:rsidRDefault="004C14EB" w:rsidP="00AA46F7">
            <w:r w:rsidRPr="00D26824">
              <w:t>5. Precizēta finansiālā ietekme:</w:t>
            </w:r>
          </w:p>
        </w:tc>
        <w:tc>
          <w:tcPr>
            <w:tcW w:w="1134" w:type="dxa"/>
            <w:tcBorders>
              <w:top w:val="single" w:sz="4" w:space="0" w:color="auto"/>
              <w:left w:val="single" w:sz="4" w:space="0" w:color="auto"/>
              <w:bottom w:val="single" w:sz="4" w:space="0" w:color="auto"/>
              <w:right w:val="single" w:sz="4" w:space="0" w:color="auto"/>
            </w:tcBorders>
            <w:hideMark/>
          </w:tcPr>
          <w:p w:rsidR="004C14EB" w:rsidRPr="00D26824" w:rsidRDefault="00F65398" w:rsidP="00AA46F7">
            <w:pPr>
              <w:pStyle w:val="naisf"/>
              <w:spacing w:before="0" w:beforeAutospacing="0" w:after="0" w:afterAutospacing="0"/>
              <w:jc w:val="center"/>
              <w:rPr>
                <w:lang w:val="lv-LV"/>
              </w:rPr>
            </w:pPr>
            <w:r>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4C14EB" w:rsidRPr="00D26824" w:rsidRDefault="00F65398" w:rsidP="00AA46F7">
            <w:pPr>
              <w:pStyle w:val="naisf"/>
              <w:spacing w:before="0" w:beforeAutospacing="0" w:after="0" w:afterAutospacing="0"/>
              <w:jc w:val="center"/>
              <w:rPr>
                <w:lang w:val="lv-LV"/>
              </w:rPr>
            </w:pPr>
            <w:r>
              <w:rPr>
                <w:lang w:val="lv-LV"/>
              </w:rPr>
              <w:t>0</w:t>
            </w:r>
          </w:p>
        </w:tc>
        <w:tc>
          <w:tcPr>
            <w:tcW w:w="1260" w:type="dxa"/>
            <w:tcBorders>
              <w:top w:val="single" w:sz="4" w:space="0" w:color="auto"/>
              <w:left w:val="single" w:sz="4" w:space="0" w:color="auto"/>
              <w:bottom w:val="single" w:sz="4" w:space="0" w:color="auto"/>
              <w:right w:val="single" w:sz="4" w:space="0" w:color="auto"/>
            </w:tcBorders>
            <w:hideMark/>
          </w:tcPr>
          <w:p w:rsidR="004C14EB" w:rsidRPr="00D26824" w:rsidRDefault="00F65398" w:rsidP="00AA46F7">
            <w:pPr>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4C14EB" w:rsidRPr="00D26824" w:rsidRDefault="00F65398" w:rsidP="00AA46F7">
            <w:pPr>
              <w:jc w:val="center"/>
            </w:pPr>
            <w:r>
              <w:t>0</w:t>
            </w:r>
          </w:p>
        </w:tc>
        <w:tc>
          <w:tcPr>
            <w:tcW w:w="1291" w:type="dxa"/>
            <w:tcBorders>
              <w:top w:val="single" w:sz="4" w:space="0" w:color="auto"/>
              <w:left w:val="single" w:sz="4" w:space="0" w:color="auto"/>
              <w:bottom w:val="single" w:sz="4" w:space="0" w:color="auto"/>
              <w:right w:val="single" w:sz="4" w:space="0" w:color="auto"/>
            </w:tcBorders>
            <w:hideMark/>
          </w:tcPr>
          <w:p w:rsidR="004C14EB" w:rsidRPr="00D26824" w:rsidRDefault="00F65398" w:rsidP="00AA46F7">
            <w:pPr>
              <w:jc w:val="center"/>
            </w:pPr>
            <w:r>
              <w:t>0</w:t>
            </w:r>
          </w:p>
        </w:tc>
      </w:tr>
      <w:tr w:rsidR="004C14EB" w:rsidRPr="00D26824" w:rsidTr="00C1591C">
        <w:tc>
          <w:tcPr>
            <w:tcW w:w="2680" w:type="dxa"/>
            <w:tcBorders>
              <w:top w:val="single" w:sz="4" w:space="0" w:color="auto"/>
              <w:left w:val="single" w:sz="4" w:space="0" w:color="auto"/>
              <w:bottom w:val="single" w:sz="4" w:space="0" w:color="auto"/>
              <w:right w:val="single" w:sz="4" w:space="0" w:color="auto"/>
            </w:tcBorders>
            <w:hideMark/>
          </w:tcPr>
          <w:p w:rsidR="004C14EB" w:rsidRPr="00D26824" w:rsidRDefault="004C14EB" w:rsidP="00AA46F7">
            <w:r w:rsidRPr="00D26824">
              <w:t>6. Detalizēts ieņēmumu un izdevumu aprēķins (ja nepie</w:t>
            </w:r>
            <w:r w:rsidRPr="00D26824">
              <w:softHyphen/>
              <w:t>ciešams, detalizētu ieņēmumu un izdevumu aprēķinu var pie</w:t>
            </w:r>
            <w:r w:rsidRPr="00D26824">
              <w:softHyphen/>
              <w:t xml:space="preserve">vienot </w:t>
            </w:r>
            <w:r w:rsidRPr="00D26824">
              <w:lastRenderedPageBreak/>
              <w:t>anotācijas pielikumā):</w:t>
            </w:r>
          </w:p>
        </w:tc>
        <w:tc>
          <w:tcPr>
            <w:tcW w:w="6237" w:type="dxa"/>
            <w:gridSpan w:val="5"/>
            <w:vMerge w:val="restart"/>
            <w:tcBorders>
              <w:top w:val="single" w:sz="4" w:space="0" w:color="auto"/>
              <w:left w:val="single" w:sz="4" w:space="0" w:color="auto"/>
              <w:bottom w:val="single" w:sz="4" w:space="0" w:color="auto"/>
              <w:right w:val="single" w:sz="4" w:space="0" w:color="auto"/>
            </w:tcBorders>
            <w:vAlign w:val="center"/>
          </w:tcPr>
          <w:p w:rsidR="004C14EB" w:rsidRPr="00D26824" w:rsidRDefault="004C14EB" w:rsidP="00AA46F7">
            <w:pPr>
              <w:pStyle w:val="naiskr"/>
              <w:spacing w:before="40" w:beforeAutospacing="0" w:after="40" w:afterAutospacing="0"/>
              <w:ind w:left="57" w:right="57" w:firstLine="284"/>
              <w:jc w:val="both"/>
            </w:pPr>
            <w:r w:rsidRPr="00D26824">
              <w:lastRenderedPageBreak/>
              <w:t>SAM kopējais finansējums (</w:t>
            </w:r>
            <w:r w:rsidRPr="00D26824">
              <w:rPr>
                <w:i/>
              </w:rPr>
              <w:t>kopējās attiecināmās izmaksas</w:t>
            </w:r>
            <w:r w:rsidRPr="00D26824">
              <w:t xml:space="preserve">) </w:t>
            </w:r>
            <w:r w:rsidR="00452AA8" w:rsidRPr="00D26824">
              <w:t>55</w:t>
            </w:r>
            <w:r w:rsidR="001026F6" w:rsidRPr="00D26824">
              <w:t> 385 196</w:t>
            </w:r>
            <w:r w:rsidRPr="00D26824">
              <w:t xml:space="preserve"> </w:t>
            </w:r>
            <w:proofErr w:type="spellStart"/>
            <w:r w:rsidRPr="00D26824">
              <w:rPr>
                <w:i/>
              </w:rPr>
              <w:t>euro</w:t>
            </w:r>
            <w:proofErr w:type="spellEnd"/>
            <w:r w:rsidRPr="00D26824">
              <w:rPr>
                <w:i/>
              </w:rPr>
              <w:t xml:space="preserve"> </w:t>
            </w:r>
            <w:r w:rsidRPr="00D26824">
              <w:t>apmērā</w:t>
            </w:r>
            <w:r w:rsidR="00452AA8" w:rsidRPr="00D26824">
              <w:t xml:space="preserve"> (9.2.4.1.pasākumam 16 692 79</w:t>
            </w:r>
            <w:r w:rsidR="005C23C5">
              <w:t>8</w:t>
            </w:r>
            <w:r w:rsidR="00452AA8" w:rsidRPr="00D26824">
              <w:t xml:space="preserve"> </w:t>
            </w:r>
            <w:proofErr w:type="spellStart"/>
            <w:r w:rsidR="00452AA8" w:rsidRPr="002C6B64">
              <w:rPr>
                <w:i/>
              </w:rPr>
              <w:t>euro</w:t>
            </w:r>
            <w:proofErr w:type="spellEnd"/>
            <w:r w:rsidR="00452AA8" w:rsidRPr="00D26824">
              <w:t xml:space="preserve"> un 9.2.4.2.pasākumam </w:t>
            </w:r>
            <w:r w:rsidR="001026F6" w:rsidRPr="00D26824">
              <w:t>38 692 39</w:t>
            </w:r>
            <w:r w:rsidR="005C23C5">
              <w:t>8</w:t>
            </w:r>
            <w:r w:rsidR="00452AA8" w:rsidRPr="00D26824">
              <w:t xml:space="preserve"> </w:t>
            </w:r>
            <w:proofErr w:type="spellStart"/>
            <w:r w:rsidR="00452AA8" w:rsidRPr="002C6B64">
              <w:rPr>
                <w:i/>
              </w:rPr>
              <w:t>euro</w:t>
            </w:r>
            <w:proofErr w:type="spellEnd"/>
            <w:r w:rsidR="00452AA8" w:rsidRPr="00D26824">
              <w:t>)</w:t>
            </w:r>
            <w:r w:rsidRPr="00D26824">
              <w:t xml:space="preserve">, tai skaitā, ESF finansējums </w:t>
            </w:r>
            <w:r w:rsidR="00452AA8" w:rsidRPr="00D26824">
              <w:t>47</w:t>
            </w:r>
            <w:r w:rsidR="001026F6" w:rsidRPr="00D26824">
              <w:t> 077 416</w:t>
            </w:r>
            <w:r w:rsidRPr="00D26824">
              <w:rPr>
                <w:i/>
              </w:rPr>
              <w:t xml:space="preserve"> </w:t>
            </w:r>
            <w:proofErr w:type="spellStart"/>
            <w:r w:rsidRPr="00D26824">
              <w:rPr>
                <w:i/>
              </w:rPr>
              <w:t>euro</w:t>
            </w:r>
            <w:proofErr w:type="spellEnd"/>
            <w:r w:rsidR="00452AA8" w:rsidRPr="00D26824">
              <w:t xml:space="preserve"> un</w:t>
            </w:r>
            <w:r w:rsidRPr="00D26824">
              <w:t xml:space="preserve"> valsts budžeta </w:t>
            </w:r>
            <w:r w:rsidRPr="00D26824">
              <w:lastRenderedPageBreak/>
              <w:t xml:space="preserve">finansējums </w:t>
            </w:r>
            <w:r w:rsidR="001026F6" w:rsidRPr="00D26824">
              <w:t>8 307 780</w:t>
            </w:r>
            <w:r w:rsidRPr="00D26824">
              <w:rPr>
                <w:i/>
              </w:rPr>
              <w:t xml:space="preserve"> </w:t>
            </w:r>
            <w:proofErr w:type="spellStart"/>
            <w:r w:rsidRPr="00D26824">
              <w:rPr>
                <w:i/>
              </w:rPr>
              <w:t>euro</w:t>
            </w:r>
            <w:proofErr w:type="spellEnd"/>
            <w:r w:rsidRPr="00D26824">
              <w:t>. Budžeta ieņēmumi ir finansējuma ESF daļa 85% apmērā no projekta attiecinām</w:t>
            </w:r>
            <w:r w:rsidR="001F2D21">
              <w:t>aj</w:t>
            </w:r>
            <w:r w:rsidRPr="00D26824">
              <w:t xml:space="preserve">ām izmaksām. </w:t>
            </w:r>
            <w:r w:rsidR="001F2D21">
              <w:t>SAM</w:t>
            </w:r>
            <w:r w:rsidR="001F2D21" w:rsidRPr="00D26824">
              <w:t xml:space="preserve"> </w:t>
            </w:r>
            <w:r w:rsidRPr="00D26824">
              <w:t>plānots ieviest līdz 20</w:t>
            </w:r>
            <w:r w:rsidR="00452AA8" w:rsidRPr="00D26824">
              <w:t>22</w:t>
            </w:r>
            <w:r w:rsidRPr="00D26824">
              <w:t xml:space="preserve">.gada </w:t>
            </w:r>
            <w:r w:rsidR="00452AA8" w:rsidRPr="00D26824">
              <w:t>31.decembrim</w:t>
            </w:r>
            <w:r w:rsidRPr="00D26824">
              <w:t>. Pirmajā ieviešanas gadā</w:t>
            </w:r>
            <w:r w:rsidR="00452AA8" w:rsidRPr="00D26824">
              <w:t xml:space="preserve"> (2016.gadā) plānots apgūt</w:t>
            </w:r>
            <w:r w:rsidRPr="00D26824">
              <w:t xml:space="preserve"> </w:t>
            </w:r>
            <w:r w:rsidR="00452AA8" w:rsidRPr="00D26824">
              <w:t>finansējumu</w:t>
            </w:r>
            <w:r w:rsidRPr="00D26824">
              <w:t xml:space="preserve"> </w:t>
            </w:r>
            <w:r w:rsidR="00452AA8" w:rsidRPr="00D26824">
              <w:t>2,16% apmērā, savukārt turpmākajos gados (2017.-2022.gadā) nodrošināt finansējuma apguvi vidēji 16,31</w:t>
            </w:r>
            <w:r w:rsidRPr="00D26824">
              <w:t>% apmērā no kopējā finansējuma</w:t>
            </w:r>
            <w:r w:rsidR="00452AA8" w:rsidRPr="00D26824">
              <w:t>.</w:t>
            </w:r>
          </w:p>
          <w:p w:rsidR="004C14EB" w:rsidRDefault="004C14EB" w:rsidP="00AA46F7">
            <w:pPr>
              <w:pStyle w:val="naiskr"/>
              <w:numPr>
                <w:ilvl w:val="0"/>
                <w:numId w:val="1"/>
              </w:numPr>
              <w:spacing w:before="40" w:beforeAutospacing="0" w:after="40" w:afterAutospacing="0"/>
              <w:ind w:left="341" w:right="57" w:hanging="284"/>
              <w:jc w:val="both"/>
            </w:pPr>
            <w:r w:rsidRPr="00D26824">
              <w:rPr>
                <w:b/>
                <w:u w:val="single"/>
              </w:rPr>
              <w:t>2016.gadam</w:t>
            </w:r>
            <w:r w:rsidRPr="00D26824">
              <w:t xml:space="preserve"> kopējās izmaksas </w:t>
            </w:r>
            <w:r w:rsidR="001026F6" w:rsidRPr="00D26824">
              <w:t>1 197 745</w:t>
            </w:r>
            <w:r w:rsidRPr="00D26824">
              <w:rPr>
                <w:i/>
              </w:rPr>
              <w:t xml:space="preserve"> </w:t>
            </w:r>
            <w:proofErr w:type="spellStart"/>
            <w:r w:rsidRPr="00D26824">
              <w:rPr>
                <w:i/>
              </w:rPr>
              <w:t>euro</w:t>
            </w:r>
            <w:proofErr w:type="spellEnd"/>
            <w:r w:rsidRPr="00D26824">
              <w:t xml:space="preserve">, tai skaitā ESF finansējums </w:t>
            </w:r>
            <w:bookmarkStart w:id="20" w:name="OLE_LINK7"/>
            <w:r w:rsidR="001026F6" w:rsidRPr="00D26824">
              <w:t>1 018 083</w:t>
            </w:r>
            <w:r w:rsidRPr="00D26824">
              <w:rPr>
                <w:i/>
              </w:rPr>
              <w:t xml:space="preserve"> </w:t>
            </w:r>
            <w:proofErr w:type="spellStart"/>
            <w:r w:rsidRPr="00D26824">
              <w:rPr>
                <w:i/>
              </w:rPr>
              <w:t>euro</w:t>
            </w:r>
            <w:proofErr w:type="spellEnd"/>
            <w:r w:rsidRPr="00D26824">
              <w:t xml:space="preserve"> </w:t>
            </w:r>
            <w:bookmarkEnd w:id="20"/>
            <w:r w:rsidRPr="00D26824">
              <w:t xml:space="preserve">un valsts budžeta līdzfinansējums </w:t>
            </w:r>
            <w:r w:rsidR="001026F6" w:rsidRPr="00D26824">
              <w:t>179 662</w:t>
            </w:r>
            <w:r w:rsidRPr="00D26824">
              <w:rPr>
                <w:i/>
              </w:rPr>
              <w:t xml:space="preserve"> </w:t>
            </w:r>
            <w:proofErr w:type="spellStart"/>
            <w:r w:rsidRPr="00D26824">
              <w:rPr>
                <w:i/>
              </w:rPr>
              <w:t>euro</w:t>
            </w:r>
            <w:proofErr w:type="spellEnd"/>
            <w:r w:rsidRPr="00D26824">
              <w:t xml:space="preserve">. Finansējums 2016. gadam tiks </w:t>
            </w:r>
            <w:r w:rsidR="00452AA8" w:rsidRPr="00D26824">
              <w:t xml:space="preserve">piesaistīts atbilstoši </w:t>
            </w:r>
            <w:r w:rsidR="00452AA8" w:rsidRPr="00D26824">
              <w:rPr>
                <w:szCs w:val="28"/>
              </w:rPr>
              <w:t>2010.gada 18.maija Ministru kabineta noteikumiem Nr.464 „</w:t>
            </w:r>
            <w:r w:rsidR="00452AA8" w:rsidRPr="00D26824">
              <w:rPr>
                <w:i/>
                <w:szCs w:val="28"/>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00452AA8" w:rsidRPr="00D26824">
              <w:rPr>
                <w:szCs w:val="28"/>
              </w:rPr>
              <w:t>”</w:t>
            </w:r>
            <w:r w:rsidR="005C23C5">
              <w:t>, tai skaitā:</w:t>
            </w:r>
          </w:p>
          <w:p w:rsidR="005C23C5" w:rsidRDefault="005C23C5" w:rsidP="005C23C5">
            <w:pPr>
              <w:pStyle w:val="naiskr"/>
              <w:numPr>
                <w:ilvl w:val="1"/>
                <w:numId w:val="1"/>
              </w:numPr>
              <w:spacing w:before="40" w:beforeAutospacing="0" w:after="40" w:afterAutospacing="0"/>
              <w:ind w:left="600" w:right="57" w:hanging="283"/>
              <w:jc w:val="both"/>
            </w:pPr>
            <w:r>
              <w:t xml:space="preserve">9.2.4.1.pasākumam kopējās izmaksas 667 712 </w:t>
            </w:r>
            <w:proofErr w:type="spellStart"/>
            <w:r w:rsidRPr="005C23C5">
              <w:rPr>
                <w:i/>
              </w:rPr>
              <w:t>euro</w:t>
            </w:r>
            <w:proofErr w:type="spellEnd"/>
            <w:r>
              <w:t>;</w:t>
            </w:r>
          </w:p>
          <w:p w:rsidR="005C23C5" w:rsidRPr="00D26824" w:rsidRDefault="005C23C5" w:rsidP="005C23C5">
            <w:pPr>
              <w:pStyle w:val="naiskr"/>
              <w:numPr>
                <w:ilvl w:val="1"/>
                <w:numId w:val="1"/>
              </w:numPr>
              <w:spacing w:before="40" w:beforeAutospacing="0" w:after="40" w:afterAutospacing="0"/>
              <w:ind w:left="600" w:right="57" w:hanging="283"/>
              <w:jc w:val="both"/>
            </w:pPr>
            <w:r>
              <w:t xml:space="preserve">9.2.4.2.pasākumam kopējās izmaksas 530 033 </w:t>
            </w:r>
            <w:proofErr w:type="spellStart"/>
            <w:r w:rsidRPr="005C23C5">
              <w:rPr>
                <w:i/>
              </w:rPr>
              <w:t>euro</w:t>
            </w:r>
            <w:proofErr w:type="spellEnd"/>
            <w:r>
              <w:t>.</w:t>
            </w:r>
          </w:p>
          <w:p w:rsidR="004C14EB" w:rsidRDefault="004C14EB" w:rsidP="00AA46F7">
            <w:pPr>
              <w:pStyle w:val="naiskr"/>
              <w:numPr>
                <w:ilvl w:val="0"/>
                <w:numId w:val="1"/>
              </w:numPr>
              <w:spacing w:before="40" w:beforeAutospacing="0" w:after="40" w:afterAutospacing="0"/>
              <w:ind w:left="341" w:right="57" w:hanging="284"/>
              <w:jc w:val="both"/>
            </w:pPr>
            <w:r w:rsidRPr="00D26824">
              <w:rPr>
                <w:b/>
                <w:u w:val="single"/>
              </w:rPr>
              <w:t xml:space="preserve">2017.gadam </w:t>
            </w:r>
            <w:r w:rsidRPr="00D26824">
              <w:rPr>
                <w:szCs w:val="28"/>
              </w:rPr>
              <w:t>kopējās</w:t>
            </w:r>
            <w:r w:rsidRPr="00D26824">
              <w:t xml:space="preserve"> izmaksas </w:t>
            </w:r>
            <w:r w:rsidR="001026F6" w:rsidRPr="00D26824">
              <w:t>9 031 242</w:t>
            </w:r>
            <w:r w:rsidRPr="00D26824">
              <w:rPr>
                <w:i/>
              </w:rPr>
              <w:t xml:space="preserve"> </w:t>
            </w:r>
            <w:proofErr w:type="spellStart"/>
            <w:r w:rsidRPr="00D26824">
              <w:rPr>
                <w:i/>
              </w:rPr>
              <w:t>euro</w:t>
            </w:r>
            <w:proofErr w:type="spellEnd"/>
            <w:r w:rsidRPr="00D26824">
              <w:t xml:space="preserve">, tai skaitā ESF finansējums </w:t>
            </w:r>
            <w:bookmarkStart w:id="21" w:name="OLE_LINK9"/>
            <w:r w:rsidR="001026F6" w:rsidRPr="00D26824">
              <w:t>7 676 555</w:t>
            </w:r>
            <w:r w:rsidRPr="00D26824">
              <w:rPr>
                <w:i/>
              </w:rPr>
              <w:t xml:space="preserve"> </w:t>
            </w:r>
            <w:proofErr w:type="spellStart"/>
            <w:r w:rsidRPr="00D26824">
              <w:rPr>
                <w:i/>
              </w:rPr>
              <w:t>euro</w:t>
            </w:r>
            <w:proofErr w:type="spellEnd"/>
            <w:r w:rsidRPr="00D26824">
              <w:t xml:space="preserve"> </w:t>
            </w:r>
            <w:bookmarkEnd w:id="21"/>
            <w:r w:rsidRPr="00D26824">
              <w:t xml:space="preserve">un valsts budžeta līdzfinansējums </w:t>
            </w:r>
            <w:r w:rsidR="001026F6" w:rsidRPr="00D26824">
              <w:t>1 354 687</w:t>
            </w:r>
            <w:r w:rsidRPr="00D26824">
              <w:rPr>
                <w:i/>
              </w:rPr>
              <w:t xml:space="preserve"> </w:t>
            </w:r>
            <w:proofErr w:type="spellStart"/>
            <w:r w:rsidRPr="00D26824">
              <w:rPr>
                <w:i/>
              </w:rPr>
              <w:t>euro</w:t>
            </w:r>
            <w:proofErr w:type="spellEnd"/>
            <w:r w:rsidRPr="00D26824">
              <w:t>. Finansējums 2017.gadam tiks iestrādāts budžeta ilgtermiņa saistībās.</w:t>
            </w:r>
          </w:p>
          <w:p w:rsidR="005C23C5" w:rsidRDefault="005C23C5" w:rsidP="005C23C5">
            <w:pPr>
              <w:pStyle w:val="naiskr"/>
              <w:numPr>
                <w:ilvl w:val="1"/>
                <w:numId w:val="1"/>
              </w:numPr>
              <w:spacing w:before="40" w:beforeAutospacing="0" w:after="40" w:afterAutospacing="0"/>
              <w:ind w:left="600" w:right="57" w:hanging="283"/>
              <w:jc w:val="both"/>
            </w:pPr>
            <w:r>
              <w:t xml:space="preserve">9.2.4.1.pasākumam kopējās izmaksas 2 670 848 </w:t>
            </w:r>
            <w:proofErr w:type="spellStart"/>
            <w:r w:rsidRPr="005C23C5">
              <w:rPr>
                <w:i/>
              </w:rPr>
              <w:t>euro</w:t>
            </w:r>
            <w:proofErr w:type="spellEnd"/>
            <w:r>
              <w:t>;</w:t>
            </w:r>
          </w:p>
          <w:p w:rsidR="005C23C5" w:rsidRPr="00D26824" w:rsidRDefault="005C23C5" w:rsidP="005C23C5">
            <w:pPr>
              <w:pStyle w:val="naiskr"/>
              <w:numPr>
                <w:ilvl w:val="1"/>
                <w:numId w:val="1"/>
              </w:numPr>
              <w:spacing w:before="40" w:beforeAutospacing="0" w:after="40" w:afterAutospacing="0"/>
              <w:ind w:left="600" w:right="57" w:hanging="283"/>
              <w:jc w:val="both"/>
            </w:pPr>
            <w:r>
              <w:t xml:space="preserve">9.2.4.2.pasākumam kopējās izmaksas 6 360 394 </w:t>
            </w:r>
            <w:proofErr w:type="spellStart"/>
            <w:r w:rsidRPr="005C23C5">
              <w:rPr>
                <w:i/>
              </w:rPr>
              <w:t>euro</w:t>
            </w:r>
            <w:proofErr w:type="spellEnd"/>
            <w:r>
              <w:t>.</w:t>
            </w:r>
          </w:p>
          <w:p w:rsidR="004C14EB" w:rsidRPr="00D26824" w:rsidRDefault="004C14EB" w:rsidP="00281321">
            <w:pPr>
              <w:pStyle w:val="naiskr"/>
              <w:numPr>
                <w:ilvl w:val="0"/>
                <w:numId w:val="1"/>
              </w:numPr>
              <w:spacing w:before="40" w:beforeAutospacing="0" w:after="40" w:afterAutospacing="0"/>
              <w:ind w:left="341" w:right="57" w:hanging="284"/>
              <w:jc w:val="both"/>
            </w:pPr>
            <w:r w:rsidRPr="00D26824">
              <w:rPr>
                <w:b/>
                <w:u w:val="single"/>
              </w:rPr>
              <w:t>2018.gadam</w:t>
            </w:r>
            <w:r w:rsidRPr="00D26824">
              <w:rPr>
                <w:b/>
              </w:rPr>
              <w:t xml:space="preserve"> </w:t>
            </w:r>
            <w:r w:rsidR="00452AA8" w:rsidRPr="00D26824">
              <w:rPr>
                <w:szCs w:val="28"/>
              </w:rPr>
              <w:t>kopējās</w:t>
            </w:r>
            <w:r w:rsidR="00452AA8" w:rsidRPr="00D26824">
              <w:t xml:space="preserve"> izmaksas </w:t>
            </w:r>
            <w:r w:rsidR="001026F6" w:rsidRPr="00D26824">
              <w:t>9 031 242</w:t>
            </w:r>
            <w:r w:rsidR="001026F6" w:rsidRPr="00D26824">
              <w:rPr>
                <w:i/>
              </w:rPr>
              <w:t xml:space="preserve"> </w:t>
            </w:r>
            <w:proofErr w:type="spellStart"/>
            <w:r w:rsidR="001026F6" w:rsidRPr="00D26824">
              <w:rPr>
                <w:i/>
              </w:rPr>
              <w:t>euro</w:t>
            </w:r>
            <w:proofErr w:type="spellEnd"/>
            <w:r w:rsidR="001026F6" w:rsidRPr="00D26824">
              <w:t>, tai skaitā ESF finansējums 7 676 555</w:t>
            </w:r>
            <w:r w:rsidR="001026F6" w:rsidRPr="00D26824">
              <w:rPr>
                <w:i/>
              </w:rPr>
              <w:t xml:space="preserve"> </w:t>
            </w:r>
            <w:proofErr w:type="spellStart"/>
            <w:r w:rsidR="001026F6" w:rsidRPr="00D26824">
              <w:rPr>
                <w:i/>
              </w:rPr>
              <w:t>euro</w:t>
            </w:r>
            <w:proofErr w:type="spellEnd"/>
            <w:r w:rsidR="001026F6" w:rsidRPr="00D26824">
              <w:t xml:space="preserve"> un valsts budžeta līdzfinansējums 1 354 687</w:t>
            </w:r>
            <w:r w:rsidR="001026F6" w:rsidRPr="00D26824">
              <w:rPr>
                <w:i/>
              </w:rPr>
              <w:t xml:space="preserve"> </w:t>
            </w:r>
            <w:proofErr w:type="spellStart"/>
            <w:r w:rsidR="001026F6" w:rsidRPr="00D26824">
              <w:rPr>
                <w:i/>
              </w:rPr>
              <w:t>euro</w:t>
            </w:r>
            <w:proofErr w:type="spellEnd"/>
            <w:r w:rsidRPr="00D26824">
              <w:t xml:space="preserve"> Finansējums 2018.gadam tiks iestrādāts budžeta ilgtermiņa saistībās.</w:t>
            </w:r>
          </w:p>
          <w:p w:rsidR="005C23C5" w:rsidRDefault="005C23C5" w:rsidP="005C23C5">
            <w:pPr>
              <w:pStyle w:val="naiskr"/>
              <w:numPr>
                <w:ilvl w:val="1"/>
                <w:numId w:val="1"/>
              </w:numPr>
              <w:spacing w:before="40" w:beforeAutospacing="0" w:after="40" w:afterAutospacing="0"/>
              <w:ind w:left="600" w:right="57" w:hanging="283"/>
              <w:jc w:val="both"/>
            </w:pPr>
            <w:r>
              <w:t xml:space="preserve">9.2.4.1.pasākumam kopējās izmaksas 2 670 848 </w:t>
            </w:r>
            <w:proofErr w:type="spellStart"/>
            <w:r w:rsidRPr="005C23C5">
              <w:rPr>
                <w:i/>
              </w:rPr>
              <w:t>euro</w:t>
            </w:r>
            <w:proofErr w:type="spellEnd"/>
            <w:r>
              <w:t>;</w:t>
            </w:r>
          </w:p>
          <w:p w:rsidR="005C23C5" w:rsidRPr="00D26824" w:rsidRDefault="005C23C5" w:rsidP="005C23C5">
            <w:pPr>
              <w:pStyle w:val="naiskr"/>
              <w:numPr>
                <w:ilvl w:val="1"/>
                <w:numId w:val="1"/>
              </w:numPr>
              <w:spacing w:before="40" w:beforeAutospacing="0" w:after="40" w:afterAutospacing="0"/>
              <w:ind w:left="600" w:right="57" w:hanging="283"/>
              <w:jc w:val="both"/>
            </w:pPr>
            <w:r>
              <w:t xml:space="preserve">9.2.4.2.pasākumam kopējās izmaksas 6 360 394 </w:t>
            </w:r>
            <w:proofErr w:type="spellStart"/>
            <w:r w:rsidRPr="005C23C5">
              <w:rPr>
                <w:i/>
              </w:rPr>
              <w:t>euro</w:t>
            </w:r>
            <w:proofErr w:type="spellEnd"/>
            <w:r>
              <w:t>.</w:t>
            </w:r>
          </w:p>
          <w:p w:rsidR="00452AA8" w:rsidRPr="00D26824" w:rsidRDefault="00452AA8" w:rsidP="00281321">
            <w:pPr>
              <w:pStyle w:val="naiskr"/>
              <w:numPr>
                <w:ilvl w:val="0"/>
                <w:numId w:val="1"/>
              </w:numPr>
              <w:spacing w:before="40" w:beforeAutospacing="0" w:after="40" w:afterAutospacing="0"/>
              <w:ind w:left="341" w:right="57" w:hanging="284"/>
              <w:jc w:val="both"/>
            </w:pPr>
            <w:r w:rsidRPr="00D26824">
              <w:rPr>
                <w:b/>
                <w:u w:val="single"/>
              </w:rPr>
              <w:t>2019.gadam</w:t>
            </w:r>
            <w:r w:rsidRPr="00D26824">
              <w:rPr>
                <w:b/>
              </w:rPr>
              <w:t xml:space="preserve"> </w:t>
            </w:r>
            <w:r w:rsidRPr="00D26824">
              <w:rPr>
                <w:szCs w:val="28"/>
              </w:rPr>
              <w:t>kopējās</w:t>
            </w:r>
            <w:r w:rsidRPr="00D26824">
              <w:t xml:space="preserve"> izmaksas </w:t>
            </w:r>
            <w:r w:rsidR="001026F6" w:rsidRPr="00D26824">
              <w:t>9 031 242</w:t>
            </w:r>
            <w:r w:rsidR="001026F6" w:rsidRPr="00D26824">
              <w:rPr>
                <w:i/>
              </w:rPr>
              <w:t xml:space="preserve"> </w:t>
            </w:r>
            <w:proofErr w:type="spellStart"/>
            <w:r w:rsidR="001026F6" w:rsidRPr="00D26824">
              <w:rPr>
                <w:i/>
              </w:rPr>
              <w:t>euro</w:t>
            </w:r>
            <w:proofErr w:type="spellEnd"/>
            <w:r w:rsidR="001026F6" w:rsidRPr="00D26824">
              <w:t>, tai skaitā ESF finansējums 7 676 555</w:t>
            </w:r>
            <w:r w:rsidR="001026F6" w:rsidRPr="00D26824">
              <w:rPr>
                <w:i/>
              </w:rPr>
              <w:t xml:space="preserve"> </w:t>
            </w:r>
            <w:proofErr w:type="spellStart"/>
            <w:r w:rsidR="001026F6" w:rsidRPr="00D26824">
              <w:rPr>
                <w:i/>
              </w:rPr>
              <w:t>euro</w:t>
            </w:r>
            <w:proofErr w:type="spellEnd"/>
            <w:r w:rsidR="001026F6" w:rsidRPr="00D26824">
              <w:t xml:space="preserve"> un valsts budžeta līdzfinansējums 1 354 687</w:t>
            </w:r>
            <w:r w:rsidR="001026F6" w:rsidRPr="00D26824">
              <w:rPr>
                <w:i/>
              </w:rPr>
              <w:t xml:space="preserve"> </w:t>
            </w:r>
            <w:proofErr w:type="spellStart"/>
            <w:r w:rsidR="001026F6" w:rsidRPr="00D26824">
              <w:rPr>
                <w:i/>
              </w:rPr>
              <w:t>euro</w:t>
            </w:r>
            <w:proofErr w:type="spellEnd"/>
            <w:r w:rsidRPr="00D26824">
              <w:t>. Finansējums 2019.gadam tiks iestrādāts budžeta ilgtermiņa saistībās.</w:t>
            </w:r>
          </w:p>
          <w:p w:rsidR="005C23C5" w:rsidRDefault="005C23C5" w:rsidP="005C23C5">
            <w:pPr>
              <w:pStyle w:val="naiskr"/>
              <w:numPr>
                <w:ilvl w:val="1"/>
                <w:numId w:val="1"/>
              </w:numPr>
              <w:spacing w:before="40" w:beforeAutospacing="0" w:after="40" w:afterAutospacing="0"/>
              <w:ind w:left="600" w:right="57" w:hanging="283"/>
              <w:jc w:val="both"/>
            </w:pPr>
            <w:r>
              <w:t xml:space="preserve">9.2.4.1.pasākumam kopējās izmaksas 2 670 848 </w:t>
            </w:r>
            <w:proofErr w:type="spellStart"/>
            <w:r w:rsidRPr="005C23C5">
              <w:rPr>
                <w:i/>
              </w:rPr>
              <w:t>euro</w:t>
            </w:r>
            <w:proofErr w:type="spellEnd"/>
            <w:r>
              <w:t>;</w:t>
            </w:r>
          </w:p>
          <w:p w:rsidR="005C23C5" w:rsidRPr="00D26824" w:rsidRDefault="005C23C5" w:rsidP="005C23C5">
            <w:pPr>
              <w:pStyle w:val="naiskr"/>
              <w:numPr>
                <w:ilvl w:val="1"/>
                <w:numId w:val="1"/>
              </w:numPr>
              <w:spacing w:before="40" w:beforeAutospacing="0" w:after="40" w:afterAutospacing="0"/>
              <w:ind w:left="600" w:right="57" w:hanging="283"/>
              <w:jc w:val="both"/>
            </w:pPr>
            <w:r>
              <w:t xml:space="preserve">9.2.4.2.pasākumam kopējās izmaksas 6 360 394 </w:t>
            </w:r>
            <w:proofErr w:type="spellStart"/>
            <w:r w:rsidRPr="005C23C5">
              <w:rPr>
                <w:i/>
              </w:rPr>
              <w:t>euro</w:t>
            </w:r>
            <w:proofErr w:type="spellEnd"/>
            <w:r>
              <w:t>.</w:t>
            </w:r>
          </w:p>
          <w:p w:rsidR="00452AA8" w:rsidRPr="00D26824" w:rsidRDefault="00452AA8" w:rsidP="00281321">
            <w:pPr>
              <w:pStyle w:val="naiskr"/>
              <w:numPr>
                <w:ilvl w:val="0"/>
                <w:numId w:val="1"/>
              </w:numPr>
              <w:spacing w:before="40" w:beforeAutospacing="0" w:after="40" w:afterAutospacing="0"/>
              <w:ind w:left="341" w:right="57" w:hanging="284"/>
              <w:jc w:val="both"/>
            </w:pPr>
            <w:r w:rsidRPr="00D26824">
              <w:rPr>
                <w:b/>
                <w:u w:val="single"/>
              </w:rPr>
              <w:t>2020.gadam</w:t>
            </w:r>
            <w:r w:rsidRPr="00D26824">
              <w:rPr>
                <w:b/>
              </w:rPr>
              <w:t xml:space="preserve"> </w:t>
            </w:r>
            <w:r w:rsidRPr="00D26824">
              <w:rPr>
                <w:szCs w:val="28"/>
              </w:rPr>
              <w:t>kopējās</w:t>
            </w:r>
            <w:r w:rsidRPr="00D26824">
              <w:t xml:space="preserve"> izmaksas </w:t>
            </w:r>
            <w:r w:rsidR="001026F6" w:rsidRPr="00D26824">
              <w:t>9 031 242</w:t>
            </w:r>
            <w:r w:rsidR="001026F6" w:rsidRPr="00D26824">
              <w:rPr>
                <w:i/>
              </w:rPr>
              <w:t xml:space="preserve"> </w:t>
            </w:r>
            <w:proofErr w:type="spellStart"/>
            <w:r w:rsidR="001026F6" w:rsidRPr="00D26824">
              <w:rPr>
                <w:i/>
              </w:rPr>
              <w:t>euro</w:t>
            </w:r>
            <w:proofErr w:type="spellEnd"/>
            <w:r w:rsidR="001026F6" w:rsidRPr="00D26824">
              <w:t>, tai skaitā ESF finansējums 7 676 555</w:t>
            </w:r>
            <w:r w:rsidR="001026F6" w:rsidRPr="00D26824">
              <w:rPr>
                <w:i/>
              </w:rPr>
              <w:t xml:space="preserve"> </w:t>
            </w:r>
            <w:proofErr w:type="spellStart"/>
            <w:r w:rsidR="001026F6" w:rsidRPr="00D26824">
              <w:rPr>
                <w:i/>
              </w:rPr>
              <w:t>euro</w:t>
            </w:r>
            <w:proofErr w:type="spellEnd"/>
            <w:r w:rsidR="001026F6" w:rsidRPr="00D26824">
              <w:t xml:space="preserve"> un valsts budžeta līdzfinansējums 1 354 687</w:t>
            </w:r>
            <w:r w:rsidR="001026F6" w:rsidRPr="00D26824">
              <w:rPr>
                <w:i/>
              </w:rPr>
              <w:t xml:space="preserve"> </w:t>
            </w:r>
            <w:proofErr w:type="spellStart"/>
            <w:r w:rsidR="001026F6" w:rsidRPr="00D26824">
              <w:rPr>
                <w:i/>
              </w:rPr>
              <w:t>euro</w:t>
            </w:r>
            <w:proofErr w:type="spellEnd"/>
            <w:r w:rsidRPr="00D26824">
              <w:t>. Finansējums 2020.gadam tiks iestrādāts budžeta ilgtermiņa saistībās.</w:t>
            </w:r>
          </w:p>
          <w:p w:rsidR="005C23C5" w:rsidRDefault="005C23C5" w:rsidP="005C23C5">
            <w:pPr>
              <w:pStyle w:val="naiskr"/>
              <w:numPr>
                <w:ilvl w:val="1"/>
                <w:numId w:val="1"/>
              </w:numPr>
              <w:spacing w:before="40" w:beforeAutospacing="0" w:after="40" w:afterAutospacing="0"/>
              <w:ind w:left="600" w:right="57" w:hanging="283"/>
              <w:jc w:val="both"/>
            </w:pPr>
            <w:r>
              <w:t xml:space="preserve">9.2.4.1.pasākumam kopējās izmaksas 2 670 848 </w:t>
            </w:r>
            <w:proofErr w:type="spellStart"/>
            <w:r w:rsidRPr="005C23C5">
              <w:rPr>
                <w:i/>
              </w:rPr>
              <w:t>euro</w:t>
            </w:r>
            <w:proofErr w:type="spellEnd"/>
            <w:r>
              <w:t>;</w:t>
            </w:r>
          </w:p>
          <w:p w:rsidR="005C23C5" w:rsidRPr="00D26824" w:rsidRDefault="005C23C5" w:rsidP="005C23C5">
            <w:pPr>
              <w:pStyle w:val="naiskr"/>
              <w:numPr>
                <w:ilvl w:val="1"/>
                <w:numId w:val="1"/>
              </w:numPr>
              <w:spacing w:before="40" w:beforeAutospacing="0" w:after="40" w:afterAutospacing="0"/>
              <w:ind w:left="600" w:right="57" w:hanging="283"/>
              <w:jc w:val="both"/>
            </w:pPr>
            <w:r>
              <w:t xml:space="preserve">9.2.4.2.pasākumam kopējās izmaksas 6 360 394 </w:t>
            </w:r>
            <w:proofErr w:type="spellStart"/>
            <w:r w:rsidRPr="005C23C5">
              <w:rPr>
                <w:i/>
              </w:rPr>
              <w:t>euro</w:t>
            </w:r>
            <w:proofErr w:type="spellEnd"/>
            <w:r>
              <w:t>.</w:t>
            </w:r>
          </w:p>
          <w:p w:rsidR="00452AA8" w:rsidRPr="00D26824" w:rsidRDefault="00452AA8" w:rsidP="00281321">
            <w:pPr>
              <w:pStyle w:val="naiskr"/>
              <w:numPr>
                <w:ilvl w:val="0"/>
                <w:numId w:val="1"/>
              </w:numPr>
              <w:spacing w:before="40" w:beforeAutospacing="0" w:after="40" w:afterAutospacing="0"/>
              <w:ind w:left="341" w:right="57" w:hanging="284"/>
              <w:jc w:val="both"/>
            </w:pPr>
            <w:r w:rsidRPr="00D26824">
              <w:rPr>
                <w:b/>
                <w:u w:val="single"/>
              </w:rPr>
              <w:lastRenderedPageBreak/>
              <w:t>2021.gadam</w:t>
            </w:r>
            <w:r w:rsidRPr="00D26824">
              <w:rPr>
                <w:b/>
              </w:rPr>
              <w:t xml:space="preserve"> </w:t>
            </w:r>
            <w:r w:rsidRPr="00D26824">
              <w:rPr>
                <w:szCs w:val="28"/>
              </w:rPr>
              <w:t>kopējās</w:t>
            </w:r>
            <w:r w:rsidRPr="00D26824">
              <w:t xml:space="preserve"> izmaksas </w:t>
            </w:r>
            <w:r w:rsidR="001026F6" w:rsidRPr="00D26824">
              <w:t>9 031 242</w:t>
            </w:r>
            <w:r w:rsidR="001026F6" w:rsidRPr="00D26824">
              <w:rPr>
                <w:i/>
              </w:rPr>
              <w:t xml:space="preserve"> </w:t>
            </w:r>
            <w:proofErr w:type="spellStart"/>
            <w:r w:rsidR="001026F6" w:rsidRPr="00D26824">
              <w:rPr>
                <w:i/>
              </w:rPr>
              <w:t>euro</w:t>
            </w:r>
            <w:proofErr w:type="spellEnd"/>
            <w:r w:rsidR="001026F6" w:rsidRPr="00D26824">
              <w:t>, tai skaitā ESF finansējums 7 676 555</w:t>
            </w:r>
            <w:r w:rsidR="001026F6" w:rsidRPr="00D26824">
              <w:rPr>
                <w:i/>
              </w:rPr>
              <w:t xml:space="preserve"> </w:t>
            </w:r>
            <w:proofErr w:type="spellStart"/>
            <w:r w:rsidR="001026F6" w:rsidRPr="00D26824">
              <w:rPr>
                <w:i/>
              </w:rPr>
              <w:t>euro</w:t>
            </w:r>
            <w:proofErr w:type="spellEnd"/>
            <w:r w:rsidR="001026F6" w:rsidRPr="00D26824">
              <w:t xml:space="preserve"> un valsts budžeta līdzfinansējums 1 354 687</w:t>
            </w:r>
            <w:r w:rsidR="001026F6" w:rsidRPr="00D26824">
              <w:rPr>
                <w:i/>
              </w:rPr>
              <w:t xml:space="preserve"> </w:t>
            </w:r>
            <w:proofErr w:type="spellStart"/>
            <w:r w:rsidR="001026F6" w:rsidRPr="00D26824">
              <w:rPr>
                <w:i/>
              </w:rPr>
              <w:t>euro</w:t>
            </w:r>
            <w:proofErr w:type="spellEnd"/>
            <w:r w:rsidRPr="00D26824">
              <w:t>. Finansējums 2021.gadam tiks iestrādāts budžeta ilgtermiņa saistībās.</w:t>
            </w:r>
          </w:p>
          <w:p w:rsidR="005C23C5" w:rsidRDefault="005C23C5" w:rsidP="005C23C5">
            <w:pPr>
              <w:pStyle w:val="naiskr"/>
              <w:numPr>
                <w:ilvl w:val="1"/>
                <w:numId w:val="1"/>
              </w:numPr>
              <w:spacing w:before="40" w:beforeAutospacing="0" w:after="40" w:afterAutospacing="0"/>
              <w:ind w:left="600" w:right="57" w:hanging="283"/>
              <w:jc w:val="both"/>
            </w:pPr>
            <w:r>
              <w:t xml:space="preserve">9.2.4.1.pasākumam kopējās izmaksas 2 670 848 </w:t>
            </w:r>
            <w:proofErr w:type="spellStart"/>
            <w:r w:rsidRPr="005C23C5">
              <w:rPr>
                <w:i/>
              </w:rPr>
              <w:t>euro</w:t>
            </w:r>
            <w:proofErr w:type="spellEnd"/>
            <w:r>
              <w:t>;</w:t>
            </w:r>
          </w:p>
          <w:p w:rsidR="005C23C5" w:rsidRPr="00D26824" w:rsidRDefault="005C23C5" w:rsidP="005C23C5">
            <w:pPr>
              <w:pStyle w:val="naiskr"/>
              <w:numPr>
                <w:ilvl w:val="1"/>
                <w:numId w:val="1"/>
              </w:numPr>
              <w:spacing w:before="40" w:beforeAutospacing="0" w:after="40" w:afterAutospacing="0"/>
              <w:ind w:left="600" w:right="57" w:hanging="283"/>
              <w:jc w:val="both"/>
            </w:pPr>
            <w:r>
              <w:t xml:space="preserve">9.2.4.2.pasākumam kopējās izmaksas 6 360 394 </w:t>
            </w:r>
            <w:proofErr w:type="spellStart"/>
            <w:r w:rsidRPr="005C23C5">
              <w:rPr>
                <w:i/>
              </w:rPr>
              <w:t>euro</w:t>
            </w:r>
            <w:proofErr w:type="spellEnd"/>
            <w:r>
              <w:t>.</w:t>
            </w:r>
          </w:p>
          <w:p w:rsidR="00452AA8" w:rsidRDefault="00452AA8" w:rsidP="001026F6">
            <w:pPr>
              <w:pStyle w:val="naiskr"/>
              <w:numPr>
                <w:ilvl w:val="0"/>
                <w:numId w:val="1"/>
              </w:numPr>
              <w:spacing w:before="40" w:beforeAutospacing="0" w:after="40" w:afterAutospacing="0"/>
              <w:ind w:left="341" w:right="57" w:hanging="284"/>
              <w:jc w:val="both"/>
            </w:pPr>
            <w:r w:rsidRPr="00D26824">
              <w:rPr>
                <w:b/>
                <w:u w:val="single"/>
              </w:rPr>
              <w:t>2022.gadam</w:t>
            </w:r>
            <w:r w:rsidRPr="00D26824">
              <w:rPr>
                <w:b/>
              </w:rPr>
              <w:t xml:space="preserve"> </w:t>
            </w:r>
            <w:r w:rsidRPr="00D26824">
              <w:rPr>
                <w:szCs w:val="28"/>
              </w:rPr>
              <w:t>kopējās</w:t>
            </w:r>
            <w:r w:rsidRPr="00D26824">
              <w:t xml:space="preserve"> izmaksas </w:t>
            </w:r>
            <w:r w:rsidR="001026F6" w:rsidRPr="00D26824">
              <w:t>9 031 24</w:t>
            </w:r>
            <w:r w:rsidR="005C23C5">
              <w:t>1</w:t>
            </w:r>
            <w:r w:rsidR="001026F6" w:rsidRPr="00D26824">
              <w:rPr>
                <w:i/>
              </w:rPr>
              <w:t xml:space="preserve"> </w:t>
            </w:r>
            <w:proofErr w:type="spellStart"/>
            <w:r w:rsidR="001026F6" w:rsidRPr="00D26824">
              <w:rPr>
                <w:i/>
              </w:rPr>
              <w:t>euro</w:t>
            </w:r>
            <w:proofErr w:type="spellEnd"/>
            <w:r w:rsidR="001026F6" w:rsidRPr="00D26824">
              <w:t>, tai skaitā ESF finansējums 7 676 558</w:t>
            </w:r>
            <w:r w:rsidR="001026F6" w:rsidRPr="00D26824">
              <w:rPr>
                <w:i/>
              </w:rPr>
              <w:t xml:space="preserve"> </w:t>
            </w:r>
            <w:proofErr w:type="spellStart"/>
            <w:r w:rsidR="001026F6" w:rsidRPr="00D26824">
              <w:rPr>
                <w:i/>
              </w:rPr>
              <w:t>euro</w:t>
            </w:r>
            <w:proofErr w:type="spellEnd"/>
            <w:r w:rsidR="001026F6" w:rsidRPr="00D26824">
              <w:t xml:space="preserve"> un valsts budžeta līdzfinansējums 1 354 68</w:t>
            </w:r>
            <w:r w:rsidR="005C23C5">
              <w:t>3</w:t>
            </w:r>
            <w:r w:rsidR="001026F6" w:rsidRPr="00D26824">
              <w:rPr>
                <w:i/>
              </w:rPr>
              <w:t xml:space="preserve"> </w:t>
            </w:r>
            <w:proofErr w:type="spellStart"/>
            <w:r w:rsidR="001026F6" w:rsidRPr="00D26824">
              <w:rPr>
                <w:i/>
              </w:rPr>
              <w:t>euro</w:t>
            </w:r>
            <w:proofErr w:type="spellEnd"/>
            <w:r w:rsidRPr="00D26824">
              <w:t>. Finansējums 2022.gadam tiks iestrādāts budžeta ilgtermiņa saistībās.</w:t>
            </w:r>
          </w:p>
          <w:p w:rsidR="005C23C5" w:rsidRDefault="005C23C5" w:rsidP="005C23C5">
            <w:pPr>
              <w:pStyle w:val="naiskr"/>
              <w:numPr>
                <w:ilvl w:val="1"/>
                <w:numId w:val="1"/>
              </w:numPr>
              <w:spacing w:before="40" w:beforeAutospacing="0" w:after="40" w:afterAutospacing="0"/>
              <w:ind w:left="600" w:right="57" w:hanging="283"/>
              <w:jc w:val="both"/>
            </w:pPr>
            <w:r>
              <w:t xml:space="preserve">9.2.4.1.pasākumam kopējās izmaksas 2 670 846 </w:t>
            </w:r>
            <w:proofErr w:type="spellStart"/>
            <w:r w:rsidRPr="005C23C5">
              <w:rPr>
                <w:i/>
              </w:rPr>
              <w:t>euro</w:t>
            </w:r>
            <w:proofErr w:type="spellEnd"/>
            <w:r>
              <w:t>;</w:t>
            </w:r>
          </w:p>
          <w:p w:rsidR="005C23C5" w:rsidRDefault="005C23C5" w:rsidP="005C23C5">
            <w:pPr>
              <w:pStyle w:val="naiskr"/>
              <w:numPr>
                <w:ilvl w:val="1"/>
                <w:numId w:val="1"/>
              </w:numPr>
              <w:spacing w:before="40" w:beforeAutospacing="0" w:after="40" w:afterAutospacing="0"/>
              <w:ind w:left="600" w:right="57" w:hanging="283"/>
              <w:jc w:val="both"/>
            </w:pPr>
            <w:r>
              <w:t xml:space="preserve">9.2.4.2.pasākumam kopējās izmaksas 6 360 395 </w:t>
            </w:r>
            <w:proofErr w:type="spellStart"/>
            <w:r w:rsidRPr="005C23C5">
              <w:rPr>
                <w:i/>
              </w:rPr>
              <w:t>euro</w:t>
            </w:r>
            <w:proofErr w:type="spellEnd"/>
            <w:r>
              <w:t>.</w:t>
            </w:r>
          </w:p>
          <w:p w:rsidR="006B3EFF" w:rsidRPr="00D26824" w:rsidRDefault="006B3EFF" w:rsidP="00C82864">
            <w:pPr>
              <w:pStyle w:val="naiskr"/>
              <w:spacing w:before="40" w:beforeAutospacing="0" w:after="40" w:afterAutospacing="0"/>
              <w:ind w:right="57"/>
              <w:jc w:val="both"/>
            </w:pPr>
            <w:r>
              <w:t>Finansējums 9.2.4.1.pasākuma projektam tiks plānots Veselības ministrijas budžeta 63.07.00 apakšprogrammā „</w:t>
            </w:r>
            <w:r w:rsidRPr="006B3EFF">
              <w:t>Eiropas Sociālā fonda (ESF) projektu īstenošana (2014-2020)</w:t>
            </w:r>
            <w:r>
              <w:t xml:space="preserve">”. Finansējums 9.2.4.2.pasākuma projektiem daļēji tiks plānots Finanšu ministrijas budžetā kā avansi un atmaksa finansējuma saņēmējiem (pašvaldībām) par </w:t>
            </w:r>
            <w:r w:rsidR="00C82864">
              <w:t>ESF</w:t>
            </w:r>
            <w:r>
              <w:t xml:space="preserve"> projektu realizāciju, savukārt atlikusi daļa finansējuma saņēmējam, kas īstenos projektu par pašvaldībām, kas nav Nacionālajā veselīgo pašvaldību tīklā, tiks plānota Veselības ministrijas budžeta 63.07.00 apakšprogrammā „</w:t>
            </w:r>
            <w:r w:rsidRPr="006B3EFF">
              <w:t>Eiropas Sociālā fonda (ESF) projektu īstenošana (2014-2020)</w:t>
            </w:r>
            <w:r>
              <w:t xml:space="preserve">”. Šobrīd finansējuma sadalījumu 9.2.4.2.pasākuma ietvaros starp Finanšu ministrijas un Veselības ministrijas budžetiem noteikt nav iespējams, jo tas būs aprēķināms </w:t>
            </w:r>
            <w:r w:rsidR="00601201">
              <w:t>pēc</w:t>
            </w:r>
            <w:r>
              <w:t xml:space="preserve"> 9.2.4.2.pasākuma projektu iesniegumu atlases </w:t>
            </w:r>
            <w:r w:rsidR="00601201">
              <w:t>uzsākšanas</w:t>
            </w:r>
            <w:r>
              <w:t xml:space="preserve">. </w:t>
            </w:r>
          </w:p>
        </w:tc>
      </w:tr>
      <w:tr w:rsidR="004C14EB" w:rsidRPr="00D26824" w:rsidTr="00C1591C">
        <w:tc>
          <w:tcPr>
            <w:tcW w:w="2680" w:type="dxa"/>
            <w:tcBorders>
              <w:top w:val="single" w:sz="4" w:space="0" w:color="auto"/>
              <w:left w:val="single" w:sz="4" w:space="0" w:color="auto"/>
              <w:bottom w:val="single" w:sz="4" w:space="0" w:color="auto"/>
              <w:right w:val="single" w:sz="4" w:space="0" w:color="auto"/>
            </w:tcBorders>
            <w:hideMark/>
          </w:tcPr>
          <w:p w:rsidR="004C14EB" w:rsidRPr="00D26824" w:rsidRDefault="004C14EB" w:rsidP="00AA46F7">
            <w:r w:rsidRPr="00D26824">
              <w:lastRenderedPageBreak/>
              <w:t>6.1. detalizēts ieņēmumu aprēķins</w:t>
            </w:r>
          </w:p>
        </w:tc>
        <w:tc>
          <w:tcPr>
            <w:tcW w:w="6237" w:type="dxa"/>
            <w:gridSpan w:val="5"/>
            <w:vMerge/>
            <w:tcBorders>
              <w:top w:val="single" w:sz="4" w:space="0" w:color="auto"/>
              <w:left w:val="single" w:sz="4" w:space="0" w:color="auto"/>
              <w:bottom w:val="single" w:sz="4" w:space="0" w:color="auto"/>
              <w:right w:val="single" w:sz="4" w:space="0" w:color="auto"/>
            </w:tcBorders>
            <w:vAlign w:val="center"/>
            <w:hideMark/>
          </w:tcPr>
          <w:p w:rsidR="004C14EB" w:rsidRPr="00D26824" w:rsidRDefault="004C14EB" w:rsidP="00AA46F7"/>
        </w:tc>
      </w:tr>
      <w:tr w:rsidR="004C14EB" w:rsidRPr="00D26824" w:rsidTr="00C1591C">
        <w:tc>
          <w:tcPr>
            <w:tcW w:w="2680" w:type="dxa"/>
            <w:tcBorders>
              <w:top w:val="single" w:sz="4" w:space="0" w:color="auto"/>
              <w:left w:val="single" w:sz="4" w:space="0" w:color="auto"/>
              <w:bottom w:val="single" w:sz="4" w:space="0" w:color="auto"/>
              <w:right w:val="single" w:sz="4" w:space="0" w:color="auto"/>
            </w:tcBorders>
            <w:hideMark/>
          </w:tcPr>
          <w:p w:rsidR="004C14EB" w:rsidRPr="00D26824" w:rsidRDefault="004C14EB" w:rsidP="00AA46F7"/>
        </w:tc>
        <w:tc>
          <w:tcPr>
            <w:tcW w:w="6237" w:type="dxa"/>
            <w:gridSpan w:val="5"/>
            <w:vMerge/>
            <w:tcBorders>
              <w:top w:val="single" w:sz="4" w:space="0" w:color="auto"/>
              <w:left w:val="single" w:sz="4" w:space="0" w:color="auto"/>
              <w:bottom w:val="single" w:sz="4" w:space="0" w:color="auto"/>
              <w:right w:val="single" w:sz="4" w:space="0" w:color="auto"/>
            </w:tcBorders>
            <w:vAlign w:val="center"/>
            <w:hideMark/>
          </w:tcPr>
          <w:p w:rsidR="004C14EB" w:rsidRPr="00D26824" w:rsidRDefault="004C14EB" w:rsidP="00AA46F7"/>
        </w:tc>
      </w:tr>
      <w:tr w:rsidR="004C14EB" w:rsidRPr="00D26824" w:rsidTr="00C1591C">
        <w:trPr>
          <w:trHeight w:val="556"/>
        </w:trPr>
        <w:tc>
          <w:tcPr>
            <w:tcW w:w="2680" w:type="dxa"/>
            <w:tcBorders>
              <w:top w:val="single" w:sz="4" w:space="0" w:color="auto"/>
              <w:left w:val="single" w:sz="4" w:space="0" w:color="auto"/>
              <w:bottom w:val="single" w:sz="4" w:space="0" w:color="auto"/>
              <w:right w:val="single" w:sz="4" w:space="0" w:color="auto"/>
            </w:tcBorders>
            <w:hideMark/>
          </w:tcPr>
          <w:p w:rsidR="004C14EB" w:rsidRPr="00D26824" w:rsidRDefault="004C14EB" w:rsidP="00AA46F7">
            <w:r w:rsidRPr="00D26824">
              <w:lastRenderedPageBreak/>
              <w:t>7. Cita informācija</w:t>
            </w:r>
          </w:p>
        </w:tc>
        <w:tc>
          <w:tcPr>
            <w:tcW w:w="6237" w:type="dxa"/>
            <w:gridSpan w:val="5"/>
            <w:tcBorders>
              <w:top w:val="single" w:sz="4" w:space="0" w:color="auto"/>
              <w:left w:val="single" w:sz="4" w:space="0" w:color="auto"/>
              <w:bottom w:val="single" w:sz="4" w:space="0" w:color="auto"/>
              <w:right w:val="single" w:sz="4" w:space="0" w:color="auto"/>
            </w:tcBorders>
            <w:hideMark/>
          </w:tcPr>
          <w:p w:rsidR="004C14EB" w:rsidRPr="00D26824" w:rsidRDefault="0046332B" w:rsidP="0046332B">
            <w:pPr>
              <w:pStyle w:val="naiskr"/>
              <w:spacing w:before="40" w:beforeAutospacing="0" w:after="40" w:afterAutospacing="0"/>
              <w:ind w:left="57" w:right="57" w:firstLine="284"/>
              <w:jc w:val="both"/>
              <w:rPr>
                <w:b/>
                <w:i/>
              </w:rPr>
            </w:pPr>
            <w:r w:rsidRPr="00D26824">
              <w:t>Nav</w:t>
            </w:r>
          </w:p>
        </w:tc>
      </w:tr>
    </w:tbl>
    <w:p w:rsidR="00C1591C" w:rsidRDefault="00C1591C" w:rsidP="003735C6"/>
    <w:p w:rsidR="00513043" w:rsidRPr="00D26824" w:rsidRDefault="00513043" w:rsidP="003735C6"/>
    <w:p w:rsidR="00F87B13" w:rsidRPr="00C1591C" w:rsidRDefault="0064331E" w:rsidP="00C1591C">
      <w:pPr>
        <w:pStyle w:val="naisnod"/>
        <w:spacing w:before="0" w:beforeAutospacing="0" w:after="0" w:afterAutospacing="0"/>
        <w:ind w:left="57" w:right="57"/>
        <w:rPr>
          <w:b/>
        </w:rPr>
      </w:pPr>
      <w:r w:rsidRPr="00D26824">
        <w:rPr>
          <w:b/>
        </w:rPr>
        <w:t>Anotācijas IV</w:t>
      </w:r>
      <w:r w:rsidR="00514DD7" w:rsidRPr="00D26824">
        <w:rPr>
          <w:b/>
        </w:rPr>
        <w:t xml:space="preserve"> un V</w:t>
      </w:r>
      <w:r w:rsidRPr="00D26824">
        <w:rPr>
          <w:b/>
        </w:rPr>
        <w:t xml:space="preserve"> sadaļa</w:t>
      </w:r>
      <w:r w:rsidR="00514DD7" w:rsidRPr="00D26824">
        <w:rPr>
          <w:b/>
        </w:rPr>
        <w:t>s</w:t>
      </w:r>
      <w:r w:rsidRPr="00D26824">
        <w:rPr>
          <w:b/>
        </w:rPr>
        <w:t xml:space="preserve"> – projekts šo jomu neskar.</w:t>
      </w:r>
    </w:p>
    <w:p w:rsidR="00C1591C" w:rsidRDefault="00C1591C" w:rsidP="003735C6"/>
    <w:p w:rsidR="00513043" w:rsidRPr="00D26824" w:rsidRDefault="00513043" w:rsidP="003735C6"/>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218"/>
        <w:gridCol w:w="6237"/>
      </w:tblGrid>
      <w:tr w:rsidR="003735C6" w:rsidRPr="00D26824" w:rsidTr="00C1591C">
        <w:trPr>
          <w:trHeight w:val="421"/>
        </w:trPr>
        <w:tc>
          <w:tcPr>
            <w:tcW w:w="8931" w:type="dxa"/>
            <w:gridSpan w:val="3"/>
            <w:vAlign w:val="center"/>
          </w:tcPr>
          <w:p w:rsidR="003735C6" w:rsidRPr="00D26824" w:rsidRDefault="003735C6" w:rsidP="0009253D">
            <w:pPr>
              <w:pStyle w:val="naisnod"/>
              <w:spacing w:before="0" w:beforeAutospacing="0" w:after="0" w:afterAutospacing="0"/>
              <w:ind w:left="57" w:right="57"/>
              <w:jc w:val="center"/>
              <w:rPr>
                <w:b/>
              </w:rPr>
            </w:pPr>
            <w:r w:rsidRPr="00D26824">
              <w:rPr>
                <w:b/>
              </w:rPr>
              <w:t>VI. Sabiedrības līdzdalība un komunikācijas aktivitātes</w:t>
            </w:r>
          </w:p>
        </w:tc>
      </w:tr>
      <w:tr w:rsidR="003735C6" w:rsidRPr="00D26824" w:rsidTr="00C1591C">
        <w:trPr>
          <w:trHeight w:val="553"/>
        </w:trPr>
        <w:tc>
          <w:tcPr>
            <w:tcW w:w="476" w:type="dxa"/>
          </w:tcPr>
          <w:p w:rsidR="003735C6" w:rsidRPr="00D26824" w:rsidRDefault="003735C6" w:rsidP="0009253D">
            <w:pPr>
              <w:ind w:left="57" w:right="57"/>
              <w:jc w:val="both"/>
              <w:rPr>
                <w:bCs/>
              </w:rPr>
            </w:pPr>
            <w:r w:rsidRPr="00D26824">
              <w:rPr>
                <w:bCs/>
              </w:rPr>
              <w:t>1.</w:t>
            </w:r>
          </w:p>
        </w:tc>
        <w:tc>
          <w:tcPr>
            <w:tcW w:w="2218" w:type="dxa"/>
          </w:tcPr>
          <w:p w:rsidR="003735C6" w:rsidRPr="00D26824" w:rsidRDefault="003735C6" w:rsidP="0009253D">
            <w:pPr>
              <w:tabs>
                <w:tab w:val="left" w:pos="170"/>
              </w:tabs>
              <w:ind w:left="57" w:right="57"/>
              <w:rPr>
                <w:lang w:eastAsia="lv-LV"/>
              </w:rPr>
            </w:pPr>
            <w:r w:rsidRPr="00D26824">
              <w:rPr>
                <w:lang w:eastAsia="lv-LV"/>
              </w:rPr>
              <w:t>Plānotās sabiedrības līdzdalības un komunikācijas aktivitātes saistībā ar projektu</w:t>
            </w:r>
          </w:p>
        </w:tc>
        <w:tc>
          <w:tcPr>
            <w:tcW w:w="6237" w:type="dxa"/>
          </w:tcPr>
          <w:p w:rsidR="004F5F76" w:rsidRPr="00D26824" w:rsidRDefault="00424E0C" w:rsidP="00360528">
            <w:pPr>
              <w:pStyle w:val="naiskr"/>
              <w:spacing w:before="40" w:beforeAutospacing="0" w:after="40" w:afterAutospacing="0"/>
              <w:ind w:left="57" w:right="57" w:firstLine="284"/>
              <w:jc w:val="both"/>
            </w:pPr>
            <w:bookmarkStart w:id="22" w:name="p61"/>
            <w:bookmarkEnd w:id="22"/>
            <w:r w:rsidRPr="004C0A2D">
              <w:t xml:space="preserve">SAM mērķis tika saskaņots un izdiskutēts starpinstitūciju un sociālo partneru starpā </w:t>
            </w:r>
            <w:r w:rsidR="002C6B64" w:rsidRPr="00D26824">
              <w:t xml:space="preserve">Darbības </w:t>
            </w:r>
            <w:r w:rsidR="002C6B64" w:rsidRPr="00D26824">
              <w:rPr>
                <w:bCs/>
              </w:rPr>
              <w:t>programmu</w:t>
            </w:r>
            <w:r w:rsidR="002C6B64" w:rsidRPr="00D26824">
              <w:t xml:space="preserve"> “</w:t>
            </w:r>
            <w:r w:rsidR="002C6B64" w:rsidRPr="00D26824">
              <w:rPr>
                <w:i/>
              </w:rPr>
              <w:t>Izaugsme un nodarbinātība</w:t>
            </w:r>
            <w:r w:rsidR="002C6B64" w:rsidRPr="00D26824">
              <w:t xml:space="preserve">” </w:t>
            </w:r>
            <w:r w:rsidRPr="004C0A2D">
              <w:t>saskaņošanas procesa ietvaros</w:t>
            </w:r>
          </w:p>
        </w:tc>
      </w:tr>
      <w:tr w:rsidR="00BA6371" w:rsidRPr="00D26824" w:rsidTr="00C1591C">
        <w:trPr>
          <w:trHeight w:val="339"/>
        </w:trPr>
        <w:tc>
          <w:tcPr>
            <w:tcW w:w="476" w:type="dxa"/>
          </w:tcPr>
          <w:p w:rsidR="00BA6371" w:rsidRPr="00D26824" w:rsidRDefault="00BA6371" w:rsidP="0009253D">
            <w:pPr>
              <w:ind w:left="57" w:right="57"/>
              <w:jc w:val="both"/>
              <w:rPr>
                <w:bCs/>
              </w:rPr>
            </w:pPr>
            <w:r w:rsidRPr="00D26824">
              <w:rPr>
                <w:bCs/>
              </w:rPr>
              <w:t>2.</w:t>
            </w:r>
          </w:p>
        </w:tc>
        <w:tc>
          <w:tcPr>
            <w:tcW w:w="2218" w:type="dxa"/>
          </w:tcPr>
          <w:p w:rsidR="00BA6371" w:rsidRPr="00D26824" w:rsidRDefault="00BA6371" w:rsidP="0009253D">
            <w:pPr>
              <w:ind w:left="57" w:right="57"/>
              <w:rPr>
                <w:lang w:eastAsia="lv-LV"/>
              </w:rPr>
            </w:pPr>
            <w:r w:rsidRPr="00D26824">
              <w:rPr>
                <w:lang w:eastAsia="lv-LV"/>
              </w:rPr>
              <w:t>Sabiedrības līdzdalība projekta izstrādē</w:t>
            </w:r>
          </w:p>
        </w:tc>
        <w:tc>
          <w:tcPr>
            <w:tcW w:w="6237" w:type="dxa"/>
          </w:tcPr>
          <w:p w:rsidR="00424E0C" w:rsidRPr="004C0A2D" w:rsidRDefault="00424E0C" w:rsidP="00424E0C">
            <w:pPr>
              <w:pStyle w:val="naiskr"/>
              <w:spacing w:before="40" w:beforeAutospacing="0" w:after="40" w:afterAutospacing="0"/>
              <w:ind w:left="57" w:right="57" w:firstLine="284"/>
              <w:jc w:val="both"/>
            </w:pPr>
            <w:bookmarkStart w:id="23" w:name="p62"/>
            <w:bookmarkEnd w:id="23"/>
            <w:r w:rsidRPr="004C0A2D">
              <w:rPr>
                <w:szCs w:val="28"/>
              </w:rPr>
              <w:t>Sabiedrības</w:t>
            </w:r>
            <w:r w:rsidRPr="004C0A2D">
              <w:t xml:space="preserve"> līdzdalība tika nodrošināta visā SAM plānošanas procesā.</w:t>
            </w:r>
          </w:p>
          <w:p w:rsidR="00424E0C" w:rsidRPr="004C0A2D" w:rsidRDefault="00424E0C" w:rsidP="00424E0C">
            <w:pPr>
              <w:pStyle w:val="naiskr"/>
              <w:spacing w:before="40" w:beforeAutospacing="0" w:after="40" w:afterAutospacing="0"/>
              <w:ind w:left="57" w:right="57" w:firstLine="284"/>
              <w:jc w:val="both"/>
            </w:pPr>
            <w:r w:rsidRPr="004C0A2D">
              <w:rPr>
                <w:szCs w:val="28"/>
              </w:rPr>
              <w:t>Papildus SAM ir izstrādāts sasaistē ar valsts mēroga</w:t>
            </w:r>
            <w:r w:rsidRPr="004C0A2D">
              <w:t xml:space="preserve"> un nozares politikas plānošanas dokumentiem kā Stratēģija </w:t>
            </w:r>
            <w:r w:rsidRPr="004C0A2D">
              <w:lastRenderedPageBreak/>
              <w:t>"Eiropa 2020", Latvijas Nacionālais attīstības plāns 2014.-2020.gadam, Sabi</w:t>
            </w:r>
            <w:r w:rsidR="00497B9B">
              <w:t xml:space="preserve">edrības veselības pamatnostādnes </w:t>
            </w:r>
            <w:r w:rsidRPr="004C0A2D">
              <w:t>2014.-2020.gadam, tādejādi arī šo plānošanas dokumentu saskaņošanas procesu ietvaros tika nodrošināta SAM mērķa un būtības, virzienu saskaņošana.</w:t>
            </w:r>
          </w:p>
          <w:p w:rsidR="00BA6371" w:rsidRPr="00D26824" w:rsidRDefault="00424E0C" w:rsidP="00497B9B">
            <w:pPr>
              <w:pStyle w:val="naiskr"/>
              <w:spacing w:before="40" w:beforeAutospacing="0" w:after="40" w:afterAutospacing="0"/>
              <w:ind w:left="57" w:right="57" w:firstLine="284"/>
              <w:jc w:val="both"/>
            </w:pPr>
            <w:r w:rsidRPr="004C0A2D">
              <w:t xml:space="preserve">SAM mērķis tika saskaņots un izdiskutēts starpinstitūciju un sociālo partneru starpā </w:t>
            </w:r>
            <w:r w:rsidR="002C6B64" w:rsidRPr="00D26824">
              <w:t xml:space="preserve">Darbības </w:t>
            </w:r>
            <w:r w:rsidR="002C6B64" w:rsidRPr="00D26824">
              <w:rPr>
                <w:bCs/>
              </w:rPr>
              <w:t>programmu</w:t>
            </w:r>
            <w:r w:rsidR="002C6B64" w:rsidRPr="00D26824">
              <w:t xml:space="preserve"> “</w:t>
            </w:r>
            <w:r w:rsidR="002C6B64" w:rsidRPr="00D26824">
              <w:rPr>
                <w:i/>
              </w:rPr>
              <w:t>Izaugsme un nodarbinātība</w:t>
            </w:r>
            <w:r w:rsidR="002C6B64" w:rsidRPr="00D26824">
              <w:t xml:space="preserve">” </w:t>
            </w:r>
            <w:r w:rsidRPr="004C0A2D">
              <w:t>saskaņošanas procesa ietvaros, kā arī plašas diskusijas notika saskaņojot Sab</w:t>
            </w:r>
            <w:r w:rsidR="00497B9B">
              <w:t>iedrības veselības pamatnostādnes</w:t>
            </w:r>
            <w:r w:rsidRPr="004C0A2D">
              <w:t xml:space="preserve"> 2014.-2020.gadam, kā ietvaros arī tika nodrošināta sabiedriskā apspriede.</w:t>
            </w:r>
          </w:p>
        </w:tc>
      </w:tr>
      <w:tr w:rsidR="00BA6371" w:rsidRPr="00D26824" w:rsidTr="00C1591C">
        <w:trPr>
          <w:trHeight w:val="476"/>
        </w:trPr>
        <w:tc>
          <w:tcPr>
            <w:tcW w:w="476" w:type="dxa"/>
          </w:tcPr>
          <w:p w:rsidR="00BA6371" w:rsidRPr="00D26824" w:rsidRDefault="00BA6371" w:rsidP="0009253D">
            <w:pPr>
              <w:ind w:left="57" w:right="57"/>
              <w:jc w:val="both"/>
              <w:rPr>
                <w:bCs/>
              </w:rPr>
            </w:pPr>
            <w:r w:rsidRPr="00D26824">
              <w:rPr>
                <w:bCs/>
              </w:rPr>
              <w:lastRenderedPageBreak/>
              <w:t>3.</w:t>
            </w:r>
          </w:p>
        </w:tc>
        <w:tc>
          <w:tcPr>
            <w:tcW w:w="2218" w:type="dxa"/>
          </w:tcPr>
          <w:p w:rsidR="00BA6371" w:rsidRPr="00D26824" w:rsidRDefault="00BA6371" w:rsidP="0009253D">
            <w:pPr>
              <w:ind w:left="57" w:right="57"/>
              <w:rPr>
                <w:lang w:eastAsia="lv-LV"/>
              </w:rPr>
            </w:pPr>
            <w:r w:rsidRPr="00D26824">
              <w:rPr>
                <w:lang w:eastAsia="lv-LV"/>
              </w:rPr>
              <w:t>Sabiedrības līdzdalības rezultāti</w:t>
            </w:r>
          </w:p>
        </w:tc>
        <w:tc>
          <w:tcPr>
            <w:tcW w:w="6237" w:type="dxa"/>
          </w:tcPr>
          <w:p w:rsidR="00BA6371" w:rsidRPr="00D26824" w:rsidRDefault="002C6B64" w:rsidP="002C6B64">
            <w:pPr>
              <w:pStyle w:val="naiskr"/>
              <w:spacing w:before="40" w:beforeAutospacing="0" w:after="40" w:afterAutospacing="0"/>
              <w:ind w:left="57" w:right="57" w:firstLine="284"/>
              <w:jc w:val="both"/>
            </w:pPr>
            <w:r w:rsidRPr="004C0A2D">
              <w:t>Latvijas Nacionālais attīstības plān</w:t>
            </w:r>
            <w:r>
              <w:t>a</w:t>
            </w:r>
            <w:r w:rsidRPr="004C0A2D">
              <w:t xml:space="preserve"> 2014.-2020.gadam</w:t>
            </w:r>
            <w:r w:rsidR="00424E0C" w:rsidRPr="004C0A2D">
              <w:t xml:space="preserve">, Sabiedrības veselības pamatnostādņu 2014.-2020.gadam, </w:t>
            </w:r>
            <w:r w:rsidRPr="00D26824">
              <w:t xml:space="preserve">Darbības </w:t>
            </w:r>
            <w:r w:rsidRPr="00D26824">
              <w:rPr>
                <w:bCs/>
              </w:rPr>
              <w:t>programmu</w:t>
            </w:r>
            <w:r w:rsidRPr="00D26824">
              <w:t xml:space="preserve"> “</w:t>
            </w:r>
            <w:r w:rsidRPr="00D26824">
              <w:rPr>
                <w:i/>
              </w:rPr>
              <w:t>Izaugsme un nodarbinātība</w:t>
            </w:r>
            <w:r w:rsidRPr="00D26824">
              <w:t xml:space="preserve">” </w:t>
            </w:r>
            <w:r w:rsidR="00424E0C" w:rsidRPr="004C0A2D">
              <w:t xml:space="preserve">un </w:t>
            </w:r>
            <w:r>
              <w:t>Partnerības līguma</w:t>
            </w:r>
            <w:r w:rsidR="00424E0C" w:rsidRPr="004C0A2D">
              <w:t xml:space="preserve"> saskaņošanas procesā saņemtie komentāri ir saskaņoti un panākta vienošanās ar visām iesaistītajām pusēm.</w:t>
            </w:r>
          </w:p>
        </w:tc>
      </w:tr>
      <w:tr w:rsidR="003735C6" w:rsidRPr="00D26824" w:rsidTr="00C1591C">
        <w:trPr>
          <w:trHeight w:val="476"/>
        </w:trPr>
        <w:tc>
          <w:tcPr>
            <w:tcW w:w="476" w:type="dxa"/>
          </w:tcPr>
          <w:p w:rsidR="003735C6" w:rsidRPr="00D26824" w:rsidRDefault="003735C6" w:rsidP="0009253D">
            <w:pPr>
              <w:ind w:left="57" w:right="57"/>
              <w:jc w:val="both"/>
              <w:rPr>
                <w:bCs/>
              </w:rPr>
            </w:pPr>
            <w:r w:rsidRPr="00D26824">
              <w:rPr>
                <w:bCs/>
              </w:rPr>
              <w:t>4.</w:t>
            </w:r>
          </w:p>
        </w:tc>
        <w:tc>
          <w:tcPr>
            <w:tcW w:w="2218" w:type="dxa"/>
          </w:tcPr>
          <w:p w:rsidR="003735C6" w:rsidRPr="00D26824" w:rsidRDefault="003735C6" w:rsidP="0009253D">
            <w:pPr>
              <w:ind w:left="57" w:right="57"/>
              <w:rPr>
                <w:lang w:eastAsia="lv-LV"/>
              </w:rPr>
            </w:pPr>
            <w:r w:rsidRPr="00D26824">
              <w:rPr>
                <w:lang w:eastAsia="lv-LV"/>
              </w:rPr>
              <w:t>Cita informācija</w:t>
            </w:r>
          </w:p>
        </w:tc>
        <w:tc>
          <w:tcPr>
            <w:tcW w:w="6237" w:type="dxa"/>
          </w:tcPr>
          <w:p w:rsidR="003735C6" w:rsidRPr="00D26824" w:rsidRDefault="00424E0C" w:rsidP="00424E0C">
            <w:pPr>
              <w:pStyle w:val="naiskr"/>
              <w:spacing w:before="40" w:beforeAutospacing="0" w:after="40" w:afterAutospacing="0"/>
              <w:ind w:left="57" w:right="57" w:firstLine="284"/>
              <w:jc w:val="both"/>
            </w:pPr>
            <w:r>
              <w:t xml:space="preserve">Pirms noteikumu projekta iesniegšanas izskatīšanai Ministru kabinetā paredzēts SAM sākotnējais novērtējums, uz kā pamata izstrādāts noteikumu projekts, un projektu vērtēšanas kritēriji tiks izskatīti un apstiprināti atbilstoši </w:t>
            </w:r>
            <w:r w:rsidRPr="00424E0C">
              <w:t>Eiropas Savienības struktūrfondu un Kohēzijas fonda 2014.—2020.gada plānošanas perioda vadības likum</w:t>
            </w:r>
            <w:r>
              <w:t xml:space="preserve">am izveidotajā </w:t>
            </w:r>
            <w:r w:rsidRPr="00424E0C">
              <w:t xml:space="preserve">Nodarbinātības, darbaspēka mobilitātes un sociālā iekļaušanas prioritārā virziena </w:t>
            </w:r>
            <w:r>
              <w:t xml:space="preserve">uzraudzības </w:t>
            </w:r>
            <w:r w:rsidRPr="00424E0C">
              <w:t>apakškomitej</w:t>
            </w:r>
            <w:r>
              <w:t>ā.</w:t>
            </w:r>
          </w:p>
        </w:tc>
      </w:tr>
    </w:tbl>
    <w:p w:rsidR="00C1591C" w:rsidRDefault="00C1591C" w:rsidP="003735C6"/>
    <w:p w:rsidR="00513043" w:rsidRPr="00D26824" w:rsidRDefault="00513043" w:rsidP="003735C6"/>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249"/>
        <w:gridCol w:w="5245"/>
      </w:tblGrid>
      <w:tr w:rsidR="003735C6" w:rsidRPr="00D26824" w:rsidTr="00C1591C">
        <w:trPr>
          <w:trHeight w:val="381"/>
        </w:trPr>
        <w:tc>
          <w:tcPr>
            <w:tcW w:w="8931" w:type="dxa"/>
            <w:gridSpan w:val="3"/>
            <w:vAlign w:val="center"/>
          </w:tcPr>
          <w:p w:rsidR="003735C6" w:rsidRPr="00D26824" w:rsidRDefault="003735C6" w:rsidP="0009253D">
            <w:pPr>
              <w:pStyle w:val="naisnod"/>
              <w:spacing w:before="0" w:beforeAutospacing="0" w:after="0" w:afterAutospacing="0"/>
              <w:ind w:left="57" w:right="57"/>
              <w:jc w:val="center"/>
              <w:rPr>
                <w:b/>
              </w:rPr>
            </w:pPr>
            <w:r w:rsidRPr="00D26824">
              <w:rPr>
                <w:b/>
              </w:rPr>
              <w:t>VII. Tiesību akta projekta izpildes nodrošināšana un tās ietekme uz institūcijām</w:t>
            </w:r>
          </w:p>
        </w:tc>
      </w:tr>
      <w:tr w:rsidR="003735C6" w:rsidRPr="00D26824" w:rsidTr="00C1591C">
        <w:trPr>
          <w:trHeight w:val="427"/>
        </w:trPr>
        <w:tc>
          <w:tcPr>
            <w:tcW w:w="437" w:type="dxa"/>
          </w:tcPr>
          <w:p w:rsidR="003735C6" w:rsidRPr="00D26824" w:rsidRDefault="003735C6" w:rsidP="0009253D">
            <w:pPr>
              <w:pStyle w:val="naisnod"/>
              <w:spacing w:before="0" w:beforeAutospacing="0" w:after="0" w:afterAutospacing="0"/>
              <w:ind w:left="57" w:right="57"/>
              <w:jc w:val="both"/>
            </w:pPr>
            <w:r w:rsidRPr="00D26824">
              <w:t>1.</w:t>
            </w:r>
          </w:p>
        </w:tc>
        <w:tc>
          <w:tcPr>
            <w:tcW w:w="3249" w:type="dxa"/>
          </w:tcPr>
          <w:p w:rsidR="003735C6" w:rsidRPr="00D26824" w:rsidRDefault="003735C6" w:rsidP="0009253D">
            <w:pPr>
              <w:pStyle w:val="naisf"/>
              <w:spacing w:before="0" w:beforeAutospacing="0" w:after="0" w:afterAutospacing="0"/>
              <w:ind w:left="57" w:right="57"/>
              <w:rPr>
                <w:lang w:val="lv-LV"/>
              </w:rPr>
            </w:pPr>
            <w:r w:rsidRPr="00D26824">
              <w:rPr>
                <w:lang w:val="lv-LV"/>
              </w:rPr>
              <w:t>Projekta izpildē iesaistītās institūcijas</w:t>
            </w:r>
          </w:p>
        </w:tc>
        <w:tc>
          <w:tcPr>
            <w:tcW w:w="5245" w:type="dxa"/>
          </w:tcPr>
          <w:p w:rsidR="003735C6" w:rsidRPr="00D26824" w:rsidRDefault="003735C6" w:rsidP="00C82864">
            <w:pPr>
              <w:pStyle w:val="naiskr"/>
              <w:spacing w:before="40" w:beforeAutospacing="0" w:after="40" w:afterAutospacing="0"/>
              <w:ind w:left="57" w:right="57" w:firstLine="284"/>
              <w:jc w:val="both"/>
            </w:pPr>
            <w:bookmarkStart w:id="24" w:name="p66"/>
            <w:bookmarkStart w:id="25" w:name="p67"/>
            <w:bookmarkStart w:id="26" w:name="p68"/>
            <w:bookmarkStart w:id="27" w:name="p69"/>
            <w:bookmarkEnd w:id="24"/>
            <w:bookmarkEnd w:id="25"/>
            <w:bookmarkEnd w:id="26"/>
            <w:bookmarkEnd w:id="27"/>
            <w:r w:rsidRPr="00460FE0">
              <w:rPr>
                <w:szCs w:val="28"/>
              </w:rPr>
              <w:t>Atbildīgās</w:t>
            </w:r>
            <w:r w:rsidRPr="00D26824">
              <w:t xml:space="preserve"> iestādes funkcijas pilda </w:t>
            </w:r>
            <w:r w:rsidR="00E97CF8" w:rsidRPr="00D26824">
              <w:t xml:space="preserve">Veselības </w:t>
            </w:r>
            <w:r w:rsidRPr="00D26824">
              <w:t xml:space="preserve">ministrija, sadarbības iestādes funkcijas – Centrālā finanšu un līgumu aģentūra. </w:t>
            </w:r>
            <w:r w:rsidR="004F5F76" w:rsidRPr="00D26824">
              <w:t>Projekta iesniedzējs</w:t>
            </w:r>
            <w:r w:rsidR="00460FE0">
              <w:t xml:space="preserve"> un finansējuma saņēmējs ir Veselības ministrija sadarbībā </w:t>
            </w:r>
            <w:r w:rsidR="00C82864">
              <w:t xml:space="preserve">ar veselības nozares valsts pārvaldes iestādēm un atvasinātajām publiskajām personām, kas iesaistītas veselības veicināšanā un slimību profilaksē, kā arī ar juridiskajām personām, kam </w:t>
            </w:r>
            <w:r w:rsidR="00C82864" w:rsidRPr="00C82864">
              <w:t>ir pilnvarojums veselības veicināšanas vai slimību profilakses politikas īstenošanai un koordinācijai</w:t>
            </w:r>
            <w:r w:rsidR="00460FE0">
              <w:t>, Nacionālā veselīgo pašvaldību tīkla pašvaldības un Slimību profilakses un kontroles</w:t>
            </w:r>
            <w:r w:rsidR="00460FE0" w:rsidRPr="00D26824">
              <w:t xml:space="preserve"> </w:t>
            </w:r>
            <w:r w:rsidR="00460FE0">
              <w:t>centrs par pašvaldībām, kas nav</w:t>
            </w:r>
            <w:r w:rsidR="00237AA7">
              <w:t xml:space="preserve"> </w:t>
            </w:r>
            <w:r w:rsidR="00460FE0">
              <w:t>Nacionālā veselīgo pašvaldību tīkla dalībnieces</w:t>
            </w:r>
            <w:r w:rsidR="00E97CF8" w:rsidRPr="00D26824">
              <w:t>.</w:t>
            </w:r>
          </w:p>
        </w:tc>
      </w:tr>
      <w:tr w:rsidR="00424E0C" w:rsidRPr="00D26824" w:rsidTr="00C1591C">
        <w:trPr>
          <w:trHeight w:val="463"/>
        </w:trPr>
        <w:tc>
          <w:tcPr>
            <w:tcW w:w="437" w:type="dxa"/>
          </w:tcPr>
          <w:p w:rsidR="00424E0C" w:rsidRPr="00D26824" w:rsidRDefault="00424E0C" w:rsidP="0009253D">
            <w:pPr>
              <w:pStyle w:val="naisnod"/>
              <w:spacing w:before="0" w:beforeAutospacing="0" w:after="0" w:afterAutospacing="0"/>
              <w:ind w:left="57" w:right="57"/>
              <w:jc w:val="both"/>
            </w:pPr>
            <w:r w:rsidRPr="00D26824">
              <w:t>2.</w:t>
            </w:r>
          </w:p>
        </w:tc>
        <w:tc>
          <w:tcPr>
            <w:tcW w:w="3249" w:type="dxa"/>
          </w:tcPr>
          <w:p w:rsidR="00424E0C" w:rsidRPr="00D26824" w:rsidRDefault="00424E0C" w:rsidP="0009253D">
            <w:pPr>
              <w:pStyle w:val="naisf"/>
              <w:spacing w:before="0" w:beforeAutospacing="0" w:after="0" w:afterAutospacing="0"/>
              <w:ind w:left="57" w:right="57"/>
              <w:rPr>
                <w:lang w:val="lv-LV"/>
              </w:rPr>
            </w:pPr>
            <w:r w:rsidRPr="00D26824">
              <w:rPr>
                <w:lang w:val="lv-LV"/>
              </w:rPr>
              <w:t>Projekta izpildes ietekme uz pār</w:t>
            </w:r>
            <w:r w:rsidRPr="00D26824">
              <w:rPr>
                <w:lang w:val="lv-LV"/>
              </w:rPr>
              <w:softHyphen/>
              <w:t>valdes funkcijām un institucionālo struktūru.</w:t>
            </w:r>
          </w:p>
          <w:p w:rsidR="00424E0C" w:rsidRPr="00D26824" w:rsidRDefault="00424E0C" w:rsidP="0009253D">
            <w:pPr>
              <w:pStyle w:val="naisf"/>
              <w:spacing w:before="0" w:beforeAutospacing="0" w:after="0" w:afterAutospacing="0"/>
              <w:ind w:left="57" w:right="57"/>
              <w:rPr>
                <w:lang w:val="lv-LV"/>
              </w:rPr>
            </w:pPr>
            <w:r w:rsidRPr="00D26824">
              <w:rPr>
                <w:lang w:val="lv-LV"/>
              </w:rPr>
              <w:lastRenderedPageBreak/>
              <w:t>Jaunu institūciju izveide, esošu institūciju likvidācija vai reorga</w:t>
            </w:r>
            <w:r w:rsidRPr="00D26824">
              <w:rPr>
                <w:lang w:val="lv-LV"/>
              </w:rPr>
              <w:softHyphen/>
              <w:t>nizācija, to ietekme uz institūcijas cilvēkresursiem</w:t>
            </w:r>
          </w:p>
        </w:tc>
        <w:tc>
          <w:tcPr>
            <w:tcW w:w="5245" w:type="dxa"/>
          </w:tcPr>
          <w:p w:rsidR="00424E0C" w:rsidRPr="004C0A2D" w:rsidRDefault="00424E0C" w:rsidP="007C0E17">
            <w:pPr>
              <w:pStyle w:val="naiskr"/>
              <w:spacing w:before="40" w:beforeAutospacing="0" w:after="40" w:afterAutospacing="0"/>
              <w:ind w:left="57" w:right="57" w:firstLine="284"/>
              <w:jc w:val="both"/>
            </w:pPr>
            <w:r w:rsidRPr="004C0A2D">
              <w:rPr>
                <w:szCs w:val="28"/>
              </w:rPr>
              <w:lastRenderedPageBreak/>
              <w:t>MK</w:t>
            </w:r>
            <w:r w:rsidRPr="004C0A2D">
              <w:t xml:space="preserve"> noteikumu projekts šo jomu neskar.</w:t>
            </w:r>
          </w:p>
        </w:tc>
      </w:tr>
      <w:tr w:rsidR="003735C6" w:rsidRPr="00D26824" w:rsidTr="00C1591C">
        <w:trPr>
          <w:trHeight w:val="402"/>
        </w:trPr>
        <w:tc>
          <w:tcPr>
            <w:tcW w:w="437" w:type="dxa"/>
            <w:tcBorders>
              <w:top w:val="single" w:sz="4" w:space="0" w:color="auto"/>
              <w:left w:val="single" w:sz="4" w:space="0" w:color="auto"/>
              <w:bottom w:val="single" w:sz="4" w:space="0" w:color="auto"/>
              <w:right w:val="single" w:sz="4" w:space="0" w:color="auto"/>
            </w:tcBorders>
          </w:tcPr>
          <w:p w:rsidR="003735C6" w:rsidRPr="00D26824" w:rsidRDefault="003735C6" w:rsidP="0009253D">
            <w:pPr>
              <w:pStyle w:val="naisnod"/>
              <w:spacing w:before="0" w:beforeAutospacing="0" w:after="0" w:afterAutospacing="0"/>
              <w:ind w:left="57" w:right="57"/>
              <w:jc w:val="both"/>
            </w:pPr>
            <w:r w:rsidRPr="00D26824">
              <w:lastRenderedPageBreak/>
              <w:t>3.</w:t>
            </w:r>
          </w:p>
        </w:tc>
        <w:tc>
          <w:tcPr>
            <w:tcW w:w="3249" w:type="dxa"/>
            <w:tcBorders>
              <w:top w:val="single" w:sz="4" w:space="0" w:color="auto"/>
              <w:left w:val="single" w:sz="4" w:space="0" w:color="auto"/>
              <w:bottom w:val="single" w:sz="4" w:space="0" w:color="auto"/>
              <w:right w:val="single" w:sz="4" w:space="0" w:color="auto"/>
            </w:tcBorders>
          </w:tcPr>
          <w:p w:rsidR="003735C6" w:rsidRPr="00D26824" w:rsidRDefault="003735C6" w:rsidP="0009253D">
            <w:pPr>
              <w:pStyle w:val="naisf"/>
              <w:spacing w:before="0" w:beforeAutospacing="0" w:after="0" w:afterAutospacing="0"/>
              <w:ind w:left="57" w:right="57"/>
              <w:rPr>
                <w:lang w:val="lv-LV"/>
              </w:rPr>
            </w:pPr>
            <w:r w:rsidRPr="00D26824">
              <w:rPr>
                <w:lang w:val="lv-LV"/>
              </w:rPr>
              <w:t>Cita informācija</w:t>
            </w:r>
          </w:p>
        </w:tc>
        <w:tc>
          <w:tcPr>
            <w:tcW w:w="5245" w:type="dxa"/>
            <w:tcBorders>
              <w:top w:val="single" w:sz="4" w:space="0" w:color="auto"/>
              <w:left w:val="single" w:sz="4" w:space="0" w:color="auto"/>
              <w:bottom w:val="single" w:sz="4" w:space="0" w:color="auto"/>
              <w:right w:val="single" w:sz="4" w:space="0" w:color="auto"/>
            </w:tcBorders>
          </w:tcPr>
          <w:p w:rsidR="003735C6" w:rsidRPr="00D26824" w:rsidRDefault="003735C6" w:rsidP="00AE31FA">
            <w:pPr>
              <w:pStyle w:val="naiskr"/>
              <w:spacing w:before="40" w:beforeAutospacing="0" w:after="40" w:afterAutospacing="0"/>
              <w:ind w:left="57" w:right="57" w:firstLine="284"/>
              <w:jc w:val="both"/>
            </w:pPr>
            <w:r w:rsidRPr="00D26824">
              <w:t>Nav.</w:t>
            </w:r>
          </w:p>
        </w:tc>
      </w:tr>
    </w:tbl>
    <w:p w:rsidR="003735C6" w:rsidRDefault="003735C6" w:rsidP="003735C6"/>
    <w:p w:rsidR="00513043" w:rsidRDefault="00513043" w:rsidP="003735C6"/>
    <w:p w:rsidR="00513043" w:rsidRDefault="00513043" w:rsidP="003735C6"/>
    <w:p w:rsidR="00EB1317" w:rsidRPr="00320967" w:rsidRDefault="00EB1317" w:rsidP="00A52390">
      <w:pPr>
        <w:tabs>
          <w:tab w:val="right" w:pos="9071"/>
        </w:tabs>
        <w:spacing w:after="720"/>
        <w:ind w:right="-1"/>
        <w:rPr>
          <w:rFonts w:eastAsia="Calibri"/>
          <w:sz w:val="28"/>
          <w:szCs w:val="28"/>
        </w:rPr>
      </w:pPr>
      <w:r w:rsidRPr="00320967">
        <w:rPr>
          <w:rFonts w:eastAsia="Calibri"/>
          <w:sz w:val="28"/>
          <w:szCs w:val="28"/>
        </w:rPr>
        <w:t>Veselības ministrs</w:t>
      </w:r>
      <w:r w:rsidR="00A52390">
        <w:rPr>
          <w:rFonts w:eastAsia="Calibri"/>
          <w:sz w:val="28"/>
          <w:szCs w:val="28"/>
        </w:rPr>
        <w:tab/>
      </w:r>
      <w:proofErr w:type="spellStart"/>
      <w:r w:rsidRPr="00320967">
        <w:rPr>
          <w:rFonts w:eastAsia="Calibri"/>
          <w:sz w:val="28"/>
          <w:szCs w:val="28"/>
        </w:rPr>
        <w:t>G.Belēvičs</w:t>
      </w:r>
      <w:proofErr w:type="spellEnd"/>
    </w:p>
    <w:p w:rsidR="00EB1317" w:rsidRPr="00320967" w:rsidRDefault="00A52390" w:rsidP="00EB1317">
      <w:pPr>
        <w:tabs>
          <w:tab w:val="right" w:pos="9072"/>
        </w:tabs>
        <w:ind w:right="-766"/>
        <w:rPr>
          <w:rFonts w:eastAsia="Calibri"/>
          <w:sz w:val="28"/>
          <w:szCs w:val="28"/>
        </w:rPr>
      </w:pPr>
      <w:r>
        <w:rPr>
          <w:rFonts w:eastAsia="Calibri"/>
          <w:sz w:val="28"/>
          <w:szCs w:val="28"/>
        </w:rPr>
        <w:t>Vīza: Valsts sekretār</w:t>
      </w:r>
      <w:r w:rsidR="001C5E5F">
        <w:rPr>
          <w:rFonts w:eastAsia="Calibri"/>
          <w:sz w:val="28"/>
          <w:szCs w:val="28"/>
        </w:rPr>
        <w:t>e</w:t>
      </w:r>
      <w:r>
        <w:rPr>
          <w:rFonts w:eastAsia="Calibri"/>
          <w:sz w:val="28"/>
          <w:szCs w:val="28"/>
        </w:rPr>
        <w:tab/>
      </w:r>
      <w:r w:rsidR="001C5E5F">
        <w:rPr>
          <w:rFonts w:eastAsia="Calibri"/>
          <w:sz w:val="28"/>
          <w:szCs w:val="28"/>
        </w:rPr>
        <w:t>S.Zvidriņa</w:t>
      </w:r>
    </w:p>
    <w:p w:rsidR="00F15639" w:rsidRDefault="00F15639" w:rsidP="003735C6">
      <w:pPr>
        <w:contextualSpacing/>
        <w:jc w:val="both"/>
      </w:pPr>
    </w:p>
    <w:p w:rsidR="00513043" w:rsidRDefault="00513043" w:rsidP="003735C6">
      <w:pPr>
        <w:contextualSpacing/>
        <w:jc w:val="both"/>
      </w:pPr>
    </w:p>
    <w:p w:rsidR="00513043" w:rsidRDefault="00513043" w:rsidP="003735C6">
      <w:pPr>
        <w:contextualSpacing/>
        <w:jc w:val="both"/>
      </w:pPr>
    </w:p>
    <w:p w:rsidR="00D240D1" w:rsidRDefault="00D240D1" w:rsidP="003735C6">
      <w:pPr>
        <w:contextualSpacing/>
        <w:jc w:val="both"/>
      </w:pPr>
    </w:p>
    <w:p w:rsidR="001F2D21" w:rsidRPr="001F2D21" w:rsidRDefault="00DD4DB2" w:rsidP="001F2D21">
      <w:pPr>
        <w:rPr>
          <w:sz w:val="20"/>
          <w:szCs w:val="20"/>
        </w:rPr>
      </w:pPr>
      <w:r>
        <w:rPr>
          <w:sz w:val="20"/>
          <w:szCs w:val="20"/>
        </w:rPr>
        <w:t>0</w:t>
      </w:r>
      <w:r w:rsidR="00F25980">
        <w:rPr>
          <w:sz w:val="20"/>
          <w:szCs w:val="20"/>
        </w:rPr>
        <w:t>5</w:t>
      </w:r>
      <w:r>
        <w:rPr>
          <w:sz w:val="20"/>
          <w:szCs w:val="20"/>
        </w:rPr>
        <w:t>.05</w:t>
      </w:r>
      <w:r w:rsidR="001F2D21" w:rsidRPr="001F2D21">
        <w:rPr>
          <w:sz w:val="20"/>
          <w:szCs w:val="20"/>
        </w:rPr>
        <w:t xml:space="preserve">.2016 </w:t>
      </w:r>
      <w:r w:rsidR="007E492B">
        <w:rPr>
          <w:sz w:val="20"/>
          <w:szCs w:val="20"/>
        </w:rPr>
        <w:t>10:01</w:t>
      </w:r>
    </w:p>
    <w:p w:rsidR="001F2D21" w:rsidRPr="001F2D21" w:rsidRDefault="0045270C" w:rsidP="001F2D21">
      <w:pPr>
        <w:rPr>
          <w:sz w:val="20"/>
          <w:szCs w:val="20"/>
        </w:rPr>
      </w:pPr>
      <w:r w:rsidRPr="001F2D21">
        <w:rPr>
          <w:sz w:val="20"/>
          <w:szCs w:val="20"/>
        </w:rPr>
        <w:fldChar w:fldCharType="begin"/>
      </w:r>
      <w:r w:rsidR="001F2D21" w:rsidRPr="001F2D21">
        <w:rPr>
          <w:sz w:val="20"/>
          <w:szCs w:val="20"/>
        </w:rPr>
        <w:instrText xml:space="preserve"> NUMWORDS  \# "# ##0"  \* MERGEFORMAT </w:instrText>
      </w:r>
      <w:r w:rsidRPr="001F2D21">
        <w:rPr>
          <w:sz w:val="20"/>
          <w:szCs w:val="20"/>
        </w:rPr>
        <w:fldChar w:fldCharType="separate"/>
      </w:r>
      <w:r w:rsidR="007E492B">
        <w:rPr>
          <w:noProof/>
          <w:sz w:val="20"/>
          <w:szCs w:val="20"/>
        </w:rPr>
        <w:t>6 548</w:t>
      </w:r>
      <w:r w:rsidRPr="001F2D21">
        <w:rPr>
          <w:sz w:val="20"/>
          <w:szCs w:val="20"/>
        </w:rPr>
        <w:fldChar w:fldCharType="end"/>
      </w:r>
    </w:p>
    <w:p w:rsidR="001F2D21" w:rsidRPr="001F2D21" w:rsidRDefault="001F2D21" w:rsidP="001F2D21">
      <w:pPr>
        <w:rPr>
          <w:sz w:val="20"/>
          <w:szCs w:val="20"/>
        </w:rPr>
      </w:pPr>
      <w:proofErr w:type="spellStart"/>
      <w:r w:rsidRPr="001F2D21">
        <w:rPr>
          <w:sz w:val="20"/>
          <w:szCs w:val="20"/>
        </w:rPr>
        <w:t>A.Tomsone</w:t>
      </w:r>
      <w:proofErr w:type="spellEnd"/>
    </w:p>
    <w:p w:rsidR="001F2D21" w:rsidRPr="001F2D21" w:rsidRDefault="001F2D21" w:rsidP="001F2D21">
      <w:pPr>
        <w:rPr>
          <w:rFonts w:asciiTheme="minorHAnsi" w:eastAsiaTheme="minorEastAsia" w:hAnsiTheme="minorHAnsi" w:cstheme="minorBidi"/>
          <w:sz w:val="22"/>
          <w:szCs w:val="22"/>
          <w:lang w:eastAsia="lv-LV"/>
        </w:rPr>
      </w:pPr>
      <w:r w:rsidRPr="001F2D21">
        <w:rPr>
          <w:sz w:val="20"/>
          <w:szCs w:val="20"/>
        </w:rPr>
        <w:t xml:space="preserve">67876181, </w:t>
      </w:r>
      <w:hyperlink r:id="rId12" w:history="1">
        <w:r w:rsidRPr="001F2D21">
          <w:rPr>
            <w:sz w:val="20"/>
            <w:szCs w:val="20"/>
          </w:rPr>
          <w:t>Agnese.Tomsone@vm.gov.lv</w:t>
        </w:r>
      </w:hyperlink>
    </w:p>
    <w:p w:rsidR="00F0258D" w:rsidRPr="007912F8" w:rsidRDefault="00F0258D" w:rsidP="001F2D21">
      <w:pPr>
        <w:rPr>
          <w:sz w:val="20"/>
          <w:szCs w:val="20"/>
        </w:rPr>
      </w:pPr>
    </w:p>
    <w:sectPr w:rsidR="00F0258D" w:rsidRPr="007912F8" w:rsidSect="00D240D1">
      <w:headerReference w:type="even" r:id="rId13"/>
      <w:headerReference w:type="default" r:id="rId14"/>
      <w:footerReference w:type="default" r:id="rId15"/>
      <w:footerReference w:type="first" r:id="rId16"/>
      <w:pgSz w:w="11906" w:h="16838" w:code="9"/>
      <w:pgMar w:top="1418" w:right="1134" w:bottom="1134" w:left="1701" w:header="720" w:footer="113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980" w:rsidRDefault="00F25980">
      <w:r>
        <w:separator/>
      </w:r>
    </w:p>
  </w:endnote>
  <w:endnote w:type="continuationSeparator" w:id="0">
    <w:p w:rsidR="00F25980" w:rsidRDefault="00F25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80" w:rsidRPr="00A94F44" w:rsidRDefault="00F25980"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050516_SAM924</w:t>
    </w:r>
    <w:r w:rsidRPr="005755A2">
      <w:rPr>
        <w:sz w:val="20"/>
        <w:szCs w:val="20"/>
        <w:lang w:eastAsia="lv-LV"/>
      </w:rPr>
      <w:t xml:space="preserve">; </w:t>
    </w:r>
    <w:bookmarkStart w:id="28" w:name="OLE_LINK6"/>
    <w:bookmarkStart w:id="29" w:name="OLE_LINK8"/>
    <w:r w:rsidRPr="007912F8">
      <w:rPr>
        <w:sz w:val="20"/>
        <w:szCs w:val="20"/>
        <w:lang w:eastAsia="lv-LV"/>
      </w:rPr>
      <w:t xml:space="preserve">Ministru kabineta noteikumu projekta „Darbības programmas </w:t>
    </w:r>
    <w:r>
      <w:rPr>
        <w:sz w:val="20"/>
        <w:szCs w:val="20"/>
        <w:lang w:eastAsia="lv-LV"/>
      </w:rPr>
      <w:t>„</w:t>
    </w:r>
    <w:r w:rsidRPr="007912F8">
      <w:rPr>
        <w:sz w:val="20"/>
        <w:szCs w:val="20"/>
        <w:lang w:eastAsia="lv-LV"/>
      </w:rPr>
      <w:t>Izaugsme un nodarbinātība</w:t>
    </w:r>
    <w:r>
      <w:rPr>
        <w:sz w:val="20"/>
        <w:szCs w:val="20"/>
        <w:lang w:eastAsia="lv-LV"/>
      </w:rPr>
      <w:t>”</w:t>
    </w:r>
    <w:r w:rsidRPr="007912F8">
      <w:rPr>
        <w:sz w:val="20"/>
        <w:szCs w:val="20"/>
        <w:lang w:eastAsia="lv-LV"/>
      </w:rPr>
      <w:t xml:space="preserve"> 9.2.4. specifiskā atbalsta mērķa </w:t>
    </w:r>
    <w:r>
      <w:rPr>
        <w:sz w:val="20"/>
        <w:szCs w:val="20"/>
        <w:lang w:eastAsia="lv-LV"/>
      </w:rPr>
      <w:t>„</w:t>
    </w:r>
    <w:r w:rsidRPr="007912F8">
      <w:rPr>
        <w:sz w:val="20"/>
        <w:szCs w:val="20"/>
        <w:lang w:eastAsia="lv-LV"/>
      </w:rPr>
      <w:t>Uzlabot pieejamību veselības veicināšanas un slimību profilakses pakalpojumiem, jo īpaši, nabadzības un sociālās atstumtības riskam pakļautajiem iedzīvotājiem</w:t>
    </w:r>
    <w:r>
      <w:rPr>
        <w:sz w:val="20"/>
        <w:szCs w:val="20"/>
        <w:lang w:eastAsia="lv-LV"/>
      </w:rPr>
      <w:t>”</w:t>
    </w:r>
    <w:r w:rsidRPr="007912F8">
      <w:rPr>
        <w:sz w:val="20"/>
        <w:szCs w:val="20"/>
        <w:lang w:eastAsia="lv-LV"/>
      </w:rPr>
      <w:t xml:space="preserve"> 9.2.4.1.pasākuma „Kompleksi veselības veicināšanas un slimību profilakses pasākumi” un 9.2.4.2.pasākuma „Pasākumi vietējās sabiedrības veselības veicināšanai un slimību profilaksei” īstenošanas noteikumi” sākotnējās ietekmes novērtējuma ziņojums (anotācija)</w:t>
    </w:r>
    <w:bookmarkEnd w:id="28"/>
    <w:bookmarkEnd w:id="2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80" w:rsidRPr="00A94F44" w:rsidRDefault="00F25980"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980" w:rsidRDefault="00F25980">
      <w:r>
        <w:separator/>
      </w:r>
    </w:p>
  </w:footnote>
  <w:footnote w:type="continuationSeparator" w:id="0">
    <w:p w:rsidR="00F25980" w:rsidRDefault="00F25980">
      <w:r>
        <w:continuationSeparator/>
      </w:r>
    </w:p>
  </w:footnote>
  <w:footnote w:id="1">
    <w:p w:rsidR="00F25980" w:rsidRDefault="00F25980" w:rsidP="00C065AA">
      <w:pPr>
        <w:pStyle w:val="FootnoteText"/>
      </w:pPr>
      <w:r>
        <w:rPr>
          <w:rStyle w:val="FootnoteReference"/>
        </w:rPr>
        <w:footnoteRef/>
      </w:r>
      <w:r>
        <w:t xml:space="preserve"> Sabiedrības veselības pamatnostādnes 2014.-2020.gadam.</w:t>
      </w:r>
    </w:p>
  </w:footnote>
  <w:footnote w:id="2">
    <w:p w:rsidR="00F25980" w:rsidRPr="00420EBA" w:rsidRDefault="00F25980" w:rsidP="00C065AA">
      <w:pPr>
        <w:pStyle w:val="FootnoteText"/>
      </w:pPr>
      <w:r>
        <w:rPr>
          <w:rStyle w:val="FootnoteReference"/>
        </w:rPr>
        <w:footnoteRef/>
      </w:r>
      <w:r>
        <w:t xml:space="preserve"> </w:t>
      </w:r>
      <w:r w:rsidRPr="00420EBA">
        <w:t>Sabiedrības veselības pamatnostādnes 2014.-2020.gadam.</w:t>
      </w:r>
    </w:p>
  </w:footnote>
  <w:footnote w:id="3">
    <w:p w:rsidR="00F25980" w:rsidRDefault="00F25980" w:rsidP="00C065AA">
      <w:pPr>
        <w:pStyle w:val="FootnoteText"/>
      </w:pPr>
      <w:r w:rsidRPr="00420EBA">
        <w:rPr>
          <w:rStyle w:val="FootnoteReference"/>
        </w:rPr>
        <w:footnoteRef/>
      </w:r>
      <w:r w:rsidRPr="00420EBA">
        <w:t xml:space="preserve"> Eurostat datu bāze</w:t>
      </w:r>
    </w:p>
  </w:footnote>
  <w:footnote w:id="4">
    <w:p w:rsidR="00F25980" w:rsidRDefault="00F25980" w:rsidP="00C065AA">
      <w:pPr>
        <w:pStyle w:val="FootnoteText"/>
      </w:pPr>
      <w:r>
        <w:rPr>
          <w:rStyle w:val="FootnoteReference"/>
        </w:rPr>
        <w:footnoteRef/>
      </w:r>
      <w:r>
        <w:t xml:space="preserve"> </w:t>
      </w:r>
      <w:r w:rsidRPr="00B24B96">
        <w:rPr>
          <w:rFonts w:eastAsiaTheme="minorHAnsi"/>
          <w:lang w:val="en-US"/>
        </w:rPr>
        <w:t xml:space="preserve">Action Plan for implementation of the European Strategy for the Prevention and Control of </w:t>
      </w:r>
      <w:proofErr w:type="spellStart"/>
      <w:r w:rsidRPr="00B24B96">
        <w:rPr>
          <w:rFonts w:eastAsiaTheme="minorHAnsi"/>
          <w:lang w:val="en-US"/>
        </w:rPr>
        <w:t>Noncommunicable</w:t>
      </w:r>
      <w:proofErr w:type="spellEnd"/>
      <w:r w:rsidRPr="00B24B96">
        <w:rPr>
          <w:rFonts w:eastAsiaTheme="minorHAnsi"/>
          <w:lang w:val="en-US"/>
        </w:rPr>
        <w:t xml:space="preserve"> Diseases 2012−2016, World Health Organization 2012</w:t>
      </w:r>
    </w:p>
  </w:footnote>
  <w:footnote w:id="5">
    <w:p w:rsidR="00F25980" w:rsidRDefault="00F25980" w:rsidP="00C065AA">
      <w:pPr>
        <w:rPr>
          <w:sz w:val="20"/>
          <w:szCs w:val="20"/>
        </w:rPr>
      </w:pPr>
      <w:r w:rsidRPr="00DE0328">
        <w:rPr>
          <w:rStyle w:val="FootnoteReference"/>
          <w:sz w:val="20"/>
          <w:szCs w:val="20"/>
        </w:rPr>
        <w:footnoteRef/>
      </w:r>
      <w:r w:rsidRPr="00DE0328">
        <w:rPr>
          <w:sz w:val="20"/>
          <w:szCs w:val="20"/>
        </w:rPr>
        <w:t xml:space="preserve"> </w:t>
      </w:r>
      <w:r w:rsidRPr="00DE0328">
        <w:rPr>
          <w:rFonts w:eastAsiaTheme="minorHAnsi"/>
          <w:sz w:val="20"/>
          <w:szCs w:val="20"/>
          <w:lang w:val="en-US"/>
        </w:rPr>
        <w:t xml:space="preserve">Action Plan for implementation of the European Strategy for the Prevention and Control of </w:t>
      </w:r>
      <w:proofErr w:type="spellStart"/>
      <w:r w:rsidRPr="00DE0328">
        <w:rPr>
          <w:rFonts w:eastAsiaTheme="minorHAnsi"/>
          <w:sz w:val="20"/>
          <w:szCs w:val="20"/>
          <w:lang w:val="en-US"/>
        </w:rPr>
        <w:t>Noncommunicable</w:t>
      </w:r>
      <w:proofErr w:type="spellEnd"/>
      <w:r w:rsidRPr="00DE0328">
        <w:rPr>
          <w:rFonts w:eastAsiaTheme="minorHAnsi"/>
          <w:sz w:val="20"/>
          <w:szCs w:val="20"/>
          <w:lang w:val="en-US"/>
        </w:rPr>
        <w:t xml:space="preserve"> Diseases 2012−2016, World Health Organization 2012</w:t>
      </w:r>
    </w:p>
  </w:footnote>
  <w:footnote w:id="6">
    <w:p w:rsidR="00F25980" w:rsidRDefault="00F25980" w:rsidP="00C065AA">
      <w:pPr>
        <w:rPr>
          <w:sz w:val="20"/>
          <w:szCs w:val="20"/>
        </w:rPr>
      </w:pPr>
      <w:r w:rsidRPr="00DE0328">
        <w:rPr>
          <w:rStyle w:val="FootnoteReference"/>
          <w:sz w:val="20"/>
          <w:szCs w:val="20"/>
        </w:rPr>
        <w:footnoteRef/>
      </w:r>
      <w:r w:rsidRPr="00DE0328">
        <w:rPr>
          <w:sz w:val="20"/>
          <w:szCs w:val="20"/>
        </w:rPr>
        <w:t xml:space="preserve"> Otavas harta, PVO, 1986 </w:t>
      </w:r>
      <w:hyperlink r:id="rId1" w:history="1">
        <w:r w:rsidRPr="00DE0328">
          <w:rPr>
            <w:rStyle w:val="Hyperlink"/>
            <w:sz w:val="20"/>
            <w:szCs w:val="20"/>
          </w:rPr>
          <w:t>http://www.who.int/healthpromotion/conferences/previous/ottawa/en/index.html</w:t>
        </w:r>
      </w:hyperlink>
    </w:p>
  </w:footnote>
  <w:footnote w:id="7">
    <w:p w:rsidR="00F25980" w:rsidRDefault="00F25980" w:rsidP="00C065AA">
      <w:pPr>
        <w:rPr>
          <w:sz w:val="20"/>
          <w:szCs w:val="20"/>
        </w:rPr>
      </w:pPr>
      <w:r w:rsidRPr="00DE0328">
        <w:rPr>
          <w:rStyle w:val="FootnoteReference"/>
          <w:sz w:val="20"/>
          <w:szCs w:val="20"/>
        </w:rPr>
        <w:footnoteRef/>
      </w:r>
      <w:r w:rsidRPr="00DE0328">
        <w:rPr>
          <w:sz w:val="20"/>
          <w:szCs w:val="20"/>
        </w:rPr>
        <w:t xml:space="preserve"> </w:t>
      </w:r>
      <w:proofErr w:type="spellStart"/>
      <w:r w:rsidRPr="00DE0328">
        <w:rPr>
          <w:sz w:val="20"/>
          <w:szCs w:val="20"/>
        </w:rPr>
        <w:t>The</w:t>
      </w:r>
      <w:proofErr w:type="spellEnd"/>
      <w:r w:rsidRPr="00DE0328">
        <w:rPr>
          <w:sz w:val="20"/>
          <w:szCs w:val="20"/>
        </w:rPr>
        <w:t xml:space="preserve"> </w:t>
      </w:r>
      <w:proofErr w:type="spellStart"/>
      <w:r w:rsidRPr="00DE0328">
        <w:rPr>
          <w:sz w:val="20"/>
          <w:szCs w:val="20"/>
        </w:rPr>
        <w:t>World</w:t>
      </w:r>
      <w:proofErr w:type="spellEnd"/>
      <w:r w:rsidRPr="00DE0328">
        <w:rPr>
          <w:sz w:val="20"/>
          <w:szCs w:val="20"/>
        </w:rPr>
        <w:t xml:space="preserve"> </w:t>
      </w:r>
      <w:proofErr w:type="spellStart"/>
      <w:r w:rsidRPr="00DE0328">
        <w:rPr>
          <w:sz w:val="20"/>
          <w:szCs w:val="20"/>
        </w:rPr>
        <w:t>Health</w:t>
      </w:r>
      <w:proofErr w:type="spellEnd"/>
      <w:r w:rsidRPr="00DE0328">
        <w:rPr>
          <w:sz w:val="20"/>
          <w:szCs w:val="20"/>
        </w:rPr>
        <w:t xml:space="preserve"> </w:t>
      </w:r>
      <w:r w:rsidRPr="00DE0328">
        <w:rPr>
          <w:rFonts w:eastAsiaTheme="minorHAnsi"/>
          <w:bCs/>
          <w:sz w:val="20"/>
          <w:szCs w:val="20"/>
          <w:lang w:val="en-US"/>
        </w:rPr>
        <w:t>Report 2002:</w:t>
      </w:r>
      <w:r w:rsidRPr="00DE0328">
        <w:rPr>
          <w:rFonts w:eastAsiaTheme="minorHAnsi"/>
          <w:iCs/>
          <w:sz w:val="20"/>
          <w:szCs w:val="20"/>
          <w:lang w:val="en-US"/>
        </w:rPr>
        <w:t xml:space="preserve"> Reducing Risks, Promoting Healthy Life</w:t>
      </w:r>
      <w:r w:rsidRPr="00DE0328">
        <w:rPr>
          <w:rFonts w:eastAsiaTheme="minorHAnsi"/>
          <w:bCs/>
          <w:sz w:val="20"/>
          <w:szCs w:val="20"/>
          <w:lang w:val="en-US"/>
        </w:rPr>
        <w:t xml:space="preserve">, </w:t>
      </w:r>
      <w:r w:rsidRPr="00DE0328">
        <w:rPr>
          <w:rFonts w:eastAsiaTheme="minorHAnsi"/>
          <w:sz w:val="20"/>
          <w:szCs w:val="20"/>
          <w:lang w:val="en-US"/>
        </w:rPr>
        <w:t>World Health Organization 2002</w:t>
      </w:r>
    </w:p>
  </w:footnote>
  <w:footnote w:id="8">
    <w:p w:rsidR="00F25980" w:rsidRDefault="00F25980" w:rsidP="00C065AA">
      <w:pPr>
        <w:rPr>
          <w:sz w:val="20"/>
          <w:szCs w:val="20"/>
        </w:rPr>
      </w:pPr>
      <w:r w:rsidRPr="00DE0328">
        <w:rPr>
          <w:rStyle w:val="FootnoteReference"/>
          <w:sz w:val="20"/>
          <w:szCs w:val="20"/>
        </w:rPr>
        <w:footnoteRef/>
      </w:r>
      <w:r w:rsidRPr="00DE0328">
        <w:rPr>
          <w:sz w:val="20"/>
          <w:szCs w:val="20"/>
        </w:rPr>
        <w:t xml:space="preserve"> </w:t>
      </w:r>
      <w:r w:rsidRPr="00DE0328">
        <w:rPr>
          <w:rFonts w:eastAsiaTheme="minorHAnsi"/>
          <w:iCs/>
          <w:sz w:val="20"/>
          <w:szCs w:val="20"/>
          <w:lang w:val="en-US"/>
        </w:rPr>
        <w:t>Stephen S Lim et al,</w:t>
      </w:r>
      <w:r w:rsidRPr="00DE0328">
        <w:rPr>
          <w:rFonts w:eastAsiaTheme="minorHAnsi"/>
          <w:i/>
          <w:iCs/>
          <w:sz w:val="20"/>
          <w:szCs w:val="20"/>
          <w:lang w:val="en-US"/>
        </w:rPr>
        <w:t xml:space="preserve"> </w:t>
      </w:r>
      <w:r w:rsidRPr="00DE0328">
        <w:rPr>
          <w:rFonts w:eastAsiaTheme="minorHAnsi"/>
          <w:sz w:val="20"/>
          <w:szCs w:val="20"/>
          <w:lang w:val="en-US"/>
        </w:rPr>
        <w:t>A comparative risk assessment of burden of disease and injury attributable to 67 risk</w:t>
      </w:r>
      <w:r w:rsidRPr="00DE0328">
        <w:rPr>
          <w:rFonts w:eastAsiaTheme="minorHAnsi"/>
          <w:b/>
          <w:sz w:val="20"/>
          <w:szCs w:val="20"/>
          <w:lang w:val="en-US"/>
        </w:rPr>
        <w:t xml:space="preserve"> </w:t>
      </w:r>
      <w:r w:rsidRPr="00DE0328">
        <w:rPr>
          <w:rFonts w:eastAsiaTheme="minorHAnsi"/>
          <w:sz w:val="20"/>
          <w:szCs w:val="20"/>
          <w:lang w:val="en-US"/>
        </w:rPr>
        <w:t xml:space="preserve">factors and risk factor clusters in 21 regions, 1990–2010: a systematic analysis for the Global Burden of Disease Study 2010, </w:t>
      </w:r>
      <w:r w:rsidRPr="00DE0328">
        <w:rPr>
          <w:rFonts w:eastAsiaTheme="minorHAnsi"/>
          <w:i/>
          <w:iCs/>
          <w:sz w:val="20"/>
          <w:szCs w:val="20"/>
          <w:lang w:val="en-US"/>
        </w:rPr>
        <w:t xml:space="preserve">Lancet </w:t>
      </w:r>
      <w:r w:rsidRPr="00DE0328">
        <w:rPr>
          <w:rFonts w:eastAsiaTheme="minorHAnsi"/>
          <w:sz w:val="20"/>
          <w:szCs w:val="20"/>
          <w:lang w:val="en-US"/>
        </w:rPr>
        <w:t>2012; 380: 2224–60</w:t>
      </w:r>
    </w:p>
  </w:footnote>
  <w:footnote w:id="9">
    <w:p w:rsidR="00F25980" w:rsidRDefault="00F25980" w:rsidP="00C065AA">
      <w:pPr>
        <w:pStyle w:val="NoSpacing"/>
        <w:jc w:val="both"/>
        <w:rPr>
          <w:rFonts w:ascii="Times New Roman" w:hAnsi="Times New Roman"/>
          <w:sz w:val="20"/>
          <w:szCs w:val="20"/>
        </w:rPr>
      </w:pPr>
      <w:r w:rsidRPr="00DE0328">
        <w:rPr>
          <w:rStyle w:val="FootnoteReference"/>
          <w:rFonts w:eastAsia="Calibri"/>
          <w:sz w:val="20"/>
          <w:szCs w:val="20"/>
        </w:rPr>
        <w:footnoteRef/>
      </w:r>
      <w:r w:rsidRPr="00DE0328">
        <w:rPr>
          <w:rFonts w:ascii="Times New Roman" w:hAnsi="Times New Roman"/>
          <w:sz w:val="20"/>
          <w:szCs w:val="20"/>
        </w:rPr>
        <w:t xml:space="preserve"> World Heart Federation, </w:t>
      </w:r>
      <w:hyperlink r:id="rId2" w:history="1">
        <w:r w:rsidRPr="00DE0328">
          <w:rPr>
            <w:rStyle w:val="Hyperlink"/>
            <w:rFonts w:ascii="Times New Roman" w:hAnsi="Times New Roman"/>
            <w:sz w:val="20"/>
            <w:szCs w:val="20"/>
          </w:rPr>
          <w:t>http://www.world-heart-federation.org/publications/</w:t>
        </w:r>
      </w:hyperlink>
      <w:r w:rsidRPr="00DE0328">
        <w:rPr>
          <w:rFonts w:ascii="Times New Roman" w:hAnsi="Times New Roman"/>
          <w:sz w:val="20"/>
          <w:szCs w:val="20"/>
        </w:rPr>
        <w:t xml:space="preserve"> </w:t>
      </w:r>
    </w:p>
  </w:footnote>
  <w:footnote w:id="10">
    <w:p w:rsidR="00F25980" w:rsidRDefault="00F25980" w:rsidP="00C065AA">
      <w:pPr>
        <w:pStyle w:val="FootnoteText"/>
      </w:pPr>
      <w:r>
        <w:rPr>
          <w:rStyle w:val="FootnoteReference"/>
        </w:rPr>
        <w:footnoteRef/>
      </w:r>
      <w:r>
        <w:t xml:space="preserve"> </w:t>
      </w:r>
      <w:proofErr w:type="spellStart"/>
      <w:r>
        <w:t>The</w:t>
      </w:r>
      <w:proofErr w:type="spellEnd"/>
      <w:r>
        <w:t xml:space="preserve"> </w:t>
      </w:r>
      <w:proofErr w:type="spellStart"/>
      <w:r>
        <w:t>Global</w:t>
      </w:r>
      <w:proofErr w:type="spellEnd"/>
      <w:r>
        <w:t xml:space="preserve"> </w:t>
      </w:r>
      <w:proofErr w:type="spellStart"/>
      <w:r>
        <w:t>Burden</w:t>
      </w:r>
      <w:proofErr w:type="spellEnd"/>
      <w:r>
        <w:t xml:space="preserve"> </w:t>
      </w:r>
      <w:proofErr w:type="spellStart"/>
      <w:r>
        <w:t>of</w:t>
      </w:r>
      <w:proofErr w:type="spellEnd"/>
      <w:r>
        <w:t xml:space="preserve"> </w:t>
      </w:r>
      <w:proofErr w:type="spellStart"/>
      <w:r>
        <w:t>Disease</w:t>
      </w:r>
      <w:proofErr w:type="spellEnd"/>
      <w:r>
        <w:t xml:space="preserve"> </w:t>
      </w:r>
      <w:proofErr w:type="spellStart"/>
      <w:r>
        <w:t>Study</w:t>
      </w:r>
      <w:proofErr w:type="spellEnd"/>
      <w:r>
        <w:t xml:space="preserve">, </w:t>
      </w:r>
      <w:proofErr w:type="spellStart"/>
      <w:r>
        <w:t>Institute</w:t>
      </w:r>
      <w:proofErr w:type="spellEnd"/>
      <w:r>
        <w:t xml:space="preserve"> </w:t>
      </w:r>
      <w:proofErr w:type="spellStart"/>
      <w:r>
        <w:t>for</w:t>
      </w:r>
      <w:proofErr w:type="spellEnd"/>
      <w:r>
        <w:t xml:space="preserve"> </w:t>
      </w:r>
      <w:proofErr w:type="spellStart"/>
      <w:r>
        <w:t>Helath</w:t>
      </w:r>
      <w:proofErr w:type="spellEnd"/>
      <w:r>
        <w:t xml:space="preserve"> </w:t>
      </w:r>
      <w:proofErr w:type="spellStart"/>
      <w:r>
        <w:t>Metrics</w:t>
      </w:r>
      <w:proofErr w:type="spellEnd"/>
      <w:r>
        <w:t xml:space="preserve"> </w:t>
      </w:r>
      <w:proofErr w:type="spellStart"/>
      <w:r>
        <w:t>and</w:t>
      </w:r>
      <w:proofErr w:type="spellEnd"/>
      <w:r>
        <w:t xml:space="preserve"> </w:t>
      </w:r>
      <w:proofErr w:type="spellStart"/>
      <w:r>
        <w:t>Evaluation</w:t>
      </w:r>
      <w:proofErr w:type="spellEnd"/>
      <w:r>
        <w:t xml:space="preserve">, </w:t>
      </w:r>
      <w:hyperlink r:id="rId3" w:history="1">
        <w:r w:rsidRPr="00E04C9E">
          <w:rPr>
            <w:rStyle w:val="Hyperlink"/>
          </w:rPr>
          <w:t>http://www.healthdata.org/</w:t>
        </w:r>
      </w:hyperlink>
      <w:r>
        <w:t xml:space="preserve"> </w:t>
      </w:r>
    </w:p>
  </w:footnote>
  <w:footnote w:id="11">
    <w:p w:rsidR="00F25980" w:rsidRDefault="00F25980" w:rsidP="000969F5">
      <w:pPr>
        <w:pStyle w:val="FootnoteText"/>
      </w:pPr>
      <w:r>
        <w:rPr>
          <w:rStyle w:val="FootnoteReference"/>
        </w:rPr>
        <w:footnoteRef/>
      </w:r>
      <w:r>
        <w:t xml:space="preserve"> </w:t>
      </w:r>
      <w:proofErr w:type="spellStart"/>
      <w:r w:rsidRPr="006B5764">
        <w:t>Pudule</w:t>
      </w:r>
      <w:proofErr w:type="spellEnd"/>
      <w:r w:rsidRPr="006B5764">
        <w:t xml:space="preserve"> I., </w:t>
      </w:r>
      <w:proofErr w:type="spellStart"/>
      <w:r w:rsidRPr="006B5764">
        <w:t>Velika</w:t>
      </w:r>
      <w:proofErr w:type="spellEnd"/>
      <w:r w:rsidRPr="006B5764">
        <w:t xml:space="preserve"> B., Grīnberga D., Gobiņa I., </w:t>
      </w:r>
      <w:proofErr w:type="spellStart"/>
      <w:r w:rsidRPr="006B5764">
        <w:t>Villeruša</w:t>
      </w:r>
      <w:proofErr w:type="spellEnd"/>
      <w:r w:rsidRPr="006B5764">
        <w:t xml:space="preserve"> A. Latvijas skolēnu veselības paradumu pētījums:2009./2010. māc. g. aptaujas rezultāti un tendences. Rīga, SPKC: 2012.</w:t>
      </w:r>
    </w:p>
  </w:footnote>
  <w:footnote w:id="12">
    <w:p w:rsidR="00F25980" w:rsidRDefault="00F25980" w:rsidP="000969F5">
      <w:pPr>
        <w:pStyle w:val="FootnoteText"/>
      </w:pPr>
      <w:r>
        <w:rPr>
          <w:rStyle w:val="FootnoteReference"/>
        </w:rPr>
        <w:footnoteRef/>
      </w:r>
      <w:r>
        <w:t xml:space="preserve"> </w:t>
      </w:r>
      <w:proofErr w:type="spellStart"/>
      <w:r w:rsidRPr="006B5764">
        <w:t>World</w:t>
      </w:r>
      <w:proofErr w:type="spellEnd"/>
      <w:r w:rsidRPr="006B5764">
        <w:t xml:space="preserve"> </w:t>
      </w:r>
      <w:proofErr w:type="spellStart"/>
      <w:r w:rsidRPr="006B5764">
        <w:t>Health</w:t>
      </w:r>
      <w:proofErr w:type="spellEnd"/>
      <w:r w:rsidRPr="006B5764">
        <w:t xml:space="preserve"> </w:t>
      </w:r>
      <w:proofErr w:type="spellStart"/>
      <w:r w:rsidRPr="006B5764">
        <w:t>Organisation</w:t>
      </w:r>
      <w:proofErr w:type="spellEnd"/>
      <w:r w:rsidRPr="006B5764">
        <w:t xml:space="preserve">. </w:t>
      </w:r>
      <w:proofErr w:type="spellStart"/>
      <w:r w:rsidRPr="006B5764">
        <w:t>Social</w:t>
      </w:r>
      <w:proofErr w:type="spellEnd"/>
      <w:r w:rsidRPr="006B5764">
        <w:t xml:space="preserve"> determinants </w:t>
      </w:r>
      <w:proofErr w:type="spellStart"/>
      <w:r w:rsidRPr="006B5764">
        <w:t>of</w:t>
      </w:r>
      <w:proofErr w:type="spellEnd"/>
      <w:r w:rsidRPr="006B5764">
        <w:t xml:space="preserve"> </w:t>
      </w:r>
      <w:proofErr w:type="spellStart"/>
      <w:r w:rsidRPr="006B5764">
        <w:t>health</w:t>
      </w:r>
      <w:proofErr w:type="spellEnd"/>
      <w:r w:rsidRPr="006B5764">
        <w:t xml:space="preserve"> </w:t>
      </w:r>
      <w:proofErr w:type="spellStart"/>
      <w:r w:rsidRPr="006B5764">
        <w:t>and</w:t>
      </w:r>
      <w:proofErr w:type="spellEnd"/>
      <w:r w:rsidRPr="006B5764">
        <w:t xml:space="preserve"> </w:t>
      </w:r>
      <w:proofErr w:type="spellStart"/>
      <w:r w:rsidRPr="006B5764">
        <w:t>well-</w:t>
      </w:r>
      <w:proofErr w:type="spellEnd"/>
      <w:r w:rsidRPr="006B5764">
        <w:t xml:space="preserve"> </w:t>
      </w:r>
      <w:proofErr w:type="spellStart"/>
      <w:r w:rsidRPr="006B5764">
        <w:t>being</w:t>
      </w:r>
      <w:proofErr w:type="spellEnd"/>
      <w:r w:rsidRPr="006B5764">
        <w:t xml:space="preserve"> </w:t>
      </w:r>
      <w:proofErr w:type="spellStart"/>
      <w:r w:rsidRPr="006B5764">
        <w:t>among</w:t>
      </w:r>
      <w:proofErr w:type="spellEnd"/>
      <w:r w:rsidRPr="006B5764">
        <w:t xml:space="preserve"> </w:t>
      </w:r>
      <w:proofErr w:type="spellStart"/>
      <w:r w:rsidRPr="006B5764">
        <w:t>young</w:t>
      </w:r>
      <w:proofErr w:type="spellEnd"/>
      <w:r w:rsidRPr="006B5764">
        <w:t xml:space="preserve"> </w:t>
      </w:r>
      <w:proofErr w:type="spellStart"/>
      <w:r w:rsidRPr="006B5764">
        <w:t>people</w:t>
      </w:r>
      <w:proofErr w:type="spellEnd"/>
      <w:r w:rsidRPr="006B5764">
        <w:t xml:space="preserve">. </w:t>
      </w:r>
      <w:proofErr w:type="spellStart"/>
      <w:r w:rsidRPr="006B5764">
        <w:t>Health</w:t>
      </w:r>
      <w:proofErr w:type="spellEnd"/>
      <w:r w:rsidRPr="006B5764">
        <w:t xml:space="preserve"> </w:t>
      </w:r>
      <w:proofErr w:type="spellStart"/>
      <w:r w:rsidRPr="006B5764">
        <w:t>Behaviour</w:t>
      </w:r>
      <w:proofErr w:type="spellEnd"/>
      <w:r w:rsidRPr="006B5764">
        <w:t xml:space="preserve"> </w:t>
      </w:r>
      <w:proofErr w:type="spellStart"/>
      <w:r w:rsidRPr="006B5764">
        <w:t>in</w:t>
      </w:r>
      <w:proofErr w:type="spellEnd"/>
      <w:r w:rsidRPr="006B5764">
        <w:t xml:space="preserve"> </w:t>
      </w:r>
      <w:proofErr w:type="spellStart"/>
      <w:r w:rsidRPr="006B5764">
        <w:t>School-aged</w:t>
      </w:r>
      <w:proofErr w:type="spellEnd"/>
      <w:r w:rsidRPr="006B5764">
        <w:t xml:space="preserve"> </w:t>
      </w:r>
      <w:proofErr w:type="spellStart"/>
      <w:r w:rsidRPr="006B5764">
        <w:t>Children</w:t>
      </w:r>
      <w:proofErr w:type="spellEnd"/>
      <w:r w:rsidRPr="006B5764">
        <w:t xml:space="preserve"> (HBSC) </w:t>
      </w:r>
      <w:proofErr w:type="spellStart"/>
      <w:r w:rsidRPr="006B5764">
        <w:t>study</w:t>
      </w:r>
      <w:proofErr w:type="spellEnd"/>
      <w:r w:rsidRPr="006B5764">
        <w:t xml:space="preserve">: </w:t>
      </w:r>
      <w:proofErr w:type="spellStart"/>
      <w:r w:rsidRPr="006B5764">
        <w:t>international</w:t>
      </w:r>
      <w:proofErr w:type="spellEnd"/>
      <w:r w:rsidRPr="006B5764">
        <w:t xml:space="preserve"> </w:t>
      </w:r>
      <w:proofErr w:type="spellStart"/>
      <w:r w:rsidRPr="006B5764">
        <w:t>report</w:t>
      </w:r>
      <w:proofErr w:type="spellEnd"/>
      <w:r w:rsidRPr="006B5764">
        <w:t xml:space="preserve"> </w:t>
      </w:r>
      <w:proofErr w:type="spellStart"/>
      <w:r w:rsidRPr="006B5764">
        <w:t>from</w:t>
      </w:r>
      <w:proofErr w:type="spellEnd"/>
      <w:r w:rsidRPr="006B5764">
        <w:t xml:space="preserve"> </w:t>
      </w:r>
      <w:proofErr w:type="spellStart"/>
      <w:r w:rsidRPr="006B5764">
        <w:t>the</w:t>
      </w:r>
      <w:proofErr w:type="spellEnd"/>
      <w:r w:rsidRPr="006B5764">
        <w:t xml:space="preserve"> 2009/2010 </w:t>
      </w:r>
      <w:proofErr w:type="spellStart"/>
      <w:r w:rsidRPr="006B5764">
        <w:t>survey</w:t>
      </w:r>
      <w:proofErr w:type="spellEnd"/>
      <w:r w:rsidRPr="006B5764">
        <w:t xml:space="preserve">. </w:t>
      </w:r>
      <w:proofErr w:type="spellStart"/>
      <w:r w:rsidRPr="006B5764">
        <w:t>Copenhagen</w:t>
      </w:r>
      <w:proofErr w:type="spellEnd"/>
      <w:r w:rsidRPr="006B5764">
        <w:t xml:space="preserve">, WHO </w:t>
      </w:r>
      <w:proofErr w:type="spellStart"/>
      <w:r w:rsidRPr="006B5764">
        <w:t>Regional</w:t>
      </w:r>
      <w:proofErr w:type="spellEnd"/>
      <w:r w:rsidRPr="006B5764">
        <w:t xml:space="preserve"> Office </w:t>
      </w:r>
      <w:proofErr w:type="spellStart"/>
      <w:r w:rsidRPr="006B5764">
        <w:t>for</w:t>
      </w:r>
      <w:proofErr w:type="spellEnd"/>
      <w:r w:rsidRPr="006B5764">
        <w:t xml:space="preserve"> </w:t>
      </w:r>
      <w:proofErr w:type="spellStart"/>
      <w:r w:rsidRPr="006B5764">
        <w:t>Europe</w:t>
      </w:r>
      <w:proofErr w:type="spellEnd"/>
      <w:r w:rsidRPr="006B5764">
        <w:t>, 2012</w:t>
      </w:r>
    </w:p>
  </w:footnote>
  <w:footnote w:id="13">
    <w:p w:rsidR="00F25980" w:rsidRPr="00EA2A0C" w:rsidRDefault="00F25980" w:rsidP="00C065AA">
      <w:pPr>
        <w:pStyle w:val="FootnoteText"/>
      </w:pPr>
      <w:r>
        <w:rPr>
          <w:rStyle w:val="FootnoteReference"/>
        </w:rPr>
        <w:footnoteRef/>
      </w:r>
      <w:r>
        <w:t xml:space="preserve"> </w:t>
      </w:r>
      <w:r w:rsidRPr="00836714">
        <w:rPr>
          <w:rFonts w:eastAsia="Calibri"/>
        </w:rPr>
        <w:t>http://ec.europa.eu/health/archive/ph_determinants/life_style/nutrition/documents/compilation_salt_en.pdf</w:t>
      </w:r>
    </w:p>
  </w:footnote>
  <w:footnote w:id="14">
    <w:p w:rsidR="00F25980" w:rsidRDefault="00F25980" w:rsidP="00D26824">
      <w:pPr>
        <w:pStyle w:val="FootnoteText"/>
      </w:pPr>
      <w:r>
        <w:rPr>
          <w:rStyle w:val="FootnoteReference"/>
        </w:rPr>
        <w:footnoteRef/>
      </w:r>
      <w:r>
        <w:t xml:space="preserve"> – </w:t>
      </w:r>
      <w:proofErr w:type="spellStart"/>
      <w:r>
        <w:t>Global</w:t>
      </w:r>
      <w:proofErr w:type="spellEnd"/>
      <w:r>
        <w:t xml:space="preserve"> </w:t>
      </w:r>
      <w:proofErr w:type="spellStart"/>
      <w:r>
        <w:t>Action</w:t>
      </w:r>
      <w:proofErr w:type="spellEnd"/>
      <w:r>
        <w:t xml:space="preserve"> </w:t>
      </w:r>
      <w:proofErr w:type="spellStart"/>
      <w:r>
        <w:t>Plan</w:t>
      </w:r>
      <w:proofErr w:type="spellEnd"/>
      <w:r>
        <w:t xml:space="preserve"> </w:t>
      </w:r>
      <w:proofErr w:type="spellStart"/>
      <w:r>
        <w:t>for</w:t>
      </w:r>
      <w:proofErr w:type="spellEnd"/>
      <w:r>
        <w:t xml:space="preserve"> </w:t>
      </w:r>
      <w:proofErr w:type="spellStart"/>
      <w:r>
        <w:t>the</w:t>
      </w:r>
      <w:proofErr w:type="spellEnd"/>
      <w:r>
        <w:t xml:space="preserve"> </w:t>
      </w:r>
      <w:proofErr w:type="spellStart"/>
      <w:r>
        <w:t>Prevention</w:t>
      </w:r>
      <w:proofErr w:type="spellEnd"/>
      <w:r>
        <w:t xml:space="preserve"> </w:t>
      </w:r>
      <w:proofErr w:type="spellStart"/>
      <w:r>
        <w:t>and</w:t>
      </w:r>
      <w:proofErr w:type="spellEnd"/>
      <w:r>
        <w:t xml:space="preserve"> </w:t>
      </w:r>
      <w:proofErr w:type="spellStart"/>
      <w:r>
        <w:t>Control</w:t>
      </w:r>
      <w:proofErr w:type="spellEnd"/>
      <w:r>
        <w:t xml:space="preserve"> </w:t>
      </w:r>
      <w:proofErr w:type="spellStart"/>
      <w:r>
        <w:t>of</w:t>
      </w:r>
      <w:proofErr w:type="spellEnd"/>
      <w:r>
        <w:t xml:space="preserve"> </w:t>
      </w:r>
      <w:proofErr w:type="spellStart"/>
      <w:r>
        <w:t>Noncommunicable</w:t>
      </w:r>
      <w:proofErr w:type="spellEnd"/>
      <w:r>
        <w:t xml:space="preserve"> </w:t>
      </w:r>
      <w:proofErr w:type="spellStart"/>
      <w:r>
        <w:t>Diseases</w:t>
      </w:r>
      <w:proofErr w:type="spellEnd"/>
      <w:r>
        <w:t xml:space="preserve"> </w:t>
      </w:r>
      <w:r w:rsidRPr="00AF6B59">
        <w:t>2013–2020</w:t>
      </w:r>
    </w:p>
  </w:footnote>
  <w:footnote w:id="15">
    <w:p w:rsidR="00F25980" w:rsidRDefault="00F25980" w:rsidP="00D26824">
      <w:pPr>
        <w:pStyle w:val="FootnoteText"/>
      </w:pPr>
      <w:r>
        <w:rPr>
          <w:rStyle w:val="FootnoteReference"/>
        </w:rPr>
        <w:footnoteRef/>
      </w:r>
      <w:r>
        <w:t xml:space="preserve"> Pasaules bankas izvērtējuma „Veselības tīklu attīstības vadlīniju izstrāde prioritārajās jomās” nodevums „Pārskats par veselības veicināšanas dokumentiem Latvijā”, 2015</w:t>
      </w:r>
    </w:p>
  </w:footnote>
  <w:footnote w:id="16">
    <w:p w:rsidR="00F25980" w:rsidRDefault="00F25980" w:rsidP="00766FF7">
      <w:pPr>
        <w:pStyle w:val="FootnoteText"/>
      </w:pPr>
      <w:r>
        <w:rPr>
          <w:rStyle w:val="FootnoteReference"/>
        </w:rPr>
        <w:footnoteRef/>
      </w:r>
      <w:r>
        <w:t xml:space="preserve"> </w:t>
      </w:r>
      <w:r w:rsidRPr="003F27A6">
        <w:t>Latvijas iedzīvotāju veselību ietekmējošo paradumu pētījums 201</w:t>
      </w:r>
      <w:r>
        <w:t>4</w:t>
      </w:r>
      <w:r w:rsidRPr="003F27A6">
        <w:t>., SPKC</w:t>
      </w:r>
    </w:p>
  </w:footnote>
  <w:footnote w:id="17">
    <w:p w:rsidR="00F25980" w:rsidRDefault="00F25980" w:rsidP="00766FF7">
      <w:pPr>
        <w:pStyle w:val="FootnoteText"/>
      </w:pPr>
      <w:r>
        <w:rPr>
          <w:rStyle w:val="FootnoteReference"/>
        </w:rPr>
        <w:footnoteRef/>
      </w:r>
      <w:r>
        <w:t xml:space="preserve"> NVD dati</w:t>
      </w:r>
    </w:p>
  </w:footnote>
  <w:footnote w:id="18">
    <w:p w:rsidR="00F25980" w:rsidRDefault="00F25980" w:rsidP="00766FF7">
      <w:pPr>
        <w:pStyle w:val="FootnoteText"/>
      </w:pPr>
      <w:r>
        <w:rPr>
          <w:rStyle w:val="FootnoteReference"/>
        </w:rPr>
        <w:footnoteRef/>
      </w:r>
      <w:r>
        <w:t xml:space="preserve"> Latvijas iedzīvotāju ietekmējošo paradumu pētījums 2014., SPKC</w:t>
      </w:r>
    </w:p>
  </w:footnote>
  <w:footnote w:id="19">
    <w:p w:rsidR="00F25980" w:rsidRDefault="00F25980">
      <w:pPr>
        <w:pStyle w:val="FootnoteText"/>
      </w:pPr>
      <w:r>
        <w:rPr>
          <w:rStyle w:val="FootnoteReference"/>
        </w:rPr>
        <w:footnoteRef/>
      </w:r>
      <w:r>
        <w:t xml:space="preserve"> </w:t>
      </w:r>
      <w:r w:rsidRPr="003F27A6">
        <w:t>Latvijas iedzīvotāju veselību ietekmējošo paradumu pētījums 201</w:t>
      </w:r>
      <w:r>
        <w:t>4</w:t>
      </w:r>
      <w:r w:rsidRPr="003F27A6">
        <w:t>., SPKC</w:t>
      </w:r>
    </w:p>
  </w:footnote>
  <w:footnote w:id="20">
    <w:p w:rsidR="00F25980" w:rsidRDefault="00F25980" w:rsidP="007E1121">
      <w:pPr>
        <w:pStyle w:val="FootnoteText"/>
      </w:pPr>
      <w:r>
        <w:rPr>
          <w:rStyle w:val="FootnoteReference"/>
        </w:rPr>
        <w:footnoteRef/>
      </w:r>
      <w:r>
        <w:t xml:space="preserve"> </w:t>
      </w:r>
      <w:r w:rsidRPr="00A66C7F">
        <w:t xml:space="preserve">Apstiprinātas </w:t>
      </w:r>
      <w:r w:rsidRPr="00836714">
        <w:t xml:space="preserve">Ministru kabinetā 2014.gada 14.oktobrī. Pieejamas: </w:t>
      </w:r>
      <w:r w:rsidRPr="00A66C7F">
        <w:t>http://polsis.mk.gov.lv/view.do?id=4965</w:t>
      </w:r>
    </w:p>
  </w:footnote>
  <w:footnote w:id="21">
    <w:p w:rsidR="00F25980" w:rsidRDefault="00F25980" w:rsidP="001449CC">
      <w:pPr>
        <w:pStyle w:val="FootnoteText"/>
      </w:pPr>
      <w:r>
        <w:rPr>
          <w:rStyle w:val="FootnoteReference"/>
        </w:rPr>
        <w:footnoteRef/>
      </w:r>
      <w:r>
        <w:t xml:space="preserve"> Pasaules bankas izvērtējuma „Veselības tīklu attīstības vadlīniju izstrāde prioritārajās jomās” nodevums „Pārskats par veselības veicināšanas dokumentiem Latvijā”, 2015</w:t>
      </w:r>
    </w:p>
  </w:footnote>
  <w:footnote w:id="22">
    <w:p w:rsidR="00F25980" w:rsidRDefault="00F25980" w:rsidP="0019043A">
      <w:pPr>
        <w:pStyle w:val="FootnoteText"/>
        <w:jc w:val="both"/>
      </w:pPr>
      <w:r>
        <w:rPr>
          <w:rStyle w:val="FootnoteReference"/>
        </w:rPr>
        <w:footnoteRef/>
      </w:r>
      <w:r>
        <w:t xml:space="preserve"> Labklājības ministrijas administrējamais specifiskais atbalsta mērķis Nr.9.1.1.“Palielināt nelabvēlīgā situācijā esošu bezdarbnieku iekļaušanos darba tirgū”</w:t>
      </w:r>
    </w:p>
  </w:footnote>
  <w:footnote w:id="23">
    <w:p w:rsidR="00F25980" w:rsidRDefault="00F25980" w:rsidP="0019043A">
      <w:pPr>
        <w:pStyle w:val="FootnoteText"/>
        <w:jc w:val="both"/>
      </w:pPr>
      <w:r>
        <w:rPr>
          <w:rStyle w:val="FootnoteReference"/>
        </w:rPr>
        <w:footnoteRef/>
      </w:r>
      <w:r>
        <w:t xml:space="preserve"> Veselības ministrijas administrējamais specifiskais atbalsta mērķis Nr.9.2.3.“</w:t>
      </w:r>
      <w:r w:rsidRPr="006B0D61">
        <w:t xml:space="preserve">Atbalstīt prioritāro (sirds un asinsvadu, onkoloģijas, perinatālā un </w:t>
      </w:r>
      <w:proofErr w:type="spellStart"/>
      <w:r w:rsidRPr="006B0D61">
        <w:t>neonatālā</w:t>
      </w:r>
      <w:proofErr w:type="spellEnd"/>
      <w:r w:rsidRPr="006B0D61">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t>”</w:t>
      </w:r>
    </w:p>
  </w:footnote>
  <w:footnote w:id="24">
    <w:p w:rsidR="00F25980" w:rsidRDefault="00F25980" w:rsidP="0019043A">
      <w:pPr>
        <w:pStyle w:val="FootnoteText"/>
        <w:jc w:val="both"/>
      </w:pPr>
      <w:r>
        <w:rPr>
          <w:rStyle w:val="FootnoteReference"/>
        </w:rPr>
        <w:footnoteRef/>
      </w:r>
      <w:r>
        <w:t xml:space="preserve"> Vides aizsardzības un reģionālās attīstības ministrijas administrējamais specifiskais atbalsta mērķis Nr.5.4.1.”Saglabāt un atjaunot bioloģisko daudzveidību un aizsargāt ekosistēmas”</w:t>
      </w:r>
    </w:p>
  </w:footnote>
  <w:footnote w:id="25">
    <w:p w:rsidR="00F25980" w:rsidRDefault="00F25980" w:rsidP="0019043A">
      <w:pPr>
        <w:pStyle w:val="FootnoteText"/>
        <w:jc w:val="both"/>
      </w:pPr>
      <w:r>
        <w:rPr>
          <w:rStyle w:val="FootnoteReference"/>
        </w:rPr>
        <w:footnoteRef/>
      </w:r>
      <w:r>
        <w:t xml:space="preserve"> Kultūras ministrijas administrējamais specifiskais atbalsta mērķis Nr.5.5.1. „Saglabāt, aizsargāt un attīstīt nozīmīgu kultūras un dabas mantojumu, kā arī attīstīt ar to saistītos pakalpojumus”</w:t>
      </w:r>
    </w:p>
  </w:footnote>
  <w:footnote w:id="26">
    <w:p w:rsidR="00F25980" w:rsidRDefault="00F25980" w:rsidP="0019043A">
      <w:pPr>
        <w:pStyle w:val="FootnoteText"/>
        <w:jc w:val="both"/>
      </w:pPr>
      <w:r>
        <w:rPr>
          <w:rStyle w:val="FootnoteReference"/>
        </w:rPr>
        <w:footnoteRef/>
      </w:r>
      <w:r>
        <w:t xml:space="preserve"> Labklājības ministrijas administrējamais specifiskais atbalsta mērķis Nr.7.3.1. „Uzlabot darba drošību, it īpaši, bīstamo nozaru uzņēmumos”</w:t>
      </w:r>
    </w:p>
  </w:footnote>
  <w:footnote w:id="27">
    <w:p w:rsidR="00F25980" w:rsidRDefault="00F25980" w:rsidP="0019043A">
      <w:pPr>
        <w:pStyle w:val="FootnoteText"/>
        <w:jc w:val="both"/>
      </w:pPr>
      <w:r>
        <w:rPr>
          <w:rStyle w:val="FootnoteReference"/>
        </w:rPr>
        <w:footnoteRef/>
      </w:r>
      <w:r>
        <w:t xml:space="preserve"> Izglītības un zinātnes ministrijas administrējamais specifiskais atbalsta mērķis Nr.8.1.2. „Uzlabot vispārējās izglītības iestāžu mācību vidi”</w:t>
      </w:r>
    </w:p>
  </w:footnote>
  <w:footnote w:id="28">
    <w:p w:rsidR="00F25980" w:rsidRDefault="00F25980" w:rsidP="0019043A">
      <w:pPr>
        <w:pStyle w:val="FootnoteText"/>
        <w:jc w:val="both"/>
      </w:pPr>
      <w:r>
        <w:rPr>
          <w:rStyle w:val="FootnoteReference"/>
        </w:rPr>
        <w:footnoteRef/>
      </w:r>
      <w:r>
        <w:t xml:space="preserve"> Izglītības un zinātnes ministrijas administrējamais specifiskais atbalsta mērķis Nr.8.1.3. „Palielināt modernizēto profesionālās izglītības iestāžu skaitu”</w:t>
      </w:r>
    </w:p>
  </w:footnote>
  <w:footnote w:id="29">
    <w:p w:rsidR="00F25980" w:rsidRDefault="00F25980" w:rsidP="0019043A">
      <w:pPr>
        <w:pStyle w:val="FootnoteText"/>
        <w:jc w:val="both"/>
      </w:pPr>
      <w:r>
        <w:rPr>
          <w:rStyle w:val="FootnoteReference"/>
        </w:rPr>
        <w:footnoteRef/>
      </w:r>
      <w:r>
        <w:t xml:space="preserve"> Tieslietu ministrijas administrējamais specifiskais atbalsta mērķis Nr.9.1.2.“Palielināt bijušo ieslodzīto integrāciju sabiedrībā un darba tirgū”,</w:t>
      </w:r>
    </w:p>
  </w:footnote>
  <w:footnote w:id="30">
    <w:p w:rsidR="00F25980" w:rsidRDefault="00F25980" w:rsidP="0019043A">
      <w:pPr>
        <w:pStyle w:val="FootnoteText"/>
        <w:jc w:val="both"/>
      </w:pPr>
      <w:r>
        <w:rPr>
          <w:rStyle w:val="FootnoteReference"/>
        </w:rPr>
        <w:footnoteRef/>
      </w:r>
      <w:r>
        <w:t>Labklājības ministrijas administrējamais specifiskais atbalsta mērķis Nr.7.3.2.“Paildzināt gados vecāku  nodarbināto darbspēju saglabāšanu un nodarbinātību”</w:t>
      </w:r>
    </w:p>
  </w:footnote>
  <w:footnote w:id="31">
    <w:p w:rsidR="00F25980" w:rsidRDefault="00F25980" w:rsidP="0019043A">
      <w:pPr>
        <w:pStyle w:val="FootnoteText"/>
        <w:jc w:val="both"/>
      </w:pPr>
      <w:r>
        <w:rPr>
          <w:rStyle w:val="FootnoteReference"/>
        </w:rPr>
        <w:footnoteRef/>
      </w:r>
      <w:r>
        <w:t xml:space="preserve"> Labklājības ministrijas administrējamais 9.2.1. specifiskais atbalsta mērķis “Paaugstināt sociālo dienestu darba efektivitāti un darbinieku profesionalitāti darbam ar riska situācijās esošām personām”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80" w:rsidRDefault="00F259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980" w:rsidRDefault="00F259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80" w:rsidRDefault="00F259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492B">
      <w:rPr>
        <w:rStyle w:val="PageNumber"/>
        <w:noProof/>
      </w:rPr>
      <w:t>28</w:t>
    </w:r>
    <w:r>
      <w:rPr>
        <w:rStyle w:val="PageNumber"/>
      </w:rPr>
      <w:fldChar w:fldCharType="end"/>
    </w:r>
  </w:p>
  <w:p w:rsidR="00F25980" w:rsidRDefault="00F259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663178"/>
    <w:lvl w:ilvl="0">
      <w:numFmt w:val="bullet"/>
      <w:lvlText w:val="*"/>
      <w:lvlJc w:val="left"/>
    </w:lvl>
  </w:abstractNum>
  <w:abstractNum w:abstractNumId="1">
    <w:nsid w:val="0FC52B7D"/>
    <w:multiLevelType w:val="hybridMultilevel"/>
    <w:tmpl w:val="3E36FEA0"/>
    <w:lvl w:ilvl="0" w:tplc="96FE22EC">
      <w:start w:val="1"/>
      <w:numFmt w:val="decimal"/>
      <w:lvlText w:val="%1."/>
      <w:lvlJc w:val="left"/>
      <w:pPr>
        <w:ind w:left="389" w:hanging="360"/>
      </w:pPr>
      <w:rPr>
        <w:rFonts w:hint="default"/>
        <w:b/>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
    <w:nsid w:val="0FD47764"/>
    <w:multiLevelType w:val="multilevel"/>
    <w:tmpl w:val="058054C2"/>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683498E"/>
    <w:multiLevelType w:val="hybridMultilevel"/>
    <w:tmpl w:val="4664E056"/>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62DAA"/>
    <w:multiLevelType w:val="hybridMultilevel"/>
    <w:tmpl w:val="54FE0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C851E6B"/>
    <w:multiLevelType w:val="hybridMultilevel"/>
    <w:tmpl w:val="41142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FE22BDE"/>
    <w:multiLevelType w:val="hybridMultilevel"/>
    <w:tmpl w:val="359C2D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FB17CC"/>
    <w:multiLevelType w:val="hybridMultilevel"/>
    <w:tmpl w:val="6846A4B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9">
    <w:nsid w:val="35E84135"/>
    <w:multiLevelType w:val="hybridMultilevel"/>
    <w:tmpl w:val="8F2C060A"/>
    <w:lvl w:ilvl="0" w:tplc="04260001">
      <w:start w:val="1"/>
      <w:numFmt w:val="bullet"/>
      <w:lvlText w:val=""/>
      <w:lvlJc w:val="left"/>
      <w:pPr>
        <w:ind w:left="1176" w:hanging="360"/>
      </w:pPr>
      <w:rPr>
        <w:rFonts w:ascii="Symbol" w:hAnsi="Symbol" w:hint="default"/>
      </w:rPr>
    </w:lvl>
    <w:lvl w:ilvl="1" w:tplc="04260003" w:tentative="1">
      <w:start w:val="1"/>
      <w:numFmt w:val="bullet"/>
      <w:lvlText w:val="o"/>
      <w:lvlJc w:val="left"/>
      <w:pPr>
        <w:ind w:left="1896" w:hanging="360"/>
      </w:pPr>
      <w:rPr>
        <w:rFonts w:ascii="Courier New" w:hAnsi="Courier New" w:cs="Courier New" w:hint="default"/>
      </w:rPr>
    </w:lvl>
    <w:lvl w:ilvl="2" w:tplc="04260005" w:tentative="1">
      <w:start w:val="1"/>
      <w:numFmt w:val="bullet"/>
      <w:lvlText w:val=""/>
      <w:lvlJc w:val="left"/>
      <w:pPr>
        <w:ind w:left="2616" w:hanging="360"/>
      </w:pPr>
      <w:rPr>
        <w:rFonts w:ascii="Wingdings" w:hAnsi="Wingdings" w:hint="default"/>
      </w:rPr>
    </w:lvl>
    <w:lvl w:ilvl="3" w:tplc="04260001" w:tentative="1">
      <w:start w:val="1"/>
      <w:numFmt w:val="bullet"/>
      <w:lvlText w:val=""/>
      <w:lvlJc w:val="left"/>
      <w:pPr>
        <w:ind w:left="3336" w:hanging="360"/>
      </w:pPr>
      <w:rPr>
        <w:rFonts w:ascii="Symbol" w:hAnsi="Symbol" w:hint="default"/>
      </w:rPr>
    </w:lvl>
    <w:lvl w:ilvl="4" w:tplc="04260003" w:tentative="1">
      <w:start w:val="1"/>
      <w:numFmt w:val="bullet"/>
      <w:lvlText w:val="o"/>
      <w:lvlJc w:val="left"/>
      <w:pPr>
        <w:ind w:left="4056" w:hanging="360"/>
      </w:pPr>
      <w:rPr>
        <w:rFonts w:ascii="Courier New" w:hAnsi="Courier New" w:cs="Courier New" w:hint="default"/>
      </w:rPr>
    </w:lvl>
    <w:lvl w:ilvl="5" w:tplc="04260005" w:tentative="1">
      <w:start w:val="1"/>
      <w:numFmt w:val="bullet"/>
      <w:lvlText w:val=""/>
      <w:lvlJc w:val="left"/>
      <w:pPr>
        <w:ind w:left="4776" w:hanging="360"/>
      </w:pPr>
      <w:rPr>
        <w:rFonts w:ascii="Wingdings" w:hAnsi="Wingdings" w:hint="default"/>
      </w:rPr>
    </w:lvl>
    <w:lvl w:ilvl="6" w:tplc="04260001" w:tentative="1">
      <w:start w:val="1"/>
      <w:numFmt w:val="bullet"/>
      <w:lvlText w:val=""/>
      <w:lvlJc w:val="left"/>
      <w:pPr>
        <w:ind w:left="5496" w:hanging="360"/>
      </w:pPr>
      <w:rPr>
        <w:rFonts w:ascii="Symbol" w:hAnsi="Symbol" w:hint="default"/>
      </w:rPr>
    </w:lvl>
    <w:lvl w:ilvl="7" w:tplc="04260003" w:tentative="1">
      <w:start w:val="1"/>
      <w:numFmt w:val="bullet"/>
      <w:lvlText w:val="o"/>
      <w:lvlJc w:val="left"/>
      <w:pPr>
        <w:ind w:left="6216" w:hanging="360"/>
      </w:pPr>
      <w:rPr>
        <w:rFonts w:ascii="Courier New" w:hAnsi="Courier New" w:cs="Courier New" w:hint="default"/>
      </w:rPr>
    </w:lvl>
    <w:lvl w:ilvl="8" w:tplc="04260005" w:tentative="1">
      <w:start w:val="1"/>
      <w:numFmt w:val="bullet"/>
      <w:lvlText w:val=""/>
      <w:lvlJc w:val="left"/>
      <w:pPr>
        <w:ind w:left="6936" w:hanging="360"/>
      </w:pPr>
      <w:rPr>
        <w:rFonts w:ascii="Wingdings" w:hAnsi="Wingdings" w:hint="default"/>
      </w:rPr>
    </w:lvl>
  </w:abstractNum>
  <w:abstractNum w:abstractNumId="10">
    <w:nsid w:val="368414B0"/>
    <w:multiLevelType w:val="hybridMultilevel"/>
    <w:tmpl w:val="A508B596"/>
    <w:lvl w:ilvl="0" w:tplc="04260001">
      <w:start w:val="1"/>
      <w:numFmt w:val="bullet"/>
      <w:lvlText w:val=""/>
      <w:lvlJc w:val="left"/>
      <w:pPr>
        <w:ind w:left="1116" w:hanging="360"/>
      </w:pPr>
      <w:rPr>
        <w:rFonts w:ascii="Symbol" w:hAnsi="Symbol"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11">
    <w:nsid w:val="38D922E0"/>
    <w:multiLevelType w:val="hybridMultilevel"/>
    <w:tmpl w:val="9D0EB766"/>
    <w:lvl w:ilvl="0" w:tplc="04A20EE4">
      <w:start w:val="1"/>
      <w:numFmt w:val="decimal"/>
      <w:lvlText w:val="%1."/>
      <w:lvlJc w:val="left"/>
      <w:pPr>
        <w:ind w:left="701" w:hanging="360"/>
      </w:pPr>
      <w:rPr>
        <w:rFonts w:hint="default"/>
        <w:b w:val="0"/>
        <w:i w:val="0"/>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12">
    <w:nsid w:val="38E026ED"/>
    <w:multiLevelType w:val="hybridMultilevel"/>
    <w:tmpl w:val="3984FE3E"/>
    <w:lvl w:ilvl="0" w:tplc="0426000D">
      <w:start w:val="1"/>
      <w:numFmt w:val="bullet"/>
      <w:lvlText w:val=""/>
      <w:lvlJc w:val="left"/>
      <w:pPr>
        <w:ind w:left="834" w:hanging="360"/>
      </w:pPr>
      <w:rPr>
        <w:rFonts w:ascii="Wingdings" w:hAnsi="Wingdings"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13">
    <w:nsid w:val="3B8C395D"/>
    <w:multiLevelType w:val="multilevel"/>
    <w:tmpl w:val="6AD4A4AA"/>
    <w:lvl w:ilvl="0">
      <w:start w:val="1"/>
      <w:numFmt w:val="decimal"/>
      <w:lvlText w:val="%1."/>
      <w:lvlJc w:val="left"/>
      <w:pPr>
        <w:ind w:left="785" w:hanging="360"/>
      </w:pPr>
      <w:rPr>
        <w:rFonts w:hint="default"/>
      </w:rPr>
    </w:lvl>
    <w:lvl w:ilvl="1">
      <w:start w:val="1"/>
      <w:numFmt w:val="bullet"/>
      <w:lvlText w:val=""/>
      <w:lvlJc w:val="left"/>
      <w:pPr>
        <w:ind w:left="-4388" w:hanging="432"/>
      </w:pPr>
      <w:rPr>
        <w:rFonts w:ascii="Wingdings" w:hAnsi="Wingdings" w:hint="default"/>
      </w:rPr>
    </w:lvl>
    <w:lvl w:ilvl="2">
      <w:start w:val="1"/>
      <w:numFmt w:val="decimal"/>
      <w:lvlText w:val="%1.%2.%3."/>
      <w:lvlJc w:val="left"/>
      <w:pPr>
        <w:ind w:left="-4589" w:hanging="504"/>
      </w:pPr>
      <w:rPr>
        <w:rFonts w:hint="default"/>
      </w:rPr>
    </w:lvl>
    <w:lvl w:ilvl="3">
      <w:start w:val="1"/>
      <w:numFmt w:val="decimal"/>
      <w:lvlText w:val="%1.%2.%3.%4."/>
      <w:lvlJc w:val="left"/>
      <w:pPr>
        <w:ind w:left="-4085" w:hanging="648"/>
      </w:pPr>
      <w:rPr>
        <w:rFonts w:hint="default"/>
      </w:rPr>
    </w:lvl>
    <w:lvl w:ilvl="4">
      <w:start w:val="1"/>
      <w:numFmt w:val="decimal"/>
      <w:lvlText w:val="%1.%2.%3.%4.%5."/>
      <w:lvlJc w:val="left"/>
      <w:pPr>
        <w:ind w:left="-3581" w:hanging="792"/>
      </w:pPr>
      <w:rPr>
        <w:rFonts w:hint="default"/>
      </w:rPr>
    </w:lvl>
    <w:lvl w:ilvl="5">
      <w:start w:val="1"/>
      <w:numFmt w:val="decimal"/>
      <w:lvlText w:val="%1.%2.%3.%4.%5.%6."/>
      <w:lvlJc w:val="left"/>
      <w:pPr>
        <w:ind w:left="-3077" w:hanging="936"/>
      </w:pPr>
      <w:rPr>
        <w:rFonts w:hint="default"/>
      </w:rPr>
    </w:lvl>
    <w:lvl w:ilvl="6">
      <w:start w:val="1"/>
      <w:numFmt w:val="decimal"/>
      <w:lvlText w:val="%1.%2.%3.%4.%5.%6.%7."/>
      <w:lvlJc w:val="left"/>
      <w:pPr>
        <w:ind w:left="-2573" w:hanging="1080"/>
      </w:pPr>
      <w:rPr>
        <w:rFonts w:hint="default"/>
      </w:rPr>
    </w:lvl>
    <w:lvl w:ilvl="7">
      <w:start w:val="1"/>
      <w:numFmt w:val="decimal"/>
      <w:lvlText w:val="%1.%2.%3.%4.%5.%6.%7.%8."/>
      <w:lvlJc w:val="left"/>
      <w:pPr>
        <w:ind w:left="-2069" w:hanging="1224"/>
      </w:pPr>
      <w:rPr>
        <w:rFonts w:hint="default"/>
      </w:rPr>
    </w:lvl>
    <w:lvl w:ilvl="8">
      <w:start w:val="1"/>
      <w:numFmt w:val="decimal"/>
      <w:lvlText w:val="%1.%2.%3.%4.%5.%6.%7.%8.%9."/>
      <w:lvlJc w:val="left"/>
      <w:pPr>
        <w:ind w:left="-1493" w:hanging="1440"/>
      </w:pPr>
      <w:rPr>
        <w:rFonts w:hint="default"/>
      </w:rPr>
    </w:lvl>
  </w:abstractNum>
  <w:abstractNum w:abstractNumId="14">
    <w:nsid w:val="3CC45F21"/>
    <w:multiLevelType w:val="multilevel"/>
    <w:tmpl w:val="81E82F86"/>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numFmt w:val="bullet"/>
      <w:lvlText w:val="-"/>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3473DB9"/>
    <w:multiLevelType w:val="hybridMultilevel"/>
    <w:tmpl w:val="23D8A1A2"/>
    <w:lvl w:ilvl="0" w:tplc="04260001">
      <w:start w:val="1"/>
      <w:numFmt w:val="bullet"/>
      <w:lvlText w:val=""/>
      <w:lvlJc w:val="left"/>
      <w:pPr>
        <w:ind w:left="72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833035F"/>
    <w:multiLevelType w:val="multilevel"/>
    <w:tmpl w:val="0C1E2B0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573305B4"/>
    <w:multiLevelType w:val="hybridMultilevel"/>
    <w:tmpl w:val="E90856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84A50CD"/>
    <w:multiLevelType w:val="hybridMultilevel"/>
    <w:tmpl w:val="3C74864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0">
    <w:nsid w:val="5D0A0496"/>
    <w:multiLevelType w:val="hybridMultilevel"/>
    <w:tmpl w:val="3BFA2F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4FC53F0"/>
    <w:multiLevelType w:val="hybridMultilevel"/>
    <w:tmpl w:val="B0BCA630"/>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2">
    <w:nsid w:val="671A1C5C"/>
    <w:multiLevelType w:val="hybridMultilevel"/>
    <w:tmpl w:val="71B211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73B7C75"/>
    <w:multiLevelType w:val="hybridMultilevel"/>
    <w:tmpl w:val="CD163C12"/>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4">
    <w:nsid w:val="6DCA204F"/>
    <w:multiLevelType w:val="multilevel"/>
    <w:tmpl w:val="09DCBC5A"/>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5A20A2D"/>
    <w:multiLevelType w:val="hybridMultilevel"/>
    <w:tmpl w:val="0FEAFE78"/>
    <w:lvl w:ilvl="0" w:tplc="04260001">
      <w:start w:val="1"/>
      <w:numFmt w:val="bullet"/>
      <w:lvlText w:val=""/>
      <w:lvlJc w:val="left"/>
      <w:pPr>
        <w:ind w:left="878" w:hanging="360"/>
      </w:pPr>
      <w:rPr>
        <w:rFonts w:ascii="Symbol" w:hAnsi="Symbol" w:hint="default"/>
      </w:rPr>
    </w:lvl>
    <w:lvl w:ilvl="1" w:tplc="04260003" w:tentative="1">
      <w:start w:val="1"/>
      <w:numFmt w:val="bullet"/>
      <w:lvlText w:val="o"/>
      <w:lvlJc w:val="left"/>
      <w:pPr>
        <w:ind w:left="1598" w:hanging="360"/>
      </w:pPr>
      <w:rPr>
        <w:rFonts w:ascii="Courier New" w:hAnsi="Courier New" w:cs="Courier New" w:hint="default"/>
      </w:rPr>
    </w:lvl>
    <w:lvl w:ilvl="2" w:tplc="04260005" w:tentative="1">
      <w:start w:val="1"/>
      <w:numFmt w:val="bullet"/>
      <w:lvlText w:val=""/>
      <w:lvlJc w:val="left"/>
      <w:pPr>
        <w:ind w:left="2318" w:hanging="360"/>
      </w:pPr>
      <w:rPr>
        <w:rFonts w:ascii="Wingdings" w:hAnsi="Wingdings" w:hint="default"/>
      </w:rPr>
    </w:lvl>
    <w:lvl w:ilvl="3" w:tplc="04260001" w:tentative="1">
      <w:start w:val="1"/>
      <w:numFmt w:val="bullet"/>
      <w:lvlText w:val=""/>
      <w:lvlJc w:val="left"/>
      <w:pPr>
        <w:ind w:left="3038" w:hanging="360"/>
      </w:pPr>
      <w:rPr>
        <w:rFonts w:ascii="Symbol" w:hAnsi="Symbol" w:hint="default"/>
      </w:rPr>
    </w:lvl>
    <w:lvl w:ilvl="4" w:tplc="04260003" w:tentative="1">
      <w:start w:val="1"/>
      <w:numFmt w:val="bullet"/>
      <w:lvlText w:val="o"/>
      <w:lvlJc w:val="left"/>
      <w:pPr>
        <w:ind w:left="3758" w:hanging="360"/>
      </w:pPr>
      <w:rPr>
        <w:rFonts w:ascii="Courier New" w:hAnsi="Courier New" w:cs="Courier New" w:hint="default"/>
      </w:rPr>
    </w:lvl>
    <w:lvl w:ilvl="5" w:tplc="04260005" w:tentative="1">
      <w:start w:val="1"/>
      <w:numFmt w:val="bullet"/>
      <w:lvlText w:val=""/>
      <w:lvlJc w:val="left"/>
      <w:pPr>
        <w:ind w:left="4478" w:hanging="360"/>
      </w:pPr>
      <w:rPr>
        <w:rFonts w:ascii="Wingdings" w:hAnsi="Wingdings" w:hint="default"/>
      </w:rPr>
    </w:lvl>
    <w:lvl w:ilvl="6" w:tplc="04260001" w:tentative="1">
      <w:start w:val="1"/>
      <w:numFmt w:val="bullet"/>
      <w:lvlText w:val=""/>
      <w:lvlJc w:val="left"/>
      <w:pPr>
        <w:ind w:left="5198" w:hanging="360"/>
      </w:pPr>
      <w:rPr>
        <w:rFonts w:ascii="Symbol" w:hAnsi="Symbol" w:hint="default"/>
      </w:rPr>
    </w:lvl>
    <w:lvl w:ilvl="7" w:tplc="04260003" w:tentative="1">
      <w:start w:val="1"/>
      <w:numFmt w:val="bullet"/>
      <w:lvlText w:val="o"/>
      <w:lvlJc w:val="left"/>
      <w:pPr>
        <w:ind w:left="5918" w:hanging="360"/>
      </w:pPr>
      <w:rPr>
        <w:rFonts w:ascii="Courier New" w:hAnsi="Courier New" w:cs="Courier New" w:hint="default"/>
      </w:rPr>
    </w:lvl>
    <w:lvl w:ilvl="8" w:tplc="04260005" w:tentative="1">
      <w:start w:val="1"/>
      <w:numFmt w:val="bullet"/>
      <w:lvlText w:val=""/>
      <w:lvlJc w:val="left"/>
      <w:pPr>
        <w:ind w:left="6638" w:hanging="360"/>
      </w:pPr>
      <w:rPr>
        <w:rFonts w:ascii="Wingdings" w:hAnsi="Wingdings" w:hint="default"/>
      </w:rPr>
    </w:lvl>
  </w:abstractNum>
  <w:abstractNum w:abstractNumId="26">
    <w:nsid w:val="764C1A82"/>
    <w:multiLevelType w:val="hybridMultilevel"/>
    <w:tmpl w:val="56BCE1A4"/>
    <w:lvl w:ilvl="0" w:tplc="04260005">
      <w:start w:val="1"/>
      <w:numFmt w:val="bullet"/>
      <w:lvlText w:val=""/>
      <w:lvlJc w:val="left"/>
      <w:pPr>
        <w:ind w:left="1061" w:hanging="360"/>
      </w:pPr>
      <w:rPr>
        <w:rFonts w:ascii="Wingdings" w:hAnsi="Wingdings" w:hint="default"/>
      </w:rPr>
    </w:lvl>
    <w:lvl w:ilvl="1" w:tplc="04260003">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7">
    <w:nsid w:val="7B6826BC"/>
    <w:multiLevelType w:val="hybridMultilevel"/>
    <w:tmpl w:val="750A72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B8B56F5"/>
    <w:multiLevelType w:val="hybridMultilevel"/>
    <w:tmpl w:val="AE38374E"/>
    <w:lvl w:ilvl="0" w:tplc="94D66FAC">
      <w:start w:val="1"/>
      <w:numFmt w:val="decimal"/>
      <w:lvlText w:val="%1."/>
      <w:lvlJc w:val="left"/>
      <w:pPr>
        <w:ind w:left="701" w:hanging="360"/>
      </w:pPr>
      <w:rPr>
        <w:rFont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29">
    <w:nsid w:val="7E346842"/>
    <w:multiLevelType w:val="multilevel"/>
    <w:tmpl w:val="DB38B244"/>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5"/>
  </w:num>
  <w:num w:numId="3">
    <w:abstractNumId w:val="16"/>
  </w:num>
  <w:num w:numId="4">
    <w:abstractNumId w:val="23"/>
  </w:num>
  <w:num w:numId="5">
    <w:abstractNumId w:val="11"/>
  </w:num>
  <w:num w:numId="6">
    <w:abstractNumId w:val="28"/>
  </w:num>
  <w:num w:numId="7">
    <w:abstractNumId w:val="25"/>
  </w:num>
  <w:num w:numId="8">
    <w:abstractNumId w:val="6"/>
  </w:num>
  <w:num w:numId="9">
    <w:abstractNumId w:val="3"/>
  </w:num>
  <w:num w:numId="10">
    <w:abstractNumId w:val="4"/>
  </w:num>
  <w:num w:numId="11">
    <w:abstractNumId w:val="20"/>
  </w:num>
  <w:num w:numId="12">
    <w:abstractNumId w:val="13"/>
  </w:num>
  <w:num w:numId="13">
    <w:abstractNumId w:val="18"/>
  </w:num>
  <w:num w:numId="14">
    <w:abstractNumId w:val="24"/>
  </w:num>
  <w:num w:numId="15">
    <w:abstractNumId w:val="29"/>
  </w:num>
  <w:num w:numId="16">
    <w:abstractNumId w:val="15"/>
  </w:num>
  <w:num w:numId="17">
    <w:abstractNumId w:val="12"/>
  </w:num>
  <w:num w:numId="18">
    <w:abstractNumId w:val="14"/>
  </w:num>
  <w:num w:numId="19">
    <w:abstractNumId w:val="2"/>
  </w:num>
  <w:num w:numId="20">
    <w:abstractNumId w:val="1"/>
  </w:num>
  <w:num w:numId="21">
    <w:abstractNumId w:val="21"/>
  </w:num>
  <w:num w:numId="22">
    <w:abstractNumId w:val="27"/>
  </w:num>
  <w:num w:numId="23">
    <w:abstractNumId w:val="7"/>
  </w:num>
  <w:num w:numId="24">
    <w:abstractNumId w:val="19"/>
  </w:num>
  <w:num w:numId="25">
    <w:abstractNumId w:val="17"/>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10"/>
  </w:num>
  <w:num w:numId="28">
    <w:abstractNumId w:val="9"/>
  </w:num>
  <w:num w:numId="29">
    <w:abstractNumId w:val="8"/>
  </w:num>
  <w:num w:numId="30">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381"/>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rsids>
    <w:rsidRoot w:val="00051A1C"/>
    <w:rsid w:val="0000004E"/>
    <w:rsid w:val="000006CF"/>
    <w:rsid w:val="00006A21"/>
    <w:rsid w:val="00006CA3"/>
    <w:rsid w:val="00010573"/>
    <w:rsid w:val="0001075C"/>
    <w:rsid w:val="00011564"/>
    <w:rsid w:val="00013B7C"/>
    <w:rsid w:val="000142AB"/>
    <w:rsid w:val="0001496E"/>
    <w:rsid w:val="00014D04"/>
    <w:rsid w:val="00016BD9"/>
    <w:rsid w:val="000177D7"/>
    <w:rsid w:val="00017DF7"/>
    <w:rsid w:val="00022205"/>
    <w:rsid w:val="00022523"/>
    <w:rsid w:val="000229B1"/>
    <w:rsid w:val="00023A89"/>
    <w:rsid w:val="00023BA6"/>
    <w:rsid w:val="00023EAD"/>
    <w:rsid w:val="0002480A"/>
    <w:rsid w:val="000258B0"/>
    <w:rsid w:val="00027C89"/>
    <w:rsid w:val="00030AEE"/>
    <w:rsid w:val="000311C0"/>
    <w:rsid w:val="00031A28"/>
    <w:rsid w:val="00031B47"/>
    <w:rsid w:val="00032A9F"/>
    <w:rsid w:val="000331F5"/>
    <w:rsid w:val="000332FD"/>
    <w:rsid w:val="000349F4"/>
    <w:rsid w:val="000350F7"/>
    <w:rsid w:val="0003665B"/>
    <w:rsid w:val="000372A0"/>
    <w:rsid w:val="000379CD"/>
    <w:rsid w:val="000401EE"/>
    <w:rsid w:val="00040261"/>
    <w:rsid w:val="00040280"/>
    <w:rsid w:val="0004188B"/>
    <w:rsid w:val="000419AE"/>
    <w:rsid w:val="0004341C"/>
    <w:rsid w:val="00043510"/>
    <w:rsid w:val="00044751"/>
    <w:rsid w:val="00044811"/>
    <w:rsid w:val="000451EF"/>
    <w:rsid w:val="000461A6"/>
    <w:rsid w:val="0004642F"/>
    <w:rsid w:val="00046C46"/>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FDE"/>
    <w:rsid w:val="00062879"/>
    <w:rsid w:val="00062E81"/>
    <w:rsid w:val="000637E3"/>
    <w:rsid w:val="00063FD8"/>
    <w:rsid w:val="00064018"/>
    <w:rsid w:val="000648AB"/>
    <w:rsid w:val="00065BE4"/>
    <w:rsid w:val="00065DC8"/>
    <w:rsid w:val="00066554"/>
    <w:rsid w:val="000700EC"/>
    <w:rsid w:val="000703FA"/>
    <w:rsid w:val="000705DB"/>
    <w:rsid w:val="00072647"/>
    <w:rsid w:val="00072FD1"/>
    <w:rsid w:val="0007350E"/>
    <w:rsid w:val="000746DD"/>
    <w:rsid w:val="00074C50"/>
    <w:rsid w:val="00075C90"/>
    <w:rsid w:val="00075FD9"/>
    <w:rsid w:val="00075FE6"/>
    <w:rsid w:val="0007617E"/>
    <w:rsid w:val="00077350"/>
    <w:rsid w:val="00080F58"/>
    <w:rsid w:val="0008105E"/>
    <w:rsid w:val="0008118C"/>
    <w:rsid w:val="00081E56"/>
    <w:rsid w:val="00082220"/>
    <w:rsid w:val="0008397F"/>
    <w:rsid w:val="00084332"/>
    <w:rsid w:val="000848D2"/>
    <w:rsid w:val="00085578"/>
    <w:rsid w:val="00086AFA"/>
    <w:rsid w:val="00087449"/>
    <w:rsid w:val="000876AA"/>
    <w:rsid w:val="00087787"/>
    <w:rsid w:val="00087912"/>
    <w:rsid w:val="000879A1"/>
    <w:rsid w:val="00090EEE"/>
    <w:rsid w:val="0009177F"/>
    <w:rsid w:val="0009253D"/>
    <w:rsid w:val="00092C08"/>
    <w:rsid w:val="00092C69"/>
    <w:rsid w:val="00093955"/>
    <w:rsid w:val="00093C1E"/>
    <w:rsid w:val="00093E32"/>
    <w:rsid w:val="00094A86"/>
    <w:rsid w:val="00094D29"/>
    <w:rsid w:val="00094F8F"/>
    <w:rsid w:val="00096071"/>
    <w:rsid w:val="000969F5"/>
    <w:rsid w:val="0009711C"/>
    <w:rsid w:val="0009765C"/>
    <w:rsid w:val="00097667"/>
    <w:rsid w:val="000A0B0B"/>
    <w:rsid w:val="000A0B51"/>
    <w:rsid w:val="000A1230"/>
    <w:rsid w:val="000A2285"/>
    <w:rsid w:val="000A249F"/>
    <w:rsid w:val="000A3D7C"/>
    <w:rsid w:val="000A4F46"/>
    <w:rsid w:val="000A57E5"/>
    <w:rsid w:val="000A632A"/>
    <w:rsid w:val="000A6387"/>
    <w:rsid w:val="000A6455"/>
    <w:rsid w:val="000A6B35"/>
    <w:rsid w:val="000A6D36"/>
    <w:rsid w:val="000A7B2A"/>
    <w:rsid w:val="000B0A3D"/>
    <w:rsid w:val="000B0B77"/>
    <w:rsid w:val="000B23AA"/>
    <w:rsid w:val="000B2ED3"/>
    <w:rsid w:val="000B3411"/>
    <w:rsid w:val="000B54AE"/>
    <w:rsid w:val="000B5E3A"/>
    <w:rsid w:val="000B6F32"/>
    <w:rsid w:val="000C0654"/>
    <w:rsid w:val="000C075A"/>
    <w:rsid w:val="000C0894"/>
    <w:rsid w:val="000C0BFF"/>
    <w:rsid w:val="000C11F7"/>
    <w:rsid w:val="000C1806"/>
    <w:rsid w:val="000C1E94"/>
    <w:rsid w:val="000C228E"/>
    <w:rsid w:val="000C326C"/>
    <w:rsid w:val="000C328B"/>
    <w:rsid w:val="000C3992"/>
    <w:rsid w:val="000C467C"/>
    <w:rsid w:val="000C5995"/>
    <w:rsid w:val="000C61CE"/>
    <w:rsid w:val="000C62B6"/>
    <w:rsid w:val="000C69A8"/>
    <w:rsid w:val="000C6E9B"/>
    <w:rsid w:val="000C7F03"/>
    <w:rsid w:val="000C7F3E"/>
    <w:rsid w:val="000D0F10"/>
    <w:rsid w:val="000D10A0"/>
    <w:rsid w:val="000D3507"/>
    <w:rsid w:val="000D40AC"/>
    <w:rsid w:val="000D4C80"/>
    <w:rsid w:val="000D507B"/>
    <w:rsid w:val="000D5A1E"/>
    <w:rsid w:val="000D63FE"/>
    <w:rsid w:val="000D7EB0"/>
    <w:rsid w:val="000E0B74"/>
    <w:rsid w:val="000E2002"/>
    <w:rsid w:val="000E24E4"/>
    <w:rsid w:val="000E32B4"/>
    <w:rsid w:val="000E345E"/>
    <w:rsid w:val="000E5F1E"/>
    <w:rsid w:val="000E6C7B"/>
    <w:rsid w:val="000E6D22"/>
    <w:rsid w:val="000E7F58"/>
    <w:rsid w:val="000F079B"/>
    <w:rsid w:val="000F099A"/>
    <w:rsid w:val="000F0B0D"/>
    <w:rsid w:val="000F12E4"/>
    <w:rsid w:val="000F18D4"/>
    <w:rsid w:val="000F2E5B"/>
    <w:rsid w:val="000F42B4"/>
    <w:rsid w:val="000F6127"/>
    <w:rsid w:val="000F6C48"/>
    <w:rsid w:val="000F6CA0"/>
    <w:rsid w:val="00100196"/>
    <w:rsid w:val="001022F4"/>
    <w:rsid w:val="001024E1"/>
    <w:rsid w:val="001026F6"/>
    <w:rsid w:val="00102B64"/>
    <w:rsid w:val="00102FEA"/>
    <w:rsid w:val="00103608"/>
    <w:rsid w:val="001039EE"/>
    <w:rsid w:val="00103E48"/>
    <w:rsid w:val="00104459"/>
    <w:rsid w:val="00104722"/>
    <w:rsid w:val="00104C88"/>
    <w:rsid w:val="00105487"/>
    <w:rsid w:val="00106FF3"/>
    <w:rsid w:val="001108E9"/>
    <w:rsid w:val="001109DA"/>
    <w:rsid w:val="00111190"/>
    <w:rsid w:val="0011122E"/>
    <w:rsid w:val="0011132A"/>
    <w:rsid w:val="00111D17"/>
    <w:rsid w:val="0011391E"/>
    <w:rsid w:val="00113E50"/>
    <w:rsid w:val="00114608"/>
    <w:rsid w:val="00115124"/>
    <w:rsid w:val="001157B2"/>
    <w:rsid w:val="00115996"/>
    <w:rsid w:val="00115C48"/>
    <w:rsid w:val="00117BB9"/>
    <w:rsid w:val="0012089E"/>
    <w:rsid w:val="00120CE6"/>
    <w:rsid w:val="00121058"/>
    <w:rsid w:val="00121708"/>
    <w:rsid w:val="001219BE"/>
    <w:rsid w:val="00122240"/>
    <w:rsid w:val="001228BD"/>
    <w:rsid w:val="00124003"/>
    <w:rsid w:val="00125CC0"/>
    <w:rsid w:val="001268E7"/>
    <w:rsid w:val="001301D8"/>
    <w:rsid w:val="00130286"/>
    <w:rsid w:val="0013083A"/>
    <w:rsid w:val="00130B15"/>
    <w:rsid w:val="00132010"/>
    <w:rsid w:val="00132477"/>
    <w:rsid w:val="00132673"/>
    <w:rsid w:val="0013287B"/>
    <w:rsid w:val="00132D78"/>
    <w:rsid w:val="001342F6"/>
    <w:rsid w:val="001343E2"/>
    <w:rsid w:val="0013473F"/>
    <w:rsid w:val="00135104"/>
    <w:rsid w:val="001364D4"/>
    <w:rsid w:val="001366D7"/>
    <w:rsid w:val="00136FE2"/>
    <w:rsid w:val="00141485"/>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C19"/>
    <w:rsid w:val="00155B12"/>
    <w:rsid w:val="00160F63"/>
    <w:rsid w:val="0016187F"/>
    <w:rsid w:val="0016188D"/>
    <w:rsid w:val="00162A40"/>
    <w:rsid w:val="00164651"/>
    <w:rsid w:val="001647CA"/>
    <w:rsid w:val="00164C8C"/>
    <w:rsid w:val="00164EDE"/>
    <w:rsid w:val="001654DC"/>
    <w:rsid w:val="001671FC"/>
    <w:rsid w:val="0016725E"/>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6A5"/>
    <w:rsid w:val="00187801"/>
    <w:rsid w:val="00187BCA"/>
    <w:rsid w:val="00190113"/>
    <w:rsid w:val="0019043A"/>
    <w:rsid w:val="001906D4"/>
    <w:rsid w:val="001908EB"/>
    <w:rsid w:val="00190946"/>
    <w:rsid w:val="001909F3"/>
    <w:rsid w:val="00190E51"/>
    <w:rsid w:val="00191D21"/>
    <w:rsid w:val="00192C03"/>
    <w:rsid w:val="00193692"/>
    <w:rsid w:val="001942EB"/>
    <w:rsid w:val="001950BA"/>
    <w:rsid w:val="00195AE2"/>
    <w:rsid w:val="00195FE5"/>
    <w:rsid w:val="00197678"/>
    <w:rsid w:val="001A033A"/>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C3C"/>
    <w:rsid w:val="001B0FB3"/>
    <w:rsid w:val="001B1BEB"/>
    <w:rsid w:val="001B1DEC"/>
    <w:rsid w:val="001B268D"/>
    <w:rsid w:val="001B2753"/>
    <w:rsid w:val="001B2D1D"/>
    <w:rsid w:val="001B5116"/>
    <w:rsid w:val="001B7153"/>
    <w:rsid w:val="001B7BBF"/>
    <w:rsid w:val="001C02F2"/>
    <w:rsid w:val="001C07E0"/>
    <w:rsid w:val="001C11EA"/>
    <w:rsid w:val="001C2401"/>
    <w:rsid w:val="001C446A"/>
    <w:rsid w:val="001C457A"/>
    <w:rsid w:val="001C4854"/>
    <w:rsid w:val="001C493F"/>
    <w:rsid w:val="001C5E5F"/>
    <w:rsid w:val="001C5F71"/>
    <w:rsid w:val="001C673C"/>
    <w:rsid w:val="001C68E9"/>
    <w:rsid w:val="001D0025"/>
    <w:rsid w:val="001D0679"/>
    <w:rsid w:val="001D0F7E"/>
    <w:rsid w:val="001D1622"/>
    <w:rsid w:val="001D2D91"/>
    <w:rsid w:val="001D2F3C"/>
    <w:rsid w:val="001D3051"/>
    <w:rsid w:val="001D3987"/>
    <w:rsid w:val="001D4857"/>
    <w:rsid w:val="001D49E8"/>
    <w:rsid w:val="001D55DA"/>
    <w:rsid w:val="001D6102"/>
    <w:rsid w:val="001D6611"/>
    <w:rsid w:val="001D6DB1"/>
    <w:rsid w:val="001E155F"/>
    <w:rsid w:val="001E20B3"/>
    <w:rsid w:val="001E21A1"/>
    <w:rsid w:val="001E2A2E"/>
    <w:rsid w:val="001E3003"/>
    <w:rsid w:val="001E32B2"/>
    <w:rsid w:val="001E33AB"/>
    <w:rsid w:val="001E4130"/>
    <w:rsid w:val="001E4513"/>
    <w:rsid w:val="001E6859"/>
    <w:rsid w:val="001E6CEC"/>
    <w:rsid w:val="001E6E67"/>
    <w:rsid w:val="001E753D"/>
    <w:rsid w:val="001E7771"/>
    <w:rsid w:val="001F04ED"/>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20206A"/>
    <w:rsid w:val="00202099"/>
    <w:rsid w:val="002030C8"/>
    <w:rsid w:val="0020355C"/>
    <w:rsid w:val="0020428A"/>
    <w:rsid w:val="00205006"/>
    <w:rsid w:val="0020696D"/>
    <w:rsid w:val="00206AB9"/>
    <w:rsid w:val="002070E9"/>
    <w:rsid w:val="00207ED4"/>
    <w:rsid w:val="002105B1"/>
    <w:rsid w:val="002106BC"/>
    <w:rsid w:val="00210B37"/>
    <w:rsid w:val="00210C61"/>
    <w:rsid w:val="0021148A"/>
    <w:rsid w:val="00212558"/>
    <w:rsid w:val="002131A0"/>
    <w:rsid w:val="00214A11"/>
    <w:rsid w:val="00216724"/>
    <w:rsid w:val="002169BD"/>
    <w:rsid w:val="00217705"/>
    <w:rsid w:val="0021798C"/>
    <w:rsid w:val="00217BB5"/>
    <w:rsid w:val="002209CB"/>
    <w:rsid w:val="002211D7"/>
    <w:rsid w:val="00221434"/>
    <w:rsid w:val="00221576"/>
    <w:rsid w:val="0022195A"/>
    <w:rsid w:val="00221ABB"/>
    <w:rsid w:val="00223471"/>
    <w:rsid w:val="002239E1"/>
    <w:rsid w:val="0022598A"/>
    <w:rsid w:val="0022598E"/>
    <w:rsid w:val="00226A38"/>
    <w:rsid w:val="00226A91"/>
    <w:rsid w:val="00226F77"/>
    <w:rsid w:val="00227E32"/>
    <w:rsid w:val="00231010"/>
    <w:rsid w:val="00231B6A"/>
    <w:rsid w:val="00231C91"/>
    <w:rsid w:val="00231F4B"/>
    <w:rsid w:val="00232CEC"/>
    <w:rsid w:val="00233132"/>
    <w:rsid w:val="00233516"/>
    <w:rsid w:val="00233D20"/>
    <w:rsid w:val="0023455C"/>
    <w:rsid w:val="00234B35"/>
    <w:rsid w:val="002352C7"/>
    <w:rsid w:val="00235360"/>
    <w:rsid w:val="00235765"/>
    <w:rsid w:val="00235FE2"/>
    <w:rsid w:val="0023643A"/>
    <w:rsid w:val="00236630"/>
    <w:rsid w:val="00236E9B"/>
    <w:rsid w:val="00236F7C"/>
    <w:rsid w:val="00237AA7"/>
    <w:rsid w:val="00240676"/>
    <w:rsid w:val="00240BB9"/>
    <w:rsid w:val="00240C71"/>
    <w:rsid w:val="00241E1A"/>
    <w:rsid w:val="00241EAF"/>
    <w:rsid w:val="00242173"/>
    <w:rsid w:val="00242480"/>
    <w:rsid w:val="00242680"/>
    <w:rsid w:val="00243493"/>
    <w:rsid w:val="002446B4"/>
    <w:rsid w:val="0024551A"/>
    <w:rsid w:val="00245E4D"/>
    <w:rsid w:val="00245E57"/>
    <w:rsid w:val="0024688C"/>
    <w:rsid w:val="002501CD"/>
    <w:rsid w:val="00250392"/>
    <w:rsid w:val="00250C15"/>
    <w:rsid w:val="00250E14"/>
    <w:rsid w:val="00251191"/>
    <w:rsid w:val="00252F83"/>
    <w:rsid w:val="002536B9"/>
    <w:rsid w:val="00253E28"/>
    <w:rsid w:val="002546E8"/>
    <w:rsid w:val="002601B9"/>
    <w:rsid w:val="00260BFA"/>
    <w:rsid w:val="00260F8B"/>
    <w:rsid w:val="00261745"/>
    <w:rsid w:val="002629D3"/>
    <w:rsid w:val="00262B6A"/>
    <w:rsid w:val="0026440F"/>
    <w:rsid w:val="00265FF6"/>
    <w:rsid w:val="002668EC"/>
    <w:rsid w:val="00266AD1"/>
    <w:rsid w:val="0026728B"/>
    <w:rsid w:val="00270B5B"/>
    <w:rsid w:val="00272DE6"/>
    <w:rsid w:val="00273157"/>
    <w:rsid w:val="002742A1"/>
    <w:rsid w:val="002745DA"/>
    <w:rsid w:val="00275599"/>
    <w:rsid w:val="00276190"/>
    <w:rsid w:val="002775DA"/>
    <w:rsid w:val="00277830"/>
    <w:rsid w:val="002779D8"/>
    <w:rsid w:val="00277DFA"/>
    <w:rsid w:val="00281321"/>
    <w:rsid w:val="002821D4"/>
    <w:rsid w:val="00282642"/>
    <w:rsid w:val="0028281D"/>
    <w:rsid w:val="00283496"/>
    <w:rsid w:val="002845C6"/>
    <w:rsid w:val="0028551C"/>
    <w:rsid w:val="0028615F"/>
    <w:rsid w:val="00290C29"/>
    <w:rsid w:val="0029194F"/>
    <w:rsid w:val="00291DAD"/>
    <w:rsid w:val="00291E72"/>
    <w:rsid w:val="0029403B"/>
    <w:rsid w:val="0029406B"/>
    <w:rsid w:val="00295AF7"/>
    <w:rsid w:val="002970B5"/>
    <w:rsid w:val="00297DDD"/>
    <w:rsid w:val="002A0184"/>
    <w:rsid w:val="002A1432"/>
    <w:rsid w:val="002A150E"/>
    <w:rsid w:val="002A46CA"/>
    <w:rsid w:val="002A4811"/>
    <w:rsid w:val="002A49D0"/>
    <w:rsid w:val="002A725C"/>
    <w:rsid w:val="002A7525"/>
    <w:rsid w:val="002B0032"/>
    <w:rsid w:val="002B20CA"/>
    <w:rsid w:val="002B2135"/>
    <w:rsid w:val="002B2650"/>
    <w:rsid w:val="002B29C1"/>
    <w:rsid w:val="002B3DFA"/>
    <w:rsid w:val="002B40D0"/>
    <w:rsid w:val="002B5A80"/>
    <w:rsid w:val="002B5D9A"/>
    <w:rsid w:val="002B5E8D"/>
    <w:rsid w:val="002B646B"/>
    <w:rsid w:val="002B6C72"/>
    <w:rsid w:val="002C13CF"/>
    <w:rsid w:val="002C1C61"/>
    <w:rsid w:val="002C3857"/>
    <w:rsid w:val="002C3F14"/>
    <w:rsid w:val="002C5612"/>
    <w:rsid w:val="002C58CF"/>
    <w:rsid w:val="002C5D12"/>
    <w:rsid w:val="002C5F79"/>
    <w:rsid w:val="002C605B"/>
    <w:rsid w:val="002C6AD5"/>
    <w:rsid w:val="002C6B64"/>
    <w:rsid w:val="002C6CFF"/>
    <w:rsid w:val="002D0144"/>
    <w:rsid w:val="002D0DEF"/>
    <w:rsid w:val="002D0EC7"/>
    <w:rsid w:val="002D2859"/>
    <w:rsid w:val="002D307D"/>
    <w:rsid w:val="002D33E0"/>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70B4"/>
    <w:rsid w:val="002F1089"/>
    <w:rsid w:val="002F1C53"/>
    <w:rsid w:val="002F25D5"/>
    <w:rsid w:val="002F25F5"/>
    <w:rsid w:val="002F2ACD"/>
    <w:rsid w:val="002F2C30"/>
    <w:rsid w:val="002F35E2"/>
    <w:rsid w:val="002F3C9C"/>
    <w:rsid w:val="002F3DAD"/>
    <w:rsid w:val="002F4AA1"/>
    <w:rsid w:val="002F55B9"/>
    <w:rsid w:val="002F5C8A"/>
    <w:rsid w:val="002F6C5D"/>
    <w:rsid w:val="002F6DDC"/>
    <w:rsid w:val="00301BEE"/>
    <w:rsid w:val="00302E22"/>
    <w:rsid w:val="00303ECC"/>
    <w:rsid w:val="0030406D"/>
    <w:rsid w:val="003040AC"/>
    <w:rsid w:val="003049B9"/>
    <w:rsid w:val="00304CAD"/>
    <w:rsid w:val="00304FB3"/>
    <w:rsid w:val="003053E2"/>
    <w:rsid w:val="00305C7A"/>
    <w:rsid w:val="00312F4F"/>
    <w:rsid w:val="003148E2"/>
    <w:rsid w:val="003155DF"/>
    <w:rsid w:val="00315984"/>
    <w:rsid w:val="003171D8"/>
    <w:rsid w:val="00317C42"/>
    <w:rsid w:val="0032178A"/>
    <w:rsid w:val="003225AA"/>
    <w:rsid w:val="003233AF"/>
    <w:rsid w:val="00323DD9"/>
    <w:rsid w:val="00323E40"/>
    <w:rsid w:val="00323F11"/>
    <w:rsid w:val="00325C93"/>
    <w:rsid w:val="00326D94"/>
    <w:rsid w:val="003270A8"/>
    <w:rsid w:val="00327F2F"/>
    <w:rsid w:val="003312B4"/>
    <w:rsid w:val="00332010"/>
    <w:rsid w:val="00332500"/>
    <w:rsid w:val="003345AC"/>
    <w:rsid w:val="0033534F"/>
    <w:rsid w:val="0033566F"/>
    <w:rsid w:val="00335E2F"/>
    <w:rsid w:val="003404B8"/>
    <w:rsid w:val="003405B9"/>
    <w:rsid w:val="00340B9C"/>
    <w:rsid w:val="00341808"/>
    <w:rsid w:val="0034346D"/>
    <w:rsid w:val="003443E6"/>
    <w:rsid w:val="00344652"/>
    <w:rsid w:val="0034510E"/>
    <w:rsid w:val="0034660F"/>
    <w:rsid w:val="00346B0B"/>
    <w:rsid w:val="003472C1"/>
    <w:rsid w:val="003502A0"/>
    <w:rsid w:val="00350BD6"/>
    <w:rsid w:val="00351794"/>
    <w:rsid w:val="003519D9"/>
    <w:rsid w:val="0035355E"/>
    <w:rsid w:val="003536A6"/>
    <w:rsid w:val="003536D5"/>
    <w:rsid w:val="003541D1"/>
    <w:rsid w:val="003542B0"/>
    <w:rsid w:val="0035501A"/>
    <w:rsid w:val="00356CD5"/>
    <w:rsid w:val="00356F91"/>
    <w:rsid w:val="003579AB"/>
    <w:rsid w:val="00357A42"/>
    <w:rsid w:val="0036029D"/>
    <w:rsid w:val="00360528"/>
    <w:rsid w:val="00360890"/>
    <w:rsid w:val="003615C2"/>
    <w:rsid w:val="0036166B"/>
    <w:rsid w:val="00361E0D"/>
    <w:rsid w:val="0036307A"/>
    <w:rsid w:val="0036313C"/>
    <w:rsid w:val="00363DC2"/>
    <w:rsid w:val="00365A5C"/>
    <w:rsid w:val="00365F3F"/>
    <w:rsid w:val="003669C2"/>
    <w:rsid w:val="003677E4"/>
    <w:rsid w:val="00367A86"/>
    <w:rsid w:val="00370604"/>
    <w:rsid w:val="00371CAB"/>
    <w:rsid w:val="003720ED"/>
    <w:rsid w:val="00372200"/>
    <w:rsid w:val="003735C6"/>
    <w:rsid w:val="003736CE"/>
    <w:rsid w:val="00374B1F"/>
    <w:rsid w:val="00374D59"/>
    <w:rsid w:val="00374E68"/>
    <w:rsid w:val="00375726"/>
    <w:rsid w:val="00376CD4"/>
    <w:rsid w:val="00377438"/>
    <w:rsid w:val="003820EE"/>
    <w:rsid w:val="0038256D"/>
    <w:rsid w:val="00383602"/>
    <w:rsid w:val="00384797"/>
    <w:rsid w:val="003849EB"/>
    <w:rsid w:val="00384D18"/>
    <w:rsid w:val="0038533F"/>
    <w:rsid w:val="00386E5C"/>
    <w:rsid w:val="0038720A"/>
    <w:rsid w:val="00387602"/>
    <w:rsid w:val="00391A0D"/>
    <w:rsid w:val="00391DD4"/>
    <w:rsid w:val="003923A2"/>
    <w:rsid w:val="00392AD8"/>
    <w:rsid w:val="00394632"/>
    <w:rsid w:val="00394AC9"/>
    <w:rsid w:val="00395167"/>
    <w:rsid w:val="00396C3C"/>
    <w:rsid w:val="00397320"/>
    <w:rsid w:val="003979EF"/>
    <w:rsid w:val="00397A86"/>
    <w:rsid w:val="00397E92"/>
    <w:rsid w:val="003A0162"/>
    <w:rsid w:val="003A0D9D"/>
    <w:rsid w:val="003A23E9"/>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5F5"/>
    <w:rsid w:val="003B440E"/>
    <w:rsid w:val="003B5988"/>
    <w:rsid w:val="003B5B47"/>
    <w:rsid w:val="003B6A1B"/>
    <w:rsid w:val="003B7ED4"/>
    <w:rsid w:val="003B7F45"/>
    <w:rsid w:val="003C0045"/>
    <w:rsid w:val="003C0241"/>
    <w:rsid w:val="003C1A61"/>
    <w:rsid w:val="003C1A7F"/>
    <w:rsid w:val="003C3911"/>
    <w:rsid w:val="003C509F"/>
    <w:rsid w:val="003C6583"/>
    <w:rsid w:val="003C6E25"/>
    <w:rsid w:val="003C71C8"/>
    <w:rsid w:val="003D019E"/>
    <w:rsid w:val="003D1747"/>
    <w:rsid w:val="003D19D5"/>
    <w:rsid w:val="003D2D26"/>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552E"/>
    <w:rsid w:val="003E5FE9"/>
    <w:rsid w:val="003E65C9"/>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AEB"/>
    <w:rsid w:val="00403525"/>
    <w:rsid w:val="004039F0"/>
    <w:rsid w:val="00403CC0"/>
    <w:rsid w:val="0040415B"/>
    <w:rsid w:val="00404336"/>
    <w:rsid w:val="00404EB6"/>
    <w:rsid w:val="00406460"/>
    <w:rsid w:val="00406A38"/>
    <w:rsid w:val="00406F0A"/>
    <w:rsid w:val="00407067"/>
    <w:rsid w:val="00407AD9"/>
    <w:rsid w:val="004106D1"/>
    <w:rsid w:val="00411F3B"/>
    <w:rsid w:val="00412639"/>
    <w:rsid w:val="004127CC"/>
    <w:rsid w:val="00413FE9"/>
    <w:rsid w:val="00415074"/>
    <w:rsid w:val="00415285"/>
    <w:rsid w:val="004163B4"/>
    <w:rsid w:val="00417592"/>
    <w:rsid w:val="00417AAF"/>
    <w:rsid w:val="00422021"/>
    <w:rsid w:val="0042211C"/>
    <w:rsid w:val="00423EDA"/>
    <w:rsid w:val="00424278"/>
    <w:rsid w:val="00424362"/>
    <w:rsid w:val="00424AD4"/>
    <w:rsid w:val="00424E0C"/>
    <w:rsid w:val="004251A9"/>
    <w:rsid w:val="00425F1A"/>
    <w:rsid w:val="00425FA9"/>
    <w:rsid w:val="00426EF4"/>
    <w:rsid w:val="00427E7B"/>
    <w:rsid w:val="004304EA"/>
    <w:rsid w:val="00434456"/>
    <w:rsid w:val="00435509"/>
    <w:rsid w:val="00436025"/>
    <w:rsid w:val="00437493"/>
    <w:rsid w:val="00437540"/>
    <w:rsid w:val="0043756A"/>
    <w:rsid w:val="004375F7"/>
    <w:rsid w:val="00437975"/>
    <w:rsid w:val="00440839"/>
    <w:rsid w:val="004408EA"/>
    <w:rsid w:val="0044099E"/>
    <w:rsid w:val="00442323"/>
    <w:rsid w:val="004432C6"/>
    <w:rsid w:val="00443810"/>
    <w:rsid w:val="00443ABE"/>
    <w:rsid w:val="00443CA4"/>
    <w:rsid w:val="0044469A"/>
    <w:rsid w:val="00444DC2"/>
    <w:rsid w:val="00445515"/>
    <w:rsid w:val="00445817"/>
    <w:rsid w:val="00445E18"/>
    <w:rsid w:val="00445EF6"/>
    <w:rsid w:val="004463E4"/>
    <w:rsid w:val="004464FA"/>
    <w:rsid w:val="00447358"/>
    <w:rsid w:val="004473C8"/>
    <w:rsid w:val="00447E21"/>
    <w:rsid w:val="00451DF3"/>
    <w:rsid w:val="00452170"/>
    <w:rsid w:val="0045270C"/>
    <w:rsid w:val="00452AA8"/>
    <w:rsid w:val="00452DC4"/>
    <w:rsid w:val="0045306C"/>
    <w:rsid w:val="00453806"/>
    <w:rsid w:val="0045425B"/>
    <w:rsid w:val="004543CC"/>
    <w:rsid w:val="0045495E"/>
    <w:rsid w:val="004556DF"/>
    <w:rsid w:val="0045670D"/>
    <w:rsid w:val="00457472"/>
    <w:rsid w:val="00460FE0"/>
    <w:rsid w:val="004612BD"/>
    <w:rsid w:val="004614BE"/>
    <w:rsid w:val="00461752"/>
    <w:rsid w:val="0046222A"/>
    <w:rsid w:val="004632E6"/>
    <w:rsid w:val="0046332B"/>
    <w:rsid w:val="00463530"/>
    <w:rsid w:val="00463E49"/>
    <w:rsid w:val="00463F25"/>
    <w:rsid w:val="00465A6A"/>
    <w:rsid w:val="0047035C"/>
    <w:rsid w:val="0047129B"/>
    <w:rsid w:val="00472279"/>
    <w:rsid w:val="0047285A"/>
    <w:rsid w:val="00472AC0"/>
    <w:rsid w:val="004733BB"/>
    <w:rsid w:val="00473A57"/>
    <w:rsid w:val="0047643F"/>
    <w:rsid w:val="00476A6E"/>
    <w:rsid w:val="004777AE"/>
    <w:rsid w:val="004779B5"/>
    <w:rsid w:val="00477BD6"/>
    <w:rsid w:val="00480AFD"/>
    <w:rsid w:val="004823BF"/>
    <w:rsid w:val="004825C6"/>
    <w:rsid w:val="0048261D"/>
    <w:rsid w:val="004832CE"/>
    <w:rsid w:val="004837AB"/>
    <w:rsid w:val="00483B09"/>
    <w:rsid w:val="00483C82"/>
    <w:rsid w:val="00483F8A"/>
    <w:rsid w:val="0048532F"/>
    <w:rsid w:val="004855AC"/>
    <w:rsid w:val="00485E89"/>
    <w:rsid w:val="00487725"/>
    <w:rsid w:val="00487AEB"/>
    <w:rsid w:val="00487DBC"/>
    <w:rsid w:val="00491387"/>
    <w:rsid w:val="004922B6"/>
    <w:rsid w:val="0049553E"/>
    <w:rsid w:val="00495DED"/>
    <w:rsid w:val="00496650"/>
    <w:rsid w:val="00497B9B"/>
    <w:rsid w:val="00497CBE"/>
    <w:rsid w:val="00497D7B"/>
    <w:rsid w:val="004A006B"/>
    <w:rsid w:val="004A085E"/>
    <w:rsid w:val="004A1920"/>
    <w:rsid w:val="004A289F"/>
    <w:rsid w:val="004A303C"/>
    <w:rsid w:val="004A3942"/>
    <w:rsid w:val="004A41D5"/>
    <w:rsid w:val="004A455D"/>
    <w:rsid w:val="004A4E6C"/>
    <w:rsid w:val="004A5AC1"/>
    <w:rsid w:val="004A60A4"/>
    <w:rsid w:val="004A60DF"/>
    <w:rsid w:val="004A68D0"/>
    <w:rsid w:val="004B0DBD"/>
    <w:rsid w:val="004B232E"/>
    <w:rsid w:val="004B2405"/>
    <w:rsid w:val="004B3557"/>
    <w:rsid w:val="004B4C51"/>
    <w:rsid w:val="004B4E58"/>
    <w:rsid w:val="004B4ED5"/>
    <w:rsid w:val="004B5FCF"/>
    <w:rsid w:val="004B6222"/>
    <w:rsid w:val="004B6226"/>
    <w:rsid w:val="004C0A2D"/>
    <w:rsid w:val="004C0B9C"/>
    <w:rsid w:val="004C14EB"/>
    <w:rsid w:val="004C242C"/>
    <w:rsid w:val="004C2881"/>
    <w:rsid w:val="004C2A4E"/>
    <w:rsid w:val="004C2C1C"/>
    <w:rsid w:val="004C3F69"/>
    <w:rsid w:val="004C43EB"/>
    <w:rsid w:val="004C465E"/>
    <w:rsid w:val="004C4A5A"/>
    <w:rsid w:val="004C4AFE"/>
    <w:rsid w:val="004C5595"/>
    <w:rsid w:val="004C6D39"/>
    <w:rsid w:val="004D014F"/>
    <w:rsid w:val="004D07DB"/>
    <w:rsid w:val="004D1F78"/>
    <w:rsid w:val="004D2CB9"/>
    <w:rsid w:val="004D5B1B"/>
    <w:rsid w:val="004D6813"/>
    <w:rsid w:val="004D7597"/>
    <w:rsid w:val="004D7867"/>
    <w:rsid w:val="004D7897"/>
    <w:rsid w:val="004E00AB"/>
    <w:rsid w:val="004E1AD5"/>
    <w:rsid w:val="004E1B75"/>
    <w:rsid w:val="004E3019"/>
    <w:rsid w:val="004E37D6"/>
    <w:rsid w:val="004E37E9"/>
    <w:rsid w:val="004E4ABB"/>
    <w:rsid w:val="004E5738"/>
    <w:rsid w:val="004E7530"/>
    <w:rsid w:val="004E79CD"/>
    <w:rsid w:val="004E7C20"/>
    <w:rsid w:val="004F2B51"/>
    <w:rsid w:val="004F3397"/>
    <w:rsid w:val="004F3D53"/>
    <w:rsid w:val="004F3F9F"/>
    <w:rsid w:val="004F4692"/>
    <w:rsid w:val="004F5F76"/>
    <w:rsid w:val="004F6013"/>
    <w:rsid w:val="004F68A9"/>
    <w:rsid w:val="00500D8F"/>
    <w:rsid w:val="00502C2B"/>
    <w:rsid w:val="00503B34"/>
    <w:rsid w:val="00504667"/>
    <w:rsid w:val="00505E68"/>
    <w:rsid w:val="00506028"/>
    <w:rsid w:val="00506220"/>
    <w:rsid w:val="00507B6B"/>
    <w:rsid w:val="00511C3F"/>
    <w:rsid w:val="00511CEB"/>
    <w:rsid w:val="0051270C"/>
    <w:rsid w:val="00513043"/>
    <w:rsid w:val="0051459B"/>
    <w:rsid w:val="005147E2"/>
    <w:rsid w:val="00514DD7"/>
    <w:rsid w:val="005154D7"/>
    <w:rsid w:val="00515706"/>
    <w:rsid w:val="00515C04"/>
    <w:rsid w:val="00517FBB"/>
    <w:rsid w:val="0052055D"/>
    <w:rsid w:val="005212B1"/>
    <w:rsid w:val="00521331"/>
    <w:rsid w:val="005234E4"/>
    <w:rsid w:val="00523695"/>
    <w:rsid w:val="00524751"/>
    <w:rsid w:val="00525855"/>
    <w:rsid w:val="00527A13"/>
    <w:rsid w:val="00530D0A"/>
    <w:rsid w:val="00531C98"/>
    <w:rsid w:val="00533845"/>
    <w:rsid w:val="00534EF5"/>
    <w:rsid w:val="00536990"/>
    <w:rsid w:val="00536F46"/>
    <w:rsid w:val="00540ED9"/>
    <w:rsid w:val="00541630"/>
    <w:rsid w:val="005421B6"/>
    <w:rsid w:val="005421B9"/>
    <w:rsid w:val="0054229B"/>
    <w:rsid w:val="0054254F"/>
    <w:rsid w:val="00543098"/>
    <w:rsid w:val="0054383D"/>
    <w:rsid w:val="005456A4"/>
    <w:rsid w:val="00545862"/>
    <w:rsid w:val="0054632E"/>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784"/>
    <w:rsid w:val="00560744"/>
    <w:rsid w:val="00560C9E"/>
    <w:rsid w:val="0056168A"/>
    <w:rsid w:val="00562116"/>
    <w:rsid w:val="0056303D"/>
    <w:rsid w:val="00564B00"/>
    <w:rsid w:val="00564FCF"/>
    <w:rsid w:val="00565F33"/>
    <w:rsid w:val="0056678A"/>
    <w:rsid w:val="00567885"/>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80558"/>
    <w:rsid w:val="00581162"/>
    <w:rsid w:val="00581270"/>
    <w:rsid w:val="00582808"/>
    <w:rsid w:val="0058375A"/>
    <w:rsid w:val="00584D91"/>
    <w:rsid w:val="00585F96"/>
    <w:rsid w:val="00586566"/>
    <w:rsid w:val="0059023B"/>
    <w:rsid w:val="00590345"/>
    <w:rsid w:val="00592472"/>
    <w:rsid w:val="00592B8E"/>
    <w:rsid w:val="00593E48"/>
    <w:rsid w:val="0059541B"/>
    <w:rsid w:val="00595890"/>
    <w:rsid w:val="00595DFB"/>
    <w:rsid w:val="005968B7"/>
    <w:rsid w:val="005A0203"/>
    <w:rsid w:val="005A0358"/>
    <w:rsid w:val="005A456B"/>
    <w:rsid w:val="005A4B47"/>
    <w:rsid w:val="005A5899"/>
    <w:rsid w:val="005A5968"/>
    <w:rsid w:val="005A64CD"/>
    <w:rsid w:val="005A6E26"/>
    <w:rsid w:val="005A7100"/>
    <w:rsid w:val="005B073D"/>
    <w:rsid w:val="005B0C40"/>
    <w:rsid w:val="005B121C"/>
    <w:rsid w:val="005B143B"/>
    <w:rsid w:val="005B1B69"/>
    <w:rsid w:val="005B2AF4"/>
    <w:rsid w:val="005B2CE0"/>
    <w:rsid w:val="005B2F32"/>
    <w:rsid w:val="005B4A53"/>
    <w:rsid w:val="005B4AA4"/>
    <w:rsid w:val="005B6123"/>
    <w:rsid w:val="005B6ADF"/>
    <w:rsid w:val="005B7AA5"/>
    <w:rsid w:val="005C0F88"/>
    <w:rsid w:val="005C2152"/>
    <w:rsid w:val="005C23C5"/>
    <w:rsid w:val="005C4E2D"/>
    <w:rsid w:val="005C5317"/>
    <w:rsid w:val="005C544F"/>
    <w:rsid w:val="005C68D5"/>
    <w:rsid w:val="005C78B3"/>
    <w:rsid w:val="005D106F"/>
    <w:rsid w:val="005D18B6"/>
    <w:rsid w:val="005D1C88"/>
    <w:rsid w:val="005D244C"/>
    <w:rsid w:val="005D2CAC"/>
    <w:rsid w:val="005D3DEE"/>
    <w:rsid w:val="005D3EE2"/>
    <w:rsid w:val="005D4977"/>
    <w:rsid w:val="005D4D8A"/>
    <w:rsid w:val="005D7578"/>
    <w:rsid w:val="005E0FE9"/>
    <w:rsid w:val="005E1132"/>
    <w:rsid w:val="005E173B"/>
    <w:rsid w:val="005E2FA8"/>
    <w:rsid w:val="005E627E"/>
    <w:rsid w:val="005E685D"/>
    <w:rsid w:val="005E6A79"/>
    <w:rsid w:val="005F1430"/>
    <w:rsid w:val="005F2C82"/>
    <w:rsid w:val="005F383A"/>
    <w:rsid w:val="005F512B"/>
    <w:rsid w:val="005F5711"/>
    <w:rsid w:val="00600132"/>
    <w:rsid w:val="006007D6"/>
    <w:rsid w:val="00601201"/>
    <w:rsid w:val="0060137D"/>
    <w:rsid w:val="006017BB"/>
    <w:rsid w:val="00602F2F"/>
    <w:rsid w:val="00603A61"/>
    <w:rsid w:val="00603B17"/>
    <w:rsid w:val="006045C5"/>
    <w:rsid w:val="00605C51"/>
    <w:rsid w:val="00611B0E"/>
    <w:rsid w:val="00612914"/>
    <w:rsid w:val="00612FE3"/>
    <w:rsid w:val="00613EF1"/>
    <w:rsid w:val="00614DEA"/>
    <w:rsid w:val="0061544F"/>
    <w:rsid w:val="00617813"/>
    <w:rsid w:val="00617EAE"/>
    <w:rsid w:val="006200EC"/>
    <w:rsid w:val="00621791"/>
    <w:rsid w:val="00621CE5"/>
    <w:rsid w:val="00622ACC"/>
    <w:rsid w:val="00622D42"/>
    <w:rsid w:val="00623154"/>
    <w:rsid w:val="00623AE2"/>
    <w:rsid w:val="00624C32"/>
    <w:rsid w:val="00624CE3"/>
    <w:rsid w:val="006268EA"/>
    <w:rsid w:val="00626EFE"/>
    <w:rsid w:val="006303F8"/>
    <w:rsid w:val="00630A55"/>
    <w:rsid w:val="00631007"/>
    <w:rsid w:val="0063122B"/>
    <w:rsid w:val="00633A90"/>
    <w:rsid w:val="0063422A"/>
    <w:rsid w:val="00634A76"/>
    <w:rsid w:val="00635F13"/>
    <w:rsid w:val="006364A4"/>
    <w:rsid w:val="00636C40"/>
    <w:rsid w:val="00636F5B"/>
    <w:rsid w:val="0063757E"/>
    <w:rsid w:val="00640263"/>
    <w:rsid w:val="00640B54"/>
    <w:rsid w:val="00640EE7"/>
    <w:rsid w:val="00641585"/>
    <w:rsid w:val="0064167F"/>
    <w:rsid w:val="006419FF"/>
    <w:rsid w:val="006427FC"/>
    <w:rsid w:val="0064310B"/>
    <w:rsid w:val="0064331E"/>
    <w:rsid w:val="00643D50"/>
    <w:rsid w:val="00643EA4"/>
    <w:rsid w:val="006446A6"/>
    <w:rsid w:val="006450C2"/>
    <w:rsid w:val="00645213"/>
    <w:rsid w:val="00645C03"/>
    <w:rsid w:val="00646424"/>
    <w:rsid w:val="00646938"/>
    <w:rsid w:val="00650C8D"/>
    <w:rsid w:val="0065221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117F"/>
    <w:rsid w:val="00661695"/>
    <w:rsid w:val="00662DF2"/>
    <w:rsid w:val="00664844"/>
    <w:rsid w:val="00664DD3"/>
    <w:rsid w:val="00665CEB"/>
    <w:rsid w:val="00665F03"/>
    <w:rsid w:val="00666E06"/>
    <w:rsid w:val="00666F89"/>
    <w:rsid w:val="00670776"/>
    <w:rsid w:val="00670D7F"/>
    <w:rsid w:val="00672058"/>
    <w:rsid w:val="006721D7"/>
    <w:rsid w:val="006722DB"/>
    <w:rsid w:val="006726FB"/>
    <w:rsid w:val="00673220"/>
    <w:rsid w:val="00673F52"/>
    <w:rsid w:val="00674E83"/>
    <w:rsid w:val="00675F2D"/>
    <w:rsid w:val="006763C5"/>
    <w:rsid w:val="0067660E"/>
    <w:rsid w:val="006771FC"/>
    <w:rsid w:val="0067773F"/>
    <w:rsid w:val="00677BB8"/>
    <w:rsid w:val="00680B0D"/>
    <w:rsid w:val="00680CD5"/>
    <w:rsid w:val="00681332"/>
    <w:rsid w:val="00681E0E"/>
    <w:rsid w:val="00682A99"/>
    <w:rsid w:val="00683AEF"/>
    <w:rsid w:val="0068418D"/>
    <w:rsid w:val="0068450E"/>
    <w:rsid w:val="00685F16"/>
    <w:rsid w:val="00686007"/>
    <w:rsid w:val="0068626A"/>
    <w:rsid w:val="006865A9"/>
    <w:rsid w:val="0068678B"/>
    <w:rsid w:val="00686D7C"/>
    <w:rsid w:val="0068746E"/>
    <w:rsid w:val="00687949"/>
    <w:rsid w:val="00687FC1"/>
    <w:rsid w:val="00690AB6"/>
    <w:rsid w:val="006914FB"/>
    <w:rsid w:val="00692632"/>
    <w:rsid w:val="00693223"/>
    <w:rsid w:val="0069413C"/>
    <w:rsid w:val="00694C8F"/>
    <w:rsid w:val="00695DB2"/>
    <w:rsid w:val="0069680F"/>
    <w:rsid w:val="00696EFF"/>
    <w:rsid w:val="00697672"/>
    <w:rsid w:val="006A0071"/>
    <w:rsid w:val="006A14BD"/>
    <w:rsid w:val="006A35B8"/>
    <w:rsid w:val="006A4472"/>
    <w:rsid w:val="006A4F15"/>
    <w:rsid w:val="006A5026"/>
    <w:rsid w:val="006A5088"/>
    <w:rsid w:val="006A53EF"/>
    <w:rsid w:val="006A5E10"/>
    <w:rsid w:val="006A60F3"/>
    <w:rsid w:val="006A64E5"/>
    <w:rsid w:val="006A76E2"/>
    <w:rsid w:val="006B0D61"/>
    <w:rsid w:val="006B1174"/>
    <w:rsid w:val="006B1587"/>
    <w:rsid w:val="006B1E1F"/>
    <w:rsid w:val="006B2120"/>
    <w:rsid w:val="006B2CDB"/>
    <w:rsid w:val="006B2FB5"/>
    <w:rsid w:val="006B3CA6"/>
    <w:rsid w:val="006B3DE2"/>
    <w:rsid w:val="006B3EFF"/>
    <w:rsid w:val="006B3FEE"/>
    <w:rsid w:val="006B669A"/>
    <w:rsid w:val="006B7013"/>
    <w:rsid w:val="006B7639"/>
    <w:rsid w:val="006C0069"/>
    <w:rsid w:val="006C0373"/>
    <w:rsid w:val="006C19B4"/>
    <w:rsid w:val="006C21D2"/>
    <w:rsid w:val="006C2585"/>
    <w:rsid w:val="006C45DA"/>
    <w:rsid w:val="006C50D0"/>
    <w:rsid w:val="006C7BBD"/>
    <w:rsid w:val="006C7DDE"/>
    <w:rsid w:val="006D0547"/>
    <w:rsid w:val="006D1A86"/>
    <w:rsid w:val="006D29DE"/>
    <w:rsid w:val="006D3298"/>
    <w:rsid w:val="006D336B"/>
    <w:rsid w:val="006D3A6C"/>
    <w:rsid w:val="006D3EC5"/>
    <w:rsid w:val="006D45E1"/>
    <w:rsid w:val="006D4755"/>
    <w:rsid w:val="006D5D9A"/>
    <w:rsid w:val="006D6230"/>
    <w:rsid w:val="006D7A15"/>
    <w:rsid w:val="006E0234"/>
    <w:rsid w:val="006E03BE"/>
    <w:rsid w:val="006E0628"/>
    <w:rsid w:val="006E0D6B"/>
    <w:rsid w:val="006E20EE"/>
    <w:rsid w:val="006E333F"/>
    <w:rsid w:val="006E52DA"/>
    <w:rsid w:val="006E6892"/>
    <w:rsid w:val="006E6F24"/>
    <w:rsid w:val="006E719B"/>
    <w:rsid w:val="006E7387"/>
    <w:rsid w:val="006E7A83"/>
    <w:rsid w:val="006F13BE"/>
    <w:rsid w:val="006F19AE"/>
    <w:rsid w:val="006F291D"/>
    <w:rsid w:val="006F45D6"/>
    <w:rsid w:val="006F507E"/>
    <w:rsid w:val="006F535A"/>
    <w:rsid w:val="006F55BB"/>
    <w:rsid w:val="006F75C1"/>
    <w:rsid w:val="00700CA2"/>
    <w:rsid w:val="00701E2C"/>
    <w:rsid w:val="0070230F"/>
    <w:rsid w:val="00702DFD"/>
    <w:rsid w:val="007044DA"/>
    <w:rsid w:val="00704D5E"/>
    <w:rsid w:val="0070523D"/>
    <w:rsid w:val="00705713"/>
    <w:rsid w:val="00706882"/>
    <w:rsid w:val="00707BDE"/>
    <w:rsid w:val="00707DCB"/>
    <w:rsid w:val="00710358"/>
    <w:rsid w:val="00710816"/>
    <w:rsid w:val="007109EB"/>
    <w:rsid w:val="00710E8D"/>
    <w:rsid w:val="0071114E"/>
    <w:rsid w:val="00711521"/>
    <w:rsid w:val="00712DA1"/>
    <w:rsid w:val="007137F3"/>
    <w:rsid w:val="00713B2C"/>
    <w:rsid w:val="00713DE8"/>
    <w:rsid w:val="00713FE4"/>
    <w:rsid w:val="007145F2"/>
    <w:rsid w:val="00714795"/>
    <w:rsid w:val="00715B84"/>
    <w:rsid w:val="00715FAC"/>
    <w:rsid w:val="00717D11"/>
    <w:rsid w:val="00720097"/>
    <w:rsid w:val="00721C3B"/>
    <w:rsid w:val="00722800"/>
    <w:rsid w:val="00722A98"/>
    <w:rsid w:val="00723AD0"/>
    <w:rsid w:val="00724E7D"/>
    <w:rsid w:val="00727B39"/>
    <w:rsid w:val="00730693"/>
    <w:rsid w:val="007319AA"/>
    <w:rsid w:val="00732F6F"/>
    <w:rsid w:val="00733524"/>
    <w:rsid w:val="00733C28"/>
    <w:rsid w:val="00734F11"/>
    <w:rsid w:val="0073560E"/>
    <w:rsid w:val="007357B6"/>
    <w:rsid w:val="0073585F"/>
    <w:rsid w:val="00735911"/>
    <w:rsid w:val="00735F67"/>
    <w:rsid w:val="007364C7"/>
    <w:rsid w:val="007379D6"/>
    <w:rsid w:val="00740F76"/>
    <w:rsid w:val="00742C51"/>
    <w:rsid w:val="00742FDD"/>
    <w:rsid w:val="00743D5B"/>
    <w:rsid w:val="00744650"/>
    <w:rsid w:val="007454B7"/>
    <w:rsid w:val="0075020C"/>
    <w:rsid w:val="00751B66"/>
    <w:rsid w:val="00752044"/>
    <w:rsid w:val="00752565"/>
    <w:rsid w:val="00752662"/>
    <w:rsid w:val="00752B35"/>
    <w:rsid w:val="0075389C"/>
    <w:rsid w:val="007545DD"/>
    <w:rsid w:val="007560F0"/>
    <w:rsid w:val="0075610E"/>
    <w:rsid w:val="007565E0"/>
    <w:rsid w:val="00756B2D"/>
    <w:rsid w:val="00756F4D"/>
    <w:rsid w:val="00757C4D"/>
    <w:rsid w:val="00757E17"/>
    <w:rsid w:val="00760D71"/>
    <w:rsid w:val="00760F9F"/>
    <w:rsid w:val="00761BCE"/>
    <w:rsid w:val="00763141"/>
    <w:rsid w:val="007648BF"/>
    <w:rsid w:val="007652CA"/>
    <w:rsid w:val="00765528"/>
    <w:rsid w:val="007656DE"/>
    <w:rsid w:val="00765726"/>
    <w:rsid w:val="007667EC"/>
    <w:rsid w:val="00766FF7"/>
    <w:rsid w:val="00770756"/>
    <w:rsid w:val="00771460"/>
    <w:rsid w:val="00771DF1"/>
    <w:rsid w:val="0077212E"/>
    <w:rsid w:val="00773135"/>
    <w:rsid w:val="0077566B"/>
    <w:rsid w:val="00775DA1"/>
    <w:rsid w:val="00776EED"/>
    <w:rsid w:val="007808DA"/>
    <w:rsid w:val="007812D1"/>
    <w:rsid w:val="00781671"/>
    <w:rsid w:val="007817EB"/>
    <w:rsid w:val="00781D2C"/>
    <w:rsid w:val="00781F9D"/>
    <w:rsid w:val="00782B61"/>
    <w:rsid w:val="0078572B"/>
    <w:rsid w:val="00785DCD"/>
    <w:rsid w:val="007875BB"/>
    <w:rsid w:val="00787D01"/>
    <w:rsid w:val="0079058D"/>
    <w:rsid w:val="00790A31"/>
    <w:rsid w:val="007912F8"/>
    <w:rsid w:val="0079215A"/>
    <w:rsid w:val="00792BFC"/>
    <w:rsid w:val="00792C43"/>
    <w:rsid w:val="007952DD"/>
    <w:rsid w:val="00797404"/>
    <w:rsid w:val="00797791"/>
    <w:rsid w:val="00797847"/>
    <w:rsid w:val="00797FFD"/>
    <w:rsid w:val="007A01EB"/>
    <w:rsid w:val="007A0784"/>
    <w:rsid w:val="007A122F"/>
    <w:rsid w:val="007A1387"/>
    <w:rsid w:val="007A1919"/>
    <w:rsid w:val="007A21B4"/>
    <w:rsid w:val="007A441C"/>
    <w:rsid w:val="007A5FB2"/>
    <w:rsid w:val="007A6598"/>
    <w:rsid w:val="007A7C8B"/>
    <w:rsid w:val="007B2107"/>
    <w:rsid w:val="007B2A22"/>
    <w:rsid w:val="007B2A5C"/>
    <w:rsid w:val="007B2BF0"/>
    <w:rsid w:val="007B2C3C"/>
    <w:rsid w:val="007B5209"/>
    <w:rsid w:val="007B5C03"/>
    <w:rsid w:val="007B5F28"/>
    <w:rsid w:val="007B6C21"/>
    <w:rsid w:val="007C0858"/>
    <w:rsid w:val="007C0E17"/>
    <w:rsid w:val="007C0F62"/>
    <w:rsid w:val="007C316D"/>
    <w:rsid w:val="007C4095"/>
    <w:rsid w:val="007C4099"/>
    <w:rsid w:val="007C4A52"/>
    <w:rsid w:val="007C57CD"/>
    <w:rsid w:val="007C782F"/>
    <w:rsid w:val="007D021B"/>
    <w:rsid w:val="007D03DA"/>
    <w:rsid w:val="007D132E"/>
    <w:rsid w:val="007D1DEB"/>
    <w:rsid w:val="007D28CF"/>
    <w:rsid w:val="007D28F1"/>
    <w:rsid w:val="007D318B"/>
    <w:rsid w:val="007D3BCC"/>
    <w:rsid w:val="007D4607"/>
    <w:rsid w:val="007D4B95"/>
    <w:rsid w:val="007D4C79"/>
    <w:rsid w:val="007D4F4F"/>
    <w:rsid w:val="007D5722"/>
    <w:rsid w:val="007D703B"/>
    <w:rsid w:val="007D7B79"/>
    <w:rsid w:val="007E0B71"/>
    <w:rsid w:val="007E1121"/>
    <w:rsid w:val="007E21EC"/>
    <w:rsid w:val="007E263B"/>
    <w:rsid w:val="007E2AE3"/>
    <w:rsid w:val="007E2BDE"/>
    <w:rsid w:val="007E32B0"/>
    <w:rsid w:val="007E4827"/>
    <w:rsid w:val="007E492B"/>
    <w:rsid w:val="007E5047"/>
    <w:rsid w:val="007E63FA"/>
    <w:rsid w:val="007F08D4"/>
    <w:rsid w:val="007F1156"/>
    <w:rsid w:val="007F2A84"/>
    <w:rsid w:val="007F2B5D"/>
    <w:rsid w:val="007F3581"/>
    <w:rsid w:val="007F3A28"/>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06BF8"/>
    <w:rsid w:val="008100A7"/>
    <w:rsid w:val="0081042F"/>
    <w:rsid w:val="0081067C"/>
    <w:rsid w:val="00810B42"/>
    <w:rsid w:val="00810E47"/>
    <w:rsid w:val="00811E7B"/>
    <w:rsid w:val="008134E4"/>
    <w:rsid w:val="0081374A"/>
    <w:rsid w:val="00814750"/>
    <w:rsid w:val="008151A4"/>
    <w:rsid w:val="008164E0"/>
    <w:rsid w:val="00817C9E"/>
    <w:rsid w:val="00817F1B"/>
    <w:rsid w:val="00820CDF"/>
    <w:rsid w:val="0082170C"/>
    <w:rsid w:val="00822D82"/>
    <w:rsid w:val="0082323A"/>
    <w:rsid w:val="0082335B"/>
    <w:rsid w:val="00823656"/>
    <w:rsid w:val="00823BFB"/>
    <w:rsid w:val="00823DA8"/>
    <w:rsid w:val="00825205"/>
    <w:rsid w:val="00825B27"/>
    <w:rsid w:val="00825EF0"/>
    <w:rsid w:val="00826192"/>
    <w:rsid w:val="00826CA8"/>
    <w:rsid w:val="00831928"/>
    <w:rsid w:val="00832C90"/>
    <w:rsid w:val="00832F8E"/>
    <w:rsid w:val="00833D31"/>
    <w:rsid w:val="00834C16"/>
    <w:rsid w:val="00835419"/>
    <w:rsid w:val="00835B35"/>
    <w:rsid w:val="008361C3"/>
    <w:rsid w:val="00837E60"/>
    <w:rsid w:val="0084007F"/>
    <w:rsid w:val="00841D0C"/>
    <w:rsid w:val="00841E0F"/>
    <w:rsid w:val="008422CD"/>
    <w:rsid w:val="00842411"/>
    <w:rsid w:val="00842F1F"/>
    <w:rsid w:val="00843CC2"/>
    <w:rsid w:val="00844751"/>
    <w:rsid w:val="008447F2"/>
    <w:rsid w:val="0084592A"/>
    <w:rsid w:val="00845972"/>
    <w:rsid w:val="00846370"/>
    <w:rsid w:val="00847124"/>
    <w:rsid w:val="008509D2"/>
    <w:rsid w:val="00850CA6"/>
    <w:rsid w:val="00850CDB"/>
    <w:rsid w:val="00850D9A"/>
    <w:rsid w:val="00851089"/>
    <w:rsid w:val="00851140"/>
    <w:rsid w:val="00851718"/>
    <w:rsid w:val="008530B9"/>
    <w:rsid w:val="00854D50"/>
    <w:rsid w:val="00855289"/>
    <w:rsid w:val="00860888"/>
    <w:rsid w:val="0086170A"/>
    <w:rsid w:val="00861B14"/>
    <w:rsid w:val="00862C86"/>
    <w:rsid w:val="0086372D"/>
    <w:rsid w:val="00863B70"/>
    <w:rsid w:val="00864C89"/>
    <w:rsid w:val="008651D5"/>
    <w:rsid w:val="0086681C"/>
    <w:rsid w:val="00867D21"/>
    <w:rsid w:val="00870D44"/>
    <w:rsid w:val="0087292C"/>
    <w:rsid w:val="0087453A"/>
    <w:rsid w:val="00874B9F"/>
    <w:rsid w:val="00874EED"/>
    <w:rsid w:val="0087514B"/>
    <w:rsid w:val="008751D7"/>
    <w:rsid w:val="00875A1F"/>
    <w:rsid w:val="00875B68"/>
    <w:rsid w:val="00875DE7"/>
    <w:rsid w:val="008764D5"/>
    <w:rsid w:val="00877171"/>
    <w:rsid w:val="00877E4A"/>
    <w:rsid w:val="0088309F"/>
    <w:rsid w:val="008832C4"/>
    <w:rsid w:val="00883458"/>
    <w:rsid w:val="00883CA7"/>
    <w:rsid w:val="00884187"/>
    <w:rsid w:val="00885423"/>
    <w:rsid w:val="00885691"/>
    <w:rsid w:val="0088649A"/>
    <w:rsid w:val="00886EA7"/>
    <w:rsid w:val="00890451"/>
    <w:rsid w:val="00890606"/>
    <w:rsid w:val="00890A41"/>
    <w:rsid w:val="00892E13"/>
    <w:rsid w:val="00895AAA"/>
    <w:rsid w:val="00896E66"/>
    <w:rsid w:val="008974D5"/>
    <w:rsid w:val="00897FD3"/>
    <w:rsid w:val="008A1044"/>
    <w:rsid w:val="008A12DE"/>
    <w:rsid w:val="008A2394"/>
    <w:rsid w:val="008A264A"/>
    <w:rsid w:val="008A2E52"/>
    <w:rsid w:val="008A3670"/>
    <w:rsid w:val="008A3D92"/>
    <w:rsid w:val="008A4E49"/>
    <w:rsid w:val="008A4E9F"/>
    <w:rsid w:val="008A5924"/>
    <w:rsid w:val="008A652A"/>
    <w:rsid w:val="008A6795"/>
    <w:rsid w:val="008A6BF2"/>
    <w:rsid w:val="008A7545"/>
    <w:rsid w:val="008A762B"/>
    <w:rsid w:val="008A77D4"/>
    <w:rsid w:val="008B1824"/>
    <w:rsid w:val="008B1DDD"/>
    <w:rsid w:val="008B2B87"/>
    <w:rsid w:val="008B2F47"/>
    <w:rsid w:val="008B3998"/>
    <w:rsid w:val="008B477D"/>
    <w:rsid w:val="008B5597"/>
    <w:rsid w:val="008B67B3"/>
    <w:rsid w:val="008B7445"/>
    <w:rsid w:val="008B75DB"/>
    <w:rsid w:val="008C0C96"/>
    <w:rsid w:val="008C10FA"/>
    <w:rsid w:val="008C1926"/>
    <w:rsid w:val="008C2C5E"/>
    <w:rsid w:val="008C3050"/>
    <w:rsid w:val="008C432F"/>
    <w:rsid w:val="008C4AF9"/>
    <w:rsid w:val="008C5493"/>
    <w:rsid w:val="008C59F5"/>
    <w:rsid w:val="008C5A12"/>
    <w:rsid w:val="008C5DA9"/>
    <w:rsid w:val="008C79D1"/>
    <w:rsid w:val="008D228A"/>
    <w:rsid w:val="008D35AB"/>
    <w:rsid w:val="008D5674"/>
    <w:rsid w:val="008D69E8"/>
    <w:rsid w:val="008D7F14"/>
    <w:rsid w:val="008E007A"/>
    <w:rsid w:val="008E0428"/>
    <w:rsid w:val="008E0DAE"/>
    <w:rsid w:val="008E1297"/>
    <w:rsid w:val="008E181F"/>
    <w:rsid w:val="008E2128"/>
    <w:rsid w:val="008E2D79"/>
    <w:rsid w:val="008E31E6"/>
    <w:rsid w:val="008E3447"/>
    <w:rsid w:val="008E3D00"/>
    <w:rsid w:val="008E4E6D"/>
    <w:rsid w:val="008E4ED4"/>
    <w:rsid w:val="008E593B"/>
    <w:rsid w:val="008E5A3F"/>
    <w:rsid w:val="008E60A1"/>
    <w:rsid w:val="008E6C07"/>
    <w:rsid w:val="008F1146"/>
    <w:rsid w:val="008F2B3E"/>
    <w:rsid w:val="008F32EF"/>
    <w:rsid w:val="008F3F39"/>
    <w:rsid w:val="008F4E95"/>
    <w:rsid w:val="008F6177"/>
    <w:rsid w:val="008F70B4"/>
    <w:rsid w:val="008F738A"/>
    <w:rsid w:val="008F7EE4"/>
    <w:rsid w:val="009006B1"/>
    <w:rsid w:val="0090369A"/>
    <w:rsid w:val="00903AF4"/>
    <w:rsid w:val="009045B4"/>
    <w:rsid w:val="009048CA"/>
    <w:rsid w:val="0090571A"/>
    <w:rsid w:val="00906472"/>
    <w:rsid w:val="009072E8"/>
    <w:rsid w:val="00907682"/>
    <w:rsid w:val="00907FB0"/>
    <w:rsid w:val="00907FDA"/>
    <w:rsid w:val="00911EC3"/>
    <w:rsid w:val="00911F86"/>
    <w:rsid w:val="00912071"/>
    <w:rsid w:val="0091213A"/>
    <w:rsid w:val="009123EF"/>
    <w:rsid w:val="009125C8"/>
    <w:rsid w:val="009126B4"/>
    <w:rsid w:val="00912883"/>
    <w:rsid w:val="00912CDC"/>
    <w:rsid w:val="00912D24"/>
    <w:rsid w:val="00914901"/>
    <w:rsid w:val="00914B80"/>
    <w:rsid w:val="00915966"/>
    <w:rsid w:val="00916CCF"/>
    <w:rsid w:val="00916CEF"/>
    <w:rsid w:val="00921A8D"/>
    <w:rsid w:val="00922DF3"/>
    <w:rsid w:val="009239C5"/>
    <w:rsid w:val="009257DB"/>
    <w:rsid w:val="0092787E"/>
    <w:rsid w:val="00927B54"/>
    <w:rsid w:val="00934179"/>
    <w:rsid w:val="00934387"/>
    <w:rsid w:val="00934CE1"/>
    <w:rsid w:val="00937B91"/>
    <w:rsid w:val="009402B1"/>
    <w:rsid w:val="00942202"/>
    <w:rsid w:val="0094229E"/>
    <w:rsid w:val="009422B9"/>
    <w:rsid w:val="0094336C"/>
    <w:rsid w:val="00943BA7"/>
    <w:rsid w:val="00943D11"/>
    <w:rsid w:val="00944623"/>
    <w:rsid w:val="00944F7A"/>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71CF8"/>
    <w:rsid w:val="009725B4"/>
    <w:rsid w:val="0097520E"/>
    <w:rsid w:val="00975792"/>
    <w:rsid w:val="0097712B"/>
    <w:rsid w:val="00977BED"/>
    <w:rsid w:val="00977C9D"/>
    <w:rsid w:val="00982293"/>
    <w:rsid w:val="00982BCB"/>
    <w:rsid w:val="0098468C"/>
    <w:rsid w:val="009848F8"/>
    <w:rsid w:val="00984D40"/>
    <w:rsid w:val="00985226"/>
    <w:rsid w:val="0098570E"/>
    <w:rsid w:val="009863B1"/>
    <w:rsid w:val="00987488"/>
    <w:rsid w:val="00987B37"/>
    <w:rsid w:val="009904EA"/>
    <w:rsid w:val="009906A4"/>
    <w:rsid w:val="00991D8E"/>
    <w:rsid w:val="00992136"/>
    <w:rsid w:val="009953E1"/>
    <w:rsid w:val="00995A27"/>
    <w:rsid w:val="0099765A"/>
    <w:rsid w:val="009A04A8"/>
    <w:rsid w:val="009A0E6B"/>
    <w:rsid w:val="009A1AD8"/>
    <w:rsid w:val="009A1E74"/>
    <w:rsid w:val="009A2E6C"/>
    <w:rsid w:val="009A3A46"/>
    <w:rsid w:val="009A3B53"/>
    <w:rsid w:val="009A4137"/>
    <w:rsid w:val="009A527D"/>
    <w:rsid w:val="009A5B6B"/>
    <w:rsid w:val="009A690C"/>
    <w:rsid w:val="009A7369"/>
    <w:rsid w:val="009B0A7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2615"/>
    <w:rsid w:val="009D2633"/>
    <w:rsid w:val="009D36EF"/>
    <w:rsid w:val="009D4640"/>
    <w:rsid w:val="009D4889"/>
    <w:rsid w:val="009D6632"/>
    <w:rsid w:val="009D6D8F"/>
    <w:rsid w:val="009D75F6"/>
    <w:rsid w:val="009E025B"/>
    <w:rsid w:val="009E0463"/>
    <w:rsid w:val="009E053A"/>
    <w:rsid w:val="009E2F70"/>
    <w:rsid w:val="009E3028"/>
    <w:rsid w:val="009E3A47"/>
    <w:rsid w:val="009E3B48"/>
    <w:rsid w:val="009E3BF3"/>
    <w:rsid w:val="009E4020"/>
    <w:rsid w:val="009E46FC"/>
    <w:rsid w:val="009E58C7"/>
    <w:rsid w:val="009E7D7D"/>
    <w:rsid w:val="009F0333"/>
    <w:rsid w:val="009F1B0A"/>
    <w:rsid w:val="009F1D45"/>
    <w:rsid w:val="009F2063"/>
    <w:rsid w:val="009F20EB"/>
    <w:rsid w:val="009F2230"/>
    <w:rsid w:val="009F297E"/>
    <w:rsid w:val="009F2D95"/>
    <w:rsid w:val="009F3DDB"/>
    <w:rsid w:val="009F411E"/>
    <w:rsid w:val="009F51A5"/>
    <w:rsid w:val="009F52EB"/>
    <w:rsid w:val="009F5349"/>
    <w:rsid w:val="009F681B"/>
    <w:rsid w:val="009F68D4"/>
    <w:rsid w:val="009F6950"/>
    <w:rsid w:val="009F697B"/>
    <w:rsid w:val="009F6FFC"/>
    <w:rsid w:val="009F7206"/>
    <w:rsid w:val="00A00C4F"/>
    <w:rsid w:val="00A0103E"/>
    <w:rsid w:val="00A019D5"/>
    <w:rsid w:val="00A03770"/>
    <w:rsid w:val="00A05C48"/>
    <w:rsid w:val="00A05CFE"/>
    <w:rsid w:val="00A06121"/>
    <w:rsid w:val="00A0723C"/>
    <w:rsid w:val="00A0772D"/>
    <w:rsid w:val="00A07B3B"/>
    <w:rsid w:val="00A107FA"/>
    <w:rsid w:val="00A11B1F"/>
    <w:rsid w:val="00A11C7F"/>
    <w:rsid w:val="00A11DF0"/>
    <w:rsid w:val="00A12602"/>
    <w:rsid w:val="00A12CFF"/>
    <w:rsid w:val="00A1405D"/>
    <w:rsid w:val="00A14F28"/>
    <w:rsid w:val="00A15840"/>
    <w:rsid w:val="00A2076A"/>
    <w:rsid w:val="00A20B68"/>
    <w:rsid w:val="00A237C6"/>
    <w:rsid w:val="00A24190"/>
    <w:rsid w:val="00A25691"/>
    <w:rsid w:val="00A259C5"/>
    <w:rsid w:val="00A308E2"/>
    <w:rsid w:val="00A30FDA"/>
    <w:rsid w:val="00A31701"/>
    <w:rsid w:val="00A31E05"/>
    <w:rsid w:val="00A3480D"/>
    <w:rsid w:val="00A34B3F"/>
    <w:rsid w:val="00A35A5F"/>
    <w:rsid w:val="00A35D22"/>
    <w:rsid w:val="00A36037"/>
    <w:rsid w:val="00A374FB"/>
    <w:rsid w:val="00A4000E"/>
    <w:rsid w:val="00A40C22"/>
    <w:rsid w:val="00A41BF1"/>
    <w:rsid w:val="00A43E90"/>
    <w:rsid w:val="00A43F13"/>
    <w:rsid w:val="00A45172"/>
    <w:rsid w:val="00A456AA"/>
    <w:rsid w:val="00A461F4"/>
    <w:rsid w:val="00A463C0"/>
    <w:rsid w:val="00A467DF"/>
    <w:rsid w:val="00A478CF"/>
    <w:rsid w:val="00A47ABD"/>
    <w:rsid w:val="00A47FC5"/>
    <w:rsid w:val="00A5211E"/>
    <w:rsid w:val="00A52390"/>
    <w:rsid w:val="00A52B18"/>
    <w:rsid w:val="00A52F6A"/>
    <w:rsid w:val="00A53705"/>
    <w:rsid w:val="00A53E1A"/>
    <w:rsid w:val="00A5596B"/>
    <w:rsid w:val="00A56076"/>
    <w:rsid w:val="00A56161"/>
    <w:rsid w:val="00A57070"/>
    <w:rsid w:val="00A573C2"/>
    <w:rsid w:val="00A5789D"/>
    <w:rsid w:val="00A60BA3"/>
    <w:rsid w:val="00A61668"/>
    <w:rsid w:val="00A64419"/>
    <w:rsid w:val="00A652F8"/>
    <w:rsid w:val="00A65C1E"/>
    <w:rsid w:val="00A666EA"/>
    <w:rsid w:val="00A677FC"/>
    <w:rsid w:val="00A678BC"/>
    <w:rsid w:val="00A67BC9"/>
    <w:rsid w:val="00A703EA"/>
    <w:rsid w:val="00A71123"/>
    <w:rsid w:val="00A723F7"/>
    <w:rsid w:val="00A73D10"/>
    <w:rsid w:val="00A7421E"/>
    <w:rsid w:val="00A745BF"/>
    <w:rsid w:val="00A7474F"/>
    <w:rsid w:val="00A74F92"/>
    <w:rsid w:val="00A7585E"/>
    <w:rsid w:val="00A75BFC"/>
    <w:rsid w:val="00A75DBC"/>
    <w:rsid w:val="00A75FE0"/>
    <w:rsid w:val="00A76668"/>
    <w:rsid w:val="00A76A4B"/>
    <w:rsid w:val="00A81CC2"/>
    <w:rsid w:val="00A82B3C"/>
    <w:rsid w:val="00A83A8C"/>
    <w:rsid w:val="00A848F6"/>
    <w:rsid w:val="00A86DA7"/>
    <w:rsid w:val="00A86F66"/>
    <w:rsid w:val="00A90124"/>
    <w:rsid w:val="00A90B88"/>
    <w:rsid w:val="00A90BCD"/>
    <w:rsid w:val="00A9277C"/>
    <w:rsid w:val="00A94638"/>
    <w:rsid w:val="00A94F44"/>
    <w:rsid w:val="00A95059"/>
    <w:rsid w:val="00A95CF7"/>
    <w:rsid w:val="00A968DE"/>
    <w:rsid w:val="00A9738B"/>
    <w:rsid w:val="00A9791B"/>
    <w:rsid w:val="00AA07E2"/>
    <w:rsid w:val="00AA135F"/>
    <w:rsid w:val="00AA1869"/>
    <w:rsid w:val="00AA328F"/>
    <w:rsid w:val="00AA35B4"/>
    <w:rsid w:val="00AA3995"/>
    <w:rsid w:val="00AA46F7"/>
    <w:rsid w:val="00AA4987"/>
    <w:rsid w:val="00AA7901"/>
    <w:rsid w:val="00AA7A23"/>
    <w:rsid w:val="00AB0C3D"/>
    <w:rsid w:val="00AB2A1F"/>
    <w:rsid w:val="00AB2AB3"/>
    <w:rsid w:val="00AB2FEB"/>
    <w:rsid w:val="00AB380B"/>
    <w:rsid w:val="00AB433B"/>
    <w:rsid w:val="00AB4BCB"/>
    <w:rsid w:val="00AB51FD"/>
    <w:rsid w:val="00AB551F"/>
    <w:rsid w:val="00AB7CE1"/>
    <w:rsid w:val="00AC0B8D"/>
    <w:rsid w:val="00AC0C69"/>
    <w:rsid w:val="00AC110A"/>
    <w:rsid w:val="00AC3BF5"/>
    <w:rsid w:val="00AC51C4"/>
    <w:rsid w:val="00AC5356"/>
    <w:rsid w:val="00AC6313"/>
    <w:rsid w:val="00AD07E9"/>
    <w:rsid w:val="00AD26F4"/>
    <w:rsid w:val="00AD4A55"/>
    <w:rsid w:val="00AD4AEA"/>
    <w:rsid w:val="00AD527B"/>
    <w:rsid w:val="00AD528C"/>
    <w:rsid w:val="00AD63DB"/>
    <w:rsid w:val="00AD7814"/>
    <w:rsid w:val="00AE098F"/>
    <w:rsid w:val="00AE0DCA"/>
    <w:rsid w:val="00AE2E33"/>
    <w:rsid w:val="00AE3150"/>
    <w:rsid w:val="00AE31FA"/>
    <w:rsid w:val="00AE3CB9"/>
    <w:rsid w:val="00AE415C"/>
    <w:rsid w:val="00AE5851"/>
    <w:rsid w:val="00AE5AFB"/>
    <w:rsid w:val="00AE6256"/>
    <w:rsid w:val="00AE6F3D"/>
    <w:rsid w:val="00AE7341"/>
    <w:rsid w:val="00AE7C17"/>
    <w:rsid w:val="00AF0958"/>
    <w:rsid w:val="00AF194D"/>
    <w:rsid w:val="00AF1DE6"/>
    <w:rsid w:val="00AF3EC1"/>
    <w:rsid w:val="00AF44AF"/>
    <w:rsid w:val="00AF46C2"/>
    <w:rsid w:val="00AF53F0"/>
    <w:rsid w:val="00AF5621"/>
    <w:rsid w:val="00AF593E"/>
    <w:rsid w:val="00AF5D85"/>
    <w:rsid w:val="00AF6FBC"/>
    <w:rsid w:val="00B021EF"/>
    <w:rsid w:val="00B03F74"/>
    <w:rsid w:val="00B04796"/>
    <w:rsid w:val="00B04B2A"/>
    <w:rsid w:val="00B05DFB"/>
    <w:rsid w:val="00B06149"/>
    <w:rsid w:val="00B0671E"/>
    <w:rsid w:val="00B115B5"/>
    <w:rsid w:val="00B115D0"/>
    <w:rsid w:val="00B11BC6"/>
    <w:rsid w:val="00B13048"/>
    <w:rsid w:val="00B1330A"/>
    <w:rsid w:val="00B133AF"/>
    <w:rsid w:val="00B13C3A"/>
    <w:rsid w:val="00B13F29"/>
    <w:rsid w:val="00B15208"/>
    <w:rsid w:val="00B15488"/>
    <w:rsid w:val="00B15B83"/>
    <w:rsid w:val="00B16A64"/>
    <w:rsid w:val="00B177BC"/>
    <w:rsid w:val="00B21E5F"/>
    <w:rsid w:val="00B223EB"/>
    <w:rsid w:val="00B23B86"/>
    <w:rsid w:val="00B23F8F"/>
    <w:rsid w:val="00B2599B"/>
    <w:rsid w:val="00B25A49"/>
    <w:rsid w:val="00B26CA7"/>
    <w:rsid w:val="00B27BFD"/>
    <w:rsid w:val="00B310E7"/>
    <w:rsid w:val="00B31260"/>
    <w:rsid w:val="00B3195A"/>
    <w:rsid w:val="00B31994"/>
    <w:rsid w:val="00B319F8"/>
    <w:rsid w:val="00B3344D"/>
    <w:rsid w:val="00B336CA"/>
    <w:rsid w:val="00B33C07"/>
    <w:rsid w:val="00B33CE4"/>
    <w:rsid w:val="00B340B6"/>
    <w:rsid w:val="00B34CB6"/>
    <w:rsid w:val="00B3546D"/>
    <w:rsid w:val="00B3574E"/>
    <w:rsid w:val="00B3622E"/>
    <w:rsid w:val="00B36429"/>
    <w:rsid w:val="00B404FB"/>
    <w:rsid w:val="00B40722"/>
    <w:rsid w:val="00B40890"/>
    <w:rsid w:val="00B412B7"/>
    <w:rsid w:val="00B41CC9"/>
    <w:rsid w:val="00B43465"/>
    <w:rsid w:val="00B43976"/>
    <w:rsid w:val="00B43D3B"/>
    <w:rsid w:val="00B440B2"/>
    <w:rsid w:val="00B441B5"/>
    <w:rsid w:val="00B44327"/>
    <w:rsid w:val="00B46499"/>
    <w:rsid w:val="00B465E2"/>
    <w:rsid w:val="00B46AD1"/>
    <w:rsid w:val="00B46B4C"/>
    <w:rsid w:val="00B509FB"/>
    <w:rsid w:val="00B50FF5"/>
    <w:rsid w:val="00B516DB"/>
    <w:rsid w:val="00B52A17"/>
    <w:rsid w:val="00B52F1B"/>
    <w:rsid w:val="00B5458B"/>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56A9"/>
    <w:rsid w:val="00B75E8D"/>
    <w:rsid w:val="00B75FAB"/>
    <w:rsid w:val="00B76126"/>
    <w:rsid w:val="00B76575"/>
    <w:rsid w:val="00B766E0"/>
    <w:rsid w:val="00B76B5D"/>
    <w:rsid w:val="00B76F4B"/>
    <w:rsid w:val="00B81520"/>
    <w:rsid w:val="00B8184B"/>
    <w:rsid w:val="00B818EB"/>
    <w:rsid w:val="00B81D29"/>
    <w:rsid w:val="00B82539"/>
    <w:rsid w:val="00B83AF0"/>
    <w:rsid w:val="00B84473"/>
    <w:rsid w:val="00B8465B"/>
    <w:rsid w:val="00B84FF5"/>
    <w:rsid w:val="00B8503D"/>
    <w:rsid w:val="00B86783"/>
    <w:rsid w:val="00B87D57"/>
    <w:rsid w:val="00B923BE"/>
    <w:rsid w:val="00B9292C"/>
    <w:rsid w:val="00B937BE"/>
    <w:rsid w:val="00B93D57"/>
    <w:rsid w:val="00B9454B"/>
    <w:rsid w:val="00B9584E"/>
    <w:rsid w:val="00B95B41"/>
    <w:rsid w:val="00B96CE1"/>
    <w:rsid w:val="00BA02A5"/>
    <w:rsid w:val="00BA0CE5"/>
    <w:rsid w:val="00BA1E77"/>
    <w:rsid w:val="00BA1E7C"/>
    <w:rsid w:val="00BA2CD0"/>
    <w:rsid w:val="00BA3412"/>
    <w:rsid w:val="00BA525D"/>
    <w:rsid w:val="00BA6009"/>
    <w:rsid w:val="00BA6371"/>
    <w:rsid w:val="00BA657E"/>
    <w:rsid w:val="00BA6835"/>
    <w:rsid w:val="00BB0B79"/>
    <w:rsid w:val="00BB0C1F"/>
    <w:rsid w:val="00BB1E2F"/>
    <w:rsid w:val="00BB3A3A"/>
    <w:rsid w:val="00BB4913"/>
    <w:rsid w:val="00BB4DFB"/>
    <w:rsid w:val="00BB5AD0"/>
    <w:rsid w:val="00BB61CF"/>
    <w:rsid w:val="00BB68CD"/>
    <w:rsid w:val="00BB7397"/>
    <w:rsid w:val="00BB788F"/>
    <w:rsid w:val="00BC0222"/>
    <w:rsid w:val="00BC0F3D"/>
    <w:rsid w:val="00BC2B38"/>
    <w:rsid w:val="00BC2B59"/>
    <w:rsid w:val="00BC3F5B"/>
    <w:rsid w:val="00BC4231"/>
    <w:rsid w:val="00BC458E"/>
    <w:rsid w:val="00BC528F"/>
    <w:rsid w:val="00BC55EF"/>
    <w:rsid w:val="00BC5649"/>
    <w:rsid w:val="00BC7204"/>
    <w:rsid w:val="00BC7AB5"/>
    <w:rsid w:val="00BC7B08"/>
    <w:rsid w:val="00BD1A70"/>
    <w:rsid w:val="00BD3728"/>
    <w:rsid w:val="00BD37A4"/>
    <w:rsid w:val="00BD3F80"/>
    <w:rsid w:val="00BD6EEE"/>
    <w:rsid w:val="00BD7E44"/>
    <w:rsid w:val="00BE05D8"/>
    <w:rsid w:val="00BE09F3"/>
    <w:rsid w:val="00BE0C68"/>
    <w:rsid w:val="00BE2709"/>
    <w:rsid w:val="00BE320E"/>
    <w:rsid w:val="00BE3636"/>
    <w:rsid w:val="00BE38A1"/>
    <w:rsid w:val="00BE4343"/>
    <w:rsid w:val="00BE44FA"/>
    <w:rsid w:val="00BE4BE4"/>
    <w:rsid w:val="00BE50E6"/>
    <w:rsid w:val="00BE517A"/>
    <w:rsid w:val="00BE5AAA"/>
    <w:rsid w:val="00BE68F4"/>
    <w:rsid w:val="00BE70F1"/>
    <w:rsid w:val="00BE7B3E"/>
    <w:rsid w:val="00BF1C44"/>
    <w:rsid w:val="00BF2977"/>
    <w:rsid w:val="00BF309E"/>
    <w:rsid w:val="00BF3978"/>
    <w:rsid w:val="00BF3BC6"/>
    <w:rsid w:val="00BF41FA"/>
    <w:rsid w:val="00BF5CC3"/>
    <w:rsid w:val="00BF6E9C"/>
    <w:rsid w:val="00BF74B8"/>
    <w:rsid w:val="00C0091F"/>
    <w:rsid w:val="00C00BB6"/>
    <w:rsid w:val="00C01058"/>
    <w:rsid w:val="00C0149B"/>
    <w:rsid w:val="00C01D30"/>
    <w:rsid w:val="00C02558"/>
    <w:rsid w:val="00C026BF"/>
    <w:rsid w:val="00C04C2C"/>
    <w:rsid w:val="00C05976"/>
    <w:rsid w:val="00C065AA"/>
    <w:rsid w:val="00C06674"/>
    <w:rsid w:val="00C06827"/>
    <w:rsid w:val="00C0771C"/>
    <w:rsid w:val="00C077F6"/>
    <w:rsid w:val="00C11782"/>
    <w:rsid w:val="00C12976"/>
    <w:rsid w:val="00C14961"/>
    <w:rsid w:val="00C1591C"/>
    <w:rsid w:val="00C1604E"/>
    <w:rsid w:val="00C17B13"/>
    <w:rsid w:val="00C2015A"/>
    <w:rsid w:val="00C20ACF"/>
    <w:rsid w:val="00C212DB"/>
    <w:rsid w:val="00C2186C"/>
    <w:rsid w:val="00C21D87"/>
    <w:rsid w:val="00C2313A"/>
    <w:rsid w:val="00C23677"/>
    <w:rsid w:val="00C243D7"/>
    <w:rsid w:val="00C24972"/>
    <w:rsid w:val="00C24B96"/>
    <w:rsid w:val="00C24ECD"/>
    <w:rsid w:val="00C25CBF"/>
    <w:rsid w:val="00C26649"/>
    <w:rsid w:val="00C267DD"/>
    <w:rsid w:val="00C300A6"/>
    <w:rsid w:val="00C30337"/>
    <w:rsid w:val="00C304A8"/>
    <w:rsid w:val="00C3055C"/>
    <w:rsid w:val="00C3082F"/>
    <w:rsid w:val="00C3125C"/>
    <w:rsid w:val="00C31A86"/>
    <w:rsid w:val="00C31F2E"/>
    <w:rsid w:val="00C3226E"/>
    <w:rsid w:val="00C33018"/>
    <w:rsid w:val="00C33C0F"/>
    <w:rsid w:val="00C3434D"/>
    <w:rsid w:val="00C34826"/>
    <w:rsid w:val="00C36387"/>
    <w:rsid w:val="00C36450"/>
    <w:rsid w:val="00C371C7"/>
    <w:rsid w:val="00C37452"/>
    <w:rsid w:val="00C37760"/>
    <w:rsid w:val="00C40835"/>
    <w:rsid w:val="00C40BF8"/>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21D"/>
    <w:rsid w:val="00C52487"/>
    <w:rsid w:val="00C53E8C"/>
    <w:rsid w:val="00C541AC"/>
    <w:rsid w:val="00C549FD"/>
    <w:rsid w:val="00C54B68"/>
    <w:rsid w:val="00C553BE"/>
    <w:rsid w:val="00C557BA"/>
    <w:rsid w:val="00C55928"/>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E99"/>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91DF4"/>
    <w:rsid w:val="00C922F6"/>
    <w:rsid w:val="00C9396D"/>
    <w:rsid w:val="00C949E1"/>
    <w:rsid w:val="00C94C21"/>
    <w:rsid w:val="00C95269"/>
    <w:rsid w:val="00C967E5"/>
    <w:rsid w:val="00C96F32"/>
    <w:rsid w:val="00C97483"/>
    <w:rsid w:val="00C97E05"/>
    <w:rsid w:val="00CA0795"/>
    <w:rsid w:val="00CA13C3"/>
    <w:rsid w:val="00CA19D7"/>
    <w:rsid w:val="00CA1A66"/>
    <w:rsid w:val="00CA207A"/>
    <w:rsid w:val="00CA2C99"/>
    <w:rsid w:val="00CA2CE9"/>
    <w:rsid w:val="00CA3654"/>
    <w:rsid w:val="00CA3B03"/>
    <w:rsid w:val="00CA44AB"/>
    <w:rsid w:val="00CA6069"/>
    <w:rsid w:val="00CA6245"/>
    <w:rsid w:val="00CA718A"/>
    <w:rsid w:val="00CA732A"/>
    <w:rsid w:val="00CB0270"/>
    <w:rsid w:val="00CB2573"/>
    <w:rsid w:val="00CB34E4"/>
    <w:rsid w:val="00CB4A5A"/>
    <w:rsid w:val="00CB6196"/>
    <w:rsid w:val="00CB6BCB"/>
    <w:rsid w:val="00CB7251"/>
    <w:rsid w:val="00CC14E4"/>
    <w:rsid w:val="00CC16AA"/>
    <w:rsid w:val="00CC2883"/>
    <w:rsid w:val="00CC353E"/>
    <w:rsid w:val="00CC3C46"/>
    <w:rsid w:val="00CC4507"/>
    <w:rsid w:val="00CC4957"/>
    <w:rsid w:val="00CC4CE3"/>
    <w:rsid w:val="00CC5007"/>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D5A"/>
    <w:rsid w:val="00CD6F38"/>
    <w:rsid w:val="00CD7164"/>
    <w:rsid w:val="00CD740C"/>
    <w:rsid w:val="00CE00A3"/>
    <w:rsid w:val="00CE029B"/>
    <w:rsid w:val="00CE0325"/>
    <w:rsid w:val="00CE0CE9"/>
    <w:rsid w:val="00CE0D9D"/>
    <w:rsid w:val="00CE14D4"/>
    <w:rsid w:val="00CE2B42"/>
    <w:rsid w:val="00CE317F"/>
    <w:rsid w:val="00CE3CF6"/>
    <w:rsid w:val="00CE4034"/>
    <w:rsid w:val="00CE5640"/>
    <w:rsid w:val="00CE6E46"/>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309B"/>
    <w:rsid w:val="00D0369B"/>
    <w:rsid w:val="00D03D10"/>
    <w:rsid w:val="00D041AD"/>
    <w:rsid w:val="00D04247"/>
    <w:rsid w:val="00D042B6"/>
    <w:rsid w:val="00D050DD"/>
    <w:rsid w:val="00D05230"/>
    <w:rsid w:val="00D057C9"/>
    <w:rsid w:val="00D05E51"/>
    <w:rsid w:val="00D0659C"/>
    <w:rsid w:val="00D078A1"/>
    <w:rsid w:val="00D116AA"/>
    <w:rsid w:val="00D11DB5"/>
    <w:rsid w:val="00D121E5"/>
    <w:rsid w:val="00D1273D"/>
    <w:rsid w:val="00D12BA8"/>
    <w:rsid w:val="00D1442D"/>
    <w:rsid w:val="00D14666"/>
    <w:rsid w:val="00D147EB"/>
    <w:rsid w:val="00D156E5"/>
    <w:rsid w:val="00D15DDC"/>
    <w:rsid w:val="00D16D57"/>
    <w:rsid w:val="00D174AF"/>
    <w:rsid w:val="00D177BC"/>
    <w:rsid w:val="00D17B99"/>
    <w:rsid w:val="00D2060A"/>
    <w:rsid w:val="00D20C65"/>
    <w:rsid w:val="00D20CD7"/>
    <w:rsid w:val="00D21670"/>
    <w:rsid w:val="00D21A5E"/>
    <w:rsid w:val="00D23A77"/>
    <w:rsid w:val="00D240D1"/>
    <w:rsid w:val="00D24255"/>
    <w:rsid w:val="00D2440C"/>
    <w:rsid w:val="00D2651F"/>
    <w:rsid w:val="00D26824"/>
    <w:rsid w:val="00D27A64"/>
    <w:rsid w:val="00D30468"/>
    <w:rsid w:val="00D306F3"/>
    <w:rsid w:val="00D30E2B"/>
    <w:rsid w:val="00D32B01"/>
    <w:rsid w:val="00D33426"/>
    <w:rsid w:val="00D33BEB"/>
    <w:rsid w:val="00D34F90"/>
    <w:rsid w:val="00D35632"/>
    <w:rsid w:val="00D359FC"/>
    <w:rsid w:val="00D378F0"/>
    <w:rsid w:val="00D41187"/>
    <w:rsid w:val="00D41AA3"/>
    <w:rsid w:val="00D42358"/>
    <w:rsid w:val="00D4246D"/>
    <w:rsid w:val="00D4298D"/>
    <w:rsid w:val="00D4399A"/>
    <w:rsid w:val="00D43D08"/>
    <w:rsid w:val="00D43D35"/>
    <w:rsid w:val="00D43EFB"/>
    <w:rsid w:val="00D443AF"/>
    <w:rsid w:val="00D45193"/>
    <w:rsid w:val="00D45E3F"/>
    <w:rsid w:val="00D46B63"/>
    <w:rsid w:val="00D46BBB"/>
    <w:rsid w:val="00D473C0"/>
    <w:rsid w:val="00D477B5"/>
    <w:rsid w:val="00D47DBC"/>
    <w:rsid w:val="00D50E4C"/>
    <w:rsid w:val="00D50E74"/>
    <w:rsid w:val="00D51B1F"/>
    <w:rsid w:val="00D527EC"/>
    <w:rsid w:val="00D543B1"/>
    <w:rsid w:val="00D55B8D"/>
    <w:rsid w:val="00D55BA3"/>
    <w:rsid w:val="00D606F0"/>
    <w:rsid w:val="00D60B19"/>
    <w:rsid w:val="00D61040"/>
    <w:rsid w:val="00D625DC"/>
    <w:rsid w:val="00D62C18"/>
    <w:rsid w:val="00D632B5"/>
    <w:rsid w:val="00D65492"/>
    <w:rsid w:val="00D664F3"/>
    <w:rsid w:val="00D66F97"/>
    <w:rsid w:val="00D704F7"/>
    <w:rsid w:val="00D70E1B"/>
    <w:rsid w:val="00D72EC8"/>
    <w:rsid w:val="00D75260"/>
    <w:rsid w:val="00D75358"/>
    <w:rsid w:val="00D75D10"/>
    <w:rsid w:val="00D75E17"/>
    <w:rsid w:val="00D7651B"/>
    <w:rsid w:val="00D8093A"/>
    <w:rsid w:val="00D80C2E"/>
    <w:rsid w:val="00D8102D"/>
    <w:rsid w:val="00D81390"/>
    <w:rsid w:val="00D81B3C"/>
    <w:rsid w:val="00D82E71"/>
    <w:rsid w:val="00D83E2F"/>
    <w:rsid w:val="00D84449"/>
    <w:rsid w:val="00D848CA"/>
    <w:rsid w:val="00D857FB"/>
    <w:rsid w:val="00D85DCE"/>
    <w:rsid w:val="00D86C78"/>
    <w:rsid w:val="00D8764F"/>
    <w:rsid w:val="00D87BBB"/>
    <w:rsid w:val="00D912B1"/>
    <w:rsid w:val="00D93C42"/>
    <w:rsid w:val="00D941B4"/>
    <w:rsid w:val="00D944A4"/>
    <w:rsid w:val="00D96BCE"/>
    <w:rsid w:val="00D96EA0"/>
    <w:rsid w:val="00D979E1"/>
    <w:rsid w:val="00D97E59"/>
    <w:rsid w:val="00DA02F4"/>
    <w:rsid w:val="00DA0829"/>
    <w:rsid w:val="00DA0B30"/>
    <w:rsid w:val="00DA287E"/>
    <w:rsid w:val="00DA2F3A"/>
    <w:rsid w:val="00DA355C"/>
    <w:rsid w:val="00DA5DF8"/>
    <w:rsid w:val="00DA62C6"/>
    <w:rsid w:val="00DA6465"/>
    <w:rsid w:val="00DA6F59"/>
    <w:rsid w:val="00DA78C4"/>
    <w:rsid w:val="00DB01CE"/>
    <w:rsid w:val="00DB0CAD"/>
    <w:rsid w:val="00DB0E6C"/>
    <w:rsid w:val="00DB1AAD"/>
    <w:rsid w:val="00DB1DD2"/>
    <w:rsid w:val="00DB2340"/>
    <w:rsid w:val="00DB2ABA"/>
    <w:rsid w:val="00DB44B0"/>
    <w:rsid w:val="00DB4848"/>
    <w:rsid w:val="00DB4E32"/>
    <w:rsid w:val="00DB574B"/>
    <w:rsid w:val="00DB63B9"/>
    <w:rsid w:val="00DB7BC2"/>
    <w:rsid w:val="00DB7E55"/>
    <w:rsid w:val="00DC0011"/>
    <w:rsid w:val="00DC14D7"/>
    <w:rsid w:val="00DC20BC"/>
    <w:rsid w:val="00DC6C95"/>
    <w:rsid w:val="00DD02AB"/>
    <w:rsid w:val="00DD0B70"/>
    <w:rsid w:val="00DD133B"/>
    <w:rsid w:val="00DD196F"/>
    <w:rsid w:val="00DD2256"/>
    <w:rsid w:val="00DD2393"/>
    <w:rsid w:val="00DD287C"/>
    <w:rsid w:val="00DD3067"/>
    <w:rsid w:val="00DD4306"/>
    <w:rsid w:val="00DD4980"/>
    <w:rsid w:val="00DD4A81"/>
    <w:rsid w:val="00DD4DB2"/>
    <w:rsid w:val="00DD4DE6"/>
    <w:rsid w:val="00DD5C29"/>
    <w:rsid w:val="00DD60E5"/>
    <w:rsid w:val="00DD78D9"/>
    <w:rsid w:val="00DD7CDF"/>
    <w:rsid w:val="00DE0119"/>
    <w:rsid w:val="00DE0E77"/>
    <w:rsid w:val="00DE15B9"/>
    <w:rsid w:val="00DE27B2"/>
    <w:rsid w:val="00DE3623"/>
    <w:rsid w:val="00DE4286"/>
    <w:rsid w:val="00DE42A2"/>
    <w:rsid w:val="00DE4609"/>
    <w:rsid w:val="00DE4791"/>
    <w:rsid w:val="00DE4DE0"/>
    <w:rsid w:val="00DE587C"/>
    <w:rsid w:val="00DE6093"/>
    <w:rsid w:val="00DE695E"/>
    <w:rsid w:val="00DE74CA"/>
    <w:rsid w:val="00DE7E28"/>
    <w:rsid w:val="00DF0395"/>
    <w:rsid w:val="00DF03B5"/>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4A7"/>
    <w:rsid w:val="00E03820"/>
    <w:rsid w:val="00E040BC"/>
    <w:rsid w:val="00E047B2"/>
    <w:rsid w:val="00E04AF5"/>
    <w:rsid w:val="00E04B83"/>
    <w:rsid w:val="00E05863"/>
    <w:rsid w:val="00E0672A"/>
    <w:rsid w:val="00E06749"/>
    <w:rsid w:val="00E068C3"/>
    <w:rsid w:val="00E102C2"/>
    <w:rsid w:val="00E1053D"/>
    <w:rsid w:val="00E10794"/>
    <w:rsid w:val="00E12271"/>
    <w:rsid w:val="00E129A6"/>
    <w:rsid w:val="00E12FB6"/>
    <w:rsid w:val="00E12FC6"/>
    <w:rsid w:val="00E13AE0"/>
    <w:rsid w:val="00E13BBE"/>
    <w:rsid w:val="00E15B9B"/>
    <w:rsid w:val="00E16425"/>
    <w:rsid w:val="00E165C9"/>
    <w:rsid w:val="00E177DE"/>
    <w:rsid w:val="00E200AE"/>
    <w:rsid w:val="00E207AF"/>
    <w:rsid w:val="00E21BF8"/>
    <w:rsid w:val="00E224D1"/>
    <w:rsid w:val="00E2337A"/>
    <w:rsid w:val="00E2422B"/>
    <w:rsid w:val="00E244F6"/>
    <w:rsid w:val="00E24823"/>
    <w:rsid w:val="00E24962"/>
    <w:rsid w:val="00E24C80"/>
    <w:rsid w:val="00E25074"/>
    <w:rsid w:val="00E2578F"/>
    <w:rsid w:val="00E27A85"/>
    <w:rsid w:val="00E27BA5"/>
    <w:rsid w:val="00E30910"/>
    <w:rsid w:val="00E32A46"/>
    <w:rsid w:val="00E32DB2"/>
    <w:rsid w:val="00E3320C"/>
    <w:rsid w:val="00E3474A"/>
    <w:rsid w:val="00E44753"/>
    <w:rsid w:val="00E45163"/>
    <w:rsid w:val="00E45E2A"/>
    <w:rsid w:val="00E461F1"/>
    <w:rsid w:val="00E4627B"/>
    <w:rsid w:val="00E462C5"/>
    <w:rsid w:val="00E46C46"/>
    <w:rsid w:val="00E472C5"/>
    <w:rsid w:val="00E5049F"/>
    <w:rsid w:val="00E51181"/>
    <w:rsid w:val="00E527B2"/>
    <w:rsid w:val="00E532A2"/>
    <w:rsid w:val="00E535EE"/>
    <w:rsid w:val="00E553AD"/>
    <w:rsid w:val="00E564A1"/>
    <w:rsid w:val="00E57F0C"/>
    <w:rsid w:val="00E60C9D"/>
    <w:rsid w:val="00E60DB9"/>
    <w:rsid w:val="00E63CC0"/>
    <w:rsid w:val="00E65018"/>
    <w:rsid w:val="00E66A0C"/>
    <w:rsid w:val="00E675BE"/>
    <w:rsid w:val="00E7042B"/>
    <w:rsid w:val="00E71052"/>
    <w:rsid w:val="00E71719"/>
    <w:rsid w:val="00E71994"/>
    <w:rsid w:val="00E7273D"/>
    <w:rsid w:val="00E72F02"/>
    <w:rsid w:val="00E7341F"/>
    <w:rsid w:val="00E738C0"/>
    <w:rsid w:val="00E73B29"/>
    <w:rsid w:val="00E74C0F"/>
    <w:rsid w:val="00E76692"/>
    <w:rsid w:val="00E77306"/>
    <w:rsid w:val="00E804F9"/>
    <w:rsid w:val="00E80B62"/>
    <w:rsid w:val="00E80E9B"/>
    <w:rsid w:val="00E81442"/>
    <w:rsid w:val="00E827D9"/>
    <w:rsid w:val="00E829A3"/>
    <w:rsid w:val="00E84264"/>
    <w:rsid w:val="00E84508"/>
    <w:rsid w:val="00E857FC"/>
    <w:rsid w:val="00E86CDC"/>
    <w:rsid w:val="00E878F0"/>
    <w:rsid w:val="00E87D80"/>
    <w:rsid w:val="00E931DC"/>
    <w:rsid w:val="00E948E4"/>
    <w:rsid w:val="00E96BDC"/>
    <w:rsid w:val="00E97C3D"/>
    <w:rsid w:val="00E97CF8"/>
    <w:rsid w:val="00EA0248"/>
    <w:rsid w:val="00EA0FE0"/>
    <w:rsid w:val="00EA12B1"/>
    <w:rsid w:val="00EA2165"/>
    <w:rsid w:val="00EA34CE"/>
    <w:rsid w:val="00EA384A"/>
    <w:rsid w:val="00EA3F33"/>
    <w:rsid w:val="00EA4808"/>
    <w:rsid w:val="00EA4DF9"/>
    <w:rsid w:val="00EA5416"/>
    <w:rsid w:val="00EB1317"/>
    <w:rsid w:val="00EB1AC1"/>
    <w:rsid w:val="00EB3AF3"/>
    <w:rsid w:val="00EB4278"/>
    <w:rsid w:val="00EB4803"/>
    <w:rsid w:val="00EB543B"/>
    <w:rsid w:val="00EB564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5193"/>
    <w:rsid w:val="00EC6394"/>
    <w:rsid w:val="00EC63C8"/>
    <w:rsid w:val="00EC6D23"/>
    <w:rsid w:val="00EC7219"/>
    <w:rsid w:val="00ED00BD"/>
    <w:rsid w:val="00ED0196"/>
    <w:rsid w:val="00ED0AC1"/>
    <w:rsid w:val="00ED159C"/>
    <w:rsid w:val="00ED1F3B"/>
    <w:rsid w:val="00ED2CD1"/>
    <w:rsid w:val="00ED3B4C"/>
    <w:rsid w:val="00ED3F50"/>
    <w:rsid w:val="00ED42E2"/>
    <w:rsid w:val="00ED5237"/>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F0F8D"/>
    <w:rsid w:val="00EF12DF"/>
    <w:rsid w:val="00EF1D5A"/>
    <w:rsid w:val="00EF2BB1"/>
    <w:rsid w:val="00EF3E07"/>
    <w:rsid w:val="00EF415D"/>
    <w:rsid w:val="00EF5D8A"/>
    <w:rsid w:val="00EF66BB"/>
    <w:rsid w:val="00EF7A50"/>
    <w:rsid w:val="00F000FB"/>
    <w:rsid w:val="00F0258D"/>
    <w:rsid w:val="00F02A68"/>
    <w:rsid w:val="00F03F36"/>
    <w:rsid w:val="00F04C25"/>
    <w:rsid w:val="00F05693"/>
    <w:rsid w:val="00F05A22"/>
    <w:rsid w:val="00F05C68"/>
    <w:rsid w:val="00F0653F"/>
    <w:rsid w:val="00F0696F"/>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32F5"/>
    <w:rsid w:val="00F23F39"/>
    <w:rsid w:val="00F24DDE"/>
    <w:rsid w:val="00F25980"/>
    <w:rsid w:val="00F25F18"/>
    <w:rsid w:val="00F26BD3"/>
    <w:rsid w:val="00F26FA6"/>
    <w:rsid w:val="00F27CC5"/>
    <w:rsid w:val="00F3068A"/>
    <w:rsid w:val="00F309C6"/>
    <w:rsid w:val="00F30BA4"/>
    <w:rsid w:val="00F31326"/>
    <w:rsid w:val="00F33964"/>
    <w:rsid w:val="00F33D25"/>
    <w:rsid w:val="00F344EF"/>
    <w:rsid w:val="00F362C5"/>
    <w:rsid w:val="00F36C7D"/>
    <w:rsid w:val="00F40558"/>
    <w:rsid w:val="00F42CA2"/>
    <w:rsid w:val="00F440BE"/>
    <w:rsid w:val="00F446AC"/>
    <w:rsid w:val="00F45261"/>
    <w:rsid w:val="00F459FA"/>
    <w:rsid w:val="00F45C3F"/>
    <w:rsid w:val="00F45C55"/>
    <w:rsid w:val="00F46706"/>
    <w:rsid w:val="00F4712B"/>
    <w:rsid w:val="00F479E7"/>
    <w:rsid w:val="00F50B42"/>
    <w:rsid w:val="00F51554"/>
    <w:rsid w:val="00F519C0"/>
    <w:rsid w:val="00F5490C"/>
    <w:rsid w:val="00F563E0"/>
    <w:rsid w:val="00F57002"/>
    <w:rsid w:val="00F6079C"/>
    <w:rsid w:val="00F614EC"/>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20AE"/>
    <w:rsid w:val="00F72C4D"/>
    <w:rsid w:val="00F73602"/>
    <w:rsid w:val="00F738E9"/>
    <w:rsid w:val="00F73E6B"/>
    <w:rsid w:val="00F7428B"/>
    <w:rsid w:val="00F74E49"/>
    <w:rsid w:val="00F75164"/>
    <w:rsid w:val="00F758FB"/>
    <w:rsid w:val="00F76564"/>
    <w:rsid w:val="00F766CD"/>
    <w:rsid w:val="00F767F6"/>
    <w:rsid w:val="00F76BB3"/>
    <w:rsid w:val="00F77604"/>
    <w:rsid w:val="00F80C9E"/>
    <w:rsid w:val="00F810C5"/>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53E"/>
    <w:rsid w:val="00FA15E0"/>
    <w:rsid w:val="00FA23E0"/>
    <w:rsid w:val="00FA3EB8"/>
    <w:rsid w:val="00FA41D1"/>
    <w:rsid w:val="00FA44E9"/>
    <w:rsid w:val="00FA52EA"/>
    <w:rsid w:val="00FA67AC"/>
    <w:rsid w:val="00FA6A73"/>
    <w:rsid w:val="00FA6EF1"/>
    <w:rsid w:val="00FA7414"/>
    <w:rsid w:val="00FB0C41"/>
    <w:rsid w:val="00FB0E56"/>
    <w:rsid w:val="00FB14D0"/>
    <w:rsid w:val="00FB18C0"/>
    <w:rsid w:val="00FB2263"/>
    <w:rsid w:val="00FB4149"/>
    <w:rsid w:val="00FB5271"/>
    <w:rsid w:val="00FB61D2"/>
    <w:rsid w:val="00FB6BE5"/>
    <w:rsid w:val="00FB6D84"/>
    <w:rsid w:val="00FB7556"/>
    <w:rsid w:val="00FC23EB"/>
    <w:rsid w:val="00FC2EFF"/>
    <w:rsid w:val="00FC3FE2"/>
    <w:rsid w:val="00FC430C"/>
    <w:rsid w:val="00FC5807"/>
    <w:rsid w:val="00FC6213"/>
    <w:rsid w:val="00FC62CC"/>
    <w:rsid w:val="00FC65F0"/>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7521"/>
    <w:rsid w:val="00FE0FCD"/>
    <w:rsid w:val="00FE1DFC"/>
    <w:rsid w:val="00FE2643"/>
    <w:rsid w:val="00FE27B3"/>
    <w:rsid w:val="00FE3954"/>
    <w:rsid w:val="00FE52ED"/>
    <w:rsid w:val="00FE792B"/>
    <w:rsid w:val="00FF19C9"/>
    <w:rsid w:val="00FF29AD"/>
    <w:rsid w:val="00FF3A09"/>
    <w:rsid w:val="00FF3B3C"/>
    <w:rsid w:val="00FF3E8A"/>
    <w:rsid w:val="00FF471C"/>
    <w:rsid w:val="00FF5BD9"/>
    <w:rsid w:val="00FF6C9C"/>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
    <w:basedOn w:val="Normal"/>
    <w:link w:val="ListParagraphChar"/>
    <w:uiPriority w:val="34"/>
    <w:qFormat/>
    <w:rsid w:val="00CB2573"/>
    <w:pPr>
      <w:ind w:left="720"/>
      <w:contextualSpacing/>
    </w:pPr>
  </w:style>
  <w:style w:type="paragraph" w:styleId="NoSpacing">
    <w:name w:val="No Spacing"/>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evgenijs.Bla&#382;evi&#269;s@v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data.org/" TargetMode="External"/><Relationship Id="rId2" Type="http://schemas.openxmlformats.org/officeDocument/2006/relationships/hyperlink" Target="http://www.world-heart-federation.org/publications/" TargetMode="External"/><Relationship Id="rId1" Type="http://schemas.openxmlformats.org/officeDocument/2006/relationships/hyperlink" Target="http://www.who.int/healthpromotion/conferences/previous/ottawa/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05DF-8594-4B76-8DE0-ED1EDB45B8DB}">
  <ds:schemaRefs>
    <ds:schemaRef ds:uri="http://schemas.openxmlformats.org/officeDocument/2006/bibliography"/>
  </ds:schemaRefs>
</ds:datastoreItem>
</file>

<file path=customXml/itemProps2.xml><?xml version="1.0" encoding="utf-8"?>
<ds:datastoreItem xmlns:ds="http://schemas.openxmlformats.org/officeDocument/2006/customXml" ds:itemID="{AD15A7EE-112B-46EF-AA04-4E863603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28</Pages>
  <Words>6571</Words>
  <Characters>47575</Characters>
  <Application>Microsoft Office Word</Application>
  <DocSecurity>0</DocSecurity>
  <Lines>1399</Lines>
  <Paragraphs>447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„Darbības programmas „Izaugsme un nodarbinātība” 9.2.4. specifiskā atbalsta mērķa „Uzlabot pieejamību veselības veicināšanas un slimību profilakses pakalpojumiem, jo īpaši, nabadzības un sociālās atstumtības riskam pak</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53699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sākotnējās ietekmes novērtējuma ziņojums (anotācija)</dc:title>
  <dc:subject>Anotācija</dc:subject>
  <dc:creator>Agnese Tomsone</dc:creator>
  <dc:description>Agnese Tomsone
Investīciju un Eiropas Savienības fondu 
uzraudzības departamenta ES fondu ieviešanas nodaļas vadītāja
Tālr.:  67 876 181
Agnese.Tomsone@vm.gov.lv</dc:description>
  <cp:lastModifiedBy>atomsone</cp:lastModifiedBy>
  <cp:revision>43</cp:revision>
  <cp:lastPrinted>2016-04-08T13:59:00Z</cp:lastPrinted>
  <dcterms:created xsi:type="dcterms:W3CDTF">2016-04-12T09:59:00Z</dcterms:created>
  <dcterms:modified xsi:type="dcterms:W3CDTF">2016-05-05T07:01:00Z</dcterms:modified>
</cp:coreProperties>
</file>