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A0" w:rsidRPr="00810D9C" w:rsidRDefault="00810D9C" w:rsidP="002E61CF">
      <w:pPr>
        <w:spacing w:after="0" w:line="240" w:lineRule="auto"/>
        <w:jc w:val="center"/>
        <w:rPr>
          <w:rFonts w:ascii="Times New Roman" w:hAnsi="Times New Roman"/>
          <w:b/>
          <w:bCs/>
          <w:sz w:val="28"/>
          <w:szCs w:val="28"/>
          <w:shd w:val="clear" w:color="auto" w:fill="FEFEFE"/>
          <w:lang w:val="lv-LV"/>
        </w:rPr>
      </w:pPr>
      <w:bookmarkStart w:id="0" w:name="OLE_LINK7"/>
      <w:bookmarkStart w:id="1" w:name="OLE_LINK8"/>
      <w:bookmarkStart w:id="2" w:name="OLE_LINK1"/>
      <w:bookmarkStart w:id="3" w:name="OLE_LINK9"/>
      <w:r w:rsidRPr="00810D9C">
        <w:rPr>
          <w:rFonts w:ascii="Times New Roman" w:hAnsi="Times New Roman"/>
          <w:b/>
          <w:sz w:val="28"/>
          <w:szCs w:val="28"/>
          <w:lang w:val="lv-LV"/>
        </w:rPr>
        <w:t>Minist</w:t>
      </w:r>
      <w:r>
        <w:rPr>
          <w:rFonts w:ascii="Times New Roman" w:hAnsi="Times New Roman"/>
          <w:b/>
          <w:sz w:val="28"/>
          <w:szCs w:val="28"/>
          <w:lang w:val="lv-LV"/>
        </w:rPr>
        <w:t>ru kabineta noteikumu projekta</w:t>
      </w:r>
      <w:r w:rsidRPr="00810D9C">
        <w:rPr>
          <w:rFonts w:ascii="Times New Roman" w:hAnsi="Times New Roman"/>
          <w:b/>
          <w:sz w:val="28"/>
          <w:szCs w:val="28"/>
          <w:lang w:val="lv-LV"/>
        </w:rPr>
        <w:t xml:space="preserve"> "Brīdinājumu par ietekmi uz veselību noformēšanas un novietošanas prasības un kārtība, kādā ražotājs vai importētājs ziņo par kombinēto brīdinājumu par ietekmi uz veselību izvietošanu" sākotnējās ietekmes novērtējuma ziņojums</w:t>
      </w:r>
      <w:r w:rsidR="003D5FA0" w:rsidRPr="00810D9C">
        <w:rPr>
          <w:rFonts w:ascii="Times New Roman" w:eastAsia="Times New Roman" w:hAnsi="Times New Roman" w:cs="Times New Roman"/>
          <w:b/>
          <w:bCs/>
          <w:sz w:val="28"/>
          <w:szCs w:val="28"/>
          <w:lang w:val="lv-LV" w:eastAsia="lv-LV"/>
        </w:rPr>
        <w:t xml:space="preserve"> (anotācija)</w:t>
      </w:r>
    </w:p>
    <w:bookmarkEnd w:id="0"/>
    <w:bookmarkEnd w:id="1"/>
    <w:bookmarkEnd w:id="2"/>
    <w:bookmarkEnd w:id="3"/>
    <w:p w:rsidR="00E101BB" w:rsidRPr="00EB6F6A" w:rsidRDefault="00E101BB" w:rsidP="003D5FA0">
      <w:pPr>
        <w:pStyle w:val="NoSpacing"/>
        <w:rPr>
          <w:b/>
          <w:lang w:val="lv-LV"/>
        </w:rPr>
      </w:pPr>
    </w:p>
    <w:tbl>
      <w:tblPr>
        <w:tblW w:w="498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312"/>
        <w:gridCol w:w="2270"/>
        <w:gridCol w:w="6520"/>
      </w:tblGrid>
      <w:tr w:rsidR="00E101BB" w:rsidRPr="00FE0001" w:rsidTr="00DA30E1">
        <w:trPr>
          <w:trHeight w:val="405"/>
        </w:trPr>
        <w:tc>
          <w:tcPr>
            <w:tcW w:w="910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EB6F6A" w:rsidRDefault="00E101BB" w:rsidP="001B3285">
            <w:pPr>
              <w:pStyle w:val="NoSpacing"/>
              <w:jc w:val="both"/>
              <w:rPr>
                <w:b/>
                <w:lang w:val="lv-LV"/>
              </w:rPr>
            </w:pPr>
            <w:r w:rsidRPr="00EB6F6A">
              <w:rPr>
                <w:b/>
                <w:lang w:val="lv-LV"/>
              </w:rPr>
              <w:t>I. Tiesību akta projekta izstrādes nepieciešamība</w:t>
            </w:r>
          </w:p>
        </w:tc>
      </w:tr>
      <w:tr w:rsidR="00E101BB" w:rsidRPr="00FE0001" w:rsidTr="00E15B22">
        <w:trPr>
          <w:trHeight w:val="40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1.</w:t>
            </w:r>
          </w:p>
        </w:tc>
        <w:tc>
          <w:tcPr>
            <w:tcW w:w="227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Pamatojums</w:t>
            </w:r>
          </w:p>
        </w:tc>
        <w:tc>
          <w:tcPr>
            <w:tcW w:w="6520" w:type="dxa"/>
            <w:tcBorders>
              <w:top w:val="outset" w:sz="6" w:space="0" w:color="414142"/>
              <w:left w:val="outset" w:sz="6" w:space="0" w:color="414142"/>
              <w:bottom w:val="outset" w:sz="6" w:space="0" w:color="414142"/>
              <w:right w:val="outset" w:sz="6" w:space="0" w:color="414142"/>
            </w:tcBorders>
            <w:shd w:val="clear" w:color="auto" w:fill="FFFFFF"/>
            <w:hideMark/>
          </w:tcPr>
          <w:p w:rsidR="00930C92" w:rsidRPr="00EB6F6A" w:rsidRDefault="003D5FA0" w:rsidP="00D620D9">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Ministru kabineta noteikumu</w:t>
            </w:r>
            <w:r w:rsidR="00A555F6" w:rsidRPr="00EB6F6A">
              <w:rPr>
                <w:rFonts w:ascii="Times New Roman" w:hAnsi="Times New Roman" w:cs="Times New Roman"/>
                <w:bCs/>
                <w:sz w:val="24"/>
                <w:szCs w:val="24"/>
                <w:lang w:val="lv-LV"/>
              </w:rPr>
              <w:t xml:space="preserve"> </w:t>
            </w:r>
            <w:r w:rsidR="001136D6" w:rsidRPr="00EB6F6A">
              <w:rPr>
                <w:rFonts w:ascii="Times New Roman" w:hAnsi="Times New Roman" w:cs="Times New Roman"/>
                <w:bCs/>
                <w:sz w:val="24"/>
                <w:szCs w:val="24"/>
                <w:lang w:val="lv-LV"/>
              </w:rPr>
              <w:t xml:space="preserve">projekta </w:t>
            </w:r>
            <w:r w:rsidRPr="00EB6F6A">
              <w:rPr>
                <w:rFonts w:ascii="Times New Roman" w:hAnsi="Times New Roman" w:cs="Times New Roman"/>
                <w:sz w:val="24"/>
                <w:szCs w:val="24"/>
                <w:lang w:val="lv-LV"/>
              </w:rPr>
              <w:t>(turpmāk – projekts</w:t>
            </w:r>
            <w:r w:rsidR="00A555F6" w:rsidRPr="00EB6F6A">
              <w:rPr>
                <w:rFonts w:ascii="Times New Roman" w:hAnsi="Times New Roman" w:cs="Times New Roman"/>
                <w:sz w:val="24"/>
                <w:szCs w:val="24"/>
                <w:lang w:val="lv-LV"/>
              </w:rPr>
              <w:t xml:space="preserve">) nepieciešamību </w:t>
            </w:r>
            <w:r w:rsidR="00D620D9" w:rsidRPr="00EB6F6A">
              <w:rPr>
                <w:rFonts w:ascii="Times New Roman" w:hAnsi="Times New Roman" w:cs="Times New Roman"/>
                <w:sz w:val="24"/>
                <w:szCs w:val="24"/>
                <w:lang w:val="lv-LV"/>
              </w:rPr>
              <w:t>n</w:t>
            </w:r>
            <w:r w:rsidR="00A555F6" w:rsidRPr="00EB6F6A">
              <w:rPr>
                <w:rFonts w:ascii="Times New Roman" w:hAnsi="Times New Roman" w:cs="Times New Roman"/>
                <w:sz w:val="24"/>
                <w:szCs w:val="24"/>
                <w:lang w:val="lv-LV"/>
              </w:rPr>
              <w:t>osaka</w:t>
            </w:r>
            <w:r w:rsidR="00930C92" w:rsidRPr="00EB6F6A">
              <w:rPr>
                <w:rFonts w:ascii="Times New Roman" w:hAnsi="Times New Roman" w:cs="Times New Roman"/>
                <w:sz w:val="24"/>
                <w:szCs w:val="24"/>
                <w:lang w:val="lv-LV"/>
              </w:rPr>
              <w:t>:</w:t>
            </w:r>
          </w:p>
          <w:p w:rsidR="00930C92" w:rsidRPr="00EB6F6A" w:rsidRDefault="00930C92" w:rsidP="00930C92">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w:t>
            </w:r>
            <w:r w:rsidR="00A555F6" w:rsidRPr="00EB6F6A">
              <w:rPr>
                <w:rFonts w:ascii="Times New Roman" w:hAnsi="Times New Roman" w:cs="Times New Roman"/>
                <w:sz w:val="24"/>
                <w:szCs w:val="24"/>
                <w:lang w:val="lv-LV"/>
              </w:rPr>
              <w:t xml:space="preserve"> Eiropas Parlamenta un Padomes 2014.gada 3.aprīļa direktīvas 2014/40/ES </w:t>
            </w:r>
            <w:r w:rsidR="00A555F6" w:rsidRPr="00EB6F6A">
              <w:rPr>
                <w:rFonts w:ascii="Times New Roman" w:hAnsi="Times New Roman" w:cs="Times New Roman"/>
                <w:i/>
                <w:sz w:val="24"/>
                <w:szCs w:val="24"/>
                <w:lang w:val="lv-LV"/>
              </w:rPr>
              <w:t>par dalībvalstu normatīvo un administratīvo aktu tuvināšanu attiecībā uz tabakas un saistīto izstrādājumu ražošanu, noformēšanu un</w:t>
            </w:r>
            <w:r w:rsidR="00A555F6" w:rsidRPr="00EB6F6A">
              <w:rPr>
                <w:rFonts w:ascii="Times New Roman" w:hAnsi="Times New Roman" w:cs="Times New Roman"/>
                <w:sz w:val="24"/>
                <w:szCs w:val="24"/>
                <w:lang w:val="lv-LV"/>
              </w:rPr>
              <w:t xml:space="preserve"> </w:t>
            </w:r>
            <w:r w:rsidR="00A555F6" w:rsidRPr="00EB6F6A">
              <w:rPr>
                <w:rFonts w:ascii="Times New Roman" w:hAnsi="Times New Roman" w:cs="Times New Roman"/>
                <w:i/>
                <w:sz w:val="24"/>
                <w:szCs w:val="24"/>
                <w:lang w:val="lv-LV"/>
              </w:rPr>
              <w:t>pārdošanu un ar ko atceļ Direktīvu 2001/37/EK</w:t>
            </w:r>
            <w:r w:rsidR="00D620D9" w:rsidRPr="00EB6F6A">
              <w:rPr>
                <w:rFonts w:ascii="Times New Roman" w:hAnsi="Times New Roman" w:cs="Times New Roman"/>
                <w:i/>
                <w:sz w:val="24"/>
                <w:szCs w:val="24"/>
                <w:lang w:val="lv-LV"/>
              </w:rPr>
              <w:t xml:space="preserve"> </w:t>
            </w:r>
            <w:r w:rsidR="00D620D9" w:rsidRPr="00EB6F6A">
              <w:rPr>
                <w:rFonts w:ascii="Times New Roman" w:hAnsi="Times New Roman" w:cs="Times New Roman"/>
                <w:sz w:val="24"/>
                <w:szCs w:val="24"/>
                <w:lang w:val="lv-LV"/>
              </w:rPr>
              <w:t xml:space="preserve"> </w:t>
            </w:r>
            <w:r w:rsidR="00A555F6" w:rsidRPr="00EB6F6A">
              <w:rPr>
                <w:rFonts w:ascii="Times New Roman" w:hAnsi="Times New Roman" w:cs="Times New Roman"/>
                <w:sz w:val="24"/>
                <w:szCs w:val="24"/>
                <w:lang w:val="lv-LV"/>
              </w:rPr>
              <w:t>29.pants</w:t>
            </w:r>
            <w:r w:rsidR="00397D36" w:rsidRPr="00EB6F6A">
              <w:rPr>
                <w:rFonts w:ascii="Times New Roman" w:hAnsi="Times New Roman" w:cs="Times New Roman"/>
                <w:sz w:val="24"/>
                <w:szCs w:val="24"/>
                <w:lang w:val="lv-LV"/>
              </w:rPr>
              <w:t xml:space="preserve">; </w:t>
            </w:r>
          </w:p>
          <w:p w:rsidR="00397D36" w:rsidRPr="00EB6F6A" w:rsidRDefault="00397D36" w:rsidP="00397D36">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 Eiropas Komisijas 2012.gada 7.marta direktīvas 2012/9/ES </w:t>
            </w:r>
            <w:r w:rsidRPr="00EB6F6A">
              <w:rPr>
                <w:rFonts w:ascii="Times New Roman" w:hAnsi="Times New Roman" w:cs="Times New Roman"/>
                <w:i/>
                <w:sz w:val="24"/>
                <w:szCs w:val="24"/>
                <w:lang w:val="lv-LV"/>
              </w:rPr>
              <w:t xml:space="preserve">ar ko groza I pielikumu Eiropas Parlamenta un Padomes Direktīvā 2001/37/EK par dalībvalstu normatīvo un administratīvo aktu tuvināšanu attiecībā uz tabakas izstrādājumu ražošanu, noformēšanu un pārdošanu </w:t>
            </w:r>
            <w:r w:rsidRPr="00EB6F6A">
              <w:rPr>
                <w:rFonts w:ascii="Times New Roman" w:hAnsi="Times New Roman" w:cs="Times New Roman"/>
                <w:sz w:val="24"/>
                <w:szCs w:val="24"/>
                <w:lang w:val="lv-LV"/>
              </w:rPr>
              <w:t xml:space="preserve">2.panta 2.punkts; </w:t>
            </w:r>
          </w:p>
          <w:p w:rsidR="00397D36" w:rsidRPr="00EB6F6A" w:rsidRDefault="00397D36" w:rsidP="00397D36">
            <w:pPr>
              <w:autoSpaceDE w:val="0"/>
              <w:autoSpaceDN w:val="0"/>
              <w:adjustRightInd w:val="0"/>
              <w:spacing w:after="0" w:line="240" w:lineRule="auto"/>
              <w:jc w:val="both"/>
              <w:rPr>
                <w:rFonts w:ascii="Times New Roman" w:hAnsi="Times New Roman" w:cs="Times New Roman"/>
                <w:sz w:val="24"/>
                <w:szCs w:val="24"/>
                <w:lang w:val="pt-PT"/>
              </w:rPr>
            </w:pPr>
            <w:r w:rsidRPr="00EB6F6A">
              <w:rPr>
                <w:rFonts w:ascii="Times New Roman" w:hAnsi="Times New Roman" w:cs="Times New Roman"/>
                <w:sz w:val="24"/>
                <w:szCs w:val="24"/>
                <w:lang w:val="pt-PT"/>
              </w:rPr>
              <w:t xml:space="preserve">3)Eiropas Komisijas 2014.gada 12.marta direktīva 2014/39/EK </w:t>
            </w:r>
            <w:r w:rsidRPr="00EB6F6A">
              <w:rPr>
                <w:rFonts w:ascii="Times New Roman" w:hAnsi="Times New Roman" w:cs="Times New Roman"/>
                <w:i/>
                <w:sz w:val="24"/>
                <w:szCs w:val="24"/>
                <w:lang w:val="pt-PT"/>
              </w:rPr>
              <w:t xml:space="preserve">ar ko groza Direktīvu 2012/9/ES attiecībā uz tās transponēšanas datumu un pārejas perioda beigu termiņu; </w:t>
            </w:r>
          </w:p>
          <w:p w:rsidR="00397D36" w:rsidRPr="00EB6F6A" w:rsidRDefault="00397D36" w:rsidP="00397D36">
            <w:pPr>
              <w:autoSpaceDE w:val="0"/>
              <w:autoSpaceDN w:val="0"/>
              <w:adjustRightInd w:val="0"/>
              <w:spacing w:after="0" w:line="240" w:lineRule="auto"/>
              <w:jc w:val="both"/>
              <w:rPr>
                <w:rFonts w:ascii="Times New Roman" w:hAnsi="Times New Roman" w:cs="Times New Roman"/>
                <w:i/>
                <w:sz w:val="24"/>
                <w:szCs w:val="24"/>
                <w:shd w:val="clear" w:color="auto" w:fill="FFFFFF"/>
                <w:lang w:val="pt-PT"/>
              </w:rPr>
            </w:pPr>
            <w:r w:rsidRPr="00EB6F6A">
              <w:rPr>
                <w:rFonts w:ascii="Times New Roman" w:hAnsi="Times New Roman" w:cs="Times New Roman"/>
                <w:sz w:val="24"/>
                <w:szCs w:val="24"/>
                <w:lang w:val="pt-PT"/>
              </w:rPr>
              <w:t xml:space="preserve">4)Eiropas Komisijas 2015.gada 13.jūlija direktīva 2015/1139 </w:t>
            </w:r>
            <w:r w:rsidRPr="00EB6F6A">
              <w:rPr>
                <w:rFonts w:ascii="Times New Roman" w:hAnsi="Times New Roman" w:cs="Times New Roman"/>
                <w:i/>
                <w:sz w:val="24"/>
                <w:szCs w:val="24"/>
                <w:lang w:val="pt-PT"/>
              </w:rPr>
              <w:t xml:space="preserve">ar ko Direktīvu 2012/9/ES groza attiecībā uz tās transponēšanas datumu un pārejas perioda beigu termiņu; </w:t>
            </w:r>
          </w:p>
          <w:p w:rsidR="00397D36" w:rsidRPr="00EB6F6A" w:rsidRDefault="00397D36" w:rsidP="00397D36">
            <w:pPr>
              <w:autoSpaceDE w:val="0"/>
              <w:autoSpaceDN w:val="0"/>
              <w:adjustRightInd w:val="0"/>
              <w:spacing w:after="0" w:line="240" w:lineRule="auto"/>
              <w:jc w:val="both"/>
              <w:rPr>
                <w:rFonts w:ascii="Times New Roman" w:hAnsi="Times New Roman" w:cs="Times New Roman"/>
                <w:sz w:val="24"/>
                <w:szCs w:val="24"/>
                <w:lang w:val="pt-PT"/>
              </w:rPr>
            </w:pPr>
            <w:r w:rsidRPr="00EB6F6A">
              <w:rPr>
                <w:rFonts w:ascii="Times New Roman" w:hAnsi="Times New Roman" w:cs="Times New Roman"/>
                <w:sz w:val="24"/>
                <w:szCs w:val="24"/>
                <w:lang w:val="pt-PT"/>
              </w:rPr>
              <w:t xml:space="preserve">5) 2014.gada 10.oktobra Eiropas Komisijas deleģētā direktīva 2014/109/ES </w:t>
            </w:r>
            <w:r w:rsidRPr="00EB6F6A">
              <w:rPr>
                <w:rFonts w:ascii="Times New Roman" w:hAnsi="Times New Roman" w:cs="Times New Roman"/>
                <w:i/>
                <w:sz w:val="24"/>
                <w:szCs w:val="24"/>
                <w:lang w:val="pt-PT"/>
              </w:rPr>
              <w:t>ar ko groza Eiropas Parlamenta un Padomes Direktīvas 2014/40/ES II pielikumu, izveidojot galeriju ar ilustratīviem brīdinājumiem, kuri jāizvieto uz tabakas izstrādājumiem</w:t>
            </w:r>
            <w:r w:rsidRPr="00EB6F6A">
              <w:rPr>
                <w:rFonts w:ascii="Times New Roman" w:hAnsi="Times New Roman" w:cs="Times New Roman"/>
                <w:sz w:val="24"/>
                <w:szCs w:val="24"/>
                <w:lang w:val="pt-PT"/>
              </w:rPr>
              <w:t xml:space="preserve">;  </w:t>
            </w:r>
          </w:p>
          <w:p w:rsidR="00397D36" w:rsidRPr="00EB6F6A" w:rsidRDefault="00397D36" w:rsidP="00397D36">
            <w:pPr>
              <w:autoSpaceDE w:val="0"/>
              <w:autoSpaceDN w:val="0"/>
              <w:adjustRightInd w:val="0"/>
              <w:spacing w:after="0" w:line="240" w:lineRule="auto"/>
              <w:jc w:val="both"/>
              <w:rPr>
                <w:rFonts w:ascii="Times New Roman" w:hAnsi="Times New Roman" w:cs="Times New Roman"/>
                <w:sz w:val="24"/>
                <w:szCs w:val="24"/>
                <w:lang w:val="pt-PT"/>
              </w:rPr>
            </w:pPr>
            <w:r w:rsidRPr="00EB6F6A">
              <w:rPr>
                <w:rFonts w:ascii="Times New Roman" w:hAnsi="Times New Roman" w:cs="Times New Roman"/>
                <w:sz w:val="24"/>
                <w:szCs w:val="24"/>
                <w:lang w:val="pt-PT"/>
              </w:rPr>
              <w:t>6) Eiropas Komisijas 2015.gada 24.septembra īstenošanas lēmum</w:t>
            </w:r>
            <w:r w:rsidR="003B658D" w:rsidRPr="00EB6F6A">
              <w:rPr>
                <w:rFonts w:ascii="Times New Roman" w:hAnsi="Times New Roman" w:cs="Times New Roman"/>
                <w:sz w:val="24"/>
                <w:szCs w:val="24"/>
                <w:lang w:val="pt-PT"/>
              </w:rPr>
              <w:t>s</w:t>
            </w:r>
            <w:r w:rsidRPr="00EB6F6A">
              <w:rPr>
                <w:rFonts w:ascii="Times New Roman" w:hAnsi="Times New Roman" w:cs="Times New Roman"/>
                <w:sz w:val="24"/>
                <w:szCs w:val="24"/>
                <w:lang w:val="pt-PT"/>
              </w:rPr>
              <w:t xml:space="preserve"> (ES) 2015/1735 </w:t>
            </w:r>
            <w:r w:rsidRPr="00EB6F6A">
              <w:rPr>
                <w:rFonts w:ascii="Times New Roman" w:hAnsi="Times New Roman" w:cs="Times New Roman"/>
                <w:i/>
                <w:sz w:val="24"/>
                <w:szCs w:val="24"/>
                <w:lang w:val="pt-PT"/>
              </w:rPr>
              <w:t>par vispārīgā brīdinājuma un informatīvā uzraksta precīzu izvietojumu uz tinamās tabakas, ko pārdod  maisiņos</w:t>
            </w:r>
            <w:r w:rsidRPr="00EB6F6A">
              <w:rPr>
                <w:rFonts w:ascii="Times New Roman" w:hAnsi="Times New Roman" w:cs="Times New Roman"/>
                <w:sz w:val="24"/>
                <w:szCs w:val="24"/>
                <w:lang w:val="pt-PT"/>
              </w:rPr>
              <w:t xml:space="preserve">; </w:t>
            </w:r>
          </w:p>
          <w:p w:rsidR="003B658D" w:rsidRPr="00EB6F6A" w:rsidRDefault="00397D36" w:rsidP="00397D36">
            <w:pPr>
              <w:spacing w:after="0" w:line="240" w:lineRule="auto"/>
              <w:jc w:val="both"/>
              <w:rPr>
                <w:rFonts w:ascii="Times New Roman" w:hAnsi="Times New Roman" w:cs="Times New Roman"/>
                <w:sz w:val="24"/>
                <w:szCs w:val="24"/>
                <w:lang w:val="pt-PT"/>
              </w:rPr>
            </w:pPr>
            <w:r w:rsidRPr="00EB6F6A">
              <w:rPr>
                <w:rFonts w:ascii="Times New Roman" w:hAnsi="Times New Roman" w:cs="Times New Roman"/>
                <w:sz w:val="24"/>
                <w:szCs w:val="24"/>
                <w:lang w:val="pt-PT"/>
              </w:rPr>
              <w:t xml:space="preserve">7) Eiropas Komisijas 2015.gada 9.oktobra īstenošanas lēmums (ES) </w:t>
            </w:r>
            <w:r w:rsidRPr="00EB6F6A">
              <w:rPr>
                <w:rFonts w:ascii="Times New Roman" w:hAnsi="Times New Roman" w:cs="Times New Roman"/>
                <w:i/>
                <w:sz w:val="24"/>
                <w:szCs w:val="24"/>
                <w:lang w:val="pt-PT"/>
              </w:rPr>
              <w:t>par kombinēto brīdinājumu par smēķēšanai paredzēto tabakas izstrādājumu ietekmi uz veselību izvietojuma, dizaina un formas tehniskajām specifikācijām</w:t>
            </w:r>
            <w:r w:rsidR="003B658D" w:rsidRPr="00EB6F6A">
              <w:rPr>
                <w:rFonts w:ascii="Times New Roman" w:hAnsi="Times New Roman" w:cs="Times New Roman"/>
                <w:sz w:val="24"/>
                <w:szCs w:val="24"/>
                <w:lang w:val="pt-PT"/>
              </w:rPr>
              <w:t xml:space="preserve">. </w:t>
            </w:r>
          </w:p>
        </w:tc>
      </w:tr>
      <w:tr w:rsidR="00E101BB" w:rsidRPr="00FE0001" w:rsidTr="00E15B22">
        <w:trPr>
          <w:trHeight w:val="46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2.</w:t>
            </w:r>
          </w:p>
        </w:tc>
        <w:tc>
          <w:tcPr>
            <w:tcW w:w="227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Pašreizējā situācija un problēmas, kuru risināšanai tiesību akta projekts izstrādāts, tiesiskā regulējuma mērķis un būtība</w:t>
            </w:r>
          </w:p>
        </w:tc>
        <w:tc>
          <w:tcPr>
            <w:tcW w:w="6520" w:type="dxa"/>
            <w:tcBorders>
              <w:top w:val="outset" w:sz="6" w:space="0" w:color="414142"/>
              <w:left w:val="outset" w:sz="6" w:space="0" w:color="414142"/>
              <w:bottom w:val="outset" w:sz="6" w:space="0" w:color="414142"/>
              <w:right w:val="outset" w:sz="6" w:space="0" w:color="414142"/>
            </w:tcBorders>
            <w:shd w:val="clear" w:color="auto" w:fill="FFFFFF"/>
            <w:hideMark/>
          </w:tcPr>
          <w:p w:rsidR="00F11D2E" w:rsidRPr="00EB6F6A" w:rsidRDefault="00A555F6" w:rsidP="00A7384C">
            <w:pPr>
              <w:pStyle w:val="NoSpacing"/>
              <w:jc w:val="both"/>
              <w:rPr>
                <w:lang w:val="lv-LV"/>
              </w:rPr>
            </w:pPr>
            <w:r w:rsidRPr="00EB6F6A">
              <w:rPr>
                <w:lang w:val="lv-LV"/>
              </w:rPr>
              <w:t>2014.gada 19.maijā stājās spēkā Eiropas Parlamenta un Padomes direktīva 2014/40/ES</w:t>
            </w:r>
            <w:r w:rsidRPr="00EB6F6A">
              <w:rPr>
                <w:i/>
                <w:lang w:val="lv-LV"/>
              </w:rPr>
              <w:t xml:space="preserve"> par dalībvalstu normatīvo un administratīvo aktu tuvināšanu attiecībā uz tabakas un saistīto izstrādājumu ražošanu, noformēšanu un pārdošanu</w:t>
            </w:r>
            <w:r w:rsidR="00D620D9" w:rsidRPr="00EB6F6A">
              <w:rPr>
                <w:i/>
                <w:lang w:val="lv-LV"/>
              </w:rPr>
              <w:t xml:space="preserve"> </w:t>
            </w:r>
            <w:r w:rsidR="00D620D9" w:rsidRPr="00EB6F6A">
              <w:rPr>
                <w:lang w:val="lv-LV"/>
              </w:rPr>
              <w:t xml:space="preserve">(turpmāk- </w:t>
            </w:r>
            <w:r w:rsidR="00410F35" w:rsidRPr="00EB6F6A">
              <w:rPr>
                <w:lang w:val="lv-LV"/>
              </w:rPr>
              <w:t>D</w:t>
            </w:r>
            <w:r w:rsidR="00D620D9" w:rsidRPr="00EB6F6A">
              <w:rPr>
                <w:lang w:val="lv-LV"/>
              </w:rPr>
              <w:t>irektīva 2014/40/ES)</w:t>
            </w:r>
            <w:r w:rsidR="004B436A" w:rsidRPr="00EB6F6A">
              <w:rPr>
                <w:lang w:val="lv-LV"/>
              </w:rPr>
              <w:t xml:space="preserve">. </w:t>
            </w:r>
            <w:r w:rsidR="00111159" w:rsidRPr="00EB6F6A">
              <w:rPr>
                <w:lang w:val="lv-LV"/>
              </w:rPr>
              <w:t>Saskaņā ar D</w:t>
            </w:r>
            <w:r w:rsidR="00D826BB" w:rsidRPr="00EB6F6A">
              <w:rPr>
                <w:lang w:val="lv-LV"/>
              </w:rPr>
              <w:t xml:space="preserve">irektīvas </w:t>
            </w:r>
            <w:r w:rsidR="00D620D9" w:rsidRPr="00EB6F6A">
              <w:rPr>
                <w:lang w:val="lv-LV"/>
              </w:rPr>
              <w:t xml:space="preserve">2014/40 ES </w:t>
            </w:r>
            <w:r w:rsidR="00D826BB" w:rsidRPr="00EB6F6A">
              <w:rPr>
                <w:lang w:val="lv-LV"/>
              </w:rPr>
              <w:t>29.panta 1.punktu, nacionālā līmenī tiesību ak</w:t>
            </w:r>
            <w:r w:rsidR="00410F35" w:rsidRPr="00EB6F6A">
              <w:rPr>
                <w:lang w:val="lv-LV"/>
              </w:rPr>
              <w:t>tiem, ar kuriem tiek pārņemtas D</w:t>
            </w:r>
            <w:r w:rsidR="00D826BB" w:rsidRPr="00EB6F6A">
              <w:rPr>
                <w:lang w:val="lv-LV"/>
              </w:rPr>
              <w:t xml:space="preserve">irektīvas  </w:t>
            </w:r>
            <w:r w:rsidR="00240AF2" w:rsidRPr="00EB6F6A">
              <w:rPr>
                <w:lang w:val="lv-LV"/>
              </w:rPr>
              <w:t xml:space="preserve">2014/40/ES </w:t>
            </w:r>
            <w:r w:rsidR="00D826BB" w:rsidRPr="00EB6F6A">
              <w:rPr>
                <w:lang w:val="lv-LV"/>
              </w:rPr>
              <w:t>prasības, jāstājas spēkā līdz 2016.gada 20.maijam.</w:t>
            </w:r>
            <w:r w:rsidR="001136D6" w:rsidRPr="00EB6F6A">
              <w:rPr>
                <w:lang w:val="lv-LV"/>
              </w:rPr>
              <w:t xml:space="preserve"> </w:t>
            </w:r>
          </w:p>
          <w:p w:rsidR="00226B72" w:rsidRPr="00EB6F6A" w:rsidRDefault="00A7384C" w:rsidP="00A7384C">
            <w:pPr>
              <w:pStyle w:val="NoSpacing"/>
              <w:jc w:val="both"/>
              <w:rPr>
                <w:lang w:val="lv-LV"/>
              </w:rPr>
            </w:pPr>
            <w:r w:rsidRPr="00EB6F6A">
              <w:rPr>
                <w:lang w:val="lv-LV"/>
              </w:rPr>
              <w:t xml:space="preserve">Atbilstoši Direktīvai 2014/40/ES, turpmāk tirgū varēs </w:t>
            </w:r>
            <w:r w:rsidR="00F11D2E" w:rsidRPr="00EB6F6A">
              <w:rPr>
                <w:lang w:val="lv-LV"/>
              </w:rPr>
              <w:t>laist tikai tādus</w:t>
            </w:r>
            <w:r w:rsidRPr="00EB6F6A">
              <w:rPr>
                <w:lang w:val="lv-LV"/>
              </w:rPr>
              <w:t xml:space="preserve"> tabakas izstrādājumu</w:t>
            </w:r>
            <w:r w:rsidR="00F11D2E" w:rsidRPr="00EB6F6A">
              <w:rPr>
                <w:lang w:val="lv-LV"/>
              </w:rPr>
              <w:t>s</w:t>
            </w:r>
            <w:r w:rsidRPr="00EB6F6A">
              <w:rPr>
                <w:lang w:val="lv-LV"/>
              </w:rPr>
              <w:t>, augu smēķēšanas produktu</w:t>
            </w:r>
            <w:r w:rsidR="00F11D2E" w:rsidRPr="00EB6F6A">
              <w:rPr>
                <w:lang w:val="lv-LV"/>
              </w:rPr>
              <w:t xml:space="preserve">s, </w:t>
            </w:r>
            <w:r w:rsidR="00F11D2E" w:rsidRPr="00EB6F6A">
              <w:rPr>
                <w:lang w:val="lv-LV"/>
              </w:rPr>
              <w:lastRenderedPageBreak/>
              <w:t xml:space="preserve">elektroniskās cigaretes </w:t>
            </w:r>
            <w:r w:rsidRPr="00EB6F6A">
              <w:rPr>
                <w:lang w:val="lv-LV"/>
              </w:rPr>
              <w:t>un uzpildes flakonu</w:t>
            </w:r>
            <w:r w:rsidR="00F11D2E" w:rsidRPr="00EB6F6A">
              <w:rPr>
                <w:lang w:val="lv-LV"/>
              </w:rPr>
              <w:t xml:space="preserve">s, kuru </w:t>
            </w:r>
            <w:r w:rsidRPr="00EB6F6A">
              <w:rPr>
                <w:lang w:val="lv-LV"/>
              </w:rPr>
              <w:t xml:space="preserve">iepakojuma vienības un </w:t>
            </w:r>
            <w:r w:rsidR="00F11D2E" w:rsidRPr="00EB6F6A">
              <w:rPr>
                <w:lang w:val="lv-LV"/>
              </w:rPr>
              <w:t>jebkāds ārējais iepakojums ietvers</w:t>
            </w:r>
            <w:r w:rsidRPr="00EB6F6A">
              <w:rPr>
                <w:lang w:val="lv-LV"/>
              </w:rPr>
              <w:t xml:space="preserve"> brīdinājum</w:t>
            </w:r>
            <w:r w:rsidR="00F11D2E" w:rsidRPr="00EB6F6A">
              <w:rPr>
                <w:lang w:val="lv-LV"/>
              </w:rPr>
              <w:t>us</w:t>
            </w:r>
            <w:r w:rsidRPr="00EB6F6A">
              <w:rPr>
                <w:lang w:val="lv-LV"/>
              </w:rPr>
              <w:t xml:space="preserve"> par ietekmi </w:t>
            </w:r>
            <w:r w:rsidR="00F11D2E" w:rsidRPr="00EB6F6A">
              <w:rPr>
                <w:lang w:val="lv-LV"/>
              </w:rPr>
              <w:t>uz veselību atbilstoši Direktīvas</w:t>
            </w:r>
            <w:r w:rsidRPr="00EB6F6A">
              <w:rPr>
                <w:lang w:val="lv-LV"/>
              </w:rPr>
              <w:t xml:space="preserve"> 2014/40/ES</w:t>
            </w:r>
            <w:r w:rsidR="001136D6" w:rsidRPr="00EB6F6A">
              <w:rPr>
                <w:lang w:val="lv-LV"/>
              </w:rPr>
              <w:t xml:space="preserve">  8.-12.pantā</w:t>
            </w:r>
            <w:r w:rsidRPr="00EB6F6A">
              <w:rPr>
                <w:lang w:val="lv-LV"/>
              </w:rPr>
              <w:t xml:space="preserve"> un </w:t>
            </w:r>
            <w:r w:rsidR="001136D6" w:rsidRPr="00EB6F6A">
              <w:rPr>
                <w:lang w:val="lv-LV"/>
              </w:rPr>
              <w:t>20.pantā</w:t>
            </w:r>
            <w:r w:rsidR="00226B72" w:rsidRPr="00EB6F6A">
              <w:rPr>
                <w:lang w:val="lv-LV"/>
              </w:rPr>
              <w:t>, kā arī sais</w:t>
            </w:r>
            <w:r w:rsidR="00F11D2E" w:rsidRPr="00EB6F6A">
              <w:rPr>
                <w:lang w:val="lv-LV"/>
              </w:rPr>
              <w:t>tošajos sekundārajos</w:t>
            </w:r>
            <w:r w:rsidR="00226B72" w:rsidRPr="00EB6F6A">
              <w:rPr>
                <w:lang w:val="lv-LV"/>
              </w:rPr>
              <w:t xml:space="preserve"> tiesību aktos, kas minēt</w:t>
            </w:r>
            <w:r w:rsidR="00F11D2E" w:rsidRPr="00EB6F6A">
              <w:rPr>
                <w:lang w:val="lv-LV"/>
              </w:rPr>
              <w:t>i anotācijas I sadaļas 1.punktā</w:t>
            </w:r>
            <w:r w:rsidR="00410F35" w:rsidRPr="00EB6F6A">
              <w:rPr>
                <w:lang w:val="lv-LV"/>
              </w:rPr>
              <w:t>,</w:t>
            </w:r>
            <w:r w:rsidR="00F11D2E" w:rsidRPr="00EB6F6A">
              <w:rPr>
                <w:lang w:val="lv-LV"/>
              </w:rPr>
              <w:t xml:space="preserve"> noteiktajām prasībām. </w:t>
            </w:r>
            <w:r w:rsidR="00226B72" w:rsidRPr="00EB6F6A">
              <w:rPr>
                <w:lang w:val="lv-LV"/>
              </w:rPr>
              <w:t xml:space="preserve"> </w:t>
            </w:r>
          </w:p>
          <w:p w:rsidR="00226B72" w:rsidRPr="00EB6F6A" w:rsidRDefault="00226B72" w:rsidP="00A7384C">
            <w:pPr>
              <w:pStyle w:val="NoSpacing"/>
              <w:jc w:val="both"/>
              <w:rPr>
                <w:lang w:val="lv-LV"/>
              </w:rPr>
            </w:pPr>
          </w:p>
          <w:p w:rsidR="00A7384C" w:rsidRPr="00EB6F6A" w:rsidRDefault="00226B72" w:rsidP="00226B72">
            <w:pPr>
              <w:pStyle w:val="NoSpacing"/>
              <w:jc w:val="both"/>
              <w:rPr>
                <w:bCs/>
                <w:lang w:val="lv-LV"/>
              </w:rPr>
            </w:pPr>
            <w:r w:rsidRPr="00EB6F6A">
              <w:rPr>
                <w:bCs/>
                <w:lang w:val="lv-LV"/>
              </w:rPr>
              <w:t>Vispārējā prasība</w:t>
            </w:r>
            <w:r w:rsidRPr="00EB6F6A">
              <w:rPr>
                <w:rFonts w:eastAsia="SimSun"/>
                <w:lang w:val="lv-LV"/>
              </w:rPr>
              <w:t xml:space="preserve"> par nepieciešamību izvietot brīdinājumus par ietekmi uz veselību valsts valodā</w:t>
            </w:r>
            <w:r w:rsidRPr="00EB6F6A">
              <w:rPr>
                <w:bCs/>
                <w:lang w:val="lv-LV"/>
              </w:rPr>
              <w:t xml:space="preserve"> uz katras tabakas izstrādājumu, augu smēķēšanas produktu, elektronisko cigarešu un uzpildes flakonu iepakojuma  </w:t>
            </w:r>
            <w:r w:rsidRPr="00EB6F6A">
              <w:rPr>
                <w:rFonts w:eastAsia="SimSun"/>
                <w:lang w:val="lv-LV"/>
              </w:rPr>
              <w:t>vienības un jebkāda ārējā iepakojuma, ko laiž tirgū Latvijā, noteikta l</w:t>
            </w:r>
            <w:r w:rsidR="00367B82" w:rsidRPr="00EB6F6A">
              <w:rPr>
                <w:lang w:val="lv-LV"/>
              </w:rPr>
              <w:t>ikumprojekt</w:t>
            </w:r>
            <w:r w:rsidRPr="00EB6F6A">
              <w:rPr>
                <w:lang w:val="lv-LV"/>
              </w:rPr>
              <w:t>a</w:t>
            </w:r>
            <w:r w:rsidR="00367B82" w:rsidRPr="00EB6F6A">
              <w:rPr>
                <w:lang w:val="lv-LV"/>
              </w:rPr>
              <w:t xml:space="preserve"> „Tabakas izstrādājumu, augu smēķēšanas produktu, elektronisko smēķēšanas ierīču un to šķidrumu aprites likums”</w:t>
            </w:r>
            <w:r w:rsidR="00367B82" w:rsidRPr="00EB6F6A">
              <w:rPr>
                <w:b/>
                <w:lang w:val="lv-LV"/>
              </w:rPr>
              <w:t xml:space="preserve"> </w:t>
            </w:r>
            <w:r w:rsidR="00367B82" w:rsidRPr="00EB6F6A">
              <w:rPr>
                <w:lang w:val="lv-LV"/>
              </w:rPr>
              <w:t>(turpmāk- likumprojekts)</w:t>
            </w:r>
            <w:r w:rsidR="00831CCD" w:rsidRPr="00EB6F6A">
              <w:rPr>
                <w:rStyle w:val="FootnoteReference"/>
                <w:lang w:val="lv-LV"/>
              </w:rPr>
              <w:footnoteReference w:id="1"/>
            </w:r>
            <w:r w:rsidRPr="00EB6F6A">
              <w:rPr>
                <w:bCs/>
                <w:lang w:val="lv-LV"/>
              </w:rPr>
              <w:t xml:space="preserve"> 7.pantā. </w:t>
            </w:r>
            <w:r w:rsidR="00F11D2E" w:rsidRPr="00EB6F6A">
              <w:rPr>
                <w:bCs/>
                <w:lang w:val="lv-LV"/>
              </w:rPr>
              <w:t>Definīcijas, kas attiecas uz šo noteikumu projektu, iekļautas l</w:t>
            </w:r>
            <w:r w:rsidR="006A16F2" w:rsidRPr="00EB6F6A">
              <w:rPr>
                <w:bCs/>
                <w:lang w:val="lv-LV"/>
              </w:rPr>
              <w:t>ikumprojekta 1.pantā</w:t>
            </w:r>
            <w:r w:rsidR="00F11D2E" w:rsidRPr="00EB6F6A">
              <w:rPr>
                <w:bCs/>
                <w:lang w:val="lv-LV"/>
              </w:rPr>
              <w:t xml:space="preserve">. </w:t>
            </w:r>
            <w:r w:rsidR="006A16F2" w:rsidRPr="00EB6F6A">
              <w:rPr>
                <w:bCs/>
                <w:lang w:val="lv-LV"/>
              </w:rPr>
              <w:t>Savukārt n</w:t>
            </w:r>
            <w:r w:rsidRPr="00EB6F6A">
              <w:rPr>
                <w:lang w:val="lv-LV"/>
              </w:rPr>
              <w:t xml:space="preserve">oteikumu projekts veidots saskaņā ar likumprojekta 7.panta sesto daļu, kas nosaka, ka </w:t>
            </w:r>
            <w:r w:rsidRPr="00EB6F6A">
              <w:rPr>
                <w:bCs/>
                <w:lang w:val="lv-LV"/>
              </w:rPr>
              <w:t>u</w:t>
            </w:r>
            <w:r w:rsidRPr="00EB6F6A">
              <w:rPr>
                <w:lang w:val="lv-LV"/>
              </w:rPr>
              <w:t xml:space="preserve">z tabakas izstrādājumu, augu smēķēšanas produktu, elektronisko cigarešu un uzpildes flakonu iepakojuma izvietojamo brīdinājumu par ietekmi uz veselību noformējumu un novietojumu, rakstiskos brīdinājumus, kā arī uz smēķēšanai paredzēto tabakas izstrādājumu iepakojuma vienībām un ārējā iepakojuma izvietojamos kombinētos brīdinājumus par ietekmi uz veselību un kārtību, kādā ražotājs vai importētājs ziņo par kombinēto brīdinājumu par ietekmi uz veselību izvietošanu, nosaka Ministru kabinets. </w:t>
            </w:r>
          </w:p>
          <w:p w:rsidR="00226B72" w:rsidRPr="00EB6F6A" w:rsidRDefault="00226B72">
            <w:pPr>
              <w:spacing w:after="0" w:line="240" w:lineRule="auto"/>
              <w:jc w:val="both"/>
              <w:rPr>
                <w:rFonts w:ascii="Times New Roman" w:hAnsi="Times New Roman" w:cs="Times New Roman"/>
                <w:sz w:val="24"/>
                <w:szCs w:val="24"/>
                <w:lang w:val="lv-LV"/>
              </w:rPr>
            </w:pPr>
          </w:p>
          <w:p w:rsidR="00226B72" w:rsidRPr="00EB6F6A" w:rsidRDefault="00226B72">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Noteikumu projekta II sadaļā noteiktas vispārīgās prasības attiecībā uz brīdinājumiem par ietekmi uz veselību, kas jāievēro ražotājiem, lai viņi varētu produktus laist tirgū.  Šajā sadaļā arī ietverts nosacījums, ka tādiem tabakas izstrādājumiem, kas nav cigaretes un tinamā tabaka maisiņos,</w:t>
            </w:r>
            <w:r w:rsidR="006A16F2" w:rsidRPr="00EB6F6A">
              <w:rPr>
                <w:rFonts w:ascii="Times New Roman" w:hAnsi="Times New Roman" w:cs="Times New Roman"/>
                <w:sz w:val="24"/>
                <w:szCs w:val="24"/>
                <w:lang w:val="lv-LV"/>
              </w:rPr>
              <w:t xml:space="preserve"> </w:t>
            </w:r>
            <w:r w:rsidR="00410F35" w:rsidRPr="00EB6F6A">
              <w:rPr>
                <w:rFonts w:ascii="Times New Roman" w:hAnsi="Times New Roman" w:cs="Times New Roman"/>
                <w:sz w:val="24"/>
                <w:szCs w:val="24"/>
                <w:lang w:val="lv-LV"/>
              </w:rPr>
              <w:t>brīdinājumus</w:t>
            </w:r>
            <w:r w:rsidRPr="00EB6F6A">
              <w:rPr>
                <w:rFonts w:ascii="Times New Roman" w:hAnsi="Times New Roman" w:cs="Times New Roman"/>
                <w:sz w:val="24"/>
                <w:szCs w:val="24"/>
                <w:lang w:val="lv-LV"/>
              </w:rPr>
              <w:t xml:space="preserve"> par ietekmi uz veselību </w:t>
            </w:r>
            <w:r w:rsidR="00410F35" w:rsidRPr="00EB6F6A">
              <w:rPr>
                <w:rFonts w:ascii="Times New Roman" w:hAnsi="Times New Roman" w:cs="Times New Roman"/>
                <w:sz w:val="24"/>
                <w:szCs w:val="24"/>
                <w:lang w:val="lv-LV"/>
              </w:rPr>
              <w:t>atļauts</w:t>
            </w:r>
            <w:r w:rsidR="00F11D2E" w:rsidRPr="00EB6F6A">
              <w:rPr>
                <w:rFonts w:ascii="Times New Roman" w:hAnsi="Times New Roman" w:cs="Times New Roman"/>
                <w:sz w:val="24"/>
                <w:szCs w:val="24"/>
                <w:lang w:val="lv-LV"/>
              </w:rPr>
              <w:t xml:space="preserve"> drukāt </w:t>
            </w:r>
            <w:r w:rsidR="00410F35" w:rsidRPr="00EB6F6A">
              <w:rPr>
                <w:rFonts w:ascii="Times New Roman" w:hAnsi="Times New Roman" w:cs="Times New Roman"/>
                <w:sz w:val="24"/>
                <w:szCs w:val="24"/>
                <w:lang w:val="lv-LV"/>
              </w:rPr>
              <w:t xml:space="preserve">nevis </w:t>
            </w:r>
            <w:r w:rsidR="00F11D2E" w:rsidRPr="00EB6F6A">
              <w:rPr>
                <w:rFonts w:ascii="Times New Roman" w:hAnsi="Times New Roman" w:cs="Times New Roman"/>
                <w:sz w:val="24"/>
                <w:szCs w:val="24"/>
                <w:lang w:val="lv-LV"/>
              </w:rPr>
              <w:t>uz iepakojuma, bet gan uzlīmēm, kuras piestiprina pie iepakojuma vienībā</w:t>
            </w:r>
            <w:r w:rsidR="00410F35" w:rsidRPr="00EB6F6A">
              <w:rPr>
                <w:rFonts w:ascii="Times New Roman" w:hAnsi="Times New Roman" w:cs="Times New Roman"/>
                <w:sz w:val="24"/>
                <w:szCs w:val="24"/>
                <w:lang w:val="lv-LV"/>
              </w:rPr>
              <w:t xml:space="preserve">m vai jebkāda ārējā iepakojuma un kuras atbilst noteiktiem kritērijiem. </w:t>
            </w:r>
            <w:r w:rsidRPr="00EB6F6A">
              <w:rPr>
                <w:rFonts w:ascii="Times New Roman" w:hAnsi="Times New Roman" w:cs="Times New Roman"/>
                <w:sz w:val="24"/>
                <w:szCs w:val="24"/>
                <w:lang w:val="lv-LV"/>
              </w:rPr>
              <w:t xml:space="preserve">  </w:t>
            </w:r>
          </w:p>
          <w:p w:rsidR="006A16F2" w:rsidRPr="00EB6F6A" w:rsidRDefault="006A16F2">
            <w:pPr>
              <w:spacing w:after="0" w:line="240" w:lineRule="auto"/>
              <w:jc w:val="both"/>
              <w:rPr>
                <w:rFonts w:ascii="Times New Roman" w:hAnsi="Times New Roman" w:cs="Times New Roman"/>
                <w:sz w:val="24"/>
                <w:szCs w:val="24"/>
                <w:lang w:val="lv-LV"/>
              </w:rPr>
            </w:pPr>
          </w:p>
          <w:p w:rsidR="006A16F2" w:rsidRPr="00EB6F6A" w:rsidRDefault="006A16F2">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Noteikumu projekta III sadaļā noteikts, kā </w:t>
            </w:r>
            <w:r w:rsidR="00F11D2E" w:rsidRPr="00EB6F6A">
              <w:rPr>
                <w:rFonts w:ascii="Times New Roman" w:hAnsi="Times New Roman" w:cs="Times New Roman"/>
                <w:sz w:val="24"/>
                <w:szCs w:val="24"/>
                <w:lang w:val="lv-LV"/>
              </w:rPr>
              <w:t xml:space="preserve">uz dažādu produktu iepakojuma veidiem </w:t>
            </w:r>
            <w:r w:rsidRPr="00EB6F6A">
              <w:rPr>
                <w:rFonts w:ascii="Times New Roman" w:hAnsi="Times New Roman" w:cs="Times New Roman"/>
                <w:sz w:val="24"/>
                <w:szCs w:val="24"/>
                <w:lang w:val="lv-LV"/>
              </w:rPr>
              <w:t>izvietojams vispārīgais brīdinājums un informatīvais uzraksts</w:t>
            </w:r>
            <w:r w:rsidR="00F11D2E" w:rsidRPr="00EB6F6A">
              <w:rPr>
                <w:rFonts w:ascii="Times New Roman" w:hAnsi="Times New Roman" w:cs="Times New Roman"/>
                <w:sz w:val="24"/>
                <w:szCs w:val="24"/>
                <w:lang w:val="lv-LV"/>
              </w:rPr>
              <w:t xml:space="preserve">. </w:t>
            </w:r>
            <w:r w:rsidR="00EA58D9" w:rsidRPr="00EB6F6A">
              <w:rPr>
                <w:rFonts w:ascii="Times New Roman" w:hAnsi="Times New Roman" w:cs="Times New Roman"/>
                <w:sz w:val="24"/>
                <w:szCs w:val="24"/>
                <w:lang w:val="lv-LV"/>
              </w:rPr>
              <w:t xml:space="preserve">Tiek izdarītas arī atsauces uz pielikumiem, kuros vizuāli attēlots brīdinājumu par ietekmi uz veselību novietojums. </w:t>
            </w:r>
          </w:p>
          <w:p w:rsidR="00EA58D9" w:rsidRPr="00EB6F6A" w:rsidRDefault="00EA58D9">
            <w:pPr>
              <w:spacing w:after="0" w:line="240" w:lineRule="auto"/>
              <w:jc w:val="both"/>
              <w:rPr>
                <w:rFonts w:ascii="Times New Roman" w:hAnsi="Times New Roman" w:cs="Times New Roman"/>
                <w:sz w:val="24"/>
                <w:szCs w:val="24"/>
                <w:lang w:val="lv-LV"/>
              </w:rPr>
            </w:pPr>
          </w:p>
          <w:p w:rsidR="00226B72" w:rsidRPr="00EB6F6A" w:rsidRDefault="00EA58D9" w:rsidP="00974DA7">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Noteikumu projekta IV sadaļā iekļauti nosacījumi, kas </w:t>
            </w:r>
            <w:r w:rsidR="00A838DA" w:rsidRPr="00EB6F6A">
              <w:rPr>
                <w:rFonts w:ascii="Times New Roman" w:hAnsi="Times New Roman" w:cs="Times New Roman"/>
                <w:sz w:val="24"/>
                <w:szCs w:val="24"/>
                <w:lang w:val="lv-LV"/>
              </w:rPr>
              <w:t xml:space="preserve">ražotājiem </w:t>
            </w:r>
            <w:r w:rsidRPr="00EB6F6A">
              <w:rPr>
                <w:rFonts w:ascii="Times New Roman" w:hAnsi="Times New Roman" w:cs="Times New Roman"/>
                <w:sz w:val="24"/>
                <w:szCs w:val="24"/>
                <w:lang w:val="lv-LV"/>
              </w:rPr>
              <w:t xml:space="preserve">jāievēro attiecībā uz kombinēto brīdinājumu par ietekmi uz veselību novietojumu, tai skaitā atkarībā no produkta un iepakojuma veida. Tiek izdarītas atsauces uz pielikumiem, kas sīkāk skaidro kombinētā brīdinājuma par ietekmi uz veselību novietojumu un proporciju starp kombinētā brīdinājuma par ietekmi uz veselību iedaļām. </w:t>
            </w:r>
            <w:r w:rsidR="005E4DC5" w:rsidRPr="00EB6F6A">
              <w:rPr>
                <w:rFonts w:ascii="Times New Roman" w:hAnsi="Times New Roman" w:cs="Times New Roman"/>
                <w:sz w:val="24"/>
                <w:szCs w:val="24"/>
                <w:lang w:val="lv-LV"/>
              </w:rPr>
              <w:t xml:space="preserve">Vienlaikus, lai Veselības inspekcija </w:t>
            </w:r>
            <w:r w:rsidR="005E4DC5" w:rsidRPr="00EB6F6A">
              <w:rPr>
                <w:rFonts w:ascii="Times New Roman" w:hAnsi="Times New Roman" w:cs="Times New Roman"/>
                <w:sz w:val="24"/>
                <w:szCs w:val="24"/>
                <w:lang w:val="lv-LV"/>
              </w:rPr>
              <w:lastRenderedPageBreak/>
              <w:t xml:space="preserve">veiksmīgāk varētu veikt kontroles funkciju attiecībā uz brīdinājumu par ietekmi uz veselību noformējumu, tiek noteikts, ka ražotāji vai importētāji, laižot attiecīgo smēķēšanai paredzēto tabakas izstrādājumu tirgū, mēneša laikā rakstveidā informē Veselības inspekciju par to, kuru no trim kombinēto brīdinājumu par ietekmi uz veselību komplektiem </w:t>
            </w:r>
            <w:r w:rsidR="00B33317" w:rsidRPr="00EB6F6A">
              <w:rPr>
                <w:rFonts w:ascii="Times New Roman" w:hAnsi="Times New Roman" w:cs="Times New Roman"/>
                <w:sz w:val="24"/>
                <w:szCs w:val="24"/>
                <w:lang w:val="lv-LV"/>
              </w:rPr>
              <w:t>ražotājs</w:t>
            </w:r>
            <w:r w:rsidR="005E4DC5" w:rsidRPr="00EB6F6A">
              <w:rPr>
                <w:rFonts w:ascii="Times New Roman" w:hAnsi="Times New Roman" w:cs="Times New Roman"/>
                <w:sz w:val="24"/>
                <w:szCs w:val="24"/>
                <w:lang w:val="lv-LV"/>
              </w:rPr>
              <w:t xml:space="preserve"> izmanto</w:t>
            </w:r>
            <w:r w:rsidR="00B33317" w:rsidRPr="00EB6F6A">
              <w:rPr>
                <w:rFonts w:ascii="Times New Roman" w:hAnsi="Times New Roman" w:cs="Times New Roman"/>
                <w:sz w:val="24"/>
                <w:szCs w:val="24"/>
                <w:lang w:val="lv-LV"/>
              </w:rPr>
              <w:t>jis</w:t>
            </w:r>
            <w:r w:rsidR="005E4DC5" w:rsidRPr="00EB6F6A">
              <w:rPr>
                <w:rFonts w:ascii="Times New Roman" w:hAnsi="Times New Roman" w:cs="Times New Roman"/>
                <w:sz w:val="24"/>
                <w:szCs w:val="24"/>
                <w:lang w:val="lv-LV"/>
              </w:rPr>
              <w:t xml:space="preserve"> konkrētajā gadā.  </w:t>
            </w:r>
            <w:r w:rsidR="00692D79">
              <w:rPr>
                <w:rFonts w:ascii="Times New Roman" w:hAnsi="Times New Roman" w:cs="Times New Roman"/>
                <w:sz w:val="24"/>
                <w:szCs w:val="24"/>
                <w:lang w:val="lv-LV"/>
              </w:rPr>
              <w:t>N</w:t>
            </w:r>
            <w:r w:rsidR="00692D79" w:rsidRPr="00692D79">
              <w:rPr>
                <w:rFonts w:ascii="Times New Roman" w:hAnsi="Times New Roman" w:cs="Times New Roman"/>
                <w:sz w:val="24"/>
                <w:szCs w:val="24"/>
                <w:lang w:val="lv-LV"/>
              </w:rPr>
              <w:t xml:space="preserve">oteikumu projektā </w:t>
            </w:r>
            <w:r w:rsidR="00692D79">
              <w:rPr>
                <w:rFonts w:ascii="Times New Roman" w:hAnsi="Times New Roman" w:cs="Times New Roman"/>
                <w:sz w:val="24"/>
                <w:szCs w:val="24"/>
                <w:lang w:val="lv-LV"/>
              </w:rPr>
              <w:t>p</w:t>
            </w:r>
            <w:r w:rsidR="00B33317" w:rsidRPr="00692D79">
              <w:rPr>
                <w:rFonts w:ascii="Times New Roman" w:hAnsi="Times New Roman" w:cs="Times New Roman"/>
                <w:sz w:val="24"/>
                <w:szCs w:val="24"/>
                <w:lang w:val="lv-LV"/>
              </w:rPr>
              <w:t xml:space="preserve">ar </w:t>
            </w:r>
            <w:r w:rsidR="00692D79">
              <w:rPr>
                <w:rFonts w:ascii="Times New Roman" w:hAnsi="Times New Roman" w:cs="Times New Roman"/>
                <w:sz w:val="24"/>
                <w:szCs w:val="24"/>
                <w:lang w:val="lv-LV"/>
              </w:rPr>
              <w:t xml:space="preserve">vienu </w:t>
            </w:r>
            <w:r w:rsidR="00B33317" w:rsidRPr="00692D79">
              <w:rPr>
                <w:rFonts w:ascii="Times New Roman" w:hAnsi="Times New Roman" w:cs="Times New Roman"/>
                <w:sz w:val="24"/>
                <w:szCs w:val="24"/>
                <w:lang w:val="lv-LV"/>
              </w:rPr>
              <w:t xml:space="preserve">gadu </w:t>
            </w:r>
            <w:r w:rsidR="00974DA7" w:rsidRPr="00692D79">
              <w:rPr>
                <w:rFonts w:ascii="Times New Roman" w:hAnsi="Times New Roman" w:cs="Times New Roman"/>
                <w:sz w:val="24"/>
                <w:szCs w:val="24"/>
                <w:lang w:val="lv-LV"/>
              </w:rPr>
              <w:t>tiek uzskatīts gads no</w:t>
            </w:r>
            <w:r w:rsidR="00B33317" w:rsidRPr="00692D79">
              <w:rPr>
                <w:rFonts w:ascii="Times New Roman" w:hAnsi="Times New Roman" w:cs="Times New Roman"/>
                <w:sz w:val="24"/>
                <w:szCs w:val="24"/>
                <w:lang w:val="lv-LV"/>
              </w:rPr>
              <w:t xml:space="preserve"> brīža, kad stājas spēkā noteikumu projekts</w:t>
            </w:r>
            <w:r w:rsidR="00461DC4" w:rsidRPr="00692D79">
              <w:rPr>
                <w:rFonts w:ascii="Times New Roman" w:hAnsi="Times New Roman" w:cs="Times New Roman"/>
                <w:sz w:val="24"/>
                <w:szCs w:val="24"/>
                <w:lang w:val="lv-LV"/>
              </w:rPr>
              <w:t xml:space="preserve"> (no maija līdz maijam)</w:t>
            </w:r>
            <w:r w:rsidR="00974DA7" w:rsidRPr="00692D79">
              <w:rPr>
                <w:rFonts w:ascii="Times New Roman" w:hAnsi="Times New Roman" w:cs="Times New Roman"/>
                <w:sz w:val="24"/>
                <w:szCs w:val="24"/>
                <w:lang w:val="lv-LV"/>
              </w:rPr>
              <w:t>.</w:t>
            </w:r>
            <w:r w:rsidR="00461DC4" w:rsidRPr="00EB6F6A">
              <w:rPr>
                <w:rFonts w:ascii="Times New Roman" w:hAnsi="Times New Roman" w:cs="Times New Roman"/>
                <w:b/>
                <w:sz w:val="24"/>
                <w:szCs w:val="24"/>
                <w:lang w:val="lv-LV"/>
              </w:rPr>
              <w:t xml:space="preserve"> </w:t>
            </w:r>
            <w:r w:rsidRPr="00EB6F6A">
              <w:rPr>
                <w:rFonts w:ascii="Times New Roman" w:hAnsi="Times New Roman" w:cs="Times New Roman"/>
                <w:sz w:val="24"/>
                <w:szCs w:val="24"/>
                <w:lang w:val="lv-LV"/>
              </w:rPr>
              <w:t xml:space="preserve">Noteikumu projekta V sadaļā </w:t>
            </w:r>
            <w:r w:rsidR="00F11D2E" w:rsidRPr="00EB6F6A">
              <w:rPr>
                <w:rFonts w:ascii="Times New Roman" w:hAnsi="Times New Roman" w:cs="Times New Roman"/>
                <w:sz w:val="24"/>
                <w:szCs w:val="24"/>
                <w:lang w:val="lv-LV"/>
              </w:rPr>
              <w:t>aprakstīts</w:t>
            </w:r>
            <w:r w:rsidRPr="00EB6F6A">
              <w:rPr>
                <w:rFonts w:ascii="Times New Roman" w:hAnsi="Times New Roman" w:cs="Times New Roman"/>
                <w:sz w:val="24"/>
                <w:szCs w:val="24"/>
                <w:lang w:val="lv-LV"/>
              </w:rPr>
              <w:t xml:space="preserve">, </w:t>
            </w:r>
            <w:r w:rsidR="00F11D2E" w:rsidRPr="00EB6F6A">
              <w:rPr>
                <w:rFonts w:ascii="Times New Roman" w:hAnsi="Times New Roman" w:cs="Times New Roman"/>
                <w:sz w:val="24"/>
                <w:szCs w:val="24"/>
                <w:lang w:val="lv-LV"/>
              </w:rPr>
              <w:t>kā</w:t>
            </w:r>
            <w:r w:rsidRPr="00EB6F6A">
              <w:rPr>
                <w:rFonts w:ascii="Times New Roman" w:hAnsi="Times New Roman" w:cs="Times New Roman"/>
                <w:sz w:val="24"/>
                <w:szCs w:val="24"/>
                <w:lang w:val="lv-LV"/>
              </w:rPr>
              <w:t xml:space="preserve"> brīdinājumi par ietekmi uz veselību </w:t>
            </w:r>
            <w:r w:rsidR="00F11D2E" w:rsidRPr="00EB6F6A">
              <w:rPr>
                <w:rFonts w:ascii="Times New Roman" w:hAnsi="Times New Roman" w:cs="Times New Roman"/>
                <w:sz w:val="24"/>
                <w:szCs w:val="24"/>
                <w:lang w:val="lv-LV"/>
              </w:rPr>
              <w:t>izvietojami</w:t>
            </w:r>
            <w:r w:rsidRPr="00EB6F6A">
              <w:rPr>
                <w:rFonts w:ascii="Times New Roman" w:hAnsi="Times New Roman" w:cs="Times New Roman"/>
                <w:sz w:val="24"/>
                <w:szCs w:val="24"/>
                <w:lang w:val="lv-LV"/>
              </w:rPr>
              <w:t xml:space="preserve"> uz bezdūmu tabakas izstrādājumu, augu smēķēšanas produktu, elektronisko cigarešu un uzpildes flakonu iepakojuma vienībām. </w:t>
            </w:r>
          </w:p>
          <w:p w:rsidR="00974DA7" w:rsidRPr="00EB6F6A" w:rsidRDefault="00974DA7" w:rsidP="00974DA7">
            <w:pPr>
              <w:spacing w:after="0" w:line="240" w:lineRule="auto"/>
              <w:jc w:val="both"/>
              <w:rPr>
                <w:rFonts w:ascii="Times New Roman" w:hAnsi="Times New Roman" w:cs="Times New Roman"/>
                <w:sz w:val="24"/>
                <w:szCs w:val="24"/>
                <w:lang w:val="lv-LV"/>
              </w:rPr>
            </w:pPr>
          </w:p>
          <w:p w:rsidR="00974DA7" w:rsidRPr="00692D79" w:rsidRDefault="00974DA7" w:rsidP="00974DA7">
            <w:pPr>
              <w:spacing w:after="0" w:line="240" w:lineRule="auto"/>
              <w:jc w:val="both"/>
              <w:rPr>
                <w:rFonts w:ascii="Times New Roman" w:hAnsi="Times New Roman" w:cs="Times New Roman"/>
                <w:sz w:val="24"/>
                <w:szCs w:val="24"/>
                <w:lang w:val="lv-LV"/>
              </w:rPr>
            </w:pPr>
            <w:r w:rsidRPr="00692D79">
              <w:rPr>
                <w:rFonts w:ascii="Times New Roman" w:eastAsia="Calibri" w:hAnsi="Times New Roman" w:cs="Times New Roman"/>
                <w:sz w:val="24"/>
                <w:szCs w:val="24"/>
                <w:lang w:val="lv-LV" w:eastAsia="en-US"/>
              </w:rPr>
              <w:t>Noteikumu projekt</w:t>
            </w:r>
            <w:r w:rsidR="005742E5" w:rsidRPr="00692D79">
              <w:rPr>
                <w:rFonts w:ascii="Times New Roman" w:eastAsia="Calibri" w:hAnsi="Times New Roman" w:cs="Times New Roman"/>
                <w:sz w:val="24"/>
                <w:szCs w:val="24"/>
                <w:lang w:val="lv-LV" w:eastAsia="en-US"/>
              </w:rPr>
              <w:t xml:space="preserve">a 7.punkts </w:t>
            </w:r>
            <w:r w:rsidRPr="00692D79">
              <w:rPr>
                <w:rFonts w:ascii="Times New Roman" w:eastAsia="Calibri" w:hAnsi="Times New Roman" w:cs="Times New Roman"/>
                <w:sz w:val="24"/>
                <w:szCs w:val="24"/>
                <w:lang w:val="lv-LV" w:eastAsia="en-US"/>
              </w:rPr>
              <w:t xml:space="preserve">atbilstoši direktīvas 8.panta 8.punktam paredz, ka </w:t>
            </w:r>
            <w:r w:rsidR="00461DC4" w:rsidRPr="00692D79">
              <w:rPr>
                <w:rFonts w:ascii="Times New Roman" w:eastAsia="Calibri" w:hAnsi="Times New Roman" w:cs="Times New Roman"/>
                <w:sz w:val="24"/>
                <w:szCs w:val="24"/>
                <w:lang w:val="lv-LV" w:eastAsia="en-US"/>
              </w:rPr>
              <w:t xml:space="preserve">situācijās, kad tiek attēlos tiek reproducēts </w:t>
            </w:r>
            <w:r w:rsidRPr="00692D79">
              <w:rPr>
                <w:rFonts w:ascii="Times New Roman" w:eastAsia="Calibri" w:hAnsi="Times New Roman" w:cs="Times New Roman"/>
                <w:sz w:val="24"/>
                <w:szCs w:val="24"/>
                <w:lang w:val="lv-LV" w:eastAsia="en-US"/>
              </w:rPr>
              <w:t>tabakas izstrādājum</w:t>
            </w:r>
            <w:r w:rsidR="00461DC4" w:rsidRPr="00692D79">
              <w:rPr>
                <w:rFonts w:ascii="Times New Roman" w:eastAsia="Calibri" w:hAnsi="Times New Roman" w:cs="Times New Roman"/>
                <w:sz w:val="24"/>
                <w:szCs w:val="24"/>
                <w:lang w:val="lv-LV" w:eastAsia="en-US"/>
              </w:rPr>
              <w:t>a</w:t>
            </w:r>
            <w:r w:rsidRPr="00692D79">
              <w:rPr>
                <w:rFonts w:ascii="Times New Roman" w:eastAsia="Calibri" w:hAnsi="Times New Roman" w:cs="Times New Roman"/>
                <w:sz w:val="24"/>
                <w:szCs w:val="24"/>
                <w:lang w:val="lv-LV" w:eastAsia="en-US"/>
              </w:rPr>
              <w:t>, elektronisk</w:t>
            </w:r>
            <w:r w:rsidR="00461DC4" w:rsidRPr="00692D79">
              <w:rPr>
                <w:rFonts w:ascii="Times New Roman" w:eastAsia="Calibri" w:hAnsi="Times New Roman" w:cs="Times New Roman"/>
                <w:sz w:val="24"/>
                <w:szCs w:val="24"/>
                <w:lang w:val="lv-LV" w:eastAsia="en-US"/>
              </w:rPr>
              <w:t xml:space="preserve">ās cigaretes, tās uzpildes flakona vai augu smēķēšanas </w:t>
            </w:r>
            <w:r w:rsidRPr="00692D79">
              <w:rPr>
                <w:rFonts w:ascii="Times New Roman" w:eastAsia="Calibri" w:hAnsi="Times New Roman" w:cs="Times New Roman"/>
                <w:sz w:val="24"/>
                <w:szCs w:val="24"/>
                <w:lang w:val="lv-LV" w:eastAsia="en-US"/>
              </w:rPr>
              <w:t>iepakojuma vienī</w:t>
            </w:r>
            <w:r w:rsidR="00461DC4" w:rsidRPr="00692D79">
              <w:rPr>
                <w:rFonts w:ascii="Times New Roman" w:eastAsia="Calibri" w:hAnsi="Times New Roman" w:cs="Times New Roman"/>
                <w:sz w:val="24"/>
                <w:szCs w:val="24"/>
                <w:lang w:val="lv-LV" w:eastAsia="en-US"/>
              </w:rPr>
              <w:t>ba vai ārējais</w:t>
            </w:r>
            <w:r w:rsidR="005742E5" w:rsidRPr="00692D79">
              <w:rPr>
                <w:rFonts w:ascii="Times New Roman" w:eastAsia="Calibri" w:hAnsi="Times New Roman" w:cs="Times New Roman"/>
                <w:sz w:val="24"/>
                <w:szCs w:val="24"/>
                <w:lang w:val="lv-LV" w:eastAsia="en-US"/>
              </w:rPr>
              <w:t xml:space="preserve"> iepakojum</w:t>
            </w:r>
            <w:r w:rsidR="00461DC4" w:rsidRPr="00692D79">
              <w:rPr>
                <w:rFonts w:ascii="Times New Roman" w:eastAsia="Calibri" w:hAnsi="Times New Roman" w:cs="Times New Roman"/>
                <w:sz w:val="24"/>
                <w:szCs w:val="24"/>
                <w:lang w:val="lv-LV" w:eastAsia="en-US"/>
              </w:rPr>
              <w:t>s, šādos attēlos iepakojuma vienībām jābūt  noformētām</w:t>
            </w:r>
            <w:r w:rsidR="005742E5" w:rsidRPr="00692D79">
              <w:rPr>
                <w:rFonts w:ascii="Times New Roman" w:eastAsia="Calibri" w:hAnsi="Times New Roman" w:cs="Times New Roman"/>
                <w:sz w:val="24"/>
                <w:szCs w:val="24"/>
                <w:lang w:val="lv-LV" w:eastAsia="en-US"/>
              </w:rPr>
              <w:t xml:space="preserve"> a</w:t>
            </w:r>
            <w:r w:rsidRPr="00692D79">
              <w:rPr>
                <w:rFonts w:ascii="Times New Roman" w:eastAsia="Calibri" w:hAnsi="Times New Roman" w:cs="Times New Roman"/>
                <w:sz w:val="24"/>
                <w:szCs w:val="24"/>
                <w:lang w:val="lv-LV" w:eastAsia="en-US"/>
              </w:rPr>
              <w:t xml:space="preserve">tbilstoši </w:t>
            </w:r>
            <w:r w:rsidR="00461DC4" w:rsidRPr="00692D79">
              <w:rPr>
                <w:rFonts w:ascii="Times New Roman" w:eastAsia="Calibri" w:hAnsi="Times New Roman" w:cs="Times New Roman"/>
                <w:sz w:val="24"/>
                <w:szCs w:val="24"/>
                <w:lang w:val="lv-LV" w:eastAsia="en-US"/>
              </w:rPr>
              <w:t>normatīvajos aktos noteiktajām prasībām</w:t>
            </w:r>
            <w:r w:rsidRPr="00692D79">
              <w:rPr>
                <w:rFonts w:ascii="Times New Roman" w:eastAsia="Calibri" w:hAnsi="Times New Roman" w:cs="Times New Roman"/>
                <w:sz w:val="24"/>
                <w:szCs w:val="24"/>
                <w:lang w:val="lv-LV" w:eastAsia="en-US"/>
              </w:rPr>
              <w:t xml:space="preserve">. </w:t>
            </w:r>
            <w:r w:rsidR="005742E5" w:rsidRPr="00692D79">
              <w:rPr>
                <w:rFonts w:ascii="Times New Roman" w:eastAsia="Calibri" w:hAnsi="Times New Roman" w:cs="Times New Roman"/>
                <w:sz w:val="24"/>
                <w:szCs w:val="24"/>
                <w:lang w:val="lv-LV" w:eastAsia="en-US"/>
              </w:rPr>
              <w:t xml:space="preserve">Vienlaikus jāatzīmē, ka tabakas izstrādājumu un elektronisko cigarešu un to uzpildes flakonu reklāma atbilstoši likumprojekta „Tabakas izstrādājumu, augu smēķēšanas produktu, elektronisko smēķēšanas ierīču un to šķidrumu aprites likums” 9.pantam ir atļauta tikai komersantiem paredzētajos izdevumos. </w:t>
            </w:r>
          </w:p>
          <w:p w:rsidR="00EA58D9" w:rsidRPr="00EB6F6A" w:rsidRDefault="00EA58D9" w:rsidP="00974DA7">
            <w:pPr>
              <w:spacing w:after="0" w:line="240" w:lineRule="auto"/>
              <w:jc w:val="both"/>
              <w:rPr>
                <w:rFonts w:ascii="Times New Roman" w:hAnsi="Times New Roman" w:cs="Times New Roman"/>
                <w:sz w:val="24"/>
                <w:szCs w:val="24"/>
                <w:lang w:val="lv-LV"/>
              </w:rPr>
            </w:pPr>
          </w:p>
          <w:p w:rsidR="00776214" w:rsidRPr="00EB6F6A" w:rsidRDefault="00A838DA" w:rsidP="00974DA7">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Atbilstoši Direktīvas 2014/40/ES 30.pantam, likumprojekta pārejas noteikumos paredzēts, ka tabakas izstrādājumus, kas  ražoti vai laisti brīvā apgrozībā līdz 2016.gada </w:t>
            </w:r>
            <w:r w:rsidR="00273F02" w:rsidRPr="00EB6F6A">
              <w:rPr>
                <w:rFonts w:ascii="Times New Roman" w:hAnsi="Times New Roman" w:cs="Times New Roman"/>
                <w:sz w:val="24"/>
                <w:szCs w:val="24"/>
                <w:lang w:val="lv-LV"/>
              </w:rPr>
              <w:t>19</w:t>
            </w:r>
            <w:r w:rsidRPr="00EB6F6A">
              <w:rPr>
                <w:rFonts w:ascii="Times New Roman" w:hAnsi="Times New Roman" w:cs="Times New Roman"/>
                <w:sz w:val="24"/>
                <w:szCs w:val="24"/>
                <w:lang w:val="lv-LV"/>
              </w:rPr>
              <w:t xml:space="preserve">.maijam atbilstoši likumā „Par tabakas izstrādājumu realizācijas, reklāmas un lietošanas ierobežošanu” noteiktajām prasībām, drīkstēs laist tirgū līdz  2017.gada 20.maijam. </w:t>
            </w:r>
            <w:r w:rsidR="00776214" w:rsidRPr="00EB6F6A">
              <w:rPr>
                <w:rFonts w:ascii="Times New Roman" w:hAnsi="Times New Roman" w:cs="Times New Roman"/>
                <w:sz w:val="24"/>
                <w:szCs w:val="24"/>
                <w:lang w:val="lv-LV"/>
              </w:rPr>
              <w:t xml:space="preserve">Ņemot vērā, ka papildu prasības attiecībā uz pašreizējo regulējumu iepakojuma noformējumam noteiktas </w:t>
            </w:r>
            <w:r w:rsidRPr="00EB6F6A">
              <w:rPr>
                <w:rFonts w:ascii="Times New Roman" w:hAnsi="Times New Roman" w:cs="Times New Roman"/>
                <w:sz w:val="24"/>
                <w:szCs w:val="24"/>
                <w:lang w:val="lv-LV"/>
              </w:rPr>
              <w:t xml:space="preserve"> 2008.gada 21.oktobra</w:t>
            </w:r>
            <w:r w:rsidR="00410F35" w:rsidRPr="00EB6F6A">
              <w:rPr>
                <w:rFonts w:ascii="Times New Roman" w:hAnsi="Times New Roman" w:cs="Times New Roman"/>
                <w:sz w:val="24"/>
                <w:szCs w:val="24"/>
                <w:lang w:val="lv-LV"/>
              </w:rPr>
              <w:t xml:space="preserve"> Ministru kabineta noteikumos</w:t>
            </w:r>
            <w:r w:rsidRPr="00EB6F6A">
              <w:rPr>
                <w:rFonts w:ascii="Times New Roman" w:hAnsi="Times New Roman" w:cs="Times New Roman"/>
                <w:sz w:val="24"/>
                <w:szCs w:val="24"/>
                <w:lang w:val="lv-LV"/>
              </w:rPr>
              <w:t xml:space="preserve"> Nr.868 „Noteikumi par tabakas izstrādājumu iepakojuma vienību pa</w:t>
            </w:r>
            <w:r w:rsidR="00584130" w:rsidRPr="00EB6F6A">
              <w:rPr>
                <w:rFonts w:ascii="Times New Roman" w:hAnsi="Times New Roman" w:cs="Times New Roman"/>
                <w:sz w:val="24"/>
                <w:szCs w:val="24"/>
                <w:lang w:val="lv-LV"/>
              </w:rPr>
              <w:t>pildināšanu ar k</w:t>
            </w:r>
            <w:r w:rsidRPr="00EB6F6A">
              <w:rPr>
                <w:rFonts w:ascii="Times New Roman" w:hAnsi="Times New Roman" w:cs="Times New Roman"/>
                <w:sz w:val="24"/>
                <w:szCs w:val="24"/>
                <w:lang w:val="lv-LV"/>
              </w:rPr>
              <w:t xml:space="preserve">rāsainajiem </w:t>
            </w:r>
            <w:r w:rsidR="00584130" w:rsidRPr="00EB6F6A">
              <w:rPr>
                <w:rFonts w:ascii="Times New Roman" w:hAnsi="Times New Roman" w:cs="Times New Roman"/>
                <w:sz w:val="24"/>
                <w:szCs w:val="24"/>
                <w:lang w:val="lv-LV"/>
              </w:rPr>
              <w:t>fotoattēliem vai ilustrācijām”</w:t>
            </w:r>
            <w:r w:rsidR="00776214" w:rsidRPr="00EB6F6A">
              <w:rPr>
                <w:rFonts w:ascii="Times New Roman" w:hAnsi="Times New Roman" w:cs="Times New Roman"/>
                <w:sz w:val="24"/>
                <w:szCs w:val="24"/>
                <w:lang w:val="lv-LV"/>
              </w:rPr>
              <w:t xml:space="preserve">, (turpmāk- noteikumi Nr.868) noteikumu projekts paredz, ka līdz </w:t>
            </w:r>
            <w:r w:rsidR="00410F35" w:rsidRPr="00EB6F6A">
              <w:rPr>
                <w:rFonts w:ascii="Times New Roman" w:hAnsi="Times New Roman" w:cs="Times New Roman"/>
                <w:sz w:val="24"/>
                <w:szCs w:val="24"/>
                <w:lang w:val="lv-LV"/>
              </w:rPr>
              <w:t>ar</w:t>
            </w:r>
            <w:r w:rsidR="00776214" w:rsidRPr="00EB6F6A">
              <w:rPr>
                <w:rFonts w:ascii="Times New Roman" w:hAnsi="Times New Roman" w:cs="Times New Roman"/>
                <w:sz w:val="24"/>
                <w:szCs w:val="24"/>
                <w:lang w:val="lv-LV"/>
              </w:rPr>
              <w:t xml:space="preserve"> noteikumu projekta pieņemšanu noteikumi Nr.868 zaudē spēku, vienlaikus paredzot, ka tabakas izstrādājumus, kas līdz noteiktajam termiņam saražoti vai laisti brīvā apgrozībā atbilstoši noteikumu Nr.868 prasībām, drīkst laist tirgū līdz 2017.gada 20.maijam. </w:t>
            </w:r>
          </w:p>
          <w:p w:rsidR="00776214" w:rsidRPr="00EB6F6A" w:rsidRDefault="00776214" w:rsidP="00776214">
            <w:pPr>
              <w:spacing w:after="0" w:line="240" w:lineRule="auto"/>
              <w:jc w:val="both"/>
              <w:rPr>
                <w:rFonts w:ascii="Times New Roman" w:hAnsi="Times New Roman" w:cs="Times New Roman"/>
                <w:sz w:val="24"/>
                <w:szCs w:val="24"/>
                <w:lang w:val="lv-LV"/>
              </w:rPr>
            </w:pPr>
          </w:p>
          <w:p w:rsidR="00410F35" w:rsidRPr="00EB6F6A" w:rsidRDefault="00776214" w:rsidP="00410F35">
            <w:pPr>
              <w:pStyle w:val="NoSpacing"/>
              <w:jc w:val="both"/>
              <w:rPr>
                <w:lang w:val="lv-LV"/>
              </w:rPr>
            </w:pPr>
            <w:r w:rsidRPr="00EB6F6A">
              <w:rPr>
                <w:lang w:val="lv-LV"/>
              </w:rPr>
              <w:t xml:space="preserve">Noslēguma jautājumos arī noteikti pārejas periodi attiecībā uz atsevišķiem noteikumu projekta punktiem, lai uz noteiktu laika posmu atvieglotu ražotājiem iespējas piemērot noteiktās prasības. </w:t>
            </w:r>
            <w:r w:rsidR="00B4797C" w:rsidRPr="00EB6F6A">
              <w:rPr>
                <w:lang w:val="lv-LV"/>
              </w:rPr>
              <w:t xml:space="preserve"> </w:t>
            </w:r>
          </w:p>
          <w:p w:rsidR="00410F35" w:rsidRPr="00EB6F6A" w:rsidRDefault="00410F35" w:rsidP="00410F35">
            <w:pPr>
              <w:pStyle w:val="NoSpacing"/>
              <w:jc w:val="both"/>
              <w:rPr>
                <w:lang w:val="lv-LV"/>
              </w:rPr>
            </w:pPr>
          </w:p>
          <w:p w:rsidR="00410F35" w:rsidRPr="00EB6F6A" w:rsidRDefault="00410F35" w:rsidP="00410F35">
            <w:pPr>
              <w:pStyle w:val="NoSpacing"/>
              <w:jc w:val="both"/>
              <w:rPr>
                <w:b/>
                <w:bCs/>
                <w:lang w:val="lv-LV"/>
              </w:rPr>
            </w:pPr>
            <w:r w:rsidRPr="00EB6F6A">
              <w:rPr>
                <w:b/>
                <w:bCs/>
                <w:lang w:val="lv-LV"/>
              </w:rPr>
              <w:t xml:space="preserve">Smēķēšanas ietekme un izplatība. </w:t>
            </w:r>
          </w:p>
          <w:p w:rsidR="00410F35" w:rsidRPr="00EB6F6A" w:rsidRDefault="00410F35" w:rsidP="00410F35">
            <w:pPr>
              <w:pStyle w:val="NoSpacing"/>
              <w:jc w:val="both"/>
              <w:rPr>
                <w:b/>
                <w:bCs/>
                <w:lang w:val="lv-LV"/>
              </w:rPr>
            </w:pPr>
          </w:p>
          <w:p w:rsidR="00410F35" w:rsidRPr="00EB6F6A" w:rsidRDefault="00410F35" w:rsidP="00410F35">
            <w:pPr>
              <w:autoSpaceDE w:val="0"/>
              <w:autoSpaceDN w:val="0"/>
              <w:adjustRightInd w:val="0"/>
              <w:spacing w:after="0" w:line="240" w:lineRule="auto"/>
              <w:jc w:val="both"/>
              <w:rPr>
                <w:rFonts w:ascii="Times New Roman" w:eastAsia="Calibri" w:hAnsi="Times New Roman" w:cs="Times New Roman"/>
                <w:sz w:val="24"/>
                <w:szCs w:val="24"/>
                <w:lang w:val="lv-LV"/>
              </w:rPr>
            </w:pPr>
            <w:r w:rsidRPr="00EB6F6A">
              <w:rPr>
                <w:rFonts w:ascii="Times New Roman" w:eastAsia="Calibri" w:hAnsi="Times New Roman" w:cs="Times New Roman"/>
                <w:sz w:val="24"/>
                <w:szCs w:val="24"/>
                <w:lang w:val="lv-LV"/>
              </w:rPr>
              <w:t xml:space="preserve">2009.gadā pēc Eiropas Komisijas pasūtījuma tika veikts pētījums, kurā tika noskaidrotas ar smēķēšanu saistītās izmaksas veselības </w:t>
            </w:r>
            <w:r w:rsidRPr="00EB6F6A">
              <w:rPr>
                <w:rFonts w:ascii="Times New Roman" w:eastAsia="Calibri" w:hAnsi="Times New Roman" w:cs="Times New Roman"/>
                <w:sz w:val="24"/>
                <w:szCs w:val="24"/>
                <w:lang w:val="lv-LV"/>
              </w:rPr>
              <w:lastRenderedPageBreak/>
              <w:t>aprūpei ES dalībvalstīs</w:t>
            </w:r>
            <w:r w:rsidRPr="00EB6F6A">
              <w:rPr>
                <w:rStyle w:val="FootnoteReference"/>
                <w:rFonts w:ascii="Times New Roman" w:eastAsia="Calibri" w:hAnsi="Times New Roman" w:cs="Times New Roman"/>
                <w:sz w:val="24"/>
                <w:szCs w:val="24"/>
                <w:lang w:val="lv-LV"/>
              </w:rPr>
              <w:footnoteReference w:id="2"/>
            </w:r>
            <w:r w:rsidRPr="00EB6F6A">
              <w:rPr>
                <w:rFonts w:ascii="Times New Roman" w:eastAsia="Calibri" w:hAnsi="Times New Roman" w:cs="Times New Roman"/>
                <w:sz w:val="24"/>
                <w:szCs w:val="24"/>
                <w:lang w:val="lv-LV"/>
              </w:rPr>
              <w:t xml:space="preserve">. Veiktie aprēķini liecināja, ka Latvijā ik gadu 8,1% (aptuveni 24 miljoni eiro) no veselības aprūpes budžeta tiek tērēti ar smēķēšanu saistīto slimību ārstēšanai, bet 0,3% veselības aprūpes budžeta jeb 1 miljons eiro- tabakas dūmu izraisītu slimību ārstēšanai. No līdzekļiem, kas tiek tērēti ar smēķēšanu saistītu slimību ārstēšanai, puse (56%) tiek tērēti </w:t>
            </w:r>
            <w:proofErr w:type="spellStart"/>
            <w:r w:rsidRPr="00EB6F6A">
              <w:rPr>
                <w:rFonts w:ascii="Times New Roman" w:eastAsia="Calibri" w:hAnsi="Times New Roman" w:cs="Times New Roman"/>
                <w:sz w:val="24"/>
                <w:szCs w:val="24"/>
                <w:lang w:val="lv-LV"/>
              </w:rPr>
              <w:t>kardiovaskulāro</w:t>
            </w:r>
            <w:proofErr w:type="spellEnd"/>
            <w:r w:rsidRPr="00EB6F6A">
              <w:rPr>
                <w:rFonts w:ascii="Times New Roman" w:eastAsia="Calibri" w:hAnsi="Times New Roman" w:cs="Times New Roman"/>
                <w:sz w:val="24"/>
                <w:szCs w:val="24"/>
                <w:lang w:val="lv-LV"/>
              </w:rPr>
              <w:t xml:space="preserve"> slimību ārstēšanai, 17% hronisku elpceļu saslimšanu ārstēšanai, 12% plaušu vēža ārstēšanai, 8% dažādu citu vēžu ārstēšanai un 7% akūtu respiratoru saslimšanu ārstēšanai. Papildus aprēķināts, ka Latvijā 29,5% darba kavējumu ir saistīti ar smēķēšanu, kā rezultātā valstij tiek radīti zaudējumi 12 miljonu eiro apmērā. Ar smēķēšanu saistīto slimību priekšlaicīgi pārtraukta darba dēļ valsts gadā zaudē 1 miljonu eiro, bet vislielākos zaudējumu valstij rada ar smēķēšanu saistīta priekšlaicīga mirstība, kas valstij nodara zaudējumus 2,5 miljardu eiro apmērā. Igaunijā veiktie aprēķini</w:t>
            </w:r>
            <w:r w:rsidRPr="00EB6F6A">
              <w:rPr>
                <w:rStyle w:val="FootnoteReference"/>
                <w:rFonts w:ascii="Times New Roman" w:eastAsia="Calibri" w:hAnsi="Times New Roman" w:cs="Times New Roman"/>
                <w:b/>
                <w:sz w:val="24"/>
                <w:szCs w:val="24"/>
                <w:lang w:val="lv-LV"/>
              </w:rPr>
              <w:footnoteReference w:id="3"/>
            </w:r>
            <w:r w:rsidRPr="00EB6F6A">
              <w:rPr>
                <w:rFonts w:ascii="Times New Roman" w:eastAsia="Calibri" w:hAnsi="Times New Roman" w:cs="Times New Roman"/>
                <w:sz w:val="24"/>
                <w:szCs w:val="24"/>
                <w:lang w:val="lv-LV"/>
              </w:rPr>
              <w:t xml:space="preserve"> liecina, ka kopējās slimokases izmaksas smēķēšanas izraisītu slimību ārstēšanai un medikamentiem 1998.gadā vien sastādīja aptuveni 193 miljonus Igaunijas kronu, kas ir 7% no veselības aprūpes budžeta. Veicot kopējos aprēķinus un ņemot vērā arī ietaupījumus un ieguvumus atsevišķās ekonomiskajās pozīcijās, secināts, ka smēķēšana Igaunijas valdībai 1998.gadā radījusi 200 miljonu Igaunijas kronu zaudējumus (aptuveni 12 miljoni eiro). </w:t>
            </w:r>
          </w:p>
          <w:p w:rsidR="00410F35" w:rsidRPr="00EB6F6A" w:rsidRDefault="00410F35" w:rsidP="00410F35">
            <w:pPr>
              <w:pStyle w:val="NoSpacing"/>
              <w:jc w:val="both"/>
              <w:rPr>
                <w:b/>
                <w:bCs/>
                <w:lang w:val="lv-LV"/>
              </w:rPr>
            </w:pPr>
          </w:p>
          <w:p w:rsidR="00410F35" w:rsidRPr="00EB6F6A" w:rsidRDefault="00410F35" w:rsidP="00410F35">
            <w:pPr>
              <w:pStyle w:val="NoSpacing"/>
              <w:jc w:val="both"/>
              <w:rPr>
                <w:bCs/>
                <w:lang w:val="lv-LV"/>
              </w:rPr>
            </w:pPr>
            <w:r w:rsidRPr="00EB6F6A">
              <w:rPr>
                <w:bCs/>
                <w:lang w:val="lv-LV"/>
              </w:rPr>
              <w:t>Pateicoties stingrajiem smēķēšanas ierobežojumiem, kā arī tabakas izstrādājumu laišanas tirgū ierobežojumiem, ir vērojama pozitīva tendence smēķēšanas izplatībai mazināties jauniešu populācijā. Tā, piemēram, 13-15 gadus vecu pusaudžu īpatsvars (</w:t>
            </w:r>
            <w:r w:rsidRPr="00EB6F6A">
              <w:rPr>
                <w:lang w:val="lv-LV"/>
              </w:rPr>
              <w:t>tabakas izstrādājumus ir lietojuši pēdējo 30 dienu laikā, jeb regulārie lietotāji)</w:t>
            </w:r>
            <w:r w:rsidRPr="00EB6F6A">
              <w:rPr>
                <w:bCs/>
                <w:lang w:val="lv-LV"/>
              </w:rPr>
              <w:t>, laika periodā no 2011.</w:t>
            </w:r>
            <w:r w:rsidRPr="00EB6F6A">
              <w:rPr>
                <w:rStyle w:val="FootnoteReference"/>
                <w:bCs/>
                <w:lang w:val="lv-LV"/>
              </w:rPr>
              <w:footnoteReference w:id="4"/>
            </w:r>
            <w:r w:rsidRPr="00EB6F6A">
              <w:rPr>
                <w:bCs/>
                <w:lang w:val="lv-LV"/>
              </w:rPr>
              <w:t>līdz 2014.gadam</w:t>
            </w:r>
            <w:r w:rsidRPr="00EB6F6A">
              <w:rPr>
                <w:rStyle w:val="FootnoteReference"/>
                <w:bCs/>
                <w:lang w:val="lv-LV"/>
              </w:rPr>
              <w:footnoteReference w:id="5"/>
            </w:r>
            <w:r w:rsidRPr="00EB6F6A">
              <w:rPr>
                <w:bCs/>
                <w:lang w:val="lv-LV"/>
              </w:rPr>
              <w:t xml:space="preserve"> ir samazinājies zēnu populācijā no 39,4% uz 25,3%, bet meiteņu populācijā-  no 41,4% uz 23,9% (1.attēls). </w:t>
            </w:r>
          </w:p>
          <w:p w:rsidR="00410F35" w:rsidRPr="00EB6F6A" w:rsidRDefault="00410F35" w:rsidP="00410F35">
            <w:pPr>
              <w:pStyle w:val="NoSpacing"/>
              <w:jc w:val="both"/>
              <w:rPr>
                <w:bCs/>
                <w:lang w:val="lv-LV"/>
              </w:rPr>
            </w:pPr>
          </w:p>
          <w:p w:rsidR="00410F35" w:rsidRPr="00EB6F6A" w:rsidRDefault="00410F35" w:rsidP="00410F35">
            <w:pPr>
              <w:spacing w:after="0" w:line="240" w:lineRule="auto"/>
              <w:jc w:val="both"/>
              <w:rPr>
                <w:rFonts w:ascii="Times New Roman" w:hAnsi="Times New Roman" w:cs="Times New Roman"/>
                <w:bCs/>
                <w:sz w:val="24"/>
                <w:szCs w:val="24"/>
                <w:lang w:val="lv-LV"/>
              </w:rPr>
            </w:pPr>
            <w:r w:rsidRPr="00EB6F6A">
              <w:rPr>
                <w:rFonts w:ascii="Times New Roman" w:hAnsi="Times New Roman" w:cs="Times New Roman"/>
                <w:b/>
                <w:bCs/>
                <w:sz w:val="24"/>
                <w:szCs w:val="24"/>
                <w:lang w:val="lv-LV"/>
              </w:rPr>
              <w:t xml:space="preserve">1.attēls </w:t>
            </w:r>
            <w:r w:rsidRPr="00EB6F6A">
              <w:rPr>
                <w:rFonts w:ascii="Times New Roman" w:hAnsi="Times New Roman" w:cs="Times New Roman"/>
                <w:bCs/>
                <w:i/>
                <w:sz w:val="24"/>
                <w:szCs w:val="24"/>
                <w:lang w:val="lv-LV"/>
              </w:rPr>
              <w:t>Tabakas izstrādājumu un elektronisko cigarešu lietošanas izplatība 13-15 gadus vecu jauniešu populācijā Latvijā- 2011.-2014.gadā</w:t>
            </w:r>
          </w:p>
          <w:tbl>
            <w:tblPr>
              <w:tblStyle w:val="TableGrid"/>
              <w:tblW w:w="6807" w:type="dxa"/>
              <w:tblLayout w:type="fixed"/>
              <w:tblLook w:val="04A0"/>
            </w:tblPr>
            <w:tblGrid>
              <w:gridCol w:w="2720"/>
              <w:gridCol w:w="1026"/>
              <w:gridCol w:w="1079"/>
              <w:gridCol w:w="849"/>
              <w:gridCol w:w="1133"/>
            </w:tblGrid>
            <w:tr w:rsidR="00410F35" w:rsidRPr="00EB6F6A" w:rsidTr="00410F35">
              <w:tc>
                <w:tcPr>
                  <w:tcW w:w="2720" w:type="dxa"/>
                </w:tcPr>
                <w:p w:rsidR="00410F35" w:rsidRPr="00EB6F6A" w:rsidRDefault="00410F35" w:rsidP="00410F35">
                  <w:pPr>
                    <w:pStyle w:val="Default"/>
                    <w:rPr>
                      <w:rFonts w:eastAsiaTheme="minorHAnsi"/>
                      <w:color w:val="auto"/>
                      <w:lang w:val="lv-LV"/>
                    </w:rPr>
                  </w:pPr>
                </w:p>
              </w:tc>
              <w:tc>
                <w:tcPr>
                  <w:tcW w:w="2105" w:type="dxa"/>
                  <w:gridSpan w:val="2"/>
                </w:tcPr>
                <w:p w:rsidR="00410F35" w:rsidRPr="00EB6F6A" w:rsidRDefault="00410F35" w:rsidP="00410F35">
                  <w:pPr>
                    <w:pStyle w:val="Default"/>
                    <w:jc w:val="center"/>
                    <w:rPr>
                      <w:rFonts w:eastAsiaTheme="minorHAnsi"/>
                      <w:b/>
                      <w:color w:val="auto"/>
                      <w:lang w:val="lv-LV"/>
                    </w:rPr>
                  </w:pPr>
                  <w:r w:rsidRPr="00EB6F6A">
                    <w:rPr>
                      <w:rFonts w:eastAsiaTheme="minorHAnsi"/>
                      <w:b/>
                      <w:color w:val="auto"/>
                      <w:lang w:val="lv-LV"/>
                    </w:rPr>
                    <w:t>Zēni</w:t>
                  </w:r>
                </w:p>
              </w:tc>
              <w:tc>
                <w:tcPr>
                  <w:tcW w:w="1982" w:type="dxa"/>
                  <w:gridSpan w:val="2"/>
                </w:tcPr>
                <w:p w:rsidR="00410F35" w:rsidRPr="00EB6F6A" w:rsidRDefault="00410F35" w:rsidP="00410F35">
                  <w:pPr>
                    <w:pStyle w:val="Default"/>
                    <w:jc w:val="center"/>
                    <w:rPr>
                      <w:rFonts w:eastAsiaTheme="minorHAnsi"/>
                      <w:b/>
                      <w:color w:val="auto"/>
                      <w:lang w:val="lv-LV"/>
                    </w:rPr>
                  </w:pPr>
                  <w:r w:rsidRPr="00EB6F6A">
                    <w:rPr>
                      <w:rFonts w:eastAsiaTheme="minorHAnsi"/>
                      <w:b/>
                      <w:color w:val="auto"/>
                      <w:lang w:val="lv-LV"/>
                    </w:rPr>
                    <w:t>Meitenes</w:t>
                  </w:r>
                </w:p>
              </w:tc>
            </w:tr>
            <w:tr w:rsidR="00410F35" w:rsidRPr="00EB6F6A" w:rsidTr="00410F35">
              <w:tc>
                <w:tcPr>
                  <w:tcW w:w="2720" w:type="dxa"/>
                </w:tcPr>
                <w:p w:rsidR="00410F35" w:rsidRPr="00EB6F6A" w:rsidRDefault="00410F35" w:rsidP="00410F35">
                  <w:pPr>
                    <w:pStyle w:val="Default"/>
                    <w:rPr>
                      <w:rFonts w:eastAsiaTheme="minorHAnsi"/>
                      <w:b/>
                      <w:color w:val="auto"/>
                      <w:lang w:val="lv-LV"/>
                    </w:rPr>
                  </w:pPr>
                </w:p>
              </w:tc>
              <w:tc>
                <w:tcPr>
                  <w:tcW w:w="1026" w:type="dxa"/>
                </w:tcPr>
                <w:p w:rsidR="00410F35" w:rsidRPr="00EB6F6A" w:rsidRDefault="00410F35" w:rsidP="00410F35">
                  <w:pPr>
                    <w:pStyle w:val="Default"/>
                    <w:ind w:left="-108"/>
                    <w:jc w:val="center"/>
                    <w:rPr>
                      <w:rFonts w:eastAsiaTheme="minorHAnsi"/>
                      <w:b/>
                      <w:color w:val="auto"/>
                      <w:lang w:val="lv-LV"/>
                    </w:rPr>
                  </w:pPr>
                  <w:r w:rsidRPr="00EB6F6A">
                    <w:rPr>
                      <w:rFonts w:eastAsiaTheme="minorHAnsi"/>
                      <w:b/>
                      <w:color w:val="auto"/>
                      <w:lang w:val="lv-LV"/>
                    </w:rPr>
                    <w:cr/>
                    <w:t>2011.</w:t>
                  </w:r>
                </w:p>
              </w:tc>
              <w:tc>
                <w:tcPr>
                  <w:tcW w:w="1079" w:type="dxa"/>
                </w:tcPr>
                <w:p w:rsidR="00410F35" w:rsidRPr="00EB6F6A" w:rsidRDefault="00410F35" w:rsidP="00410F35">
                  <w:pPr>
                    <w:pStyle w:val="Default"/>
                    <w:jc w:val="center"/>
                    <w:rPr>
                      <w:rFonts w:eastAsiaTheme="minorHAnsi"/>
                      <w:b/>
                      <w:color w:val="auto"/>
                      <w:lang w:val="lv-LV"/>
                    </w:rPr>
                  </w:pPr>
                  <w:r w:rsidRPr="00EB6F6A">
                    <w:rPr>
                      <w:rFonts w:eastAsiaTheme="minorHAnsi"/>
                      <w:b/>
                      <w:color w:val="auto"/>
                      <w:lang w:val="lv-LV"/>
                    </w:rPr>
                    <w:t>2014.</w:t>
                  </w:r>
                </w:p>
              </w:tc>
              <w:tc>
                <w:tcPr>
                  <w:tcW w:w="849" w:type="dxa"/>
                </w:tcPr>
                <w:p w:rsidR="00410F35" w:rsidRPr="00EB6F6A" w:rsidRDefault="00410F35" w:rsidP="00410F35">
                  <w:pPr>
                    <w:pStyle w:val="Default"/>
                    <w:jc w:val="center"/>
                    <w:rPr>
                      <w:rFonts w:eastAsiaTheme="minorHAnsi"/>
                      <w:b/>
                      <w:color w:val="auto"/>
                      <w:lang w:val="lv-LV"/>
                    </w:rPr>
                  </w:pPr>
                  <w:r w:rsidRPr="00EB6F6A">
                    <w:rPr>
                      <w:rFonts w:eastAsiaTheme="minorHAnsi"/>
                      <w:b/>
                      <w:color w:val="auto"/>
                      <w:lang w:val="lv-LV"/>
                    </w:rPr>
                    <w:t>2011.</w:t>
                  </w:r>
                </w:p>
              </w:tc>
              <w:tc>
                <w:tcPr>
                  <w:tcW w:w="1133" w:type="dxa"/>
                </w:tcPr>
                <w:p w:rsidR="00410F35" w:rsidRPr="00EB6F6A" w:rsidRDefault="00410F35" w:rsidP="00410F35">
                  <w:pPr>
                    <w:pStyle w:val="Default"/>
                    <w:jc w:val="center"/>
                    <w:rPr>
                      <w:rFonts w:eastAsiaTheme="minorHAnsi"/>
                      <w:b/>
                      <w:color w:val="auto"/>
                      <w:lang w:val="lv-LV"/>
                    </w:rPr>
                  </w:pPr>
                  <w:r w:rsidRPr="00EB6F6A">
                    <w:rPr>
                      <w:rFonts w:eastAsiaTheme="minorHAnsi"/>
                      <w:b/>
                      <w:color w:val="auto"/>
                      <w:lang w:val="lv-LV"/>
                    </w:rPr>
                    <w:t>2014.</w:t>
                  </w:r>
                </w:p>
              </w:tc>
            </w:tr>
            <w:tr w:rsidR="00410F35" w:rsidRPr="00EB6F6A" w:rsidTr="00410F35">
              <w:tc>
                <w:tcPr>
                  <w:tcW w:w="2720" w:type="dxa"/>
                </w:tcPr>
                <w:p w:rsidR="00410F35" w:rsidRPr="00EB6F6A" w:rsidRDefault="00410F35" w:rsidP="00410F35">
                  <w:pPr>
                    <w:pStyle w:val="Default"/>
                    <w:rPr>
                      <w:color w:val="auto"/>
                      <w:lang w:val="lv-LV"/>
                    </w:rPr>
                  </w:pPr>
                  <w:r w:rsidRPr="00EB6F6A">
                    <w:rPr>
                      <w:bCs/>
                      <w:color w:val="auto"/>
                      <w:lang w:val="lv-LV"/>
                    </w:rPr>
                    <w:t xml:space="preserve">Pēdējā mēneša laikā smēķējuši cigaretes vai lietojuši jebkurus citus tabakas izstrādājumus- regulārie lietotāji </w:t>
                  </w:r>
                </w:p>
              </w:tc>
              <w:tc>
                <w:tcPr>
                  <w:tcW w:w="1026" w:type="dxa"/>
                </w:tcPr>
                <w:p w:rsidR="00410F35" w:rsidRPr="00EB6F6A" w:rsidRDefault="00410F35" w:rsidP="00410F35">
                  <w:pPr>
                    <w:pStyle w:val="Default"/>
                    <w:jc w:val="center"/>
                    <w:rPr>
                      <w:rFonts w:eastAsiaTheme="minorHAnsi"/>
                      <w:b/>
                      <w:color w:val="auto"/>
                      <w:lang w:val="lv-LV"/>
                    </w:rPr>
                  </w:pPr>
                  <w:r w:rsidRPr="00EB6F6A">
                    <w:rPr>
                      <w:rFonts w:eastAsiaTheme="minorHAnsi"/>
                      <w:color w:val="auto"/>
                      <w:lang w:val="lv-LV"/>
                    </w:rPr>
                    <w:t>39,4</w:t>
                  </w:r>
                </w:p>
                <w:p w:rsidR="00410F35" w:rsidRPr="00EB6F6A" w:rsidRDefault="00410F35" w:rsidP="00410F35">
                  <w:pPr>
                    <w:pStyle w:val="Default"/>
                    <w:jc w:val="center"/>
                    <w:rPr>
                      <w:rFonts w:eastAsiaTheme="minorHAnsi"/>
                      <w:color w:val="auto"/>
                      <w:lang w:val="lv-LV"/>
                    </w:rPr>
                  </w:pPr>
                </w:p>
              </w:tc>
              <w:tc>
                <w:tcPr>
                  <w:tcW w:w="1079" w:type="dxa"/>
                </w:tcPr>
                <w:p w:rsidR="00410F35" w:rsidRPr="00EB6F6A" w:rsidRDefault="00410F35" w:rsidP="00410F35">
                  <w:pPr>
                    <w:pStyle w:val="Default"/>
                    <w:jc w:val="center"/>
                    <w:rPr>
                      <w:rFonts w:eastAsiaTheme="minorHAnsi"/>
                      <w:color w:val="auto"/>
                      <w:lang w:val="lv-LV"/>
                    </w:rPr>
                  </w:pPr>
                  <w:r w:rsidRPr="00EB6F6A">
                    <w:rPr>
                      <w:rFonts w:eastAsiaTheme="minorHAnsi"/>
                      <w:b/>
                      <w:color w:val="auto"/>
                      <w:lang w:val="lv-LV"/>
                    </w:rPr>
                    <w:t>25,3↓</w:t>
                  </w:r>
                </w:p>
              </w:tc>
              <w:tc>
                <w:tcPr>
                  <w:tcW w:w="849" w:type="dxa"/>
                </w:tcPr>
                <w:p w:rsidR="00410F35" w:rsidRPr="00EB6F6A" w:rsidRDefault="00410F35" w:rsidP="00410F35">
                  <w:pPr>
                    <w:pStyle w:val="Default"/>
                    <w:jc w:val="center"/>
                    <w:rPr>
                      <w:rFonts w:eastAsiaTheme="minorHAnsi"/>
                      <w:b/>
                      <w:color w:val="auto"/>
                      <w:lang w:val="lv-LV"/>
                    </w:rPr>
                  </w:pPr>
                  <w:r w:rsidRPr="00EB6F6A">
                    <w:rPr>
                      <w:rFonts w:eastAsiaTheme="minorHAnsi"/>
                      <w:color w:val="auto"/>
                      <w:lang w:val="lv-LV"/>
                    </w:rPr>
                    <w:t>41,4</w:t>
                  </w:r>
                </w:p>
                <w:p w:rsidR="00410F35" w:rsidRPr="00EB6F6A" w:rsidRDefault="00410F35" w:rsidP="00410F35">
                  <w:pPr>
                    <w:pStyle w:val="Default"/>
                    <w:jc w:val="center"/>
                    <w:rPr>
                      <w:rFonts w:eastAsiaTheme="minorHAnsi"/>
                      <w:b/>
                      <w:color w:val="auto"/>
                      <w:lang w:val="lv-LV"/>
                    </w:rPr>
                  </w:pPr>
                </w:p>
              </w:tc>
              <w:tc>
                <w:tcPr>
                  <w:tcW w:w="1133" w:type="dxa"/>
                </w:tcPr>
                <w:p w:rsidR="00410F35" w:rsidRPr="00EB6F6A" w:rsidRDefault="00410F35" w:rsidP="00410F35">
                  <w:pPr>
                    <w:pStyle w:val="Default"/>
                    <w:jc w:val="center"/>
                    <w:rPr>
                      <w:rFonts w:eastAsiaTheme="minorHAnsi"/>
                      <w:b/>
                      <w:color w:val="auto"/>
                      <w:lang w:val="lv-LV"/>
                    </w:rPr>
                  </w:pPr>
                  <w:r w:rsidRPr="00EB6F6A">
                    <w:rPr>
                      <w:rFonts w:eastAsiaTheme="minorHAnsi"/>
                      <w:b/>
                      <w:color w:val="auto"/>
                      <w:lang w:val="lv-LV"/>
                    </w:rPr>
                    <w:t>23,9↓</w:t>
                  </w:r>
                </w:p>
              </w:tc>
            </w:tr>
            <w:tr w:rsidR="00410F35" w:rsidRPr="00EB6F6A" w:rsidTr="00410F35">
              <w:tc>
                <w:tcPr>
                  <w:tcW w:w="2720" w:type="dxa"/>
                </w:tcPr>
                <w:p w:rsidR="00410F35" w:rsidRPr="00EB6F6A" w:rsidRDefault="00410F35" w:rsidP="00410F35">
                  <w:pPr>
                    <w:pStyle w:val="Default"/>
                    <w:rPr>
                      <w:rFonts w:eastAsiaTheme="minorHAnsi"/>
                      <w:color w:val="auto"/>
                      <w:lang w:val="lv-LV"/>
                    </w:rPr>
                  </w:pPr>
                  <w:r w:rsidRPr="00EB6F6A">
                    <w:rPr>
                      <w:rFonts w:eastAsiaTheme="minorHAnsi"/>
                      <w:color w:val="auto"/>
                      <w:lang w:val="lv-LV"/>
                    </w:rPr>
                    <w:lastRenderedPageBreak/>
                    <w:t xml:space="preserve">Pēdējā mēneša laikā smēķējuši cigarete- regulārie smēķētāji </w:t>
                  </w:r>
                </w:p>
              </w:tc>
              <w:tc>
                <w:tcPr>
                  <w:tcW w:w="1026" w:type="dxa"/>
                </w:tcPr>
                <w:p w:rsidR="00410F35" w:rsidRPr="00EB6F6A" w:rsidRDefault="00410F35" w:rsidP="00410F35">
                  <w:pPr>
                    <w:pStyle w:val="Default"/>
                    <w:jc w:val="center"/>
                    <w:rPr>
                      <w:rFonts w:eastAsiaTheme="minorHAnsi"/>
                      <w:b/>
                      <w:color w:val="auto"/>
                      <w:lang w:val="lv-LV"/>
                    </w:rPr>
                  </w:pPr>
                  <w:r w:rsidRPr="00EB6F6A">
                    <w:rPr>
                      <w:rFonts w:eastAsiaTheme="minorHAnsi"/>
                      <w:color w:val="auto"/>
                      <w:lang w:val="lv-LV"/>
                    </w:rPr>
                    <w:t>29,5</w:t>
                  </w:r>
                </w:p>
                <w:p w:rsidR="00410F35" w:rsidRPr="00EB6F6A" w:rsidRDefault="00410F35" w:rsidP="00410F35">
                  <w:pPr>
                    <w:pStyle w:val="Default"/>
                    <w:jc w:val="center"/>
                    <w:rPr>
                      <w:rFonts w:eastAsiaTheme="minorHAnsi"/>
                      <w:color w:val="auto"/>
                      <w:lang w:val="lv-LV"/>
                    </w:rPr>
                  </w:pPr>
                </w:p>
              </w:tc>
              <w:tc>
                <w:tcPr>
                  <w:tcW w:w="1079" w:type="dxa"/>
                </w:tcPr>
                <w:p w:rsidR="00410F35" w:rsidRPr="00EB6F6A" w:rsidRDefault="00410F35" w:rsidP="00410F35">
                  <w:pPr>
                    <w:pStyle w:val="Default"/>
                    <w:jc w:val="center"/>
                    <w:rPr>
                      <w:rFonts w:eastAsiaTheme="minorHAnsi"/>
                      <w:color w:val="auto"/>
                      <w:lang w:val="lv-LV"/>
                    </w:rPr>
                  </w:pPr>
                  <w:r w:rsidRPr="00EB6F6A">
                    <w:rPr>
                      <w:rFonts w:eastAsiaTheme="minorHAnsi"/>
                      <w:b/>
                      <w:color w:val="auto"/>
                      <w:lang w:val="lv-LV"/>
                    </w:rPr>
                    <w:t>16,9↓</w:t>
                  </w:r>
                </w:p>
              </w:tc>
              <w:tc>
                <w:tcPr>
                  <w:tcW w:w="849" w:type="dxa"/>
                </w:tcPr>
                <w:p w:rsidR="00410F35" w:rsidRPr="00EB6F6A" w:rsidRDefault="00410F35" w:rsidP="00410F35">
                  <w:pPr>
                    <w:pStyle w:val="Default"/>
                    <w:jc w:val="center"/>
                    <w:rPr>
                      <w:rFonts w:eastAsiaTheme="minorHAnsi"/>
                      <w:b/>
                      <w:color w:val="auto"/>
                      <w:lang w:val="lv-LV"/>
                    </w:rPr>
                  </w:pPr>
                  <w:r w:rsidRPr="00EB6F6A">
                    <w:rPr>
                      <w:rFonts w:eastAsiaTheme="minorHAnsi"/>
                      <w:color w:val="auto"/>
                      <w:lang w:val="lv-LV"/>
                    </w:rPr>
                    <w:t>33,8</w:t>
                  </w:r>
                </w:p>
                <w:p w:rsidR="00410F35" w:rsidRPr="00EB6F6A" w:rsidRDefault="00410F35" w:rsidP="00410F35">
                  <w:pPr>
                    <w:pStyle w:val="Default"/>
                    <w:jc w:val="center"/>
                    <w:rPr>
                      <w:rFonts w:eastAsiaTheme="minorHAnsi"/>
                      <w:color w:val="auto"/>
                      <w:lang w:val="lv-LV"/>
                    </w:rPr>
                  </w:pPr>
                </w:p>
              </w:tc>
              <w:tc>
                <w:tcPr>
                  <w:tcW w:w="1133" w:type="dxa"/>
                </w:tcPr>
                <w:p w:rsidR="00410F35" w:rsidRPr="00EB6F6A" w:rsidRDefault="00410F35" w:rsidP="00410F35">
                  <w:pPr>
                    <w:pStyle w:val="Default"/>
                    <w:jc w:val="center"/>
                    <w:rPr>
                      <w:rFonts w:eastAsiaTheme="minorHAnsi"/>
                      <w:color w:val="auto"/>
                      <w:lang w:val="lv-LV"/>
                    </w:rPr>
                  </w:pPr>
                  <w:r w:rsidRPr="00EB6F6A">
                    <w:rPr>
                      <w:rFonts w:eastAsiaTheme="minorHAnsi"/>
                      <w:b/>
                      <w:color w:val="auto"/>
                      <w:lang w:val="lv-LV"/>
                    </w:rPr>
                    <w:t>16,5↓</w:t>
                  </w:r>
                </w:p>
              </w:tc>
            </w:tr>
            <w:tr w:rsidR="00410F35" w:rsidRPr="00EB6F6A" w:rsidTr="00410F35">
              <w:tc>
                <w:tcPr>
                  <w:tcW w:w="2720" w:type="dxa"/>
                </w:tcPr>
                <w:p w:rsidR="00410F35" w:rsidRPr="00EB6F6A" w:rsidRDefault="00410F35" w:rsidP="00410F35">
                  <w:pPr>
                    <w:pStyle w:val="Default"/>
                    <w:rPr>
                      <w:rFonts w:eastAsiaTheme="minorHAnsi"/>
                      <w:color w:val="auto"/>
                      <w:lang w:val="lv-LV"/>
                    </w:rPr>
                  </w:pPr>
                  <w:r w:rsidRPr="00EB6F6A">
                    <w:rPr>
                      <w:rFonts w:eastAsiaTheme="minorHAnsi"/>
                      <w:color w:val="auto"/>
                      <w:lang w:val="lv-LV"/>
                    </w:rPr>
                    <w:t xml:space="preserve">Pamēģinājuši smēķēt elektronisko cigareti </w:t>
                  </w:r>
                </w:p>
              </w:tc>
              <w:tc>
                <w:tcPr>
                  <w:tcW w:w="1026" w:type="dxa"/>
                </w:tcPr>
                <w:p w:rsidR="00410F35" w:rsidRPr="00EB6F6A" w:rsidRDefault="00410F35" w:rsidP="00410F35">
                  <w:pPr>
                    <w:pStyle w:val="Default"/>
                    <w:jc w:val="center"/>
                    <w:rPr>
                      <w:rFonts w:eastAsiaTheme="minorHAnsi"/>
                      <w:color w:val="auto"/>
                      <w:lang w:val="lv-LV"/>
                    </w:rPr>
                  </w:pPr>
                  <w:r w:rsidRPr="00EB6F6A">
                    <w:rPr>
                      <w:rFonts w:eastAsiaTheme="minorHAnsi"/>
                      <w:color w:val="auto"/>
                      <w:lang w:val="lv-LV"/>
                    </w:rPr>
                    <w:t>2</w:t>
                  </w:r>
                </w:p>
              </w:tc>
              <w:tc>
                <w:tcPr>
                  <w:tcW w:w="1079" w:type="dxa"/>
                </w:tcPr>
                <w:p w:rsidR="00410F35" w:rsidRPr="00EB6F6A" w:rsidRDefault="00410F35" w:rsidP="00410F35">
                  <w:pPr>
                    <w:pStyle w:val="Default"/>
                    <w:jc w:val="center"/>
                    <w:rPr>
                      <w:rFonts w:eastAsiaTheme="minorHAnsi"/>
                      <w:b/>
                      <w:color w:val="auto"/>
                      <w:lang w:val="lv-LV"/>
                    </w:rPr>
                  </w:pPr>
                  <w:r w:rsidRPr="00EB6F6A">
                    <w:rPr>
                      <w:rFonts w:eastAsiaTheme="minorHAnsi"/>
                      <w:b/>
                      <w:color w:val="auto"/>
                      <w:lang w:val="lv-LV"/>
                    </w:rPr>
                    <w:t>30,7↑</w:t>
                  </w:r>
                </w:p>
              </w:tc>
              <w:tc>
                <w:tcPr>
                  <w:tcW w:w="849" w:type="dxa"/>
                </w:tcPr>
                <w:p w:rsidR="00410F35" w:rsidRPr="00EB6F6A" w:rsidRDefault="00410F35" w:rsidP="00410F35">
                  <w:pPr>
                    <w:pStyle w:val="Default"/>
                    <w:jc w:val="center"/>
                    <w:rPr>
                      <w:rFonts w:eastAsiaTheme="minorHAnsi"/>
                      <w:color w:val="auto"/>
                      <w:lang w:val="lv-LV"/>
                    </w:rPr>
                  </w:pPr>
                  <w:r w:rsidRPr="00EB6F6A">
                    <w:rPr>
                      <w:rFonts w:eastAsiaTheme="minorHAnsi"/>
                      <w:color w:val="auto"/>
                      <w:lang w:val="lv-LV"/>
                    </w:rPr>
                    <w:t>18</w:t>
                  </w:r>
                </w:p>
              </w:tc>
              <w:tc>
                <w:tcPr>
                  <w:tcW w:w="1133" w:type="dxa"/>
                </w:tcPr>
                <w:p w:rsidR="00410F35" w:rsidRPr="00EB6F6A" w:rsidRDefault="00410F35" w:rsidP="00410F35">
                  <w:pPr>
                    <w:pStyle w:val="Default"/>
                    <w:jc w:val="center"/>
                    <w:rPr>
                      <w:rFonts w:eastAsiaTheme="minorHAnsi"/>
                      <w:b/>
                      <w:color w:val="auto"/>
                      <w:lang w:val="lv-LV"/>
                    </w:rPr>
                  </w:pPr>
                  <w:r w:rsidRPr="00EB6F6A">
                    <w:rPr>
                      <w:rFonts w:eastAsiaTheme="minorHAnsi"/>
                      <w:b/>
                      <w:color w:val="auto"/>
                      <w:lang w:val="lv-LV"/>
                    </w:rPr>
                    <w:t>22↑</w:t>
                  </w:r>
                </w:p>
              </w:tc>
            </w:tr>
            <w:tr w:rsidR="00410F35" w:rsidRPr="00FE0001" w:rsidTr="00410F35">
              <w:tc>
                <w:tcPr>
                  <w:tcW w:w="2720" w:type="dxa"/>
                </w:tcPr>
                <w:p w:rsidR="00410F35" w:rsidRPr="00EB6F6A" w:rsidRDefault="00410F35" w:rsidP="00410F35">
                  <w:pPr>
                    <w:pStyle w:val="Default"/>
                    <w:rPr>
                      <w:rFonts w:eastAsiaTheme="minorHAnsi"/>
                      <w:color w:val="auto"/>
                      <w:lang w:val="lv-LV"/>
                    </w:rPr>
                  </w:pPr>
                  <w:r w:rsidRPr="00EB6F6A">
                    <w:rPr>
                      <w:rFonts w:eastAsiaTheme="minorHAnsi"/>
                      <w:color w:val="auto"/>
                      <w:lang w:val="lv-LV"/>
                    </w:rPr>
                    <w:t xml:space="preserve">Pēdējā mēneša laikā smēķējuši elektronisko cigareti vismaz vienu reizi </w:t>
                  </w:r>
                </w:p>
              </w:tc>
              <w:tc>
                <w:tcPr>
                  <w:tcW w:w="1026" w:type="dxa"/>
                </w:tcPr>
                <w:p w:rsidR="00410F35" w:rsidRPr="00EB6F6A" w:rsidRDefault="00410F35" w:rsidP="00410F35">
                  <w:pPr>
                    <w:pStyle w:val="Default"/>
                    <w:jc w:val="center"/>
                    <w:rPr>
                      <w:rFonts w:eastAsiaTheme="minorHAnsi"/>
                      <w:color w:val="auto"/>
                      <w:lang w:val="lv-LV"/>
                    </w:rPr>
                  </w:pPr>
                  <w:r w:rsidRPr="00EB6F6A">
                    <w:rPr>
                      <w:rFonts w:eastAsiaTheme="minorHAnsi"/>
                      <w:color w:val="auto"/>
                      <w:lang w:val="lv-LV"/>
                    </w:rPr>
                    <w:t>10,3</w:t>
                  </w:r>
                </w:p>
              </w:tc>
              <w:tc>
                <w:tcPr>
                  <w:tcW w:w="1079" w:type="dxa"/>
                </w:tcPr>
                <w:p w:rsidR="00410F35" w:rsidRPr="00EB6F6A" w:rsidRDefault="00410F35" w:rsidP="00410F35">
                  <w:pPr>
                    <w:pStyle w:val="Default"/>
                    <w:jc w:val="center"/>
                    <w:rPr>
                      <w:rFonts w:eastAsiaTheme="minorHAnsi"/>
                      <w:b/>
                      <w:color w:val="auto"/>
                      <w:lang w:val="lv-LV"/>
                    </w:rPr>
                  </w:pPr>
                  <w:r w:rsidRPr="00EB6F6A">
                    <w:rPr>
                      <w:rFonts w:eastAsiaTheme="minorHAnsi"/>
                      <w:b/>
                      <w:color w:val="auto"/>
                      <w:lang w:val="lv-LV"/>
                    </w:rPr>
                    <w:t>12,1↑</w:t>
                  </w:r>
                </w:p>
              </w:tc>
              <w:tc>
                <w:tcPr>
                  <w:tcW w:w="849" w:type="dxa"/>
                </w:tcPr>
                <w:p w:rsidR="00410F35" w:rsidRPr="00EB6F6A" w:rsidRDefault="00410F35" w:rsidP="00410F35">
                  <w:pPr>
                    <w:pStyle w:val="Default"/>
                    <w:jc w:val="center"/>
                    <w:rPr>
                      <w:rFonts w:eastAsiaTheme="minorHAnsi"/>
                      <w:color w:val="auto"/>
                      <w:lang w:val="lv-LV"/>
                    </w:rPr>
                  </w:pPr>
                  <w:r w:rsidRPr="00EB6F6A">
                    <w:rPr>
                      <w:rFonts w:eastAsiaTheme="minorHAnsi"/>
                      <w:color w:val="auto"/>
                      <w:lang w:val="lv-LV"/>
                    </w:rPr>
                    <w:t>7,7</w:t>
                  </w:r>
                </w:p>
              </w:tc>
              <w:tc>
                <w:tcPr>
                  <w:tcW w:w="1133" w:type="dxa"/>
                </w:tcPr>
                <w:p w:rsidR="00410F35" w:rsidRPr="00EB6F6A" w:rsidRDefault="00410F35" w:rsidP="00410F35">
                  <w:pPr>
                    <w:pStyle w:val="Default"/>
                    <w:jc w:val="center"/>
                    <w:rPr>
                      <w:rFonts w:eastAsiaTheme="minorHAnsi"/>
                      <w:b/>
                      <w:color w:val="auto"/>
                      <w:lang w:val="lv-LV"/>
                    </w:rPr>
                  </w:pPr>
                  <w:r w:rsidRPr="00EB6F6A">
                    <w:rPr>
                      <w:rFonts w:eastAsiaTheme="minorHAnsi"/>
                      <w:b/>
                      <w:color w:val="auto"/>
                      <w:lang w:val="lv-LV"/>
                    </w:rPr>
                    <w:t>7,8↑</w:t>
                  </w:r>
                </w:p>
              </w:tc>
            </w:tr>
          </w:tbl>
          <w:p w:rsidR="00410F35" w:rsidRPr="00EB6F6A" w:rsidRDefault="00410F35" w:rsidP="00410F35">
            <w:pPr>
              <w:pStyle w:val="NoSpacing"/>
              <w:jc w:val="both"/>
              <w:rPr>
                <w:bCs/>
                <w:lang w:val="lv-LV"/>
              </w:rPr>
            </w:pPr>
          </w:p>
          <w:p w:rsidR="00410F35" w:rsidRPr="00EB6F6A" w:rsidRDefault="00410F35" w:rsidP="00410F35">
            <w:pPr>
              <w:pStyle w:val="NoSpacing"/>
              <w:jc w:val="both"/>
              <w:rPr>
                <w:lang w:val="lv-LV"/>
              </w:rPr>
            </w:pPr>
            <w:r w:rsidRPr="00EB6F6A">
              <w:rPr>
                <w:bCs/>
                <w:lang w:val="lv-LV"/>
              </w:rPr>
              <w:t>Elektroniskās cigaretes ir salīdzinoši jauns produkts un stingra regulējuma trūkums, kā arī maldīgais iespaids par šo produktu ietekmi uz veselību, ko pastiprina industrijas mārketings, atspoguļojas datos par šo izstrādājumu lietošanu</w:t>
            </w:r>
            <w:r w:rsidRPr="00EB6F6A">
              <w:rPr>
                <w:rStyle w:val="FootnoteReference"/>
                <w:bCs/>
                <w:lang w:val="lv-LV"/>
              </w:rPr>
              <w:footnoteReference w:id="6"/>
            </w:r>
            <w:r w:rsidRPr="00EB6F6A">
              <w:rPr>
                <w:bCs/>
                <w:lang w:val="lv-LV"/>
              </w:rPr>
              <w:t>. Jāatzīmē, ka p</w:t>
            </w:r>
            <w:r w:rsidRPr="00EB6F6A">
              <w:rPr>
                <w:lang w:val="lv-LV"/>
              </w:rPr>
              <w:t>ētījumi liecina, ka jaunieši, kuri lieto elektroniskās cigaretes, arī vairāk lieto tabakas izstrādājumus, turklāt jaunieši, kuri lieto elektroniskās cigaretes, retāk pārtrauc smēķēšanu</w:t>
            </w:r>
            <w:r w:rsidRPr="00EB6F6A">
              <w:rPr>
                <w:rStyle w:val="FootnoteReference"/>
                <w:lang w:val="lv-LV"/>
              </w:rPr>
              <w:footnoteReference w:id="7"/>
            </w:r>
            <w:r w:rsidRPr="00EB6F6A">
              <w:rPr>
                <w:lang w:val="lv-LV"/>
              </w:rPr>
              <w:t>.</w:t>
            </w:r>
          </w:p>
          <w:p w:rsidR="00410F35" w:rsidRPr="00EB6F6A" w:rsidRDefault="00410F35" w:rsidP="00410F35">
            <w:pPr>
              <w:pStyle w:val="NoSpacing"/>
              <w:jc w:val="both"/>
              <w:rPr>
                <w:lang w:val="lv-LV"/>
              </w:rPr>
            </w:pPr>
            <w:r w:rsidRPr="00EB6F6A">
              <w:rPr>
                <w:lang w:val="lv-LV"/>
              </w:rPr>
              <w:t>Saskaņā ar Slimību profilakses un kontroles centra veikto Latvijas iedzīvotāju veselību ietekmējošo paradumu pētījumu 2010.gada</w:t>
            </w:r>
            <w:r w:rsidRPr="00EB6F6A">
              <w:rPr>
                <w:rStyle w:val="FootnoteReference"/>
                <w:lang w:val="lv-LV"/>
              </w:rPr>
              <w:footnoteReference w:id="8"/>
            </w:r>
            <w:r w:rsidRPr="00EB6F6A">
              <w:rPr>
                <w:lang w:val="lv-LV"/>
              </w:rPr>
              <w:t>, 2012.gada</w:t>
            </w:r>
            <w:r w:rsidRPr="00EB6F6A">
              <w:rPr>
                <w:rStyle w:val="FootnoteReference"/>
                <w:lang w:val="lv-LV"/>
              </w:rPr>
              <w:footnoteReference w:id="9"/>
            </w:r>
            <w:r w:rsidRPr="00EB6F6A">
              <w:rPr>
                <w:lang w:val="lv-LV"/>
              </w:rPr>
              <w:t xml:space="preserve"> un 2014.gada</w:t>
            </w:r>
            <w:r w:rsidRPr="00EB6F6A">
              <w:rPr>
                <w:rStyle w:val="FootnoteReference"/>
                <w:lang w:val="lv-LV"/>
              </w:rPr>
              <w:footnoteReference w:id="10"/>
            </w:r>
            <w:r w:rsidRPr="00EB6F6A">
              <w:rPr>
                <w:lang w:val="lv-LV"/>
              </w:rPr>
              <w:t xml:space="preserve"> datiem, nekad elektroniskās cigaretes nelietojušo  iedzīvotāju īpatsvars ir samazinājies no 98% uz 86,8%. Turklāt ikdienas smēķētāju īpatsvars, kuri ir lietojuši arī elektroniskās cigaretes laikā no 2010.gada līdz 2014.gada pieaudzis no 4% uz 25,7%. </w:t>
            </w:r>
          </w:p>
          <w:p w:rsidR="00831CCD" w:rsidRPr="00EB6F6A" w:rsidRDefault="00410F35" w:rsidP="00410F35">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Papildus jāatzīmē, ka saskaņā ar Speciālo Eirobarometru 429</w:t>
            </w:r>
            <w:r w:rsidRPr="00EB6F6A">
              <w:rPr>
                <w:rStyle w:val="FootnoteReference"/>
                <w:rFonts w:ascii="Times New Roman" w:hAnsi="Times New Roman" w:cs="Times New Roman"/>
                <w:sz w:val="24"/>
                <w:szCs w:val="24"/>
                <w:lang w:val="lv-LV"/>
              </w:rPr>
              <w:footnoteReference w:id="11"/>
            </w:r>
            <w:r w:rsidRPr="00EB6F6A">
              <w:rPr>
                <w:rFonts w:ascii="Times New Roman" w:hAnsi="Times New Roman" w:cs="Times New Roman"/>
                <w:sz w:val="24"/>
                <w:szCs w:val="24"/>
                <w:lang w:val="lv-LV"/>
              </w:rPr>
              <w:t xml:space="preserve">, kas publicēts 2015.gada maijā, Latvijā laikā no 2012.gada līdz 2014.gadam ikdienas smēķētāju īpatsvars samazinājies par 6% un pieaudzis atbalsts visa veida ierobežojumu pasākumu realizācijai, lai mazinātu tabakas izstrādājumu pieprasījumu un piedāvājumu, tai skaitā atbalsts elektronisko smēķēšanas ierīču lietošanas aizliegumam tajās pašās vietās, kur noteikti smēķēšanas ierobežojumi.    </w:t>
            </w:r>
          </w:p>
        </w:tc>
      </w:tr>
      <w:tr w:rsidR="00E101BB" w:rsidRPr="00EB6F6A" w:rsidTr="00E15B22">
        <w:trPr>
          <w:trHeight w:val="46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lastRenderedPageBreak/>
              <w:t>3.</w:t>
            </w:r>
          </w:p>
        </w:tc>
        <w:tc>
          <w:tcPr>
            <w:tcW w:w="227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Projekta izstrādē iesaistītās institūcijas</w:t>
            </w:r>
          </w:p>
        </w:tc>
        <w:tc>
          <w:tcPr>
            <w:tcW w:w="6520" w:type="dxa"/>
            <w:tcBorders>
              <w:top w:val="outset" w:sz="6" w:space="0" w:color="414142"/>
              <w:left w:val="outset" w:sz="6" w:space="0" w:color="414142"/>
              <w:bottom w:val="outset" w:sz="6" w:space="0" w:color="414142"/>
              <w:right w:val="outset" w:sz="6" w:space="0" w:color="414142"/>
            </w:tcBorders>
            <w:shd w:val="clear" w:color="auto" w:fill="FFFFFF"/>
            <w:hideMark/>
          </w:tcPr>
          <w:p w:rsidR="00397D36" w:rsidRPr="00EB6F6A" w:rsidRDefault="00397D36" w:rsidP="00397D36">
            <w:pPr>
              <w:pStyle w:val="NoSpacing"/>
              <w:jc w:val="both"/>
              <w:rPr>
                <w:lang w:val="lv-LV"/>
              </w:rPr>
            </w:pPr>
            <w:r w:rsidRPr="00EB6F6A">
              <w:rPr>
                <w:lang w:val="lv-LV"/>
              </w:rPr>
              <w:t>Veselības ministrija</w:t>
            </w:r>
          </w:p>
          <w:p w:rsidR="00173DB8" w:rsidRPr="00EB6F6A" w:rsidRDefault="00397D36" w:rsidP="00633A1C">
            <w:pPr>
              <w:pStyle w:val="NoSpacing"/>
              <w:jc w:val="both"/>
              <w:rPr>
                <w:lang w:val="lv-LV"/>
              </w:rPr>
            </w:pPr>
            <w:r w:rsidRPr="00EB6F6A">
              <w:rPr>
                <w:lang w:val="lv-LV"/>
              </w:rPr>
              <w:t xml:space="preserve">Veselības inspekcija </w:t>
            </w:r>
          </w:p>
        </w:tc>
      </w:tr>
      <w:tr w:rsidR="00E101BB" w:rsidRPr="00FE0001" w:rsidTr="00E15B22">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4.</w:t>
            </w:r>
          </w:p>
        </w:tc>
        <w:tc>
          <w:tcPr>
            <w:tcW w:w="227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Cita informācija</w:t>
            </w:r>
          </w:p>
        </w:tc>
        <w:tc>
          <w:tcPr>
            <w:tcW w:w="6520" w:type="dxa"/>
            <w:tcBorders>
              <w:top w:val="outset" w:sz="6" w:space="0" w:color="414142"/>
              <w:left w:val="outset" w:sz="6" w:space="0" w:color="414142"/>
              <w:bottom w:val="outset" w:sz="6" w:space="0" w:color="414142"/>
              <w:right w:val="outset" w:sz="6" w:space="0" w:color="414142"/>
            </w:tcBorders>
            <w:shd w:val="clear" w:color="auto" w:fill="FFFFFF"/>
            <w:hideMark/>
          </w:tcPr>
          <w:p w:rsidR="00C02E77" w:rsidRPr="00692D79" w:rsidRDefault="00974DA7" w:rsidP="005742E5">
            <w:pPr>
              <w:pStyle w:val="NoSpacing"/>
              <w:jc w:val="both"/>
              <w:rPr>
                <w:bCs/>
                <w:lang w:val="lv-LV"/>
              </w:rPr>
            </w:pPr>
            <w:r w:rsidRPr="00692D79">
              <w:rPr>
                <w:bCs/>
                <w:lang w:val="lv-LV"/>
              </w:rPr>
              <w:t>Tabakas izstrādājum</w:t>
            </w:r>
            <w:r w:rsidR="005742E5" w:rsidRPr="00692D79">
              <w:rPr>
                <w:bCs/>
                <w:lang w:val="lv-LV"/>
              </w:rPr>
              <w:t>u ražotāju nacionālā asociācija</w:t>
            </w:r>
            <w:r w:rsidRPr="00692D79">
              <w:rPr>
                <w:bCs/>
                <w:lang w:val="lv-LV"/>
              </w:rPr>
              <w:t xml:space="preserve"> </w:t>
            </w:r>
            <w:r w:rsidR="005742E5" w:rsidRPr="00692D79">
              <w:rPr>
                <w:bCs/>
                <w:lang w:val="lv-LV"/>
              </w:rPr>
              <w:t xml:space="preserve">norādījusi uz nepieciešamību brīdinājumu par ietekmi uz veselību izmēriem ir jābūt noteiktiem likumprojektā „Tabakas izstrādājumu, augu </w:t>
            </w:r>
            <w:r w:rsidR="005742E5" w:rsidRPr="00692D79">
              <w:rPr>
                <w:bCs/>
                <w:lang w:val="lv-LV"/>
              </w:rPr>
              <w:lastRenderedPageBreak/>
              <w:t xml:space="preserve">smēķēšanas produktu, elektronisko smēķēšanas ierīču un to šķidrumu aprites likums”. Šis jautājums atkārtoti tika izskatīts </w:t>
            </w:r>
            <w:r w:rsidR="005742E5" w:rsidRPr="00692D79">
              <w:rPr>
                <w:lang w:val="lv-LV"/>
              </w:rPr>
              <w:t>Saeimas Sociālo un darba lietu komisijas 2016.gada 30.marta sēdē. Ņemot vērā Veselības ministrijas un Tieslietu ministrijas iebildumus par to, ka atbilstoši normatīvo aktu veidošanas juridiskajai tehnikai šādas normas regulē Ministru kabineta noteikumos, nevis likumā, Saeimas Sociālo un darba lietu komisija noraidīja iespēju pārcelt brīdinājumu par ietekmi uz veselību izmērus no noteikumu projekta uz likumprojektu.</w:t>
            </w:r>
          </w:p>
        </w:tc>
      </w:tr>
    </w:tbl>
    <w:p w:rsidR="00E101BB" w:rsidRPr="00EB6F6A" w:rsidRDefault="00E101BB" w:rsidP="00E101BB">
      <w:pPr>
        <w:pStyle w:val="NoSpacing"/>
        <w:jc w:val="both"/>
        <w:rPr>
          <w:lang w:val="lv-LV"/>
        </w:rPr>
      </w:pPr>
    </w:p>
    <w:tbl>
      <w:tblPr>
        <w:tblW w:w="499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tblPr>
      <w:tblGrid>
        <w:gridCol w:w="38"/>
        <w:gridCol w:w="369"/>
        <w:gridCol w:w="302"/>
        <w:gridCol w:w="1700"/>
        <w:gridCol w:w="84"/>
        <w:gridCol w:w="992"/>
        <w:gridCol w:w="358"/>
        <w:gridCol w:w="1253"/>
        <w:gridCol w:w="1307"/>
        <w:gridCol w:w="1307"/>
        <w:gridCol w:w="511"/>
        <w:gridCol w:w="992"/>
        <w:gridCol w:w="71"/>
      </w:tblGrid>
      <w:tr w:rsidR="00E101BB" w:rsidRPr="00FE0001" w:rsidTr="001337B8">
        <w:trPr>
          <w:gridAfter w:val="1"/>
          <w:wAfter w:w="38" w:type="pct"/>
          <w:trHeight w:val="555"/>
        </w:trPr>
        <w:tc>
          <w:tcPr>
            <w:tcW w:w="4962" w:type="pct"/>
            <w:gridSpan w:val="1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EB6F6A" w:rsidRDefault="00E101BB" w:rsidP="001B3285">
            <w:pPr>
              <w:pStyle w:val="NoSpacing"/>
              <w:jc w:val="both"/>
              <w:rPr>
                <w:b/>
                <w:lang w:val="lv-LV"/>
              </w:rPr>
            </w:pPr>
            <w:r w:rsidRPr="00EB6F6A">
              <w:rPr>
                <w:b/>
                <w:lang w:val="lv-LV"/>
              </w:rPr>
              <w:t>II. Tiesību akta projekta ietekme uz sabiedrību, tautsaimniecības attīstību un administratīvo slogu</w:t>
            </w:r>
          </w:p>
        </w:tc>
      </w:tr>
      <w:tr w:rsidR="00E101BB" w:rsidRPr="00FE0001" w:rsidTr="00232C95">
        <w:trPr>
          <w:gridAfter w:val="1"/>
          <w:wAfter w:w="38" w:type="pct"/>
          <w:trHeight w:val="465"/>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1.</w:t>
            </w:r>
          </w:p>
        </w:tc>
        <w:tc>
          <w:tcPr>
            <w:tcW w:w="10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Sabiedrības mērķgrupas, kuras tiesiskais regulējums ietekmē vai varētu ietekmēt</w:t>
            </w:r>
          </w:p>
        </w:tc>
        <w:tc>
          <w:tcPr>
            <w:tcW w:w="3664"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rsidR="00BA16A9" w:rsidRPr="00EB6F6A" w:rsidRDefault="00173DB8" w:rsidP="00BA16A9">
            <w:pPr>
              <w:pStyle w:val="NoSpacing"/>
              <w:jc w:val="both"/>
              <w:rPr>
                <w:lang w:val="lv-LV"/>
              </w:rPr>
            </w:pPr>
            <w:r w:rsidRPr="00EB6F6A">
              <w:rPr>
                <w:lang w:val="lv-LV"/>
              </w:rPr>
              <w:t>Tabakas izstrādājumu</w:t>
            </w:r>
            <w:r w:rsidR="00DF6E39" w:rsidRPr="00EB6F6A">
              <w:rPr>
                <w:lang w:val="lv-LV"/>
              </w:rPr>
              <w:t>, augu smēķēšanas produktu, elektronisko smēķēšanas ierīču un elektronisko smēķēšanas ierīču uzpildes tvertņu</w:t>
            </w:r>
            <w:r w:rsidRPr="00EB6F6A">
              <w:rPr>
                <w:lang w:val="lv-LV"/>
              </w:rPr>
              <w:t xml:space="preserve"> </w:t>
            </w:r>
            <w:r w:rsidR="00776214" w:rsidRPr="00EB6F6A">
              <w:rPr>
                <w:lang w:val="lv-LV"/>
              </w:rPr>
              <w:t>ražotāji</w:t>
            </w:r>
            <w:r w:rsidR="00E265D6" w:rsidRPr="00EB6F6A">
              <w:rPr>
                <w:lang w:val="lv-LV"/>
              </w:rPr>
              <w:t xml:space="preserve"> un importētāji</w:t>
            </w:r>
            <w:r w:rsidR="00776214" w:rsidRPr="00EB6F6A">
              <w:rPr>
                <w:lang w:val="lv-LV"/>
              </w:rPr>
              <w:t xml:space="preserve">. </w:t>
            </w:r>
          </w:p>
          <w:p w:rsidR="00985E53" w:rsidRPr="00EB6F6A" w:rsidRDefault="00985E53" w:rsidP="00BA16A9">
            <w:pPr>
              <w:pStyle w:val="NoSpacing"/>
              <w:jc w:val="both"/>
              <w:rPr>
                <w:b/>
                <w:u w:val="single"/>
                <w:lang w:val="lv-LV"/>
              </w:rPr>
            </w:pPr>
            <w:r w:rsidRPr="00FE0001">
              <w:rPr>
                <w:lang w:val="lv-LV"/>
              </w:rPr>
              <w:t xml:space="preserve">Latvijas Republikas iedzīvotāji, jo īpaši smēķētāji. </w:t>
            </w:r>
            <w:r w:rsidRPr="00EB6F6A">
              <w:rPr>
                <w:b/>
                <w:u w:val="single"/>
                <w:lang w:val="lv-LV"/>
              </w:rPr>
              <w:t xml:space="preserve"> </w:t>
            </w:r>
          </w:p>
          <w:p w:rsidR="00173DB8" w:rsidRPr="00EB6F6A" w:rsidRDefault="00173DB8" w:rsidP="000124F2">
            <w:pPr>
              <w:pStyle w:val="NoSpacing"/>
              <w:jc w:val="both"/>
              <w:rPr>
                <w:lang w:val="lv-LV"/>
              </w:rPr>
            </w:pPr>
            <w:r w:rsidRPr="00EB6F6A">
              <w:rPr>
                <w:lang w:val="lv-LV"/>
              </w:rPr>
              <w:t xml:space="preserve"> </w:t>
            </w:r>
          </w:p>
        </w:tc>
      </w:tr>
      <w:tr w:rsidR="00E101BB" w:rsidRPr="00FE0001" w:rsidTr="00232C95">
        <w:trPr>
          <w:gridAfter w:val="1"/>
          <w:wAfter w:w="38" w:type="pct"/>
          <w:trHeight w:val="510"/>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2.</w:t>
            </w:r>
          </w:p>
        </w:tc>
        <w:tc>
          <w:tcPr>
            <w:tcW w:w="10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Tiesiskā regulējuma ietekme uz tautsaimniecību un administratīvo slogu</w:t>
            </w:r>
          </w:p>
        </w:tc>
        <w:tc>
          <w:tcPr>
            <w:tcW w:w="3664"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rsidR="00985E53" w:rsidRPr="00EB6F6A" w:rsidRDefault="003E3747" w:rsidP="00985E53">
            <w:pPr>
              <w:pStyle w:val="tvhtml"/>
              <w:shd w:val="clear" w:color="auto" w:fill="FFFFFF"/>
              <w:spacing w:before="0" w:beforeAutospacing="0" w:after="0" w:afterAutospacing="0"/>
              <w:jc w:val="both"/>
            </w:pPr>
            <w:r w:rsidRPr="00EB6F6A">
              <w:t xml:space="preserve">Brīdinājumu par ietekmi uz veselību izvietojumu uz tabakas izstrādājumu iepakojuma kā vienu </w:t>
            </w:r>
            <w:r w:rsidR="00E265D6" w:rsidRPr="00EB6F6A">
              <w:t xml:space="preserve">no </w:t>
            </w:r>
            <w:r w:rsidRPr="00EB6F6A">
              <w:t xml:space="preserve">sabiedrības veselības aizsardzības pasākumiem  iekļauj </w:t>
            </w:r>
            <w:r w:rsidR="00776214" w:rsidRPr="00EB6F6A">
              <w:t>Pasaules Veselības organizācijas Vispārējās konvencijas par tabakas uzraudzību</w:t>
            </w:r>
            <w:r w:rsidR="00E8462D" w:rsidRPr="00EB6F6A">
              <w:t>, ko Latvijas ratificējusi 2005.gadā</w:t>
            </w:r>
            <w:r w:rsidR="00E8462D" w:rsidRPr="00EB6F6A">
              <w:rPr>
                <w:rStyle w:val="FootnoteReference"/>
              </w:rPr>
              <w:footnoteReference w:id="12"/>
            </w:r>
            <w:r w:rsidR="00E8462D" w:rsidRPr="00EB6F6A">
              <w:t xml:space="preserve"> </w:t>
            </w:r>
            <w:r w:rsidRPr="00EB6F6A">
              <w:t>11.pants. Līdz ar Direktīvu 2014/40/ES tiek noteiktas arī vienotas marķējuma prasības elektroniskajām c</w:t>
            </w:r>
            <w:r w:rsidR="00F11D2E" w:rsidRPr="00EB6F6A">
              <w:t xml:space="preserve">igaretēm un uzpildes flakoniem un augu smēķēšanas produktiem. Tas sekmēs </w:t>
            </w:r>
            <w:r w:rsidRPr="00EB6F6A">
              <w:t xml:space="preserve">šo produktu patērētāju informētu izvēli, kas ilgākā laika posmā var novest pie patēriņa mazināšanās. </w:t>
            </w:r>
          </w:p>
          <w:p w:rsidR="00CA45FB" w:rsidRPr="00EB6F6A" w:rsidRDefault="00F11D2E" w:rsidP="00C01E7D">
            <w:pPr>
              <w:pStyle w:val="tvhtml"/>
              <w:shd w:val="clear" w:color="auto" w:fill="FFFFFF"/>
              <w:spacing w:before="0" w:beforeAutospacing="0" w:after="0" w:afterAutospacing="0"/>
              <w:jc w:val="both"/>
            </w:pPr>
            <w:r w:rsidRPr="00EB6F6A">
              <w:t>R</w:t>
            </w:r>
            <w:r w:rsidR="003E3747" w:rsidRPr="00EB6F6A">
              <w:t>egulējumam būs pozitīva ietekme uz sabiedrības veselību</w:t>
            </w:r>
            <w:r w:rsidRPr="00EB6F6A">
              <w:t xml:space="preserve">, kas, savukārt var </w:t>
            </w:r>
            <w:r w:rsidR="003E3747" w:rsidRPr="00EB6F6A">
              <w:t>radīt negatīvu fiskālo ietekmi uz ražotāji</w:t>
            </w:r>
            <w:r w:rsidRPr="00EB6F6A">
              <w:t xml:space="preserve">em, importētājiem, tirgotājiem, ņemot vērā, ka produktu patēriņš var samazināties. </w:t>
            </w:r>
            <w:r w:rsidR="0059758C" w:rsidRPr="002772A3">
              <w:t>Noteikumu projektā ietverto iepakojuma noformējuma prasību īstenošanai ražotājiem</w:t>
            </w:r>
            <w:r w:rsidR="00C01E7D" w:rsidRPr="002772A3">
              <w:t xml:space="preserve"> radīsies arī pirmreizējās izmaksas iekārtu pielāgošanai. Precīzi aprēķini par šīm izmaksām produktu ražošanai Latvijas tirgum Veselības ministrijas rīcībā nav. </w:t>
            </w:r>
            <w:r w:rsidRPr="00EB6F6A">
              <w:t xml:space="preserve">Kopumā </w:t>
            </w:r>
            <w:r w:rsidR="000E12B9" w:rsidRPr="00EB6F6A">
              <w:t>tiesiskā regulējuma ietekme uz tautsaimniecību būs pozitīva</w:t>
            </w:r>
            <w:r w:rsidR="00243F63" w:rsidRPr="00EB6F6A">
              <w:t xml:space="preserve">, jo </w:t>
            </w:r>
            <w:r w:rsidRPr="00EB6F6A">
              <w:t xml:space="preserve">izstrādājumu iepakojuma izmaiņu rezultātā </w:t>
            </w:r>
            <w:r w:rsidR="00243F63" w:rsidRPr="00EB6F6A">
              <w:t xml:space="preserve">tiks mazināta </w:t>
            </w:r>
            <w:r w:rsidR="00410F35" w:rsidRPr="00EB6F6A">
              <w:t>produktu pievilcība. Tas, savukārt, var veicināt patēriņa samazināšanos un tādējādi arī</w:t>
            </w:r>
            <w:r w:rsidRPr="00EB6F6A">
              <w:t xml:space="preserve"> ar </w:t>
            </w:r>
            <w:r w:rsidR="00243F63" w:rsidRPr="00EB6F6A">
              <w:t xml:space="preserve">smēķēšanas </w:t>
            </w:r>
            <w:r w:rsidR="00657F95" w:rsidRPr="00EB6F6A">
              <w:t xml:space="preserve">izplatību </w:t>
            </w:r>
            <w:r w:rsidR="00410F35" w:rsidRPr="00EB6F6A">
              <w:t>saistīto</w:t>
            </w:r>
            <w:r w:rsidR="00243F63" w:rsidRPr="00EB6F6A">
              <w:t xml:space="preserve"> </w:t>
            </w:r>
            <w:r w:rsidR="00657F95" w:rsidRPr="00EB6F6A">
              <w:t xml:space="preserve">tautsaimniecības </w:t>
            </w:r>
            <w:r w:rsidR="00410F35" w:rsidRPr="00EB6F6A">
              <w:t>izmaksu samazināšanos</w:t>
            </w:r>
            <w:r w:rsidR="00657F95" w:rsidRPr="00EB6F6A">
              <w:t xml:space="preserve">. </w:t>
            </w:r>
            <w:r w:rsidR="00CF5EF7" w:rsidRPr="00EB6F6A">
              <w:t xml:space="preserve"> </w:t>
            </w:r>
          </w:p>
        </w:tc>
      </w:tr>
      <w:tr w:rsidR="00E101BB" w:rsidRPr="00FE0001" w:rsidTr="00232C95">
        <w:trPr>
          <w:gridAfter w:val="1"/>
          <w:wAfter w:w="38" w:type="pct"/>
          <w:trHeight w:val="510"/>
        </w:trPr>
        <w:tc>
          <w:tcPr>
            <w:tcW w:w="219"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3.</w:t>
            </w:r>
          </w:p>
        </w:tc>
        <w:tc>
          <w:tcPr>
            <w:tcW w:w="1079"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Administratīvo izmaksu monetārs novērtējums</w:t>
            </w:r>
          </w:p>
        </w:tc>
        <w:tc>
          <w:tcPr>
            <w:tcW w:w="3664" w:type="pct"/>
            <w:gridSpan w:val="8"/>
            <w:tcBorders>
              <w:top w:val="outset" w:sz="6" w:space="0" w:color="414142"/>
              <w:left w:val="outset" w:sz="6" w:space="0" w:color="414142"/>
              <w:bottom w:val="single" w:sz="4" w:space="0" w:color="auto"/>
              <w:right w:val="outset" w:sz="6" w:space="0" w:color="414142"/>
            </w:tcBorders>
            <w:shd w:val="clear" w:color="auto" w:fill="FFFFFF"/>
            <w:hideMark/>
          </w:tcPr>
          <w:p w:rsidR="003D3692" w:rsidRPr="00EB6F6A" w:rsidRDefault="003D3692" w:rsidP="00252716">
            <w:pPr>
              <w:pStyle w:val="BodyText1"/>
              <w:shd w:val="clear" w:color="auto" w:fill="auto"/>
              <w:spacing w:before="0" w:after="0" w:line="240" w:lineRule="auto"/>
              <w:jc w:val="both"/>
              <w:rPr>
                <w:sz w:val="24"/>
                <w:szCs w:val="24"/>
                <w:shd w:val="clear" w:color="auto" w:fill="FFFFFF"/>
                <w:lang w:val="lv-LV"/>
              </w:rPr>
            </w:pPr>
            <w:r w:rsidRPr="00EB6F6A">
              <w:rPr>
                <w:sz w:val="24"/>
                <w:szCs w:val="24"/>
                <w:lang w:val="lv-LV"/>
              </w:rPr>
              <w:t xml:space="preserve">Noteikumu projekts nosaka pienākumu ražotājiem un importētājiem ziņot par konkrētajā gadā uz smēķēšanai paredzētu tabakas izstrādājumu iepakojuma vienībām un jebkāda ārējā iepakojuma izmantotajiem kombinētajiem brīdinājumiem par ietekmi uz veselību. Tas radīs papildu </w:t>
            </w:r>
            <w:r w:rsidRPr="00EB6F6A">
              <w:rPr>
                <w:sz w:val="24"/>
                <w:szCs w:val="24"/>
                <w:shd w:val="clear" w:color="auto" w:fill="FFFFFF"/>
                <w:lang w:val="lv-LV"/>
              </w:rPr>
              <w:t>administratīvās izmaksas</w:t>
            </w:r>
            <w:r w:rsidR="00985372" w:rsidRPr="00EB6F6A">
              <w:rPr>
                <w:sz w:val="24"/>
                <w:szCs w:val="24"/>
                <w:shd w:val="clear" w:color="auto" w:fill="FFFFFF"/>
                <w:lang w:val="lv-LV"/>
              </w:rPr>
              <w:t xml:space="preserve">. </w:t>
            </w:r>
          </w:p>
          <w:p w:rsidR="00985372" w:rsidRPr="00EB6F6A" w:rsidRDefault="00985372" w:rsidP="00252716">
            <w:pPr>
              <w:pStyle w:val="BodyText1"/>
              <w:shd w:val="clear" w:color="auto" w:fill="auto"/>
              <w:spacing w:before="0" w:after="0" w:line="240" w:lineRule="auto"/>
              <w:jc w:val="both"/>
              <w:rPr>
                <w:sz w:val="24"/>
                <w:szCs w:val="24"/>
                <w:lang w:val="lv-LV"/>
              </w:rPr>
            </w:pPr>
          </w:p>
          <w:p w:rsidR="005A4A91" w:rsidRPr="00EB6F6A" w:rsidRDefault="003D3692" w:rsidP="00252716">
            <w:pPr>
              <w:pStyle w:val="BodyText1"/>
              <w:shd w:val="clear" w:color="auto" w:fill="auto"/>
              <w:spacing w:before="0" w:after="0" w:line="240" w:lineRule="auto"/>
              <w:jc w:val="both"/>
              <w:rPr>
                <w:sz w:val="24"/>
                <w:szCs w:val="24"/>
                <w:lang w:val="lv-LV"/>
              </w:rPr>
            </w:pPr>
            <w:r w:rsidRPr="00EB6F6A">
              <w:rPr>
                <w:sz w:val="24"/>
                <w:szCs w:val="24"/>
                <w:lang w:val="lv-LV"/>
              </w:rPr>
              <w:lastRenderedPageBreak/>
              <w:t>2015.gadā Latvijā patēriņam nodoti 890 tabakas izstrādājumu zīmoli</w:t>
            </w:r>
            <w:r w:rsidRPr="00EB6F6A">
              <w:rPr>
                <w:rStyle w:val="FootnoteReference"/>
                <w:sz w:val="24"/>
                <w:szCs w:val="24"/>
                <w:lang w:val="lv-LV"/>
              </w:rPr>
              <w:footnoteReference w:id="13"/>
            </w:r>
            <w:r w:rsidR="005A4A91" w:rsidRPr="00EB6F6A">
              <w:rPr>
                <w:sz w:val="24"/>
                <w:szCs w:val="24"/>
                <w:lang w:val="lv-LV"/>
              </w:rPr>
              <w:t>. Atbilstoši Valsts ieņēmumu dienesta datiem, Latvijā 2015.gadā tabakas izstrādājumus patēriņam importēja 15 komersanti</w:t>
            </w:r>
            <w:r w:rsidR="005A4A91" w:rsidRPr="00EB6F6A">
              <w:rPr>
                <w:rStyle w:val="FootnoteReference"/>
                <w:sz w:val="24"/>
                <w:szCs w:val="24"/>
                <w:lang w:val="lv-LV"/>
              </w:rPr>
              <w:footnoteReference w:id="14"/>
            </w:r>
            <w:r w:rsidR="005A4A91" w:rsidRPr="00EB6F6A">
              <w:rPr>
                <w:sz w:val="24"/>
                <w:szCs w:val="24"/>
                <w:lang w:val="lv-LV"/>
              </w:rPr>
              <w:t xml:space="preserve">. Veselības ministrijas rīcībā nav informācijas par zīmolu sadalījumu starp šiem komersantiem, tāpēc aprēķini tiek veikti uz kopējo zīmolu skaitu. </w:t>
            </w:r>
          </w:p>
          <w:p w:rsidR="00985372" w:rsidRPr="00EB6F6A" w:rsidRDefault="005A4A91" w:rsidP="00252716">
            <w:pPr>
              <w:pStyle w:val="BodyText1"/>
              <w:shd w:val="clear" w:color="auto" w:fill="auto"/>
              <w:spacing w:before="0" w:after="0" w:line="240" w:lineRule="auto"/>
              <w:jc w:val="both"/>
              <w:rPr>
                <w:sz w:val="24"/>
                <w:szCs w:val="24"/>
                <w:lang w:val="lv-LV"/>
              </w:rPr>
            </w:pPr>
            <w:r w:rsidRPr="00EB6F6A">
              <w:rPr>
                <w:sz w:val="24"/>
                <w:szCs w:val="24"/>
                <w:lang w:val="lv-LV"/>
              </w:rPr>
              <w:t xml:space="preserve"> </w:t>
            </w:r>
          </w:p>
          <w:p w:rsidR="00B7794E" w:rsidRPr="00EB6F6A" w:rsidRDefault="003D3692" w:rsidP="00252716">
            <w:pPr>
              <w:pStyle w:val="BodyText1"/>
              <w:shd w:val="clear" w:color="auto" w:fill="auto"/>
              <w:spacing w:before="0" w:after="0" w:line="240" w:lineRule="auto"/>
              <w:jc w:val="both"/>
              <w:rPr>
                <w:sz w:val="24"/>
                <w:szCs w:val="24"/>
                <w:lang w:val="lv-LV"/>
              </w:rPr>
            </w:pPr>
            <w:r w:rsidRPr="00EB6F6A">
              <w:rPr>
                <w:sz w:val="24"/>
                <w:szCs w:val="24"/>
                <w:lang w:val="lv-LV"/>
              </w:rPr>
              <w:t xml:space="preserve">Atbilstoši noteikumu projektam, ņemot vērā, ka kombinētos brīdinājumus par ietekmi uz veselību rotācijas kārtībā maina ik gadu, informācija iesniedzama vienu reizi gadā. Lai izpildītu paziņošanas pienākumu, ražotājs vai importētājs var ziņot par visiem produktiem reizē, vai arī pa vienam- noteikumu projekts detalizētu paziņošanas kārtību neparedz. </w:t>
            </w:r>
            <w:r w:rsidR="003A47AC" w:rsidRPr="00EB6F6A">
              <w:rPr>
                <w:sz w:val="24"/>
                <w:szCs w:val="24"/>
                <w:lang w:val="lv-LV"/>
              </w:rPr>
              <w:t xml:space="preserve"> </w:t>
            </w:r>
          </w:p>
          <w:p w:rsidR="00985372" w:rsidRPr="00EB6F6A" w:rsidRDefault="003A47AC" w:rsidP="00252716">
            <w:pPr>
              <w:pStyle w:val="BodyText1"/>
              <w:shd w:val="clear" w:color="auto" w:fill="auto"/>
              <w:spacing w:before="0" w:after="0" w:line="240" w:lineRule="auto"/>
              <w:jc w:val="both"/>
              <w:rPr>
                <w:sz w:val="24"/>
                <w:szCs w:val="24"/>
                <w:lang w:val="lv-LV"/>
              </w:rPr>
            </w:pPr>
            <w:r w:rsidRPr="00EB6F6A">
              <w:rPr>
                <w:sz w:val="24"/>
                <w:szCs w:val="24"/>
                <w:lang w:val="lv-LV"/>
              </w:rPr>
              <w:t xml:space="preserve">Paredzams, ka ziņošana par 1 zīmolu aizņems aptuveni 5 minūtes. </w:t>
            </w:r>
          </w:p>
          <w:p w:rsidR="003A47AC" w:rsidRPr="00EB6F6A" w:rsidRDefault="003A47AC" w:rsidP="00252716">
            <w:pPr>
              <w:pStyle w:val="BodyText1"/>
              <w:shd w:val="clear" w:color="auto" w:fill="auto"/>
              <w:spacing w:before="0" w:after="0" w:line="240" w:lineRule="auto"/>
              <w:jc w:val="both"/>
              <w:rPr>
                <w:sz w:val="24"/>
                <w:szCs w:val="24"/>
                <w:lang w:val="lv-LV"/>
              </w:rPr>
            </w:pPr>
          </w:p>
          <w:p w:rsidR="003D3692" w:rsidRPr="00EB6F6A" w:rsidRDefault="003D3692" w:rsidP="00252716">
            <w:pPr>
              <w:pStyle w:val="BodyText1"/>
              <w:shd w:val="clear" w:color="auto" w:fill="auto"/>
              <w:spacing w:before="0" w:after="0" w:line="240" w:lineRule="auto"/>
              <w:jc w:val="both"/>
              <w:rPr>
                <w:sz w:val="24"/>
                <w:szCs w:val="24"/>
                <w:lang w:val="lv-LV"/>
              </w:rPr>
            </w:pPr>
            <w:r w:rsidRPr="00EB6F6A">
              <w:rPr>
                <w:sz w:val="24"/>
                <w:szCs w:val="24"/>
                <w:lang w:val="lv-LV"/>
              </w:rPr>
              <w:t xml:space="preserve">Atbilstoši Centrālās statistiskas pārvaldes datiem, privātajā sektorā vidējā bruto darba samaksa 2015.gadā bija 799 eiro. </w:t>
            </w:r>
          </w:p>
          <w:p w:rsidR="00985372" w:rsidRPr="00EB6F6A" w:rsidRDefault="00985372" w:rsidP="00252716">
            <w:pPr>
              <w:pStyle w:val="BodyText1"/>
              <w:shd w:val="clear" w:color="auto" w:fill="auto"/>
              <w:spacing w:before="0" w:after="0" w:line="240" w:lineRule="auto"/>
              <w:jc w:val="both"/>
              <w:rPr>
                <w:sz w:val="24"/>
                <w:szCs w:val="24"/>
                <w:lang w:val="lv-LV"/>
              </w:rPr>
            </w:pPr>
          </w:p>
          <w:p w:rsidR="008D0621" w:rsidRPr="00EB6F6A" w:rsidRDefault="003A47AC" w:rsidP="00985372">
            <w:pPr>
              <w:pStyle w:val="BodyText1"/>
              <w:shd w:val="clear" w:color="auto" w:fill="auto"/>
              <w:spacing w:before="0" w:after="0" w:line="240" w:lineRule="auto"/>
              <w:jc w:val="both"/>
              <w:rPr>
                <w:sz w:val="24"/>
                <w:szCs w:val="24"/>
                <w:lang w:val="lv-LV"/>
              </w:rPr>
            </w:pPr>
            <w:r w:rsidRPr="00EB6F6A">
              <w:rPr>
                <w:sz w:val="24"/>
                <w:szCs w:val="24"/>
                <w:lang w:val="lv-LV"/>
              </w:rPr>
              <w:t>Kopējās i</w:t>
            </w:r>
            <w:r w:rsidR="00EA247E" w:rsidRPr="00EB6F6A">
              <w:rPr>
                <w:sz w:val="24"/>
                <w:szCs w:val="24"/>
                <w:lang w:val="lv-LV"/>
              </w:rPr>
              <w:t>nformācijas sniegšanas pienākuma radītās izmaksas ir</w:t>
            </w:r>
            <w:r w:rsidR="00985372" w:rsidRPr="00EB6F6A">
              <w:rPr>
                <w:sz w:val="24"/>
                <w:szCs w:val="24"/>
                <w:lang w:val="lv-LV"/>
              </w:rPr>
              <w:t xml:space="preserve"> </w:t>
            </w:r>
            <w:r w:rsidRPr="00EB6F6A">
              <w:rPr>
                <w:sz w:val="24"/>
                <w:szCs w:val="24"/>
                <w:lang w:val="lv-LV"/>
              </w:rPr>
              <w:t>356 eiro</w:t>
            </w:r>
            <w:r w:rsidR="008D0621" w:rsidRPr="00EB6F6A">
              <w:rPr>
                <w:sz w:val="24"/>
                <w:szCs w:val="24"/>
                <w:lang w:val="lv-LV"/>
              </w:rPr>
              <w:t>*.</w:t>
            </w:r>
            <w:r w:rsidRPr="00EB6F6A">
              <w:rPr>
                <w:sz w:val="24"/>
                <w:szCs w:val="24"/>
                <w:shd w:val="clear" w:color="auto" w:fill="FFFFFF"/>
                <w:lang w:val="lv-LV"/>
              </w:rPr>
              <w:t xml:space="preserve"> Mainoties vidējai darba samaksai, kā arī zīmolu skaitam,  mainīsies arī administratīvās izmaksas.</w:t>
            </w:r>
            <w:r w:rsidR="005A4A91" w:rsidRPr="00EB6F6A">
              <w:rPr>
                <w:sz w:val="24"/>
                <w:szCs w:val="24"/>
                <w:lang w:val="lv-LV"/>
              </w:rPr>
              <w:t xml:space="preserve"> </w:t>
            </w:r>
          </w:p>
          <w:p w:rsidR="008D0621" w:rsidRPr="00EB6F6A" w:rsidRDefault="008D0621" w:rsidP="00985372">
            <w:pPr>
              <w:pStyle w:val="BodyText1"/>
              <w:shd w:val="clear" w:color="auto" w:fill="auto"/>
              <w:spacing w:before="0" w:after="0" w:line="240" w:lineRule="auto"/>
              <w:jc w:val="both"/>
              <w:rPr>
                <w:sz w:val="24"/>
                <w:szCs w:val="24"/>
                <w:shd w:val="clear" w:color="auto" w:fill="FFFFFF"/>
                <w:lang w:val="lv-LV"/>
              </w:rPr>
            </w:pPr>
          </w:p>
          <w:p w:rsidR="003A47AC" w:rsidRPr="00EB6F6A" w:rsidRDefault="008D0621" w:rsidP="003A47AC">
            <w:pPr>
              <w:pStyle w:val="BodyText1"/>
              <w:shd w:val="clear" w:color="auto" w:fill="auto"/>
              <w:spacing w:before="0" w:after="0" w:line="240" w:lineRule="auto"/>
              <w:jc w:val="both"/>
              <w:rPr>
                <w:sz w:val="24"/>
                <w:szCs w:val="24"/>
                <w:shd w:val="clear" w:color="auto" w:fill="FFFFFF"/>
                <w:lang w:val="lv-LV"/>
              </w:rPr>
            </w:pPr>
            <w:r w:rsidRPr="00EB6F6A">
              <w:rPr>
                <w:sz w:val="24"/>
                <w:szCs w:val="24"/>
                <w:shd w:val="clear" w:color="auto" w:fill="FFFFFF"/>
                <w:lang w:val="lv-LV"/>
              </w:rPr>
              <w:t>*(</w:t>
            </w:r>
            <w:r w:rsidR="00EA247E" w:rsidRPr="00EB6F6A">
              <w:rPr>
                <w:sz w:val="24"/>
                <w:szCs w:val="24"/>
                <w:shd w:val="clear" w:color="auto" w:fill="FFFFFF"/>
                <w:lang w:val="lv-LV"/>
              </w:rPr>
              <w:t xml:space="preserve">4,99 </w:t>
            </w:r>
            <w:proofErr w:type="spellStart"/>
            <w:r w:rsidR="00EA247E" w:rsidRPr="00EB6F6A">
              <w:rPr>
                <w:sz w:val="24"/>
                <w:szCs w:val="24"/>
                <w:shd w:val="clear" w:color="auto" w:fill="FFFFFF"/>
                <w:lang w:val="lv-LV"/>
              </w:rPr>
              <w:t>eur</w:t>
            </w:r>
            <w:proofErr w:type="spellEnd"/>
            <w:r w:rsidR="00EA247E" w:rsidRPr="00EB6F6A">
              <w:rPr>
                <w:sz w:val="24"/>
                <w:szCs w:val="24"/>
                <w:shd w:val="clear" w:color="auto" w:fill="FFFFFF"/>
                <w:lang w:val="lv-LV"/>
              </w:rPr>
              <w:t xml:space="preserve"> x 0.</w:t>
            </w:r>
            <w:r w:rsidR="003A47AC" w:rsidRPr="00EB6F6A">
              <w:rPr>
                <w:sz w:val="24"/>
                <w:szCs w:val="24"/>
                <w:shd w:val="clear" w:color="auto" w:fill="FFFFFF"/>
                <w:lang w:val="lv-LV"/>
              </w:rPr>
              <w:t>08</w:t>
            </w:r>
            <w:r w:rsidR="00EA247E" w:rsidRPr="00EB6F6A">
              <w:rPr>
                <w:sz w:val="24"/>
                <w:szCs w:val="24"/>
                <w:shd w:val="clear" w:color="auto" w:fill="FFFFFF"/>
                <w:lang w:val="lv-LV"/>
              </w:rPr>
              <w:t>h)  x (</w:t>
            </w:r>
            <w:r w:rsidR="003A47AC" w:rsidRPr="00EB6F6A">
              <w:rPr>
                <w:sz w:val="24"/>
                <w:szCs w:val="24"/>
                <w:shd w:val="clear" w:color="auto" w:fill="FFFFFF"/>
                <w:lang w:val="lv-LV"/>
              </w:rPr>
              <w:t>890 zīmoli</w:t>
            </w:r>
            <w:r w:rsidR="00EA247E" w:rsidRPr="00EB6F6A">
              <w:rPr>
                <w:sz w:val="24"/>
                <w:szCs w:val="24"/>
                <w:shd w:val="clear" w:color="auto" w:fill="FFFFFF"/>
                <w:lang w:val="lv-LV"/>
              </w:rPr>
              <w:t xml:space="preserve"> x 1 reizi gadā)= </w:t>
            </w:r>
            <w:r w:rsidR="003A47AC" w:rsidRPr="00EB6F6A">
              <w:rPr>
                <w:sz w:val="24"/>
                <w:szCs w:val="24"/>
                <w:shd w:val="clear" w:color="auto" w:fill="FFFFFF"/>
                <w:lang w:val="lv-LV"/>
              </w:rPr>
              <w:t>0.40</w:t>
            </w:r>
            <w:r w:rsidR="00EA247E" w:rsidRPr="00EB6F6A">
              <w:rPr>
                <w:sz w:val="24"/>
                <w:szCs w:val="24"/>
                <w:shd w:val="clear" w:color="auto" w:fill="FFFFFF"/>
                <w:lang w:val="lv-LV"/>
              </w:rPr>
              <w:t xml:space="preserve"> x </w:t>
            </w:r>
            <w:r w:rsidR="003A47AC" w:rsidRPr="00EB6F6A">
              <w:rPr>
                <w:sz w:val="24"/>
                <w:szCs w:val="24"/>
                <w:shd w:val="clear" w:color="auto" w:fill="FFFFFF"/>
                <w:lang w:val="lv-LV"/>
              </w:rPr>
              <w:t>890</w:t>
            </w:r>
            <w:r w:rsidR="00EA247E" w:rsidRPr="00EB6F6A">
              <w:rPr>
                <w:sz w:val="24"/>
                <w:szCs w:val="24"/>
                <w:shd w:val="clear" w:color="auto" w:fill="FFFFFF"/>
                <w:lang w:val="lv-LV"/>
              </w:rPr>
              <w:t>=</w:t>
            </w:r>
            <w:r w:rsidR="003A47AC" w:rsidRPr="00EB6F6A">
              <w:rPr>
                <w:sz w:val="24"/>
                <w:szCs w:val="24"/>
                <w:shd w:val="clear" w:color="auto" w:fill="FFFFFF"/>
                <w:lang w:val="lv-LV"/>
              </w:rPr>
              <w:t xml:space="preserve"> 356 eiro</w:t>
            </w:r>
            <w:r w:rsidR="00985372" w:rsidRPr="00EB6F6A">
              <w:rPr>
                <w:sz w:val="24"/>
                <w:szCs w:val="24"/>
                <w:shd w:val="clear" w:color="auto" w:fill="FFFFFF"/>
                <w:lang w:val="lv-LV"/>
              </w:rPr>
              <w:t xml:space="preserve">. </w:t>
            </w:r>
          </w:p>
          <w:p w:rsidR="00E265D6" w:rsidRPr="00EB6F6A" w:rsidRDefault="00E265D6" w:rsidP="003A47AC">
            <w:pPr>
              <w:pStyle w:val="BodyText1"/>
              <w:shd w:val="clear" w:color="auto" w:fill="auto"/>
              <w:spacing w:before="0" w:after="0" w:line="240" w:lineRule="auto"/>
              <w:jc w:val="both"/>
              <w:rPr>
                <w:sz w:val="24"/>
                <w:szCs w:val="24"/>
                <w:shd w:val="clear" w:color="auto" w:fill="FFFFFF"/>
                <w:lang w:val="lv-LV"/>
              </w:rPr>
            </w:pPr>
          </w:p>
        </w:tc>
      </w:tr>
      <w:tr w:rsidR="00E101BB" w:rsidRPr="00EB6F6A" w:rsidTr="00232C95">
        <w:trPr>
          <w:gridAfter w:val="1"/>
          <w:wAfter w:w="38" w:type="pct"/>
          <w:trHeight w:val="345"/>
        </w:trPr>
        <w:tc>
          <w:tcPr>
            <w:tcW w:w="21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101BB" w:rsidRPr="00EB6F6A" w:rsidRDefault="00E101BB" w:rsidP="001B3285">
            <w:pPr>
              <w:pStyle w:val="NoSpacing"/>
              <w:jc w:val="both"/>
              <w:rPr>
                <w:lang w:val="lv-LV"/>
              </w:rPr>
            </w:pPr>
            <w:r w:rsidRPr="00EB6F6A">
              <w:rPr>
                <w:lang w:val="lv-LV"/>
              </w:rPr>
              <w:lastRenderedPageBreak/>
              <w:t>4.</w:t>
            </w: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101BB" w:rsidRPr="00EB6F6A" w:rsidRDefault="00E101BB" w:rsidP="001B3285">
            <w:pPr>
              <w:pStyle w:val="NoSpacing"/>
              <w:jc w:val="both"/>
              <w:rPr>
                <w:lang w:val="lv-LV"/>
              </w:rPr>
            </w:pPr>
            <w:r w:rsidRPr="00EB6F6A">
              <w:rPr>
                <w:lang w:val="lv-LV"/>
              </w:rPr>
              <w:t>Cita informācija</w:t>
            </w:r>
          </w:p>
        </w:tc>
        <w:tc>
          <w:tcPr>
            <w:tcW w:w="3664" w:type="pct"/>
            <w:gridSpan w:val="8"/>
            <w:tcBorders>
              <w:top w:val="single" w:sz="4" w:space="0" w:color="auto"/>
              <w:left w:val="single" w:sz="4" w:space="0" w:color="auto"/>
              <w:bottom w:val="single" w:sz="4" w:space="0" w:color="auto"/>
              <w:right w:val="single" w:sz="4" w:space="0" w:color="auto"/>
            </w:tcBorders>
            <w:shd w:val="clear" w:color="auto" w:fill="FFFFFF"/>
            <w:hideMark/>
          </w:tcPr>
          <w:p w:rsidR="00E101BB" w:rsidRPr="00EB6F6A" w:rsidRDefault="005E1DDB" w:rsidP="001B3285">
            <w:pPr>
              <w:pStyle w:val="NoSpacing"/>
              <w:jc w:val="both"/>
              <w:rPr>
                <w:lang w:val="lv-LV"/>
              </w:rPr>
            </w:pPr>
            <w:r w:rsidRPr="00EB6F6A">
              <w:rPr>
                <w:lang w:val="lv-LV"/>
              </w:rPr>
              <w:t>Nav</w:t>
            </w:r>
          </w:p>
        </w:tc>
      </w:tr>
      <w:tr w:rsidR="005A4A91" w:rsidRPr="00EB6F6A" w:rsidTr="001337B8">
        <w:trPr>
          <w:gridAfter w:val="1"/>
          <w:wAfter w:w="38" w:type="pct"/>
          <w:trHeight w:val="345"/>
        </w:trPr>
        <w:tc>
          <w:tcPr>
            <w:tcW w:w="4962" w:type="pct"/>
            <w:gridSpan w:val="12"/>
            <w:tcBorders>
              <w:top w:val="single" w:sz="4" w:space="0" w:color="auto"/>
              <w:left w:val="nil"/>
              <w:bottom w:val="single" w:sz="4" w:space="0" w:color="auto"/>
              <w:right w:val="nil"/>
            </w:tcBorders>
            <w:shd w:val="clear" w:color="auto" w:fill="FFFFFF"/>
            <w:hideMark/>
          </w:tcPr>
          <w:p w:rsidR="005A4A91" w:rsidRPr="00EB6F6A" w:rsidRDefault="005A4A91" w:rsidP="001B3285">
            <w:pPr>
              <w:pStyle w:val="NoSpacing"/>
              <w:jc w:val="both"/>
              <w:rPr>
                <w:lang w:val="lv-LV"/>
              </w:rPr>
            </w:pPr>
          </w:p>
        </w:tc>
      </w:tr>
      <w:tr w:rsidR="00772140" w:rsidRPr="00EB6F6A" w:rsidTr="001337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4980" w:type="pct"/>
            <w:gridSpan w:val="12"/>
            <w:tcBorders>
              <w:top w:val="single" w:sz="4" w:space="0" w:color="auto"/>
              <w:left w:val="single" w:sz="4" w:space="0" w:color="auto"/>
              <w:bottom w:val="single" w:sz="4" w:space="0" w:color="auto"/>
              <w:right w:val="single" w:sz="4" w:space="0" w:color="auto"/>
            </w:tcBorders>
            <w:vAlign w:val="center"/>
          </w:tcPr>
          <w:p w:rsidR="00772140" w:rsidRPr="00EB6F6A" w:rsidRDefault="00772140" w:rsidP="00772140">
            <w:pPr>
              <w:pStyle w:val="naisf"/>
              <w:spacing w:before="0" w:after="0"/>
              <w:ind w:firstLine="0"/>
              <w:jc w:val="center"/>
              <w:rPr>
                <w:b/>
                <w:lang w:val="lv-LV"/>
              </w:rPr>
            </w:pPr>
            <w:r w:rsidRPr="00EB6F6A">
              <w:rPr>
                <w:b/>
                <w:lang w:val="lv-LV"/>
              </w:rPr>
              <w:t>III. Tiesību akta projekta ietekme uz valsts budžetu un pašvaldību budžetiem</w:t>
            </w:r>
          </w:p>
        </w:tc>
      </w:tr>
      <w:tr w:rsidR="00772140"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vMerge w:val="restart"/>
            <w:vAlign w:val="center"/>
          </w:tcPr>
          <w:p w:rsidR="00772140" w:rsidRPr="00EB6F6A" w:rsidRDefault="00772140" w:rsidP="00772140">
            <w:pPr>
              <w:pStyle w:val="naisf"/>
              <w:spacing w:before="0" w:after="0"/>
              <w:ind w:left="114" w:hanging="114"/>
              <w:jc w:val="center"/>
              <w:rPr>
                <w:lang w:val="lv-LV"/>
              </w:rPr>
            </w:pPr>
            <w:r w:rsidRPr="00EB6F6A">
              <w:rPr>
                <w:lang w:val="lv-LV"/>
              </w:rPr>
              <w:t>Rādītāji</w:t>
            </w:r>
          </w:p>
        </w:tc>
        <w:tc>
          <w:tcPr>
            <w:tcW w:w="1402" w:type="pct"/>
            <w:gridSpan w:val="3"/>
            <w:vMerge w:val="restart"/>
            <w:vAlign w:val="center"/>
          </w:tcPr>
          <w:p w:rsidR="00772140" w:rsidRPr="00EB6F6A" w:rsidRDefault="00772140" w:rsidP="008C7A63">
            <w:pPr>
              <w:pStyle w:val="naisf"/>
              <w:spacing w:before="0" w:after="0"/>
              <w:ind w:firstLine="0"/>
              <w:jc w:val="center"/>
              <w:rPr>
                <w:lang w:val="lv-LV"/>
              </w:rPr>
            </w:pPr>
            <w:r w:rsidRPr="00EB6F6A">
              <w:rPr>
                <w:rStyle w:val="Bodytext13ptBold"/>
                <w:color w:val="auto"/>
                <w:sz w:val="24"/>
                <w:szCs w:val="24"/>
              </w:rPr>
              <w:t>201</w:t>
            </w:r>
            <w:r w:rsidR="008C7A63" w:rsidRPr="00EB6F6A">
              <w:rPr>
                <w:rStyle w:val="Bodytext13ptBold"/>
                <w:color w:val="auto"/>
                <w:sz w:val="24"/>
                <w:szCs w:val="24"/>
              </w:rPr>
              <w:t>6</w:t>
            </w:r>
            <w:r w:rsidRPr="00EB6F6A">
              <w:rPr>
                <w:rStyle w:val="Bodytext13ptBold"/>
                <w:color w:val="auto"/>
                <w:sz w:val="24"/>
                <w:szCs w:val="24"/>
              </w:rPr>
              <w:t>.gads</w:t>
            </w:r>
          </w:p>
        </w:tc>
        <w:tc>
          <w:tcPr>
            <w:tcW w:w="2254" w:type="pct"/>
            <w:gridSpan w:val="5"/>
            <w:vAlign w:val="center"/>
          </w:tcPr>
          <w:p w:rsidR="00772140" w:rsidRPr="00EB6F6A" w:rsidRDefault="00772140" w:rsidP="00772140">
            <w:pPr>
              <w:pStyle w:val="naisf"/>
              <w:spacing w:before="0" w:after="0"/>
              <w:ind w:firstLine="0"/>
              <w:jc w:val="center"/>
              <w:rPr>
                <w:b/>
                <w:i/>
                <w:noProof/>
                <w:lang w:val="lv-LV"/>
              </w:rPr>
            </w:pPr>
            <w:r w:rsidRPr="00EB6F6A">
              <w:rPr>
                <w:noProof/>
                <w:lang w:val="lv-LV"/>
              </w:rPr>
              <w:t>Turpmākie trīs gadi (</w:t>
            </w:r>
            <w:r w:rsidRPr="00EB6F6A">
              <w:rPr>
                <w:i/>
                <w:noProof/>
                <w:lang w:val="lv-LV"/>
              </w:rPr>
              <w:t>euro</w:t>
            </w:r>
            <w:r w:rsidRPr="00EB6F6A">
              <w:rPr>
                <w:noProof/>
                <w:lang w:val="lv-LV"/>
              </w:rPr>
              <w:t>)</w:t>
            </w:r>
          </w:p>
        </w:tc>
      </w:tr>
      <w:tr w:rsidR="00772140"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vMerge/>
            <w:vAlign w:val="center"/>
          </w:tcPr>
          <w:p w:rsidR="00772140" w:rsidRPr="00EB6F6A" w:rsidRDefault="00772140" w:rsidP="00772140">
            <w:pPr>
              <w:pStyle w:val="naisf"/>
              <w:spacing w:before="0" w:after="0"/>
              <w:ind w:firstLine="0"/>
              <w:jc w:val="center"/>
              <w:rPr>
                <w:b/>
                <w:i/>
                <w:lang w:val="lv-LV"/>
              </w:rPr>
            </w:pPr>
          </w:p>
        </w:tc>
        <w:tc>
          <w:tcPr>
            <w:tcW w:w="1402" w:type="pct"/>
            <w:gridSpan w:val="3"/>
            <w:vMerge/>
            <w:vAlign w:val="center"/>
          </w:tcPr>
          <w:p w:rsidR="00772140" w:rsidRPr="00EB6F6A" w:rsidRDefault="00772140" w:rsidP="00772140">
            <w:pPr>
              <w:pStyle w:val="naisf"/>
              <w:spacing w:before="0" w:after="0"/>
              <w:ind w:firstLine="0"/>
              <w:jc w:val="center"/>
              <w:rPr>
                <w:b/>
                <w:i/>
                <w:lang w:val="lv-LV"/>
              </w:rPr>
            </w:pPr>
          </w:p>
        </w:tc>
        <w:tc>
          <w:tcPr>
            <w:tcW w:w="704" w:type="pct"/>
            <w:vAlign w:val="center"/>
          </w:tcPr>
          <w:p w:rsidR="00772140" w:rsidRPr="00EB6F6A" w:rsidRDefault="00772140" w:rsidP="008C7A63">
            <w:pPr>
              <w:pStyle w:val="naisf"/>
              <w:spacing w:before="0" w:after="0"/>
              <w:ind w:firstLine="0"/>
              <w:jc w:val="center"/>
              <w:rPr>
                <w:i/>
                <w:lang w:val="lv-LV"/>
              </w:rPr>
            </w:pPr>
            <w:r w:rsidRPr="00EB6F6A">
              <w:rPr>
                <w:bCs/>
                <w:lang w:val="lv-LV"/>
              </w:rPr>
              <w:t>201</w:t>
            </w:r>
            <w:r w:rsidR="008C7A63" w:rsidRPr="00EB6F6A">
              <w:rPr>
                <w:bCs/>
                <w:lang w:val="lv-LV"/>
              </w:rPr>
              <w:t>7</w:t>
            </w:r>
            <w:r w:rsidRPr="00EB6F6A">
              <w:rPr>
                <w:bCs/>
                <w:lang w:val="lv-LV"/>
              </w:rPr>
              <w:t>.gads</w:t>
            </w:r>
          </w:p>
        </w:tc>
        <w:tc>
          <w:tcPr>
            <w:tcW w:w="704" w:type="pct"/>
            <w:vAlign w:val="center"/>
          </w:tcPr>
          <w:p w:rsidR="00772140" w:rsidRPr="00EB6F6A" w:rsidRDefault="00772140" w:rsidP="008C7A63">
            <w:pPr>
              <w:pStyle w:val="naisf"/>
              <w:spacing w:before="0" w:after="0"/>
              <w:ind w:firstLine="0"/>
              <w:jc w:val="center"/>
              <w:rPr>
                <w:i/>
                <w:lang w:val="lv-LV"/>
              </w:rPr>
            </w:pPr>
            <w:r w:rsidRPr="00EB6F6A">
              <w:rPr>
                <w:bCs/>
                <w:lang w:val="lv-LV"/>
              </w:rPr>
              <w:t>201</w:t>
            </w:r>
            <w:r w:rsidR="008C7A63" w:rsidRPr="00EB6F6A">
              <w:rPr>
                <w:bCs/>
                <w:lang w:val="lv-LV"/>
              </w:rPr>
              <w:t>8</w:t>
            </w:r>
            <w:r w:rsidRPr="00EB6F6A">
              <w:rPr>
                <w:bCs/>
                <w:lang w:val="lv-LV"/>
              </w:rPr>
              <w:t>.gads</w:t>
            </w:r>
          </w:p>
        </w:tc>
        <w:tc>
          <w:tcPr>
            <w:tcW w:w="847" w:type="pct"/>
            <w:gridSpan w:val="3"/>
            <w:vAlign w:val="center"/>
          </w:tcPr>
          <w:p w:rsidR="00772140" w:rsidRPr="00EB6F6A" w:rsidRDefault="00772140" w:rsidP="008C7A63">
            <w:pPr>
              <w:pStyle w:val="naisf"/>
              <w:spacing w:before="0" w:after="0"/>
              <w:ind w:firstLine="0"/>
              <w:jc w:val="center"/>
              <w:rPr>
                <w:i/>
                <w:noProof/>
                <w:lang w:val="lv-LV"/>
              </w:rPr>
            </w:pPr>
            <w:r w:rsidRPr="00EB6F6A">
              <w:rPr>
                <w:bCs/>
                <w:noProof/>
                <w:lang w:val="lv-LV"/>
              </w:rPr>
              <w:t>201</w:t>
            </w:r>
            <w:r w:rsidR="008C7A63" w:rsidRPr="00EB6F6A">
              <w:rPr>
                <w:bCs/>
                <w:noProof/>
                <w:lang w:val="lv-LV"/>
              </w:rPr>
              <w:t>9</w:t>
            </w:r>
            <w:r w:rsidRPr="00EB6F6A">
              <w:rPr>
                <w:bCs/>
                <w:noProof/>
                <w:lang w:val="lv-LV"/>
              </w:rPr>
              <w:t>.gads</w:t>
            </w:r>
          </w:p>
        </w:tc>
      </w:tr>
      <w:tr w:rsidR="00772140" w:rsidRPr="00FE0001"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vMerge/>
            <w:vAlign w:val="center"/>
          </w:tcPr>
          <w:p w:rsidR="00772140" w:rsidRPr="00EB6F6A" w:rsidRDefault="00772140" w:rsidP="00772140">
            <w:pPr>
              <w:pStyle w:val="naisf"/>
              <w:spacing w:before="0" w:after="0"/>
              <w:ind w:firstLine="0"/>
              <w:jc w:val="center"/>
              <w:rPr>
                <w:b/>
                <w:i/>
                <w:lang w:val="lv-LV"/>
              </w:rPr>
            </w:pPr>
          </w:p>
        </w:tc>
        <w:tc>
          <w:tcPr>
            <w:tcW w:w="727" w:type="pct"/>
            <w:gridSpan w:val="2"/>
            <w:vAlign w:val="center"/>
          </w:tcPr>
          <w:p w:rsidR="00772140" w:rsidRPr="00EB6F6A" w:rsidRDefault="00772140" w:rsidP="00772140">
            <w:pPr>
              <w:pStyle w:val="naisf"/>
              <w:spacing w:before="0" w:after="0"/>
              <w:ind w:firstLine="0"/>
              <w:jc w:val="center"/>
              <w:rPr>
                <w:b/>
                <w:i/>
                <w:lang w:val="lv-LV"/>
              </w:rPr>
            </w:pPr>
            <w:r w:rsidRPr="00EB6F6A">
              <w:rPr>
                <w:lang w:val="lv-LV"/>
              </w:rPr>
              <w:t>saskaņā ar valsts budžetu kārtējam gadam</w:t>
            </w:r>
          </w:p>
        </w:tc>
        <w:tc>
          <w:tcPr>
            <w:tcW w:w="675" w:type="pct"/>
            <w:vAlign w:val="center"/>
          </w:tcPr>
          <w:p w:rsidR="00772140" w:rsidRPr="00EB6F6A" w:rsidRDefault="00772140" w:rsidP="00772140">
            <w:pPr>
              <w:pStyle w:val="naisf"/>
              <w:spacing w:before="0" w:after="0"/>
              <w:ind w:firstLine="0"/>
              <w:jc w:val="center"/>
              <w:rPr>
                <w:b/>
                <w:i/>
                <w:lang w:val="lv-LV"/>
              </w:rPr>
            </w:pPr>
            <w:r w:rsidRPr="00EB6F6A">
              <w:rPr>
                <w:lang w:val="lv-LV"/>
              </w:rPr>
              <w:t>izmaiņas kārtējā gadā, salīdzinot ar budžetu kārtējam gadam</w:t>
            </w:r>
          </w:p>
        </w:tc>
        <w:tc>
          <w:tcPr>
            <w:tcW w:w="704" w:type="pct"/>
            <w:vAlign w:val="center"/>
          </w:tcPr>
          <w:p w:rsidR="00772140" w:rsidRPr="00EB6F6A" w:rsidRDefault="00772140" w:rsidP="00772140">
            <w:pPr>
              <w:pStyle w:val="naisf"/>
              <w:spacing w:before="0" w:after="0"/>
              <w:ind w:firstLine="0"/>
              <w:jc w:val="center"/>
              <w:rPr>
                <w:b/>
                <w:i/>
                <w:lang w:val="lv-LV"/>
              </w:rPr>
            </w:pPr>
            <w:r w:rsidRPr="00EB6F6A">
              <w:rPr>
                <w:lang w:val="lv-LV"/>
              </w:rPr>
              <w:t>izmaiņas, salīdzinot ar kārtējo (n) gadu</w:t>
            </w:r>
          </w:p>
        </w:tc>
        <w:tc>
          <w:tcPr>
            <w:tcW w:w="704" w:type="pct"/>
            <w:vAlign w:val="center"/>
          </w:tcPr>
          <w:p w:rsidR="00772140" w:rsidRPr="00EB6F6A" w:rsidRDefault="00772140" w:rsidP="00772140">
            <w:pPr>
              <w:pStyle w:val="naisf"/>
              <w:spacing w:before="0" w:after="0"/>
              <w:ind w:firstLine="0"/>
              <w:jc w:val="center"/>
              <w:rPr>
                <w:b/>
                <w:i/>
                <w:lang w:val="lv-LV"/>
              </w:rPr>
            </w:pPr>
            <w:r w:rsidRPr="00EB6F6A">
              <w:rPr>
                <w:lang w:val="lv-LV"/>
              </w:rPr>
              <w:t>izmaiņas, salīdzinot ar kārtējo (n) gadu</w:t>
            </w:r>
          </w:p>
        </w:tc>
        <w:tc>
          <w:tcPr>
            <w:tcW w:w="847" w:type="pct"/>
            <w:gridSpan w:val="3"/>
            <w:vAlign w:val="center"/>
          </w:tcPr>
          <w:p w:rsidR="00772140" w:rsidRPr="00EB6F6A" w:rsidRDefault="00772140" w:rsidP="00772140">
            <w:pPr>
              <w:pStyle w:val="naisf"/>
              <w:spacing w:before="0" w:after="0"/>
              <w:ind w:firstLine="0"/>
              <w:jc w:val="center"/>
              <w:rPr>
                <w:b/>
                <w:i/>
                <w:noProof/>
                <w:lang w:val="lv-LV"/>
              </w:rPr>
            </w:pPr>
            <w:r w:rsidRPr="00EB6F6A">
              <w:rPr>
                <w:noProof/>
                <w:lang w:val="lv-LV"/>
              </w:rPr>
              <w:t>izmaiņas, salīdzinot ar kārtējo (n) gadu</w:t>
            </w:r>
          </w:p>
        </w:tc>
      </w:tr>
      <w:tr w:rsidR="00772140"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vAlign w:val="center"/>
          </w:tcPr>
          <w:p w:rsidR="00772140" w:rsidRPr="00EB6F6A" w:rsidRDefault="00772140" w:rsidP="00772140">
            <w:pPr>
              <w:pStyle w:val="naisf"/>
              <w:spacing w:before="0" w:after="0"/>
              <w:ind w:firstLine="0"/>
              <w:jc w:val="center"/>
              <w:rPr>
                <w:bCs/>
                <w:lang w:val="lv-LV"/>
              </w:rPr>
            </w:pPr>
            <w:r w:rsidRPr="00EB6F6A">
              <w:rPr>
                <w:bCs/>
                <w:lang w:val="lv-LV"/>
              </w:rPr>
              <w:t>1</w:t>
            </w:r>
          </w:p>
        </w:tc>
        <w:tc>
          <w:tcPr>
            <w:tcW w:w="727" w:type="pct"/>
            <w:gridSpan w:val="2"/>
            <w:vAlign w:val="center"/>
          </w:tcPr>
          <w:p w:rsidR="00772140" w:rsidRPr="00EB6F6A" w:rsidRDefault="00772140" w:rsidP="00772140">
            <w:pPr>
              <w:pStyle w:val="naisf"/>
              <w:spacing w:before="0" w:after="0"/>
              <w:ind w:firstLine="0"/>
              <w:jc w:val="center"/>
              <w:rPr>
                <w:bCs/>
                <w:lang w:val="lv-LV"/>
              </w:rPr>
            </w:pPr>
            <w:r w:rsidRPr="00EB6F6A">
              <w:rPr>
                <w:bCs/>
                <w:lang w:val="lv-LV"/>
              </w:rPr>
              <w:t>2</w:t>
            </w:r>
          </w:p>
        </w:tc>
        <w:tc>
          <w:tcPr>
            <w:tcW w:w="675" w:type="pct"/>
            <w:vAlign w:val="center"/>
          </w:tcPr>
          <w:p w:rsidR="00772140" w:rsidRPr="00EB6F6A" w:rsidRDefault="00772140" w:rsidP="00772140">
            <w:pPr>
              <w:pStyle w:val="naisf"/>
              <w:spacing w:before="0" w:after="0"/>
              <w:ind w:firstLine="0"/>
              <w:jc w:val="center"/>
              <w:rPr>
                <w:bCs/>
                <w:lang w:val="lv-LV"/>
              </w:rPr>
            </w:pPr>
            <w:r w:rsidRPr="00EB6F6A">
              <w:rPr>
                <w:bCs/>
                <w:lang w:val="lv-LV"/>
              </w:rPr>
              <w:t>3</w:t>
            </w:r>
          </w:p>
        </w:tc>
        <w:tc>
          <w:tcPr>
            <w:tcW w:w="704" w:type="pct"/>
            <w:vAlign w:val="center"/>
          </w:tcPr>
          <w:p w:rsidR="00772140" w:rsidRPr="00EB6F6A" w:rsidRDefault="00772140" w:rsidP="00772140">
            <w:pPr>
              <w:pStyle w:val="naisf"/>
              <w:spacing w:before="0" w:after="0"/>
              <w:ind w:firstLine="0"/>
              <w:jc w:val="center"/>
              <w:rPr>
                <w:bCs/>
                <w:lang w:val="lv-LV"/>
              </w:rPr>
            </w:pPr>
            <w:r w:rsidRPr="00EB6F6A">
              <w:rPr>
                <w:bCs/>
                <w:lang w:val="lv-LV"/>
              </w:rPr>
              <w:t>4</w:t>
            </w:r>
          </w:p>
        </w:tc>
        <w:tc>
          <w:tcPr>
            <w:tcW w:w="704" w:type="pct"/>
            <w:vAlign w:val="center"/>
          </w:tcPr>
          <w:p w:rsidR="00772140" w:rsidRPr="00EB6F6A" w:rsidRDefault="00772140" w:rsidP="00772140">
            <w:pPr>
              <w:pStyle w:val="naisf"/>
              <w:spacing w:before="0" w:after="0"/>
              <w:ind w:firstLine="0"/>
              <w:jc w:val="center"/>
              <w:rPr>
                <w:bCs/>
                <w:lang w:val="lv-LV"/>
              </w:rPr>
            </w:pPr>
            <w:r w:rsidRPr="00EB6F6A">
              <w:rPr>
                <w:bCs/>
                <w:lang w:val="lv-LV"/>
              </w:rPr>
              <w:t>5</w:t>
            </w:r>
          </w:p>
        </w:tc>
        <w:tc>
          <w:tcPr>
            <w:tcW w:w="847" w:type="pct"/>
            <w:gridSpan w:val="3"/>
            <w:vAlign w:val="center"/>
          </w:tcPr>
          <w:p w:rsidR="00772140" w:rsidRPr="00EB6F6A" w:rsidRDefault="00772140" w:rsidP="00772140">
            <w:pPr>
              <w:pStyle w:val="naisf"/>
              <w:spacing w:before="0" w:after="0"/>
              <w:ind w:firstLine="0"/>
              <w:jc w:val="center"/>
              <w:rPr>
                <w:bCs/>
                <w:noProof/>
                <w:lang w:val="lv-LV"/>
              </w:rPr>
            </w:pPr>
            <w:r w:rsidRPr="00EB6F6A">
              <w:rPr>
                <w:bCs/>
                <w:noProof/>
                <w:lang w:val="lv-LV"/>
              </w:rPr>
              <w:t>6</w:t>
            </w:r>
          </w:p>
        </w:tc>
      </w:tr>
      <w:tr w:rsidR="00772140"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772140" w:rsidRPr="00EB6F6A" w:rsidRDefault="00772140" w:rsidP="00772140">
            <w:pPr>
              <w:pStyle w:val="naisf"/>
              <w:spacing w:before="0" w:after="0"/>
              <w:ind w:firstLine="0"/>
              <w:jc w:val="left"/>
              <w:rPr>
                <w:b/>
                <w:i/>
                <w:lang w:val="lv-LV"/>
              </w:rPr>
            </w:pPr>
            <w:r w:rsidRPr="00EB6F6A">
              <w:rPr>
                <w:b/>
                <w:lang w:val="lv-LV"/>
              </w:rPr>
              <w:t>1. Budžeta ieņēmumi:</w:t>
            </w:r>
          </w:p>
        </w:tc>
        <w:tc>
          <w:tcPr>
            <w:tcW w:w="727" w:type="pct"/>
            <w:gridSpan w:val="2"/>
            <w:vAlign w:val="center"/>
          </w:tcPr>
          <w:p w:rsidR="00772140" w:rsidRPr="00EB6F6A" w:rsidRDefault="00204A68" w:rsidP="00772140">
            <w:pPr>
              <w:pStyle w:val="BodyText2"/>
              <w:shd w:val="clear" w:color="auto" w:fill="auto"/>
              <w:spacing w:before="0" w:after="0" w:line="240" w:lineRule="auto"/>
              <w:rPr>
                <w:sz w:val="24"/>
                <w:szCs w:val="24"/>
              </w:rPr>
            </w:pPr>
            <w:r w:rsidRPr="00EB6F6A">
              <w:rPr>
                <w:rStyle w:val="Bodytext13ptBold"/>
                <w:color w:val="auto"/>
                <w:sz w:val="24"/>
                <w:szCs w:val="24"/>
              </w:rPr>
              <w:t>3 196 333</w:t>
            </w:r>
          </w:p>
        </w:tc>
        <w:tc>
          <w:tcPr>
            <w:tcW w:w="675" w:type="pct"/>
            <w:vAlign w:val="center"/>
          </w:tcPr>
          <w:p w:rsidR="00772140" w:rsidRPr="00EB6F6A" w:rsidRDefault="00772140" w:rsidP="00772140">
            <w:pPr>
              <w:pStyle w:val="BodyText2"/>
              <w:shd w:val="clear" w:color="auto" w:fill="auto"/>
              <w:spacing w:before="0" w:after="0" w:line="240" w:lineRule="auto"/>
              <w:rPr>
                <w:sz w:val="24"/>
                <w:szCs w:val="24"/>
              </w:rPr>
            </w:pPr>
            <w:r w:rsidRPr="00EB6F6A">
              <w:rPr>
                <w:rStyle w:val="Bodytext13ptBold"/>
                <w:color w:val="auto"/>
                <w:sz w:val="24"/>
                <w:szCs w:val="24"/>
              </w:rPr>
              <w:t>0</w:t>
            </w:r>
          </w:p>
        </w:tc>
        <w:tc>
          <w:tcPr>
            <w:tcW w:w="704" w:type="pct"/>
            <w:vAlign w:val="center"/>
          </w:tcPr>
          <w:p w:rsidR="00772140" w:rsidRPr="00EB6F6A" w:rsidRDefault="00AB4A1B" w:rsidP="00772140">
            <w:pPr>
              <w:pStyle w:val="BodyText2"/>
              <w:shd w:val="clear" w:color="auto" w:fill="auto"/>
              <w:spacing w:before="0" w:after="0" w:line="240" w:lineRule="auto"/>
              <w:rPr>
                <w:b/>
                <w:sz w:val="24"/>
                <w:szCs w:val="24"/>
              </w:rPr>
            </w:pPr>
            <w:r w:rsidRPr="00EB6F6A">
              <w:rPr>
                <w:b/>
                <w:sz w:val="24"/>
                <w:szCs w:val="24"/>
              </w:rPr>
              <w:t>0</w:t>
            </w:r>
          </w:p>
        </w:tc>
        <w:tc>
          <w:tcPr>
            <w:tcW w:w="704" w:type="pct"/>
            <w:vAlign w:val="center"/>
          </w:tcPr>
          <w:p w:rsidR="00772140" w:rsidRPr="00EB6F6A" w:rsidRDefault="00AB4A1B" w:rsidP="00772140">
            <w:pPr>
              <w:pStyle w:val="BodyText2"/>
              <w:shd w:val="clear" w:color="auto" w:fill="auto"/>
              <w:spacing w:before="0" w:after="0" w:line="240" w:lineRule="auto"/>
              <w:rPr>
                <w:b/>
                <w:sz w:val="24"/>
                <w:szCs w:val="24"/>
              </w:rPr>
            </w:pPr>
            <w:r w:rsidRPr="00EB6F6A">
              <w:rPr>
                <w:b/>
                <w:sz w:val="24"/>
                <w:szCs w:val="24"/>
              </w:rPr>
              <w:t>0</w:t>
            </w:r>
          </w:p>
        </w:tc>
        <w:tc>
          <w:tcPr>
            <w:tcW w:w="847" w:type="pct"/>
            <w:gridSpan w:val="3"/>
            <w:vAlign w:val="center"/>
          </w:tcPr>
          <w:p w:rsidR="00772140" w:rsidRPr="00EB6F6A" w:rsidRDefault="00AB4A1B" w:rsidP="00772140">
            <w:pPr>
              <w:pStyle w:val="naisf"/>
              <w:spacing w:before="0" w:after="0"/>
              <w:ind w:firstLine="0"/>
              <w:jc w:val="center"/>
              <w:rPr>
                <w:b/>
                <w:noProof/>
                <w:lang w:val="lv-LV"/>
              </w:rPr>
            </w:pPr>
            <w:r w:rsidRPr="00EB6F6A">
              <w:rPr>
                <w:b/>
                <w:noProof/>
                <w:lang w:val="lv-LV"/>
              </w:rPr>
              <w:t>0</w:t>
            </w:r>
          </w:p>
        </w:tc>
      </w:tr>
      <w:tr w:rsidR="00204A68"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vAlign w:val="center"/>
          </w:tcPr>
          <w:p w:rsidR="00204A68" w:rsidRPr="00EB6F6A" w:rsidRDefault="00204A68" w:rsidP="008C7A63">
            <w:pPr>
              <w:pStyle w:val="naisf"/>
              <w:spacing w:before="0" w:after="0"/>
              <w:ind w:firstLine="0"/>
              <w:jc w:val="left"/>
              <w:rPr>
                <w:i/>
                <w:lang w:val="lv-LV"/>
              </w:rPr>
            </w:pPr>
            <w:r w:rsidRPr="00EB6F6A">
              <w:rPr>
                <w:lang w:val="lv-LV"/>
              </w:rPr>
              <w:t xml:space="preserve">1.1. valsts pamatbudžets, tai skaitā ieņēmumi no maksas pakalpojumiem un citi </w:t>
            </w:r>
            <w:r w:rsidRPr="00EB6F6A">
              <w:rPr>
                <w:lang w:val="lv-LV"/>
              </w:rPr>
              <w:lastRenderedPageBreak/>
              <w:t>pašu ieņēmumi</w:t>
            </w:r>
          </w:p>
        </w:tc>
        <w:tc>
          <w:tcPr>
            <w:tcW w:w="727" w:type="pct"/>
            <w:gridSpan w:val="2"/>
            <w:vAlign w:val="center"/>
          </w:tcPr>
          <w:p w:rsidR="00204A68" w:rsidRPr="00EB6F6A" w:rsidRDefault="00204A68" w:rsidP="00204A68">
            <w:pPr>
              <w:pStyle w:val="Bodytext0"/>
              <w:shd w:val="clear" w:color="auto" w:fill="auto"/>
              <w:spacing w:before="0" w:after="0" w:line="240" w:lineRule="auto"/>
              <w:rPr>
                <w:rStyle w:val="Bodytext13pt"/>
                <w:color w:val="auto"/>
                <w:sz w:val="24"/>
                <w:szCs w:val="24"/>
              </w:rPr>
            </w:pPr>
            <w:r w:rsidRPr="00EB6F6A">
              <w:rPr>
                <w:rStyle w:val="Bodytext13pt"/>
                <w:color w:val="auto"/>
                <w:sz w:val="24"/>
                <w:szCs w:val="24"/>
              </w:rPr>
              <w:lastRenderedPageBreak/>
              <w:t>3</w:t>
            </w:r>
            <w:r w:rsidRPr="00EB6F6A">
              <w:rPr>
                <w:rStyle w:val="Bodytext13pt"/>
                <w:color w:val="auto"/>
                <w:sz w:val="24"/>
                <w:szCs w:val="24"/>
                <w:vertAlign w:val="superscript"/>
              </w:rPr>
              <w:t xml:space="preserve"> </w:t>
            </w:r>
            <w:r w:rsidRPr="00EB6F6A">
              <w:rPr>
                <w:rStyle w:val="Bodytext13pt"/>
                <w:color w:val="auto"/>
                <w:sz w:val="24"/>
                <w:szCs w:val="24"/>
              </w:rPr>
              <w:t>196 333</w:t>
            </w:r>
          </w:p>
          <w:p w:rsidR="00204A68" w:rsidRPr="00EB6F6A" w:rsidRDefault="00204A68" w:rsidP="00204A68">
            <w:pPr>
              <w:pStyle w:val="Bodytext0"/>
              <w:shd w:val="clear" w:color="auto" w:fill="auto"/>
              <w:spacing w:before="0" w:after="0" w:line="240" w:lineRule="auto"/>
              <w:rPr>
                <w:sz w:val="24"/>
                <w:szCs w:val="24"/>
              </w:rPr>
            </w:pPr>
            <w:r w:rsidRPr="00EB6F6A">
              <w:rPr>
                <w:rStyle w:val="Bodytext13pt"/>
                <w:color w:val="auto"/>
                <w:sz w:val="24"/>
                <w:szCs w:val="24"/>
              </w:rPr>
              <w:t>13 715</w:t>
            </w:r>
          </w:p>
        </w:tc>
        <w:tc>
          <w:tcPr>
            <w:tcW w:w="675" w:type="pct"/>
            <w:vAlign w:val="center"/>
          </w:tcPr>
          <w:p w:rsidR="00204A68" w:rsidRPr="00EB6F6A" w:rsidRDefault="00204A68" w:rsidP="00772140">
            <w:pPr>
              <w:spacing w:after="0" w:line="240" w:lineRule="auto"/>
              <w:jc w:val="center"/>
              <w:rPr>
                <w:rFonts w:ascii="Times New Roman" w:hAnsi="Times New Roman" w:cs="Times New Roman"/>
                <w:sz w:val="24"/>
                <w:szCs w:val="24"/>
                <w:lang w:val="lv-LV"/>
              </w:rPr>
            </w:pPr>
          </w:p>
          <w:p w:rsidR="00204A68" w:rsidRPr="00EB6F6A" w:rsidRDefault="00204A68" w:rsidP="00772140">
            <w:pPr>
              <w:spacing w:after="0" w:line="240" w:lineRule="auto"/>
              <w:jc w:val="center"/>
              <w:rPr>
                <w:rFonts w:ascii="Times New Roman" w:hAnsi="Times New Roman" w:cs="Times New Roman"/>
                <w:sz w:val="24"/>
                <w:szCs w:val="24"/>
                <w:lang w:val="lv-LV"/>
              </w:rPr>
            </w:pPr>
            <w:r w:rsidRPr="00EB6F6A">
              <w:rPr>
                <w:rFonts w:ascii="Times New Roman" w:hAnsi="Times New Roman" w:cs="Times New Roman"/>
                <w:sz w:val="24"/>
                <w:szCs w:val="24"/>
                <w:lang w:val="lv-LV"/>
              </w:rPr>
              <w:t>0</w:t>
            </w:r>
          </w:p>
          <w:p w:rsidR="00204A68" w:rsidRPr="00EB6F6A" w:rsidRDefault="00204A68" w:rsidP="00772140">
            <w:pPr>
              <w:spacing w:after="0" w:line="240" w:lineRule="auto"/>
              <w:jc w:val="center"/>
              <w:rPr>
                <w:rFonts w:ascii="Times New Roman" w:hAnsi="Times New Roman" w:cs="Times New Roman"/>
                <w:sz w:val="24"/>
                <w:szCs w:val="24"/>
                <w:lang w:val="lv-LV"/>
              </w:rPr>
            </w:pPr>
          </w:p>
        </w:tc>
        <w:tc>
          <w:tcPr>
            <w:tcW w:w="704" w:type="pct"/>
            <w:vAlign w:val="center"/>
          </w:tcPr>
          <w:p w:rsidR="00204A68" w:rsidRPr="00EB6F6A" w:rsidRDefault="00AB4A1B" w:rsidP="00772140">
            <w:pPr>
              <w:pStyle w:val="BodyText2"/>
              <w:shd w:val="clear" w:color="auto" w:fill="auto"/>
              <w:spacing w:before="0" w:after="0" w:line="240" w:lineRule="auto"/>
              <w:rPr>
                <w:sz w:val="24"/>
                <w:szCs w:val="24"/>
              </w:rPr>
            </w:pPr>
            <w:r w:rsidRPr="00EB6F6A">
              <w:rPr>
                <w:sz w:val="24"/>
                <w:szCs w:val="24"/>
              </w:rPr>
              <w:t>0</w:t>
            </w:r>
          </w:p>
        </w:tc>
        <w:tc>
          <w:tcPr>
            <w:tcW w:w="704" w:type="pct"/>
            <w:vAlign w:val="center"/>
          </w:tcPr>
          <w:p w:rsidR="00204A68" w:rsidRPr="00EB6F6A" w:rsidRDefault="00AB4A1B" w:rsidP="00772140">
            <w:pPr>
              <w:pStyle w:val="BodyText2"/>
              <w:shd w:val="clear" w:color="auto" w:fill="auto"/>
              <w:spacing w:before="0" w:after="0" w:line="240" w:lineRule="auto"/>
              <w:rPr>
                <w:sz w:val="24"/>
                <w:szCs w:val="24"/>
              </w:rPr>
            </w:pPr>
            <w:r w:rsidRPr="00EB6F6A">
              <w:rPr>
                <w:sz w:val="24"/>
                <w:szCs w:val="24"/>
              </w:rPr>
              <w:t>0</w:t>
            </w:r>
          </w:p>
        </w:tc>
        <w:tc>
          <w:tcPr>
            <w:tcW w:w="847" w:type="pct"/>
            <w:gridSpan w:val="3"/>
            <w:vAlign w:val="center"/>
          </w:tcPr>
          <w:p w:rsidR="00204A68" w:rsidRPr="00EB6F6A" w:rsidRDefault="00AB4A1B" w:rsidP="00772140">
            <w:pPr>
              <w:pStyle w:val="naisf"/>
              <w:spacing w:before="0" w:after="0"/>
              <w:ind w:firstLine="0"/>
              <w:jc w:val="center"/>
              <w:rPr>
                <w:noProof/>
                <w:lang w:val="lv-LV"/>
              </w:rPr>
            </w:pPr>
            <w:r w:rsidRPr="00EB6F6A">
              <w:rPr>
                <w:noProof/>
                <w:lang w:val="lv-LV"/>
              </w:rPr>
              <w:t>0</w:t>
            </w:r>
          </w:p>
        </w:tc>
      </w:tr>
      <w:tr w:rsidR="00204A68"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vAlign w:val="center"/>
          </w:tcPr>
          <w:p w:rsidR="00204A68" w:rsidRPr="00EB6F6A" w:rsidRDefault="00204A68" w:rsidP="008C7A63">
            <w:pPr>
              <w:pStyle w:val="naisf"/>
              <w:spacing w:before="0" w:after="0"/>
              <w:ind w:left="411" w:firstLine="0"/>
              <w:jc w:val="left"/>
              <w:rPr>
                <w:lang w:val="lv-LV"/>
              </w:rPr>
            </w:pPr>
            <w:r w:rsidRPr="00EB6F6A">
              <w:rPr>
                <w:lang w:val="lv-LV"/>
              </w:rPr>
              <w:lastRenderedPageBreak/>
              <w:t>VM budžeta apakšprogramma 46.03.00 (SPKC)</w:t>
            </w:r>
          </w:p>
        </w:tc>
        <w:tc>
          <w:tcPr>
            <w:tcW w:w="727" w:type="pct"/>
            <w:gridSpan w:val="2"/>
            <w:vAlign w:val="center"/>
          </w:tcPr>
          <w:p w:rsidR="00204A68" w:rsidRPr="00EB6F6A" w:rsidRDefault="00204A68" w:rsidP="00204A68">
            <w:pPr>
              <w:pStyle w:val="Bodytext0"/>
              <w:shd w:val="clear" w:color="auto" w:fill="auto"/>
              <w:spacing w:before="0" w:after="0" w:line="240" w:lineRule="auto"/>
              <w:rPr>
                <w:rStyle w:val="Bodytext13pt"/>
                <w:color w:val="auto"/>
                <w:sz w:val="24"/>
                <w:szCs w:val="24"/>
              </w:rPr>
            </w:pPr>
            <w:r w:rsidRPr="00EB6F6A">
              <w:rPr>
                <w:rStyle w:val="Bodytext13pt"/>
                <w:color w:val="auto"/>
                <w:sz w:val="24"/>
                <w:szCs w:val="24"/>
              </w:rPr>
              <w:t>3</w:t>
            </w:r>
            <w:r w:rsidRPr="00EB6F6A">
              <w:rPr>
                <w:rStyle w:val="Bodytext13pt"/>
                <w:color w:val="auto"/>
                <w:sz w:val="24"/>
                <w:szCs w:val="24"/>
                <w:vertAlign w:val="superscript"/>
              </w:rPr>
              <w:t xml:space="preserve"> </w:t>
            </w:r>
            <w:r w:rsidRPr="00EB6F6A">
              <w:rPr>
                <w:rStyle w:val="Bodytext13pt"/>
                <w:color w:val="auto"/>
                <w:sz w:val="24"/>
                <w:szCs w:val="24"/>
              </w:rPr>
              <w:t>196 333</w:t>
            </w:r>
          </w:p>
          <w:p w:rsidR="00204A68" w:rsidRPr="00EB6F6A" w:rsidRDefault="00204A68" w:rsidP="00204A68">
            <w:pPr>
              <w:pStyle w:val="Bodytext0"/>
              <w:shd w:val="clear" w:color="auto" w:fill="auto"/>
              <w:spacing w:before="0" w:after="0" w:line="240" w:lineRule="auto"/>
              <w:rPr>
                <w:sz w:val="24"/>
                <w:szCs w:val="24"/>
              </w:rPr>
            </w:pPr>
            <w:r w:rsidRPr="00EB6F6A">
              <w:rPr>
                <w:rStyle w:val="Bodytext13pt"/>
                <w:color w:val="auto"/>
                <w:sz w:val="24"/>
                <w:szCs w:val="24"/>
              </w:rPr>
              <w:t>13 715</w:t>
            </w:r>
          </w:p>
        </w:tc>
        <w:tc>
          <w:tcPr>
            <w:tcW w:w="675" w:type="pct"/>
            <w:vAlign w:val="center"/>
          </w:tcPr>
          <w:p w:rsidR="00204A68" w:rsidRPr="00EB6F6A" w:rsidRDefault="00204A68" w:rsidP="00772140">
            <w:pPr>
              <w:pStyle w:val="BodyText2"/>
              <w:shd w:val="clear" w:color="auto" w:fill="auto"/>
              <w:spacing w:before="0" w:after="0" w:line="240" w:lineRule="auto"/>
              <w:rPr>
                <w:rStyle w:val="Bodytext13pt"/>
                <w:color w:val="auto"/>
                <w:sz w:val="24"/>
                <w:szCs w:val="24"/>
              </w:rPr>
            </w:pPr>
            <w:r w:rsidRPr="00EB6F6A">
              <w:rPr>
                <w:rStyle w:val="Bodytext13pt"/>
                <w:color w:val="auto"/>
                <w:sz w:val="24"/>
                <w:szCs w:val="24"/>
              </w:rPr>
              <w:t>0</w:t>
            </w:r>
          </w:p>
        </w:tc>
        <w:tc>
          <w:tcPr>
            <w:tcW w:w="704" w:type="pct"/>
            <w:vAlign w:val="center"/>
          </w:tcPr>
          <w:p w:rsidR="00204A68" w:rsidRPr="00EB6F6A" w:rsidRDefault="00204A68" w:rsidP="00772140">
            <w:pPr>
              <w:pStyle w:val="BodyText2"/>
              <w:shd w:val="clear" w:color="auto" w:fill="auto"/>
              <w:spacing w:before="0" w:after="0" w:line="240" w:lineRule="auto"/>
              <w:rPr>
                <w:rStyle w:val="Bodytext13pt"/>
                <w:color w:val="auto"/>
                <w:sz w:val="24"/>
                <w:szCs w:val="24"/>
              </w:rPr>
            </w:pPr>
            <w:r w:rsidRPr="00EB6F6A">
              <w:rPr>
                <w:rStyle w:val="Bodytext13pt"/>
                <w:color w:val="auto"/>
                <w:sz w:val="24"/>
                <w:szCs w:val="24"/>
              </w:rPr>
              <w:t>0</w:t>
            </w:r>
          </w:p>
        </w:tc>
        <w:tc>
          <w:tcPr>
            <w:tcW w:w="704" w:type="pct"/>
            <w:vAlign w:val="center"/>
          </w:tcPr>
          <w:p w:rsidR="00204A68" w:rsidRPr="00EB6F6A" w:rsidRDefault="00204A68" w:rsidP="00772140">
            <w:pPr>
              <w:pStyle w:val="BodyText2"/>
              <w:shd w:val="clear" w:color="auto" w:fill="auto"/>
              <w:spacing w:before="0" w:after="0" w:line="240" w:lineRule="auto"/>
              <w:rPr>
                <w:rStyle w:val="Bodytext13pt"/>
                <w:color w:val="auto"/>
                <w:sz w:val="24"/>
                <w:szCs w:val="24"/>
              </w:rPr>
            </w:pPr>
            <w:r w:rsidRPr="00EB6F6A">
              <w:rPr>
                <w:rStyle w:val="Bodytext13pt"/>
                <w:color w:val="auto"/>
                <w:sz w:val="24"/>
                <w:szCs w:val="24"/>
              </w:rPr>
              <w:t>0</w:t>
            </w:r>
          </w:p>
        </w:tc>
        <w:tc>
          <w:tcPr>
            <w:tcW w:w="847" w:type="pct"/>
            <w:gridSpan w:val="3"/>
            <w:vAlign w:val="center"/>
          </w:tcPr>
          <w:p w:rsidR="00204A68" w:rsidRPr="00EB6F6A" w:rsidRDefault="00204A68" w:rsidP="00772140">
            <w:pPr>
              <w:pStyle w:val="naisf"/>
              <w:spacing w:before="0" w:after="0"/>
              <w:ind w:firstLine="0"/>
              <w:jc w:val="center"/>
              <w:rPr>
                <w:noProof/>
                <w:lang w:val="lv-LV"/>
              </w:rPr>
            </w:pPr>
            <w:r w:rsidRPr="00EB6F6A">
              <w:rPr>
                <w:noProof/>
                <w:lang w:val="lv-LV"/>
              </w:rPr>
              <w:t>0</w:t>
            </w:r>
          </w:p>
        </w:tc>
      </w:tr>
      <w:tr w:rsidR="00204A68"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204A68" w:rsidRPr="00EB6F6A" w:rsidRDefault="00204A68" w:rsidP="00772140">
            <w:pPr>
              <w:pStyle w:val="naisf"/>
              <w:spacing w:before="0" w:after="0"/>
              <w:ind w:firstLine="0"/>
              <w:jc w:val="left"/>
              <w:rPr>
                <w:i/>
                <w:lang w:val="lv-LV"/>
              </w:rPr>
            </w:pPr>
            <w:r w:rsidRPr="00EB6F6A">
              <w:rPr>
                <w:lang w:val="lv-LV"/>
              </w:rPr>
              <w:t>1.2. valsts speciālais budžets</w:t>
            </w:r>
          </w:p>
        </w:tc>
        <w:tc>
          <w:tcPr>
            <w:tcW w:w="727" w:type="pct"/>
            <w:gridSpan w:val="2"/>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675"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847" w:type="pct"/>
            <w:gridSpan w:val="3"/>
            <w:vAlign w:val="center"/>
          </w:tcPr>
          <w:p w:rsidR="00204A68" w:rsidRPr="00EB6F6A" w:rsidRDefault="00204A68" w:rsidP="00772140">
            <w:pPr>
              <w:pStyle w:val="naisf"/>
              <w:spacing w:before="0" w:after="0"/>
              <w:ind w:firstLine="0"/>
              <w:jc w:val="center"/>
              <w:rPr>
                <w:noProof/>
                <w:lang w:val="lv-LV"/>
              </w:rPr>
            </w:pPr>
            <w:r w:rsidRPr="00EB6F6A">
              <w:rPr>
                <w:noProof/>
                <w:lang w:val="lv-LV"/>
              </w:rPr>
              <w:t>0</w:t>
            </w:r>
          </w:p>
        </w:tc>
      </w:tr>
      <w:tr w:rsidR="00204A68"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204A68" w:rsidRPr="00EB6F6A" w:rsidRDefault="00204A68" w:rsidP="00772140">
            <w:pPr>
              <w:pStyle w:val="naisf"/>
              <w:spacing w:before="0" w:after="0"/>
              <w:ind w:firstLine="0"/>
              <w:jc w:val="left"/>
              <w:rPr>
                <w:i/>
                <w:lang w:val="lv-LV"/>
              </w:rPr>
            </w:pPr>
            <w:r w:rsidRPr="00EB6F6A">
              <w:rPr>
                <w:lang w:val="lv-LV"/>
              </w:rPr>
              <w:t>1.3. pašvaldību budžets</w:t>
            </w:r>
          </w:p>
        </w:tc>
        <w:tc>
          <w:tcPr>
            <w:tcW w:w="727" w:type="pct"/>
            <w:gridSpan w:val="2"/>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675"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847" w:type="pct"/>
            <w:gridSpan w:val="3"/>
            <w:vAlign w:val="center"/>
          </w:tcPr>
          <w:p w:rsidR="00204A68" w:rsidRPr="00EB6F6A" w:rsidRDefault="00204A68" w:rsidP="00772140">
            <w:pPr>
              <w:pStyle w:val="naisf"/>
              <w:spacing w:before="0" w:after="0"/>
              <w:ind w:firstLine="0"/>
              <w:jc w:val="center"/>
              <w:rPr>
                <w:noProof/>
                <w:lang w:val="lv-LV"/>
              </w:rPr>
            </w:pPr>
            <w:r w:rsidRPr="00EB6F6A">
              <w:rPr>
                <w:noProof/>
                <w:lang w:val="lv-LV"/>
              </w:rPr>
              <w:t>0</w:t>
            </w:r>
          </w:p>
        </w:tc>
      </w:tr>
      <w:tr w:rsidR="00AB4A1B"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AB4A1B" w:rsidRPr="00EB6F6A" w:rsidRDefault="00AB4A1B" w:rsidP="00772140">
            <w:pPr>
              <w:pStyle w:val="NoSpacing"/>
              <w:rPr>
                <w:b/>
                <w:lang w:val="lv-LV"/>
              </w:rPr>
            </w:pPr>
            <w:r w:rsidRPr="00EB6F6A">
              <w:rPr>
                <w:b/>
                <w:lang w:val="lv-LV"/>
              </w:rPr>
              <w:t>2. Budžeta izdevumi:</w:t>
            </w:r>
          </w:p>
        </w:tc>
        <w:tc>
          <w:tcPr>
            <w:tcW w:w="727" w:type="pct"/>
            <w:gridSpan w:val="2"/>
            <w:vAlign w:val="center"/>
          </w:tcPr>
          <w:p w:rsidR="00AB4A1B" w:rsidRPr="00EB6F6A" w:rsidRDefault="00AB4A1B" w:rsidP="00772140">
            <w:pPr>
              <w:pStyle w:val="BodyText2"/>
              <w:shd w:val="clear" w:color="auto" w:fill="auto"/>
              <w:spacing w:before="0" w:after="0" w:line="240" w:lineRule="auto"/>
              <w:rPr>
                <w:b/>
                <w:sz w:val="24"/>
                <w:szCs w:val="24"/>
              </w:rPr>
            </w:pPr>
            <w:r w:rsidRPr="00EB6F6A">
              <w:rPr>
                <w:b/>
                <w:sz w:val="24"/>
                <w:szCs w:val="24"/>
              </w:rPr>
              <w:t>3 196 333</w:t>
            </w:r>
          </w:p>
        </w:tc>
        <w:tc>
          <w:tcPr>
            <w:tcW w:w="675" w:type="pct"/>
            <w:vAlign w:val="center"/>
          </w:tcPr>
          <w:p w:rsidR="00AB4A1B" w:rsidRPr="00EB6F6A" w:rsidRDefault="00AB4A1B" w:rsidP="00772140">
            <w:pPr>
              <w:spacing w:after="0" w:line="240" w:lineRule="auto"/>
              <w:jc w:val="center"/>
              <w:rPr>
                <w:rFonts w:ascii="Times New Roman" w:hAnsi="Times New Roman" w:cs="Times New Roman"/>
                <w:b/>
                <w:sz w:val="24"/>
                <w:szCs w:val="24"/>
                <w:lang w:val="lv-LV"/>
              </w:rPr>
            </w:pPr>
            <w:r w:rsidRPr="00EB6F6A">
              <w:rPr>
                <w:rFonts w:ascii="Times New Roman" w:hAnsi="Times New Roman" w:cs="Times New Roman"/>
                <w:b/>
                <w:sz w:val="24"/>
                <w:szCs w:val="24"/>
                <w:lang w:val="lv-LV"/>
              </w:rPr>
              <w:t>0</w:t>
            </w:r>
          </w:p>
        </w:tc>
        <w:tc>
          <w:tcPr>
            <w:tcW w:w="704" w:type="pct"/>
            <w:vAlign w:val="center"/>
          </w:tcPr>
          <w:p w:rsidR="00AB4A1B" w:rsidRPr="00EB6F6A" w:rsidRDefault="00AB4A1B" w:rsidP="00AB4A1B">
            <w:pPr>
              <w:pStyle w:val="BodyText2"/>
              <w:shd w:val="clear" w:color="auto" w:fill="auto"/>
              <w:spacing w:before="0" w:after="0" w:line="240" w:lineRule="auto"/>
              <w:rPr>
                <w:b/>
                <w:sz w:val="24"/>
                <w:szCs w:val="24"/>
              </w:rPr>
            </w:pPr>
            <w:r w:rsidRPr="00EB6F6A">
              <w:rPr>
                <w:b/>
                <w:sz w:val="24"/>
                <w:szCs w:val="24"/>
              </w:rPr>
              <w:t>39 616</w:t>
            </w:r>
          </w:p>
        </w:tc>
        <w:tc>
          <w:tcPr>
            <w:tcW w:w="704" w:type="pct"/>
            <w:vAlign w:val="center"/>
          </w:tcPr>
          <w:p w:rsidR="00AB4A1B" w:rsidRPr="00EB6F6A" w:rsidRDefault="00AB4A1B" w:rsidP="00772140">
            <w:pPr>
              <w:pStyle w:val="BodyText2"/>
              <w:shd w:val="clear" w:color="auto" w:fill="auto"/>
              <w:spacing w:before="0" w:after="0" w:line="240" w:lineRule="auto"/>
              <w:rPr>
                <w:b/>
                <w:sz w:val="24"/>
                <w:szCs w:val="24"/>
              </w:rPr>
            </w:pPr>
            <w:r w:rsidRPr="00EB6F6A">
              <w:rPr>
                <w:b/>
                <w:sz w:val="24"/>
                <w:szCs w:val="24"/>
              </w:rPr>
              <w:t>39 616</w:t>
            </w:r>
          </w:p>
        </w:tc>
        <w:tc>
          <w:tcPr>
            <w:tcW w:w="847" w:type="pct"/>
            <w:gridSpan w:val="3"/>
            <w:vAlign w:val="center"/>
          </w:tcPr>
          <w:p w:rsidR="00AB4A1B" w:rsidRPr="00EB6F6A" w:rsidRDefault="00AB4A1B" w:rsidP="00772140">
            <w:pPr>
              <w:pStyle w:val="BodyText2"/>
              <w:shd w:val="clear" w:color="auto" w:fill="auto"/>
              <w:spacing w:before="0" w:after="0" w:line="240" w:lineRule="auto"/>
              <w:rPr>
                <w:b/>
                <w:noProof/>
                <w:sz w:val="24"/>
                <w:szCs w:val="24"/>
              </w:rPr>
            </w:pPr>
            <w:r w:rsidRPr="00EB6F6A">
              <w:rPr>
                <w:b/>
                <w:noProof/>
                <w:sz w:val="24"/>
                <w:szCs w:val="24"/>
              </w:rPr>
              <w:t>39 616</w:t>
            </w:r>
          </w:p>
        </w:tc>
      </w:tr>
      <w:tr w:rsidR="00AB4A1B"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AB4A1B" w:rsidRPr="00EB6F6A" w:rsidRDefault="00AB4A1B" w:rsidP="00772140">
            <w:pPr>
              <w:pStyle w:val="NoSpacing"/>
              <w:rPr>
                <w:lang w:val="lv-LV"/>
              </w:rPr>
            </w:pPr>
            <w:r w:rsidRPr="00EB6F6A">
              <w:rPr>
                <w:lang w:val="lv-LV"/>
              </w:rPr>
              <w:t>2.1. valsts pamatbudžets</w:t>
            </w:r>
          </w:p>
        </w:tc>
        <w:tc>
          <w:tcPr>
            <w:tcW w:w="727" w:type="pct"/>
            <w:gridSpan w:val="2"/>
            <w:vAlign w:val="center"/>
          </w:tcPr>
          <w:p w:rsidR="00AB4A1B" w:rsidRPr="00EB6F6A" w:rsidRDefault="00AB4A1B" w:rsidP="00772140">
            <w:pPr>
              <w:pStyle w:val="BodyText2"/>
              <w:shd w:val="clear" w:color="auto" w:fill="auto"/>
              <w:spacing w:before="0" w:after="0" w:line="240" w:lineRule="auto"/>
              <w:rPr>
                <w:sz w:val="24"/>
                <w:szCs w:val="24"/>
              </w:rPr>
            </w:pPr>
            <w:r w:rsidRPr="00EB6F6A">
              <w:rPr>
                <w:sz w:val="24"/>
                <w:szCs w:val="24"/>
              </w:rPr>
              <w:t>3 196 333</w:t>
            </w:r>
          </w:p>
        </w:tc>
        <w:tc>
          <w:tcPr>
            <w:tcW w:w="675" w:type="pct"/>
            <w:vAlign w:val="center"/>
          </w:tcPr>
          <w:p w:rsidR="00AB4A1B" w:rsidRPr="00EB6F6A" w:rsidRDefault="00AB4A1B" w:rsidP="00772140">
            <w:pPr>
              <w:spacing w:after="0" w:line="240" w:lineRule="auto"/>
              <w:jc w:val="center"/>
              <w:rPr>
                <w:rFonts w:ascii="Times New Roman" w:hAnsi="Times New Roman" w:cs="Times New Roman"/>
                <w:sz w:val="24"/>
                <w:szCs w:val="24"/>
                <w:lang w:val="lv-LV"/>
              </w:rPr>
            </w:pPr>
            <w:r w:rsidRPr="00EB6F6A">
              <w:rPr>
                <w:rFonts w:ascii="Times New Roman" w:hAnsi="Times New Roman" w:cs="Times New Roman"/>
                <w:sz w:val="24"/>
                <w:szCs w:val="24"/>
                <w:lang w:val="lv-LV"/>
              </w:rPr>
              <w:t>0</w:t>
            </w:r>
          </w:p>
        </w:tc>
        <w:tc>
          <w:tcPr>
            <w:tcW w:w="704" w:type="pct"/>
            <w:vAlign w:val="center"/>
          </w:tcPr>
          <w:p w:rsidR="00AB4A1B" w:rsidRPr="00EB6F6A" w:rsidRDefault="00AB4A1B" w:rsidP="00AB4A1B">
            <w:pPr>
              <w:pStyle w:val="BodyText2"/>
              <w:shd w:val="clear" w:color="auto" w:fill="auto"/>
              <w:spacing w:before="0" w:after="0" w:line="240" w:lineRule="auto"/>
              <w:rPr>
                <w:sz w:val="24"/>
                <w:szCs w:val="24"/>
              </w:rPr>
            </w:pPr>
            <w:r w:rsidRPr="00EB6F6A">
              <w:rPr>
                <w:sz w:val="24"/>
                <w:szCs w:val="24"/>
              </w:rPr>
              <w:t>39 616</w:t>
            </w:r>
          </w:p>
        </w:tc>
        <w:tc>
          <w:tcPr>
            <w:tcW w:w="704" w:type="pct"/>
            <w:vAlign w:val="center"/>
          </w:tcPr>
          <w:p w:rsidR="00AB4A1B" w:rsidRPr="00EB6F6A" w:rsidRDefault="00AB4A1B" w:rsidP="00772140">
            <w:pPr>
              <w:pStyle w:val="BodyText2"/>
              <w:shd w:val="clear" w:color="auto" w:fill="auto"/>
              <w:spacing w:before="0" w:after="0" w:line="240" w:lineRule="auto"/>
              <w:rPr>
                <w:sz w:val="24"/>
                <w:szCs w:val="24"/>
              </w:rPr>
            </w:pPr>
            <w:r w:rsidRPr="00EB6F6A">
              <w:rPr>
                <w:sz w:val="24"/>
                <w:szCs w:val="24"/>
              </w:rPr>
              <w:t>39 616</w:t>
            </w:r>
          </w:p>
        </w:tc>
        <w:tc>
          <w:tcPr>
            <w:tcW w:w="847" w:type="pct"/>
            <w:gridSpan w:val="3"/>
            <w:vAlign w:val="center"/>
          </w:tcPr>
          <w:p w:rsidR="00AB4A1B" w:rsidRPr="00EB6F6A" w:rsidRDefault="00AB4A1B" w:rsidP="00772140">
            <w:pPr>
              <w:pStyle w:val="BodyText2"/>
              <w:shd w:val="clear" w:color="auto" w:fill="auto"/>
              <w:spacing w:before="0" w:after="0" w:line="240" w:lineRule="auto"/>
              <w:rPr>
                <w:noProof/>
                <w:sz w:val="24"/>
                <w:szCs w:val="24"/>
              </w:rPr>
            </w:pPr>
            <w:r w:rsidRPr="00EB6F6A">
              <w:rPr>
                <w:noProof/>
                <w:sz w:val="24"/>
                <w:szCs w:val="24"/>
              </w:rPr>
              <w:t>39 616</w:t>
            </w:r>
          </w:p>
        </w:tc>
      </w:tr>
      <w:tr w:rsidR="00AB4A1B"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AB4A1B" w:rsidRPr="00EB6F6A" w:rsidRDefault="00AB4A1B" w:rsidP="008C7A63">
            <w:pPr>
              <w:pStyle w:val="NoSpacing"/>
              <w:ind w:left="410"/>
              <w:rPr>
                <w:lang w:val="lv-LV"/>
              </w:rPr>
            </w:pPr>
            <w:r w:rsidRPr="00EB6F6A">
              <w:rPr>
                <w:lang w:val="lv-LV"/>
              </w:rPr>
              <w:t>VM budžeta apakšprogramma 46.03.00 (SPKC)</w:t>
            </w:r>
          </w:p>
        </w:tc>
        <w:tc>
          <w:tcPr>
            <w:tcW w:w="727" w:type="pct"/>
            <w:gridSpan w:val="2"/>
            <w:vAlign w:val="center"/>
          </w:tcPr>
          <w:p w:rsidR="00AB4A1B" w:rsidRPr="00EB6F6A" w:rsidRDefault="00AB4A1B" w:rsidP="00772140">
            <w:pPr>
              <w:pStyle w:val="BodyText2"/>
              <w:shd w:val="clear" w:color="auto" w:fill="auto"/>
              <w:spacing w:before="0" w:after="0" w:line="240" w:lineRule="auto"/>
              <w:rPr>
                <w:rStyle w:val="Bodytext13pt"/>
                <w:color w:val="auto"/>
                <w:sz w:val="24"/>
                <w:szCs w:val="24"/>
              </w:rPr>
            </w:pPr>
            <w:r w:rsidRPr="00EB6F6A">
              <w:rPr>
                <w:rStyle w:val="Bodytext13pt"/>
                <w:color w:val="auto"/>
                <w:sz w:val="24"/>
                <w:szCs w:val="24"/>
              </w:rPr>
              <w:t>3 196 333</w:t>
            </w:r>
          </w:p>
        </w:tc>
        <w:tc>
          <w:tcPr>
            <w:tcW w:w="675" w:type="pct"/>
            <w:vAlign w:val="center"/>
          </w:tcPr>
          <w:p w:rsidR="00AB4A1B" w:rsidRPr="00EB6F6A" w:rsidRDefault="00AB4A1B" w:rsidP="00772140">
            <w:pPr>
              <w:pStyle w:val="BodyText2"/>
              <w:shd w:val="clear" w:color="auto" w:fill="auto"/>
              <w:spacing w:before="0" w:after="0" w:line="240" w:lineRule="auto"/>
              <w:rPr>
                <w:rStyle w:val="Bodytext13pt"/>
                <w:color w:val="auto"/>
                <w:sz w:val="24"/>
                <w:szCs w:val="24"/>
              </w:rPr>
            </w:pPr>
            <w:r w:rsidRPr="00EB6F6A">
              <w:rPr>
                <w:rStyle w:val="Bodytext13pt"/>
                <w:color w:val="auto"/>
                <w:sz w:val="24"/>
                <w:szCs w:val="24"/>
              </w:rPr>
              <w:t>0</w:t>
            </w:r>
          </w:p>
        </w:tc>
        <w:tc>
          <w:tcPr>
            <w:tcW w:w="704" w:type="pct"/>
            <w:vAlign w:val="center"/>
          </w:tcPr>
          <w:p w:rsidR="00AB4A1B" w:rsidRPr="00EB6F6A" w:rsidRDefault="00AB4A1B" w:rsidP="00AB4A1B">
            <w:pPr>
              <w:pStyle w:val="BodyText2"/>
              <w:shd w:val="clear" w:color="auto" w:fill="auto"/>
              <w:spacing w:before="0" w:after="0" w:line="240" w:lineRule="auto"/>
              <w:rPr>
                <w:sz w:val="24"/>
                <w:szCs w:val="24"/>
              </w:rPr>
            </w:pPr>
            <w:r w:rsidRPr="00EB6F6A">
              <w:rPr>
                <w:rStyle w:val="Bodytext13pt"/>
                <w:color w:val="auto"/>
                <w:sz w:val="24"/>
                <w:szCs w:val="24"/>
              </w:rPr>
              <w:t>39 616</w:t>
            </w:r>
          </w:p>
        </w:tc>
        <w:tc>
          <w:tcPr>
            <w:tcW w:w="704" w:type="pct"/>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39 616</w:t>
            </w:r>
          </w:p>
        </w:tc>
        <w:tc>
          <w:tcPr>
            <w:tcW w:w="847" w:type="pct"/>
            <w:gridSpan w:val="3"/>
            <w:vAlign w:val="center"/>
          </w:tcPr>
          <w:p w:rsidR="00AB4A1B" w:rsidRPr="00EB6F6A" w:rsidRDefault="00AB4A1B" w:rsidP="00772140">
            <w:pPr>
              <w:pStyle w:val="BodyText2"/>
              <w:shd w:val="clear" w:color="auto" w:fill="auto"/>
              <w:spacing w:before="0" w:after="0" w:line="240" w:lineRule="auto"/>
              <w:rPr>
                <w:noProof/>
                <w:sz w:val="24"/>
                <w:szCs w:val="24"/>
              </w:rPr>
            </w:pPr>
            <w:r w:rsidRPr="00EB6F6A">
              <w:rPr>
                <w:rStyle w:val="Bodytext13pt"/>
                <w:noProof/>
                <w:color w:val="auto"/>
                <w:sz w:val="24"/>
                <w:szCs w:val="24"/>
              </w:rPr>
              <w:t>39 616</w:t>
            </w:r>
          </w:p>
        </w:tc>
      </w:tr>
      <w:tr w:rsidR="00AB4A1B"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AB4A1B" w:rsidRPr="00EB6F6A" w:rsidRDefault="00AB4A1B" w:rsidP="00772140">
            <w:pPr>
              <w:pStyle w:val="NoSpacing"/>
              <w:rPr>
                <w:lang w:val="lv-LV"/>
              </w:rPr>
            </w:pPr>
            <w:r w:rsidRPr="00EB6F6A">
              <w:rPr>
                <w:lang w:val="lv-LV"/>
              </w:rPr>
              <w:t>2.2. valsts speciālais budžets</w:t>
            </w:r>
          </w:p>
        </w:tc>
        <w:tc>
          <w:tcPr>
            <w:tcW w:w="727" w:type="pct"/>
            <w:gridSpan w:val="2"/>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675" w:type="pct"/>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AB4A1B" w:rsidRPr="00EB6F6A" w:rsidRDefault="00AB4A1B" w:rsidP="00AB4A1B">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847" w:type="pct"/>
            <w:gridSpan w:val="3"/>
            <w:vAlign w:val="center"/>
          </w:tcPr>
          <w:p w:rsidR="00AB4A1B" w:rsidRPr="00EB6F6A" w:rsidRDefault="00AB4A1B" w:rsidP="00772140">
            <w:pPr>
              <w:pStyle w:val="BodyText2"/>
              <w:shd w:val="clear" w:color="auto" w:fill="auto"/>
              <w:spacing w:before="0" w:after="0" w:line="240" w:lineRule="auto"/>
              <w:rPr>
                <w:noProof/>
                <w:sz w:val="24"/>
                <w:szCs w:val="24"/>
              </w:rPr>
            </w:pPr>
            <w:r w:rsidRPr="00EB6F6A">
              <w:rPr>
                <w:rStyle w:val="Bodytext13pt"/>
                <w:noProof/>
                <w:color w:val="auto"/>
                <w:sz w:val="24"/>
                <w:szCs w:val="24"/>
              </w:rPr>
              <w:t>0</w:t>
            </w:r>
          </w:p>
        </w:tc>
      </w:tr>
      <w:tr w:rsidR="00AB4A1B"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AB4A1B" w:rsidRPr="00EB6F6A" w:rsidRDefault="00AB4A1B" w:rsidP="00772140">
            <w:pPr>
              <w:pStyle w:val="NoSpacing"/>
              <w:rPr>
                <w:lang w:val="lv-LV"/>
              </w:rPr>
            </w:pPr>
            <w:r w:rsidRPr="00EB6F6A">
              <w:rPr>
                <w:lang w:val="lv-LV"/>
              </w:rPr>
              <w:t xml:space="preserve">2.3. pašvaldību budžets </w:t>
            </w:r>
          </w:p>
        </w:tc>
        <w:tc>
          <w:tcPr>
            <w:tcW w:w="727" w:type="pct"/>
            <w:gridSpan w:val="2"/>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675" w:type="pct"/>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AB4A1B" w:rsidRPr="00EB6F6A" w:rsidRDefault="00AB4A1B" w:rsidP="00AB4A1B">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847" w:type="pct"/>
            <w:gridSpan w:val="3"/>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r>
      <w:tr w:rsidR="00AB4A1B"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AB4A1B" w:rsidRPr="00EB6F6A" w:rsidRDefault="00AB4A1B" w:rsidP="00772140">
            <w:pPr>
              <w:pStyle w:val="NoSpacing"/>
              <w:rPr>
                <w:b/>
                <w:lang w:val="lv-LV"/>
              </w:rPr>
            </w:pPr>
            <w:r w:rsidRPr="00EB6F6A">
              <w:rPr>
                <w:b/>
                <w:lang w:val="lv-LV"/>
              </w:rPr>
              <w:t>3. Finansiālā ietekme:</w:t>
            </w:r>
          </w:p>
        </w:tc>
        <w:tc>
          <w:tcPr>
            <w:tcW w:w="727" w:type="pct"/>
            <w:gridSpan w:val="2"/>
            <w:shd w:val="clear" w:color="auto" w:fill="auto"/>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Bold"/>
                <w:color w:val="auto"/>
                <w:sz w:val="24"/>
                <w:szCs w:val="24"/>
              </w:rPr>
              <w:t>0</w:t>
            </w:r>
          </w:p>
        </w:tc>
        <w:tc>
          <w:tcPr>
            <w:tcW w:w="675" w:type="pct"/>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Bold"/>
                <w:color w:val="auto"/>
                <w:sz w:val="24"/>
                <w:szCs w:val="24"/>
              </w:rPr>
              <w:t>0</w:t>
            </w:r>
          </w:p>
        </w:tc>
        <w:tc>
          <w:tcPr>
            <w:tcW w:w="704" w:type="pct"/>
            <w:vAlign w:val="center"/>
          </w:tcPr>
          <w:p w:rsidR="00AB4A1B" w:rsidRPr="00EB6F6A" w:rsidRDefault="00AB4A1B" w:rsidP="00AB4A1B">
            <w:pPr>
              <w:pStyle w:val="BodyText2"/>
              <w:shd w:val="clear" w:color="auto" w:fill="auto"/>
              <w:spacing w:before="0" w:after="0" w:line="240" w:lineRule="auto"/>
              <w:rPr>
                <w:sz w:val="24"/>
                <w:szCs w:val="24"/>
              </w:rPr>
            </w:pPr>
            <w:r w:rsidRPr="00EB6F6A">
              <w:rPr>
                <w:rStyle w:val="Bodytext13ptBold"/>
                <w:color w:val="auto"/>
                <w:sz w:val="24"/>
                <w:szCs w:val="24"/>
              </w:rPr>
              <w:t>-39 616</w:t>
            </w:r>
          </w:p>
        </w:tc>
        <w:tc>
          <w:tcPr>
            <w:tcW w:w="704" w:type="pct"/>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Bold"/>
                <w:color w:val="auto"/>
                <w:sz w:val="24"/>
                <w:szCs w:val="24"/>
              </w:rPr>
              <w:t>-39 616</w:t>
            </w:r>
          </w:p>
        </w:tc>
        <w:tc>
          <w:tcPr>
            <w:tcW w:w="847" w:type="pct"/>
            <w:gridSpan w:val="3"/>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Bold"/>
                <w:color w:val="auto"/>
                <w:sz w:val="24"/>
                <w:szCs w:val="24"/>
              </w:rPr>
              <w:t>-39 616</w:t>
            </w:r>
          </w:p>
        </w:tc>
      </w:tr>
      <w:tr w:rsidR="00AB4A1B"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AB4A1B" w:rsidRPr="00EB6F6A" w:rsidRDefault="00AB4A1B" w:rsidP="00772140">
            <w:pPr>
              <w:pStyle w:val="NoSpacing"/>
              <w:rPr>
                <w:lang w:val="lv-LV"/>
              </w:rPr>
            </w:pPr>
            <w:r w:rsidRPr="00EB6F6A">
              <w:rPr>
                <w:lang w:val="lv-LV"/>
              </w:rPr>
              <w:t>3.1. valsts pamatbudžets</w:t>
            </w:r>
          </w:p>
        </w:tc>
        <w:tc>
          <w:tcPr>
            <w:tcW w:w="727" w:type="pct"/>
            <w:gridSpan w:val="2"/>
            <w:shd w:val="clear" w:color="auto" w:fill="auto"/>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675" w:type="pct"/>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AB4A1B" w:rsidRPr="00EB6F6A" w:rsidRDefault="00AB4A1B" w:rsidP="00AB4A1B">
            <w:pPr>
              <w:pStyle w:val="BodyText2"/>
              <w:shd w:val="clear" w:color="auto" w:fill="auto"/>
              <w:spacing w:before="0" w:after="0" w:line="240" w:lineRule="auto"/>
              <w:rPr>
                <w:sz w:val="24"/>
                <w:szCs w:val="24"/>
              </w:rPr>
            </w:pPr>
            <w:r w:rsidRPr="00EB6F6A">
              <w:rPr>
                <w:rStyle w:val="Bodytext13pt"/>
                <w:color w:val="auto"/>
                <w:sz w:val="24"/>
                <w:szCs w:val="24"/>
              </w:rPr>
              <w:t>-39 616</w:t>
            </w:r>
          </w:p>
        </w:tc>
        <w:tc>
          <w:tcPr>
            <w:tcW w:w="704" w:type="pct"/>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-39 616</w:t>
            </w:r>
          </w:p>
        </w:tc>
        <w:tc>
          <w:tcPr>
            <w:tcW w:w="847" w:type="pct"/>
            <w:gridSpan w:val="3"/>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
                <w:color w:val="auto"/>
                <w:sz w:val="24"/>
                <w:szCs w:val="24"/>
              </w:rPr>
              <w:t>-39 616</w:t>
            </w:r>
          </w:p>
        </w:tc>
      </w:tr>
      <w:tr w:rsidR="00AB4A1B"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AB4A1B" w:rsidRPr="00EB6F6A" w:rsidRDefault="00AB4A1B" w:rsidP="008C7A63">
            <w:pPr>
              <w:pStyle w:val="NoSpacing"/>
              <w:ind w:left="408"/>
              <w:rPr>
                <w:lang w:val="lv-LV"/>
              </w:rPr>
            </w:pPr>
            <w:r w:rsidRPr="00EB6F6A">
              <w:rPr>
                <w:lang w:val="lv-LV"/>
              </w:rPr>
              <w:t>VM budžeta apakšprogramma 46.03.00 (SPKC)</w:t>
            </w:r>
          </w:p>
        </w:tc>
        <w:tc>
          <w:tcPr>
            <w:tcW w:w="727" w:type="pct"/>
            <w:gridSpan w:val="2"/>
            <w:shd w:val="clear" w:color="auto" w:fill="auto"/>
            <w:vAlign w:val="center"/>
          </w:tcPr>
          <w:p w:rsidR="00AB4A1B" w:rsidRPr="00EB6F6A" w:rsidRDefault="00AB4A1B" w:rsidP="00772140">
            <w:pPr>
              <w:pStyle w:val="BodyText2"/>
              <w:shd w:val="clear" w:color="auto" w:fill="auto"/>
              <w:spacing w:before="0" w:after="0" w:line="240" w:lineRule="auto"/>
              <w:rPr>
                <w:rStyle w:val="Bodytext13pt"/>
                <w:color w:val="auto"/>
                <w:sz w:val="24"/>
                <w:szCs w:val="24"/>
              </w:rPr>
            </w:pPr>
            <w:r w:rsidRPr="00EB6F6A">
              <w:rPr>
                <w:rStyle w:val="Bodytext13pt"/>
                <w:color w:val="auto"/>
                <w:sz w:val="24"/>
                <w:szCs w:val="24"/>
              </w:rPr>
              <w:t>0</w:t>
            </w:r>
          </w:p>
        </w:tc>
        <w:tc>
          <w:tcPr>
            <w:tcW w:w="675" w:type="pct"/>
            <w:vAlign w:val="center"/>
          </w:tcPr>
          <w:p w:rsidR="00AB4A1B" w:rsidRPr="00EB6F6A" w:rsidRDefault="00AB4A1B" w:rsidP="00772140">
            <w:pPr>
              <w:pStyle w:val="BodyText2"/>
              <w:shd w:val="clear" w:color="auto" w:fill="auto"/>
              <w:spacing w:before="0" w:after="0" w:line="240" w:lineRule="auto"/>
              <w:rPr>
                <w:rStyle w:val="Bodytext13pt"/>
                <w:color w:val="auto"/>
                <w:sz w:val="24"/>
                <w:szCs w:val="24"/>
              </w:rPr>
            </w:pPr>
            <w:r w:rsidRPr="00EB6F6A">
              <w:rPr>
                <w:rStyle w:val="Bodytext13pt"/>
                <w:color w:val="auto"/>
                <w:sz w:val="24"/>
                <w:szCs w:val="24"/>
              </w:rPr>
              <w:t>0</w:t>
            </w:r>
          </w:p>
        </w:tc>
        <w:tc>
          <w:tcPr>
            <w:tcW w:w="704" w:type="pct"/>
            <w:vAlign w:val="center"/>
          </w:tcPr>
          <w:p w:rsidR="00AB4A1B" w:rsidRPr="00EB6F6A" w:rsidRDefault="00AB4A1B" w:rsidP="00AB4A1B">
            <w:pPr>
              <w:pStyle w:val="BodyText2"/>
              <w:shd w:val="clear" w:color="auto" w:fill="auto"/>
              <w:spacing w:before="0" w:after="0" w:line="240" w:lineRule="auto"/>
              <w:rPr>
                <w:rStyle w:val="Bodytext13pt"/>
                <w:color w:val="auto"/>
                <w:sz w:val="24"/>
                <w:szCs w:val="24"/>
              </w:rPr>
            </w:pPr>
            <w:r w:rsidRPr="00EB6F6A">
              <w:rPr>
                <w:rStyle w:val="Bodytext13pt"/>
                <w:color w:val="auto"/>
                <w:sz w:val="24"/>
                <w:szCs w:val="24"/>
              </w:rPr>
              <w:t>-39 616</w:t>
            </w:r>
          </w:p>
        </w:tc>
        <w:tc>
          <w:tcPr>
            <w:tcW w:w="704" w:type="pct"/>
            <w:vAlign w:val="center"/>
          </w:tcPr>
          <w:p w:rsidR="00AB4A1B" w:rsidRPr="00EB6F6A" w:rsidRDefault="00AB4A1B" w:rsidP="00772140">
            <w:pPr>
              <w:pStyle w:val="BodyText2"/>
              <w:shd w:val="clear" w:color="auto" w:fill="auto"/>
              <w:spacing w:before="0" w:after="0" w:line="240" w:lineRule="auto"/>
              <w:rPr>
                <w:rStyle w:val="Bodytext13pt"/>
                <w:color w:val="auto"/>
                <w:sz w:val="24"/>
                <w:szCs w:val="24"/>
              </w:rPr>
            </w:pPr>
            <w:r w:rsidRPr="00EB6F6A">
              <w:rPr>
                <w:rStyle w:val="Bodytext13pt"/>
                <w:color w:val="auto"/>
                <w:sz w:val="24"/>
                <w:szCs w:val="24"/>
              </w:rPr>
              <w:t>-39 616</w:t>
            </w:r>
          </w:p>
        </w:tc>
        <w:tc>
          <w:tcPr>
            <w:tcW w:w="847" w:type="pct"/>
            <w:gridSpan w:val="3"/>
            <w:vAlign w:val="center"/>
          </w:tcPr>
          <w:p w:rsidR="00AB4A1B" w:rsidRPr="00EB6F6A" w:rsidRDefault="00AB4A1B" w:rsidP="00772140">
            <w:pPr>
              <w:pStyle w:val="BodyText2"/>
              <w:shd w:val="clear" w:color="auto" w:fill="auto"/>
              <w:spacing w:before="0" w:after="0" w:line="240" w:lineRule="auto"/>
              <w:rPr>
                <w:rStyle w:val="Bodytext13pt"/>
                <w:color w:val="auto"/>
                <w:sz w:val="24"/>
                <w:szCs w:val="24"/>
              </w:rPr>
            </w:pPr>
            <w:r w:rsidRPr="00EB6F6A">
              <w:rPr>
                <w:rStyle w:val="Bodytext13pt"/>
                <w:color w:val="auto"/>
                <w:sz w:val="24"/>
                <w:szCs w:val="24"/>
              </w:rPr>
              <w:t>-39 616</w:t>
            </w:r>
          </w:p>
        </w:tc>
      </w:tr>
      <w:tr w:rsidR="00204A68"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204A68" w:rsidRPr="00EB6F6A" w:rsidRDefault="00204A68" w:rsidP="00772140">
            <w:pPr>
              <w:pStyle w:val="NoSpacing"/>
              <w:rPr>
                <w:lang w:val="lv-LV"/>
              </w:rPr>
            </w:pPr>
            <w:r w:rsidRPr="00EB6F6A">
              <w:rPr>
                <w:lang w:val="lv-LV"/>
              </w:rPr>
              <w:t>3.2. speciālais budžets</w:t>
            </w:r>
          </w:p>
        </w:tc>
        <w:tc>
          <w:tcPr>
            <w:tcW w:w="727" w:type="pct"/>
            <w:gridSpan w:val="2"/>
            <w:shd w:val="clear" w:color="auto" w:fill="auto"/>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675"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847" w:type="pct"/>
            <w:gridSpan w:val="3"/>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r>
      <w:tr w:rsidR="00204A68"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204A68" w:rsidRPr="00EB6F6A" w:rsidRDefault="00204A68" w:rsidP="00772140">
            <w:pPr>
              <w:pStyle w:val="NoSpacing"/>
              <w:rPr>
                <w:lang w:val="lv-LV"/>
              </w:rPr>
            </w:pPr>
            <w:r w:rsidRPr="00EB6F6A">
              <w:rPr>
                <w:lang w:val="lv-LV"/>
              </w:rPr>
              <w:t xml:space="preserve">3.3. pašvaldību budžets </w:t>
            </w:r>
          </w:p>
        </w:tc>
        <w:tc>
          <w:tcPr>
            <w:tcW w:w="727" w:type="pct"/>
            <w:gridSpan w:val="2"/>
            <w:shd w:val="clear" w:color="auto" w:fill="auto"/>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675"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704" w:type="pct"/>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c>
          <w:tcPr>
            <w:tcW w:w="847" w:type="pct"/>
            <w:gridSpan w:val="3"/>
            <w:vAlign w:val="center"/>
          </w:tcPr>
          <w:p w:rsidR="00204A68" w:rsidRPr="00EB6F6A" w:rsidRDefault="00204A68" w:rsidP="00772140">
            <w:pPr>
              <w:pStyle w:val="BodyText2"/>
              <w:shd w:val="clear" w:color="auto" w:fill="auto"/>
              <w:spacing w:before="0" w:after="0" w:line="240" w:lineRule="auto"/>
              <w:rPr>
                <w:sz w:val="24"/>
                <w:szCs w:val="24"/>
              </w:rPr>
            </w:pPr>
            <w:r w:rsidRPr="00EB6F6A">
              <w:rPr>
                <w:rStyle w:val="Bodytext13pt"/>
                <w:color w:val="auto"/>
                <w:sz w:val="24"/>
                <w:szCs w:val="24"/>
              </w:rPr>
              <w:t>0</w:t>
            </w:r>
          </w:p>
        </w:tc>
      </w:tr>
      <w:tr w:rsidR="00204A68"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204A68" w:rsidRPr="00EB6F6A" w:rsidRDefault="00204A68" w:rsidP="00772140">
            <w:pPr>
              <w:pStyle w:val="NoSpacing"/>
              <w:rPr>
                <w:lang w:val="lv-LV"/>
              </w:rPr>
            </w:pPr>
            <w:r w:rsidRPr="00EB6F6A">
              <w:rPr>
                <w:b/>
                <w:lang w:val="lv-LV"/>
              </w:rPr>
              <w:t>4. Finanšu līdzekļi papildu izde</w:t>
            </w:r>
            <w:r w:rsidRPr="00EB6F6A">
              <w:rPr>
                <w:b/>
                <w:lang w:val="lv-LV"/>
              </w:rPr>
              <w:softHyphen/>
              <w:t>vumu finansēšanai</w:t>
            </w:r>
            <w:r w:rsidRPr="00EB6F6A">
              <w:rPr>
                <w:lang w:val="lv-LV"/>
              </w:rPr>
              <w:t xml:space="preserve"> (kompensējošu izdevumu samazinājumu norāda ar "+" zīmi)</w:t>
            </w:r>
          </w:p>
        </w:tc>
        <w:tc>
          <w:tcPr>
            <w:tcW w:w="727" w:type="pct"/>
            <w:gridSpan w:val="2"/>
            <w:vAlign w:val="center"/>
          </w:tcPr>
          <w:p w:rsidR="00204A68" w:rsidRPr="00EB6F6A" w:rsidRDefault="00204A68" w:rsidP="00772140">
            <w:pPr>
              <w:pStyle w:val="naisf"/>
              <w:spacing w:before="0" w:after="0"/>
              <w:ind w:firstLine="0"/>
              <w:jc w:val="center"/>
              <w:rPr>
                <w:lang w:val="lv-LV"/>
              </w:rPr>
            </w:pPr>
            <w:r w:rsidRPr="00EB6F6A">
              <w:rPr>
                <w:lang w:val="lv-LV"/>
              </w:rPr>
              <w:t>X</w:t>
            </w:r>
          </w:p>
        </w:tc>
        <w:tc>
          <w:tcPr>
            <w:tcW w:w="675" w:type="pct"/>
            <w:vAlign w:val="center"/>
          </w:tcPr>
          <w:p w:rsidR="00204A68" w:rsidRPr="00EB6F6A" w:rsidRDefault="00204A68" w:rsidP="00772140">
            <w:pPr>
              <w:pStyle w:val="naisf"/>
              <w:spacing w:before="0" w:after="0"/>
              <w:ind w:firstLine="0"/>
              <w:jc w:val="center"/>
              <w:rPr>
                <w:lang w:val="lv-LV"/>
              </w:rPr>
            </w:pPr>
            <w:r w:rsidRPr="00EB6F6A">
              <w:rPr>
                <w:lang w:val="lv-LV"/>
              </w:rPr>
              <w:t>0</w:t>
            </w:r>
          </w:p>
        </w:tc>
        <w:tc>
          <w:tcPr>
            <w:tcW w:w="704" w:type="pct"/>
            <w:vAlign w:val="center"/>
          </w:tcPr>
          <w:p w:rsidR="00204A68" w:rsidRPr="00EB6F6A" w:rsidRDefault="00204A68" w:rsidP="00772140">
            <w:pPr>
              <w:pStyle w:val="naisf"/>
              <w:spacing w:before="0" w:after="0"/>
              <w:ind w:firstLine="0"/>
              <w:jc w:val="center"/>
              <w:rPr>
                <w:lang w:val="lv-LV"/>
              </w:rPr>
            </w:pPr>
            <w:r w:rsidRPr="00EB6F6A">
              <w:rPr>
                <w:lang w:val="lv-LV"/>
              </w:rPr>
              <w:t>0</w:t>
            </w:r>
          </w:p>
        </w:tc>
        <w:tc>
          <w:tcPr>
            <w:tcW w:w="704" w:type="pct"/>
            <w:vAlign w:val="center"/>
          </w:tcPr>
          <w:p w:rsidR="00204A68" w:rsidRPr="00EB6F6A" w:rsidRDefault="00204A68" w:rsidP="00772140">
            <w:pPr>
              <w:pStyle w:val="naisf"/>
              <w:spacing w:before="0" w:after="0"/>
              <w:ind w:firstLine="0"/>
              <w:jc w:val="center"/>
              <w:rPr>
                <w:lang w:val="lv-LV"/>
              </w:rPr>
            </w:pPr>
            <w:r w:rsidRPr="00EB6F6A">
              <w:rPr>
                <w:lang w:val="lv-LV"/>
              </w:rPr>
              <w:t>0</w:t>
            </w:r>
          </w:p>
        </w:tc>
        <w:tc>
          <w:tcPr>
            <w:tcW w:w="847" w:type="pct"/>
            <w:gridSpan w:val="3"/>
            <w:vAlign w:val="center"/>
          </w:tcPr>
          <w:p w:rsidR="00204A68" w:rsidRPr="00EB6F6A" w:rsidRDefault="00204A68" w:rsidP="00772140">
            <w:pPr>
              <w:pStyle w:val="naisf"/>
              <w:spacing w:before="0" w:after="0"/>
              <w:ind w:firstLine="0"/>
              <w:jc w:val="center"/>
              <w:rPr>
                <w:lang w:val="lv-LV"/>
              </w:rPr>
            </w:pPr>
            <w:r w:rsidRPr="00EB6F6A">
              <w:rPr>
                <w:lang w:val="lv-LV"/>
              </w:rPr>
              <w:t>0</w:t>
            </w:r>
          </w:p>
        </w:tc>
      </w:tr>
      <w:tr w:rsidR="00AB4A1B"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AB4A1B" w:rsidRPr="00EB6F6A" w:rsidRDefault="00AB4A1B" w:rsidP="00772140">
            <w:pPr>
              <w:pStyle w:val="NoSpacing"/>
              <w:rPr>
                <w:b/>
                <w:lang w:val="lv-LV"/>
              </w:rPr>
            </w:pPr>
            <w:r w:rsidRPr="00EB6F6A">
              <w:rPr>
                <w:b/>
                <w:lang w:val="lv-LV"/>
              </w:rPr>
              <w:t>5. Precizēta finansiālā ietekme:</w:t>
            </w:r>
          </w:p>
        </w:tc>
        <w:tc>
          <w:tcPr>
            <w:tcW w:w="727" w:type="pct"/>
            <w:gridSpan w:val="2"/>
            <w:vMerge w:val="restart"/>
            <w:vAlign w:val="center"/>
          </w:tcPr>
          <w:p w:rsidR="00AB4A1B" w:rsidRPr="00EB6F6A" w:rsidRDefault="00AB4A1B" w:rsidP="00772140">
            <w:pPr>
              <w:pStyle w:val="naisf"/>
              <w:spacing w:before="0" w:after="0"/>
              <w:ind w:firstLine="0"/>
              <w:jc w:val="center"/>
              <w:rPr>
                <w:lang w:val="lv-LV"/>
              </w:rPr>
            </w:pPr>
            <w:r w:rsidRPr="00EB6F6A">
              <w:rPr>
                <w:lang w:val="lv-LV"/>
              </w:rPr>
              <w:t>X</w:t>
            </w:r>
          </w:p>
        </w:tc>
        <w:tc>
          <w:tcPr>
            <w:tcW w:w="675" w:type="pct"/>
            <w:vAlign w:val="center"/>
          </w:tcPr>
          <w:p w:rsidR="00AB4A1B" w:rsidRPr="00EB6F6A" w:rsidRDefault="00AB4A1B" w:rsidP="00772140">
            <w:pPr>
              <w:pStyle w:val="BodyText2"/>
              <w:shd w:val="clear" w:color="auto" w:fill="auto"/>
              <w:spacing w:before="0" w:after="0" w:line="240" w:lineRule="auto"/>
              <w:rPr>
                <w:sz w:val="24"/>
                <w:szCs w:val="24"/>
              </w:rPr>
            </w:pPr>
            <w:r w:rsidRPr="00EB6F6A">
              <w:rPr>
                <w:rStyle w:val="Bodytext13ptBold"/>
                <w:color w:val="auto"/>
                <w:sz w:val="24"/>
                <w:szCs w:val="24"/>
              </w:rPr>
              <w:t>0</w:t>
            </w:r>
          </w:p>
        </w:tc>
        <w:tc>
          <w:tcPr>
            <w:tcW w:w="704" w:type="pct"/>
            <w:vAlign w:val="center"/>
          </w:tcPr>
          <w:p w:rsidR="00AB4A1B" w:rsidRPr="00EB6F6A" w:rsidRDefault="00AB4A1B" w:rsidP="00AB4A1B">
            <w:pPr>
              <w:pStyle w:val="BodyText2"/>
              <w:shd w:val="clear" w:color="auto" w:fill="auto"/>
              <w:spacing w:before="0" w:after="0" w:line="240" w:lineRule="auto"/>
              <w:rPr>
                <w:sz w:val="24"/>
                <w:szCs w:val="24"/>
              </w:rPr>
            </w:pPr>
            <w:r w:rsidRPr="00EB6F6A">
              <w:rPr>
                <w:rStyle w:val="Bodytext13ptBold"/>
                <w:color w:val="auto"/>
                <w:sz w:val="24"/>
                <w:szCs w:val="24"/>
              </w:rPr>
              <w:t>-39 616</w:t>
            </w:r>
          </w:p>
        </w:tc>
        <w:tc>
          <w:tcPr>
            <w:tcW w:w="704" w:type="pct"/>
            <w:vAlign w:val="center"/>
          </w:tcPr>
          <w:p w:rsidR="00AB4A1B" w:rsidRPr="00EB6F6A" w:rsidRDefault="00AB4A1B" w:rsidP="00AB4A1B">
            <w:pPr>
              <w:pStyle w:val="BodyText2"/>
              <w:shd w:val="clear" w:color="auto" w:fill="auto"/>
              <w:spacing w:before="0" w:after="0" w:line="240" w:lineRule="auto"/>
              <w:rPr>
                <w:sz w:val="24"/>
                <w:szCs w:val="24"/>
              </w:rPr>
            </w:pPr>
            <w:r w:rsidRPr="00EB6F6A">
              <w:rPr>
                <w:rStyle w:val="Bodytext13ptBold"/>
                <w:color w:val="auto"/>
                <w:sz w:val="24"/>
                <w:szCs w:val="24"/>
              </w:rPr>
              <w:t>-39 616</w:t>
            </w:r>
          </w:p>
        </w:tc>
        <w:tc>
          <w:tcPr>
            <w:tcW w:w="847" w:type="pct"/>
            <w:gridSpan w:val="3"/>
            <w:vAlign w:val="center"/>
          </w:tcPr>
          <w:p w:rsidR="00AB4A1B" w:rsidRPr="00EB6F6A" w:rsidRDefault="00AB4A1B" w:rsidP="00AB4A1B">
            <w:pPr>
              <w:pStyle w:val="BodyText2"/>
              <w:shd w:val="clear" w:color="auto" w:fill="auto"/>
              <w:spacing w:before="0" w:after="0" w:line="240" w:lineRule="auto"/>
              <w:rPr>
                <w:sz w:val="24"/>
                <w:szCs w:val="24"/>
              </w:rPr>
            </w:pPr>
            <w:r w:rsidRPr="00EB6F6A">
              <w:rPr>
                <w:rStyle w:val="Bodytext13ptBold"/>
                <w:color w:val="auto"/>
                <w:sz w:val="24"/>
                <w:szCs w:val="24"/>
              </w:rPr>
              <w:t>-39 616</w:t>
            </w:r>
          </w:p>
        </w:tc>
      </w:tr>
      <w:tr w:rsidR="00AB4A1B"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Pr>
          <w:p w:rsidR="00AB4A1B" w:rsidRPr="00EB6F6A" w:rsidRDefault="00AB4A1B" w:rsidP="00772140">
            <w:pPr>
              <w:pStyle w:val="NoSpacing"/>
              <w:rPr>
                <w:lang w:val="lv-LV"/>
              </w:rPr>
            </w:pPr>
            <w:r w:rsidRPr="00EB6F6A">
              <w:rPr>
                <w:lang w:val="lv-LV"/>
              </w:rPr>
              <w:t>5.1. valsts pamatbudžets</w:t>
            </w:r>
          </w:p>
        </w:tc>
        <w:tc>
          <w:tcPr>
            <w:tcW w:w="727" w:type="pct"/>
            <w:gridSpan w:val="2"/>
            <w:vMerge/>
            <w:vAlign w:val="center"/>
          </w:tcPr>
          <w:p w:rsidR="00AB4A1B" w:rsidRPr="00EB6F6A" w:rsidRDefault="00AB4A1B" w:rsidP="00772140">
            <w:pPr>
              <w:pStyle w:val="naisf"/>
              <w:spacing w:before="0" w:after="0"/>
              <w:ind w:firstLine="0"/>
              <w:jc w:val="center"/>
              <w:rPr>
                <w:i/>
                <w:lang w:val="lv-LV"/>
              </w:rPr>
            </w:pPr>
          </w:p>
        </w:tc>
        <w:tc>
          <w:tcPr>
            <w:tcW w:w="675" w:type="pct"/>
            <w:vAlign w:val="center"/>
          </w:tcPr>
          <w:p w:rsidR="00AB4A1B" w:rsidRPr="00EB6F6A" w:rsidRDefault="00AB4A1B" w:rsidP="00772140">
            <w:pPr>
              <w:pStyle w:val="naisf"/>
              <w:spacing w:before="0" w:after="0"/>
              <w:ind w:firstLine="0"/>
              <w:jc w:val="center"/>
              <w:rPr>
                <w:lang w:val="lv-LV"/>
              </w:rPr>
            </w:pPr>
            <w:r w:rsidRPr="00EB6F6A">
              <w:rPr>
                <w:lang w:val="lv-LV"/>
              </w:rPr>
              <w:t>0</w:t>
            </w:r>
          </w:p>
        </w:tc>
        <w:tc>
          <w:tcPr>
            <w:tcW w:w="704" w:type="pct"/>
            <w:vAlign w:val="center"/>
          </w:tcPr>
          <w:p w:rsidR="00AB4A1B" w:rsidRPr="00EB6F6A" w:rsidRDefault="00AB4A1B" w:rsidP="00AB4A1B">
            <w:pPr>
              <w:pStyle w:val="BodyText2"/>
              <w:shd w:val="clear" w:color="auto" w:fill="auto"/>
              <w:spacing w:before="0" w:after="0" w:line="240" w:lineRule="auto"/>
              <w:rPr>
                <w:sz w:val="24"/>
                <w:szCs w:val="24"/>
              </w:rPr>
            </w:pPr>
            <w:r w:rsidRPr="00EB6F6A">
              <w:rPr>
                <w:rStyle w:val="Bodytext13pt"/>
                <w:color w:val="auto"/>
                <w:sz w:val="24"/>
                <w:szCs w:val="24"/>
              </w:rPr>
              <w:t>-39 616</w:t>
            </w:r>
          </w:p>
        </w:tc>
        <w:tc>
          <w:tcPr>
            <w:tcW w:w="704" w:type="pct"/>
            <w:vAlign w:val="center"/>
          </w:tcPr>
          <w:p w:rsidR="00AB4A1B" w:rsidRPr="00EB6F6A" w:rsidRDefault="00AB4A1B" w:rsidP="00AB4A1B">
            <w:pPr>
              <w:pStyle w:val="BodyText2"/>
              <w:shd w:val="clear" w:color="auto" w:fill="auto"/>
              <w:spacing w:before="0" w:after="0" w:line="240" w:lineRule="auto"/>
              <w:rPr>
                <w:sz w:val="24"/>
                <w:szCs w:val="24"/>
              </w:rPr>
            </w:pPr>
            <w:r w:rsidRPr="00EB6F6A">
              <w:rPr>
                <w:rStyle w:val="Bodytext13pt"/>
                <w:color w:val="auto"/>
                <w:sz w:val="24"/>
                <w:szCs w:val="24"/>
              </w:rPr>
              <w:t>-39 616</w:t>
            </w:r>
          </w:p>
        </w:tc>
        <w:tc>
          <w:tcPr>
            <w:tcW w:w="847" w:type="pct"/>
            <w:gridSpan w:val="3"/>
            <w:vAlign w:val="center"/>
          </w:tcPr>
          <w:p w:rsidR="00AB4A1B" w:rsidRPr="00EB6F6A" w:rsidRDefault="00AB4A1B" w:rsidP="00AB4A1B">
            <w:pPr>
              <w:pStyle w:val="BodyText2"/>
              <w:shd w:val="clear" w:color="auto" w:fill="auto"/>
              <w:spacing w:before="0" w:after="0" w:line="240" w:lineRule="auto"/>
              <w:rPr>
                <w:sz w:val="24"/>
                <w:szCs w:val="24"/>
              </w:rPr>
            </w:pPr>
            <w:r w:rsidRPr="00EB6F6A">
              <w:rPr>
                <w:rStyle w:val="Bodytext13pt"/>
                <w:color w:val="auto"/>
                <w:sz w:val="24"/>
                <w:szCs w:val="24"/>
              </w:rPr>
              <w:t>-39 616</w:t>
            </w:r>
          </w:p>
        </w:tc>
      </w:tr>
      <w:tr w:rsidR="00204A68"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Borders>
              <w:bottom w:val="single" w:sz="4" w:space="0" w:color="auto"/>
            </w:tcBorders>
          </w:tcPr>
          <w:p w:rsidR="00204A68" w:rsidRPr="00EB6F6A" w:rsidRDefault="00204A68" w:rsidP="00772140">
            <w:pPr>
              <w:pStyle w:val="NoSpacing"/>
              <w:rPr>
                <w:lang w:val="lv-LV"/>
              </w:rPr>
            </w:pPr>
            <w:r w:rsidRPr="00EB6F6A">
              <w:rPr>
                <w:lang w:val="lv-LV"/>
              </w:rPr>
              <w:t>5.2. speciālais budžets</w:t>
            </w:r>
          </w:p>
        </w:tc>
        <w:tc>
          <w:tcPr>
            <w:tcW w:w="727" w:type="pct"/>
            <w:gridSpan w:val="2"/>
            <w:vMerge/>
            <w:tcBorders>
              <w:bottom w:val="single" w:sz="4" w:space="0" w:color="auto"/>
            </w:tcBorders>
            <w:vAlign w:val="center"/>
          </w:tcPr>
          <w:p w:rsidR="00204A68" w:rsidRPr="00EB6F6A" w:rsidRDefault="00204A68" w:rsidP="00772140">
            <w:pPr>
              <w:pStyle w:val="naisf"/>
              <w:spacing w:before="0" w:after="0"/>
              <w:ind w:firstLine="0"/>
              <w:jc w:val="center"/>
              <w:rPr>
                <w:i/>
                <w:lang w:val="lv-LV"/>
              </w:rPr>
            </w:pPr>
          </w:p>
        </w:tc>
        <w:tc>
          <w:tcPr>
            <w:tcW w:w="675" w:type="pct"/>
            <w:tcBorders>
              <w:bottom w:val="single" w:sz="4" w:space="0" w:color="auto"/>
            </w:tcBorders>
            <w:vAlign w:val="center"/>
          </w:tcPr>
          <w:p w:rsidR="00204A68" w:rsidRPr="00EB6F6A" w:rsidRDefault="00204A68" w:rsidP="00772140">
            <w:pPr>
              <w:pStyle w:val="naisf"/>
              <w:spacing w:before="0" w:after="0"/>
              <w:ind w:firstLine="0"/>
              <w:jc w:val="center"/>
              <w:rPr>
                <w:lang w:val="lv-LV"/>
              </w:rPr>
            </w:pPr>
            <w:r w:rsidRPr="00EB6F6A">
              <w:rPr>
                <w:lang w:val="lv-LV"/>
              </w:rPr>
              <w:t>0</w:t>
            </w:r>
          </w:p>
        </w:tc>
        <w:tc>
          <w:tcPr>
            <w:tcW w:w="704" w:type="pct"/>
            <w:tcBorders>
              <w:bottom w:val="single" w:sz="4" w:space="0" w:color="auto"/>
            </w:tcBorders>
            <w:vAlign w:val="center"/>
          </w:tcPr>
          <w:p w:rsidR="00204A68" w:rsidRPr="00EB6F6A" w:rsidRDefault="00204A68" w:rsidP="00772140">
            <w:pPr>
              <w:pStyle w:val="BodyText2"/>
              <w:shd w:val="clear" w:color="auto" w:fill="auto"/>
              <w:spacing w:before="0" w:after="0" w:line="260" w:lineRule="exact"/>
              <w:rPr>
                <w:sz w:val="24"/>
                <w:szCs w:val="24"/>
              </w:rPr>
            </w:pPr>
            <w:r w:rsidRPr="00EB6F6A">
              <w:rPr>
                <w:rStyle w:val="Bodytext13pt"/>
                <w:color w:val="auto"/>
                <w:sz w:val="24"/>
                <w:szCs w:val="24"/>
              </w:rPr>
              <w:t>0</w:t>
            </w:r>
          </w:p>
        </w:tc>
        <w:tc>
          <w:tcPr>
            <w:tcW w:w="704" w:type="pct"/>
            <w:tcBorders>
              <w:bottom w:val="single" w:sz="4" w:space="0" w:color="auto"/>
            </w:tcBorders>
            <w:vAlign w:val="center"/>
          </w:tcPr>
          <w:p w:rsidR="00204A68" w:rsidRPr="00EB6F6A" w:rsidRDefault="00204A68" w:rsidP="00772140">
            <w:pPr>
              <w:pStyle w:val="BodyText2"/>
              <w:shd w:val="clear" w:color="auto" w:fill="auto"/>
              <w:spacing w:before="0" w:after="0" w:line="260" w:lineRule="exact"/>
              <w:rPr>
                <w:sz w:val="24"/>
                <w:szCs w:val="24"/>
              </w:rPr>
            </w:pPr>
            <w:r w:rsidRPr="00EB6F6A">
              <w:rPr>
                <w:rStyle w:val="Bodytext13pt"/>
                <w:color w:val="auto"/>
                <w:sz w:val="24"/>
                <w:szCs w:val="24"/>
              </w:rPr>
              <w:t>0</w:t>
            </w:r>
          </w:p>
        </w:tc>
        <w:tc>
          <w:tcPr>
            <w:tcW w:w="847" w:type="pct"/>
            <w:gridSpan w:val="3"/>
            <w:tcBorders>
              <w:bottom w:val="single" w:sz="4" w:space="0" w:color="auto"/>
            </w:tcBorders>
            <w:vAlign w:val="center"/>
          </w:tcPr>
          <w:p w:rsidR="00204A68" w:rsidRPr="00EB6F6A" w:rsidRDefault="00204A68" w:rsidP="00772140">
            <w:pPr>
              <w:pStyle w:val="BodyText2"/>
              <w:shd w:val="clear" w:color="auto" w:fill="auto"/>
              <w:spacing w:before="0" w:after="0" w:line="260" w:lineRule="exact"/>
              <w:rPr>
                <w:sz w:val="24"/>
                <w:szCs w:val="24"/>
              </w:rPr>
            </w:pPr>
            <w:r w:rsidRPr="00EB6F6A">
              <w:rPr>
                <w:rStyle w:val="Bodytext13pt"/>
                <w:color w:val="auto"/>
                <w:sz w:val="24"/>
                <w:szCs w:val="24"/>
              </w:rPr>
              <w:t>0</w:t>
            </w:r>
          </w:p>
        </w:tc>
      </w:tr>
      <w:tr w:rsidR="00204A68"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Borders>
              <w:top w:val="single" w:sz="4" w:space="0" w:color="auto"/>
              <w:left w:val="single" w:sz="4" w:space="0" w:color="auto"/>
              <w:bottom w:val="single" w:sz="4" w:space="0" w:color="auto"/>
              <w:right w:val="single" w:sz="4" w:space="0" w:color="auto"/>
            </w:tcBorders>
          </w:tcPr>
          <w:p w:rsidR="00204A68" w:rsidRPr="00EB6F6A" w:rsidRDefault="00204A68" w:rsidP="00772140">
            <w:pPr>
              <w:pStyle w:val="NoSpacing"/>
              <w:rPr>
                <w:lang w:val="lv-LV"/>
              </w:rPr>
            </w:pPr>
            <w:r w:rsidRPr="00EB6F6A">
              <w:rPr>
                <w:lang w:val="lv-LV"/>
              </w:rPr>
              <w:t xml:space="preserve">5.3. pašvaldību budžets </w:t>
            </w:r>
          </w:p>
        </w:tc>
        <w:tc>
          <w:tcPr>
            <w:tcW w:w="727" w:type="pct"/>
            <w:gridSpan w:val="2"/>
            <w:vMerge/>
            <w:tcBorders>
              <w:top w:val="single" w:sz="4" w:space="0" w:color="auto"/>
              <w:left w:val="single" w:sz="4" w:space="0" w:color="auto"/>
              <w:bottom w:val="single" w:sz="4" w:space="0" w:color="auto"/>
              <w:right w:val="single" w:sz="4" w:space="0" w:color="auto"/>
            </w:tcBorders>
            <w:vAlign w:val="center"/>
          </w:tcPr>
          <w:p w:rsidR="00204A68" w:rsidRPr="00EB6F6A" w:rsidRDefault="00204A68" w:rsidP="00772140">
            <w:pPr>
              <w:pStyle w:val="naisf"/>
              <w:spacing w:before="0" w:after="0"/>
              <w:ind w:firstLine="0"/>
              <w:jc w:val="center"/>
              <w:rPr>
                <w:i/>
                <w:lang w:val="lv-LV"/>
              </w:rPr>
            </w:pPr>
          </w:p>
        </w:tc>
        <w:tc>
          <w:tcPr>
            <w:tcW w:w="675" w:type="pct"/>
            <w:tcBorders>
              <w:top w:val="single" w:sz="4" w:space="0" w:color="auto"/>
              <w:left w:val="single" w:sz="4" w:space="0" w:color="auto"/>
              <w:bottom w:val="single" w:sz="4" w:space="0" w:color="auto"/>
              <w:right w:val="single" w:sz="4" w:space="0" w:color="auto"/>
            </w:tcBorders>
            <w:vAlign w:val="center"/>
          </w:tcPr>
          <w:p w:rsidR="00204A68" w:rsidRPr="00EB6F6A" w:rsidRDefault="00204A68" w:rsidP="00772140">
            <w:pPr>
              <w:pStyle w:val="naisf"/>
              <w:spacing w:before="0" w:after="0"/>
              <w:ind w:firstLine="0"/>
              <w:jc w:val="center"/>
              <w:rPr>
                <w:lang w:val="lv-LV"/>
              </w:rPr>
            </w:pPr>
            <w:r w:rsidRPr="00EB6F6A">
              <w:rPr>
                <w:lang w:val="lv-LV"/>
              </w:rPr>
              <w:t>0</w:t>
            </w:r>
          </w:p>
        </w:tc>
        <w:tc>
          <w:tcPr>
            <w:tcW w:w="704" w:type="pct"/>
            <w:tcBorders>
              <w:top w:val="single" w:sz="4" w:space="0" w:color="auto"/>
              <w:left w:val="single" w:sz="4" w:space="0" w:color="auto"/>
              <w:bottom w:val="single" w:sz="4" w:space="0" w:color="auto"/>
              <w:right w:val="single" w:sz="4" w:space="0" w:color="auto"/>
            </w:tcBorders>
            <w:vAlign w:val="center"/>
          </w:tcPr>
          <w:p w:rsidR="00204A68" w:rsidRPr="00EB6F6A" w:rsidRDefault="00204A68" w:rsidP="00772140">
            <w:pPr>
              <w:pStyle w:val="BodyText2"/>
              <w:shd w:val="clear" w:color="auto" w:fill="auto"/>
              <w:spacing w:before="0" w:after="0" w:line="260" w:lineRule="exact"/>
              <w:rPr>
                <w:sz w:val="24"/>
                <w:szCs w:val="24"/>
              </w:rPr>
            </w:pPr>
            <w:r w:rsidRPr="00EB6F6A">
              <w:rPr>
                <w:rStyle w:val="Bodytext13pt"/>
                <w:color w:val="auto"/>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204A68" w:rsidRPr="00EB6F6A" w:rsidRDefault="00204A68" w:rsidP="00772140">
            <w:pPr>
              <w:pStyle w:val="BodyText2"/>
              <w:shd w:val="clear" w:color="auto" w:fill="auto"/>
              <w:spacing w:before="0" w:after="0" w:line="260" w:lineRule="exact"/>
              <w:rPr>
                <w:sz w:val="24"/>
                <w:szCs w:val="24"/>
              </w:rPr>
            </w:pPr>
            <w:r w:rsidRPr="00EB6F6A">
              <w:rPr>
                <w:rStyle w:val="Bodytext13pt"/>
                <w:color w:val="auto"/>
                <w:sz w:val="24"/>
                <w:szCs w:val="24"/>
              </w:rPr>
              <w:t>0</w:t>
            </w:r>
          </w:p>
        </w:tc>
        <w:tc>
          <w:tcPr>
            <w:tcW w:w="847" w:type="pct"/>
            <w:gridSpan w:val="3"/>
            <w:tcBorders>
              <w:top w:val="single" w:sz="4" w:space="0" w:color="auto"/>
              <w:left w:val="single" w:sz="4" w:space="0" w:color="auto"/>
              <w:bottom w:val="single" w:sz="4" w:space="0" w:color="auto"/>
              <w:right w:val="single" w:sz="4" w:space="0" w:color="auto"/>
            </w:tcBorders>
            <w:vAlign w:val="center"/>
          </w:tcPr>
          <w:p w:rsidR="00204A68" w:rsidRPr="00EB6F6A" w:rsidRDefault="00204A68" w:rsidP="00772140">
            <w:pPr>
              <w:pStyle w:val="BodyText2"/>
              <w:shd w:val="clear" w:color="auto" w:fill="auto"/>
              <w:spacing w:before="0" w:after="0" w:line="260" w:lineRule="exact"/>
              <w:rPr>
                <w:sz w:val="24"/>
                <w:szCs w:val="24"/>
              </w:rPr>
            </w:pPr>
            <w:r w:rsidRPr="00EB6F6A">
              <w:rPr>
                <w:rStyle w:val="Bodytext13pt"/>
                <w:color w:val="auto"/>
                <w:sz w:val="24"/>
                <w:szCs w:val="24"/>
              </w:rPr>
              <w:t>0</w:t>
            </w:r>
          </w:p>
        </w:tc>
      </w:tr>
      <w:tr w:rsidR="00204A68" w:rsidRPr="00FE0001"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trHeight w:val="3270"/>
          <w:jc w:val="center"/>
        </w:trPr>
        <w:tc>
          <w:tcPr>
            <w:tcW w:w="1323" w:type="pct"/>
            <w:gridSpan w:val="4"/>
            <w:tcBorders>
              <w:top w:val="single" w:sz="4" w:space="0" w:color="auto"/>
              <w:left w:val="single" w:sz="4" w:space="0" w:color="auto"/>
              <w:bottom w:val="single" w:sz="4" w:space="0" w:color="auto"/>
              <w:right w:val="single" w:sz="4" w:space="0" w:color="auto"/>
            </w:tcBorders>
          </w:tcPr>
          <w:p w:rsidR="00204A68" w:rsidRPr="00EB6F6A" w:rsidRDefault="00204A68" w:rsidP="00772140">
            <w:pPr>
              <w:pStyle w:val="NoSpacing"/>
              <w:rPr>
                <w:lang w:val="lv-LV"/>
              </w:rPr>
            </w:pPr>
            <w:r w:rsidRPr="00EB6F6A">
              <w:rPr>
                <w:lang w:val="lv-LV"/>
              </w:rPr>
              <w:lastRenderedPageBreak/>
              <w:t>6. Detalizēts ieņēmumu un izdevu</w:t>
            </w:r>
            <w:r w:rsidRPr="00EB6F6A">
              <w:rPr>
                <w:lang w:val="lv-LV"/>
              </w:rPr>
              <w:softHyphen/>
              <w:t>mu aprēķins (ja nepieciešams, detalizētu ieņēmumu un izdevumu aprēķinu var pievienot anotācijas pielikumā):</w:t>
            </w:r>
          </w:p>
        </w:tc>
        <w:tc>
          <w:tcPr>
            <w:tcW w:w="3656" w:type="pct"/>
            <w:gridSpan w:val="8"/>
            <w:vMerge w:val="restart"/>
            <w:tcBorders>
              <w:top w:val="single" w:sz="4" w:space="0" w:color="auto"/>
              <w:left w:val="single" w:sz="4" w:space="0" w:color="auto"/>
              <w:bottom w:val="single" w:sz="4" w:space="0" w:color="auto"/>
              <w:right w:val="single" w:sz="4" w:space="0" w:color="auto"/>
            </w:tcBorders>
            <w:vAlign w:val="center"/>
          </w:tcPr>
          <w:p w:rsidR="00204A68" w:rsidRPr="00EB6F6A" w:rsidRDefault="00204A68" w:rsidP="006D3C7F">
            <w:pPr>
              <w:spacing w:before="120" w:after="12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b/>
                <w:noProof/>
                <w:sz w:val="24"/>
                <w:szCs w:val="24"/>
                <w:lang w:val="lv-LV" w:eastAsia="lv-LV"/>
              </w:rPr>
              <w:t>Atbilstoši likumam „Par valsts budžetu 201</w:t>
            </w:r>
            <w:r w:rsidR="00633894" w:rsidRPr="00EB6F6A">
              <w:rPr>
                <w:rFonts w:ascii="Times New Roman" w:eastAsia="Times New Roman" w:hAnsi="Times New Roman" w:cs="Times New Roman"/>
                <w:b/>
                <w:noProof/>
                <w:sz w:val="24"/>
                <w:szCs w:val="24"/>
                <w:lang w:val="lv-LV" w:eastAsia="lv-LV"/>
              </w:rPr>
              <w:t>6</w:t>
            </w:r>
            <w:r w:rsidRPr="00EB6F6A">
              <w:rPr>
                <w:rFonts w:ascii="Times New Roman" w:eastAsia="Times New Roman" w:hAnsi="Times New Roman" w:cs="Times New Roman"/>
                <w:b/>
                <w:noProof/>
                <w:sz w:val="24"/>
                <w:szCs w:val="24"/>
                <w:lang w:val="lv-LV" w:eastAsia="lv-LV"/>
              </w:rPr>
              <w:t>.gadam”:</w:t>
            </w:r>
          </w:p>
          <w:p w:rsidR="00204A68" w:rsidRPr="00EB6F6A" w:rsidRDefault="00204A68" w:rsidP="00633894">
            <w:pPr>
              <w:pStyle w:val="BodyText2"/>
              <w:shd w:val="clear" w:color="auto" w:fill="auto"/>
              <w:spacing w:before="0" w:after="0" w:line="240" w:lineRule="auto"/>
              <w:jc w:val="left"/>
              <w:rPr>
                <w:rStyle w:val="Bodytext13pt"/>
                <w:color w:val="auto"/>
                <w:sz w:val="24"/>
                <w:szCs w:val="24"/>
              </w:rPr>
            </w:pPr>
            <w:r w:rsidRPr="00EB6F6A">
              <w:rPr>
                <w:rStyle w:val="Bodytext13pt"/>
                <w:color w:val="auto"/>
                <w:sz w:val="24"/>
                <w:szCs w:val="24"/>
                <w:u w:val="single"/>
              </w:rPr>
              <w:t>Slimību profilakses un kontroles centra</w:t>
            </w:r>
            <w:r w:rsidRPr="00EB6F6A">
              <w:rPr>
                <w:rStyle w:val="Bodytext13pt"/>
                <w:color w:val="auto"/>
                <w:sz w:val="24"/>
                <w:szCs w:val="24"/>
              </w:rPr>
              <w:t xml:space="preserve"> finansējums </w:t>
            </w:r>
            <w:r w:rsidR="00633894" w:rsidRPr="00EB6F6A">
              <w:rPr>
                <w:rStyle w:val="Bodytext13pt"/>
                <w:color w:val="auto"/>
                <w:sz w:val="24"/>
                <w:szCs w:val="24"/>
              </w:rPr>
              <w:t xml:space="preserve">Veselības ministrijas budžeta programmas 46.00.00 „Uzraudzība un kontrole” </w:t>
            </w:r>
            <w:r w:rsidRPr="00EB6F6A">
              <w:rPr>
                <w:rStyle w:val="Bodytext13pt"/>
                <w:color w:val="auto"/>
                <w:sz w:val="24"/>
                <w:szCs w:val="24"/>
              </w:rPr>
              <w:t>apakšprogrammā 46.03.00 „Slimību profilakses nodrošināšana”:</w:t>
            </w:r>
          </w:p>
          <w:p w:rsidR="00204A68" w:rsidRPr="00EB6F6A" w:rsidRDefault="00204A68" w:rsidP="00772140">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Resursi izdevumu segšanai </w:t>
            </w:r>
            <w:r w:rsidRPr="00EB6F6A">
              <w:rPr>
                <w:rStyle w:val="Bodytext13pt"/>
                <w:rFonts w:eastAsiaTheme="minorEastAsia"/>
                <w:color w:val="auto"/>
                <w:sz w:val="24"/>
                <w:szCs w:val="24"/>
              </w:rPr>
              <w:t>3 </w:t>
            </w:r>
            <w:r w:rsidR="00633894" w:rsidRPr="00EB6F6A">
              <w:rPr>
                <w:rStyle w:val="Bodytext13pt"/>
                <w:rFonts w:eastAsiaTheme="minorEastAsia"/>
                <w:color w:val="auto"/>
                <w:sz w:val="24"/>
                <w:szCs w:val="24"/>
              </w:rPr>
              <w:t>196</w:t>
            </w:r>
            <w:r w:rsidRPr="00EB6F6A">
              <w:rPr>
                <w:rStyle w:val="Bodytext13pt"/>
                <w:rFonts w:eastAsiaTheme="minorEastAsia"/>
                <w:color w:val="auto"/>
                <w:sz w:val="24"/>
                <w:szCs w:val="24"/>
              </w:rPr>
              <w:t> </w:t>
            </w:r>
            <w:r w:rsidR="00633894" w:rsidRPr="00EB6F6A">
              <w:rPr>
                <w:rStyle w:val="Bodytext13pt"/>
                <w:rFonts w:eastAsiaTheme="minorEastAsia"/>
                <w:color w:val="auto"/>
                <w:sz w:val="24"/>
                <w:szCs w:val="24"/>
              </w:rPr>
              <w:t>333</w:t>
            </w:r>
            <w:r w:rsidRPr="00EB6F6A">
              <w:rPr>
                <w:rStyle w:val="Bodytext13pt"/>
                <w:rFonts w:eastAsiaTheme="minorEastAsia"/>
                <w:color w:val="auto"/>
                <w:sz w:val="24"/>
                <w:szCs w:val="24"/>
              </w:rPr>
              <w:t xml:space="preserve"> </w:t>
            </w:r>
            <w:r w:rsidRPr="00EB6F6A">
              <w:rPr>
                <w:rFonts w:ascii="Times New Roman" w:eastAsia="Times New Roman" w:hAnsi="Times New Roman" w:cs="Times New Roman"/>
                <w:i/>
                <w:noProof/>
                <w:sz w:val="24"/>
                <w:szCs w:val="24"/>
                <w:lang w:val="lv-LV" w:eastAsia="lv-LV"/>
              </w:rPr>
              <w:t>euro</w:t>
            </w:r>
          </w:p>
          <w:p w:rsidR="00204A68" w:rsidRPr="00EB6F6A" w:rsidRDefault="00204A68" w:rsidP="00772140">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ieņēmumi no maksas pakalpojumiem </w:t>
            </w:r>
            <w:r w:rsidRPr="00EB6F6A">
              <w:rPr>
                <w:rStyle w:val="Bodytext13pt"/>
                <w:rFonts w:eastAsiaTheme="minorEastAsia"/>
                <w:color w:val="auto"/>
                <w:sz w:val="24"/>
                <w:szCs w:val="24"/>
              </w:rPr>
              <w:t xml:space="preserve">13 715 </w:t>
            </w:r>
            <w:r w:rsidRPr="00EB6F6A">
              <w:rPr>
                <w:rFonts w:ascii="Times New Roman" w:eastAsia="Times New Roman" w:hAnsi="Times New Roman" w:cs="Times New Roman"/>
                <w:i/>
                <w:noProof/>
                <w:sz w:val="24"/>
                <w:szCs w:val="24"/>
                <w:lang w:val="lv-LV" w:eastAsia="lv-LV"/>
              </w:rPr>
              <w:t>euro</w:t>
            </w:r>
          </w:p>
          <w:p w:rsidR="00204A68" w:rsidRPr="00EB6F6A" w:rsidRDefault="00204A68" w:rsidP="00772140">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dotācija no vispārējiem ieņēmumiem </w:t>
            </w:r>
            <w:r w:rsidRPr="00EB6F6A">
              <w:rPr>
                <w:rStyle w:val="Bodytext13pt"/>
                <w:rFonts w:eastAsiaTheme="minorEastAsia"/>
                <w:color w:val="auto"/>
                <w:sz w:val="24"/>
                <w:szCs w:val="24"/>
              </w:rPr>
              <w:t>3 </w:t>
            </w:r>
            <w:r w:rsidR="00633894" w:rsidRPr="00EB6F6A">
              <w:rPr>
                <w:rStyle w:val="Bodytext13pt"/>
                <w:rFonts w:eastAsiaTheme="minorEastAsia"/>
                <w:color w:val="auto"/>
                <w:sz w:val="24"/>
                <w:szCs w:val="24"/>
              </w:rPr>
              <w:t>182</w:t>
            </w:r>
            <w:r w:rsidRPr="00EB6F6A">
              <w:rPr>
                <w:rStyle w:val="Bodytext13pt"/>
                <w:rFonts w:eastAsiaTheme="minorEastAsia"/>
                <w:color w:val="auto"/>
                <w:sz w:val="24"/>
                <w:szCs w:val="24"/>
              </w:rPr>
              <w:t> </w:t>
            </w:r>
            <w:r w:rsidR="00633894" w:rsidRPr="00EB6F6A">
              <w:rPr>
                <w:rStyle w:val="Bodytext13pt"/>
                <w:rFonts w:eastAsiaTheme="minorEastAsia"/>
                <w:color w:val="auto"/>
                <w:sz w:val="24"/>
                <w:szCs w:val="24"/>
              </w:rPr>
              <w:t>618</w:t>
            </w:r>
            <w:r w:rsidRPr="00EB6F6A">
              <w:rPr>
                <w:rStyle w:val="Bodytext13pt"/>
                <w:rFonts w:eastAsiaTheme="minorEastAsia"/>
                <w:color w:val="auto"/>
                <w:sz w:val="24"/>
                <w:szCs w:val="24"/>
              </w:rPr>
              <w:t xml:space="preserve">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 xml:space="preserve"> </w:t>
            </w:r>
          </w:p>
          <w:p w:rsidR="00204A68" w:rsidRPr="00EB6F6A" w:rsidRDefault="00204A68" w:rsidP="00772140">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Izdevumi </w:t>
            </w:r>
            <w:r w:rsidR="00633894" w:rsidRPr="00EB6F6A">
              <w:rPr>
                <w:rStyle w:val="Bodytext13pt"/>
                <w:rFonts w:eastAsiaTheme="minorEastAsia"/>
                <w:color w:val="auto"/>
                <w:sz w:val="24"/>
                <w:szCs w:val="24"/>
              </w:rPr>
              <w:t xml:space="preserve">3 196 333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 tai skaitā:</w:t>
            </w:r>
          </w:p>
          <w:p w:rsidR="00204A68" w:rsidRPr="00EB6F6A" w:rsidRDefault="00204A68" w:rsidP="00772140">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atlīdzība </w:t>
            </w:r>
            <w:r w:rsidRPr="00EB6F6A">
              <w:rPr>
                <w:rStyle w:val="Bodytext13pt"/>
                <w:rFonts w:eastAsiaTheme="minorEastAsia"/>
                <w:color w:val="auto"/>
                <w:sz w:val="24"/>
                <w:szCs w:val="24"/>
              </w:rPr>
              <w:t>2 196 7</w:t>
            </w:r>
            <w:r w:rsidR="00633894" w:rsidRPr="00EB6F6A">
              <w:rPr>
                <w:rStyle w:val="Bodytext13pt"/>
                <w:rFonts w:eastAsiaTheme="minorEastAsia"/>
                <w:color w:val="auto"/>
                <w:sz w:val="24"/>
                <w:szCs w:val="24"/>
              </w:rPr>
              <w:t>76</w:t>
            </w:r>
            <w:r w:rsidRPr="00EB6F6A">
              <w:rPr>
                <w:rStyle w:val="Bodytext13pt"/>
                <w:rFonts w:eastAsiaTheme="minorEastAsia"/>
                <w:color w:val="auto"/>
                <w:sz w:val="24"/>
                <w:szCs w:val="24"/>
              </w:rPr>
              <w:t xml:space="preserve"> </w:t>
            </w:r>
            <w:r w:rsidRPr="00EB6F6A">
              <w:rPr>
                <w:rFonts w:ascii="Times New Roman" w:eastAsia="Times New Roman" w:hAnsi="Times New Roman" w:cs="Times New Roman"/>
                <w:i/>
                <w:noProof/>
                <w:sz w:val="24"/>
                <w:szCs w:val="24"/>
                <w:lang w:val="lv-LV" w:eastAsia="lv-LV"/>
              </w:rPr>
              <w:t>euro</w:t>
            </w:r>
          </w:p>
          <w:p w:rsidR="00204A68" w:rsidRPr="00EB6F6A" w:rsidRDefault="00204A68" w:rsidP="00772140">
            <w:pPr>
              <w:spacing w:after="0" w:line="240" w:lineRule="auto"/>
              <w:ind w:right="142"/>
              <w:jc w:val="both"/>
              <w:rPr>
                <w:rFonts w:ascii="Times New Roman" w:eastAsia="Times New Roman" w:hAnsi="Times New Roman" w:cs="Times New Roman"/>
                <w:i/>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atalgojums </w:t>
            </w:r>
            <w:r w:rsidRPr="00EB6F6A">
              <w:rPr>
                <w:rStyle w:val="Bodytext13pt"/>
                <w:rFonts w:eastAsiaTheme="minorEastAsia"/>
                <w:color w:val="auto"/>
                <w:sz w:val="24"/>
                <w:szCs w:val="24"/>
              </w:rPr>
              <w:t>1 7</w:t>
            </w:r>
            <w:r w:rsidR="00633894" w:rsidRPr="00EB6F6A">
              <w:rPr>
                <w:rStyle w:val="Bodytext13pt"/>
                <w:rFonts w:eastAsiaTheme="minorEastAsia"/>
                <w:color w:val="auto"/>
                <w:sz w:val="24"/>
                <w:szCs w:val="24"/>
              </w:rPr>
              <w:t>2</w:t>
            </w:r>
            <w:r w:rsidRPr="00EB6F6A">
              <w:rPr>
                <w:rStyle w:val="Bodytext13pt"/>
                <w:rFonts w:eastAsiaTheme="minorEastAsia"/>
                <w:color w:val="auto"/>
                <w:sz w:val="24"/>
                <w:szCs w:val="24"/>
              </w:rPr>
              <w:t>6 </w:t>
            </w:r>
            <w:r w:rsidR="00633894" w:rsidRPr="00EB6F6A">
              <w:rPr>
                <w:rStyle w:val="Bodytext13pt"/>
                <w:rFonts w:eastAsiaTheme="minorEastAsia"/>
                <w:color w:val="auto"/>
                <w:sz w:val="24"/>
                <w:szCs w:val="24"/>
              </w:rPr>
              <w:t>812</w:t>
            </w:r>
            <w:r w:rsidRPr="00EB6F6A">
              <w:rPr>
                <w:rStyle w:val="Bodytext13pt"/>
                <w:rFonts w:eastAsiaTheme="minorEastAsia"/>
                <w:color w:val="auto"/>
                <w:sz w:val="24"/>
                <w:szCs w:val="24"/>
              </w:rPr>
              <w:t xml:space="preserve"> </w:t>
            </w:r>
            <w:r w:rsidRPr="00EB6F6A">
              <w:rPr>
                <w:rFonts w:ascii="Times New Roman" w:eastAsia="Times New Roman" w:hAnsi="Times New Roman" w:cs="Times New Roman"/>
                <w:i/>
                <w:noProof/>
                <w:sz w:val="24"/>
                <w:szCs w:val="24"/>
                <w:lang w:val="lv-LV" w:eastAsia="lv-LV"/>
              </w:rPr>
              <w:t>euro</w:t>
            </w:r>
          </w:p>
          <w:p w:rsidR="00204A68" w:rsidRPr="00EB6F6A" w:rsidRDefault="00204A68" w:rsidP="00772140">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preces un pakalpojumi </w:t>
            </w:r>
            <w:r w:rsidR="00633894" w:rsidRPr="00EB6F6A">
              <w:rPr>
                <w:rStyle w:val="Bodytext13pt"/>
                <w:rFonts w:eastAsiaTheme="minorEastAsia"/>
                <w:color w:val="auto"/>
                <w:sz w:val="24"/>
                <w:szCs w:val="24"/>
              </w:rPr>
              <w:t>917 697</w:t>
            </w:r>
            <w:r w:rsidRPr="00EB6F6A">
              <w:rPr>
                <w:rStyle w:val="Bodytext13pt"/>
                <w:rFonts w:eastAsiaTheme="minorEastAsia"/>
                <w:color w:val="auto"/>
                <w:sz w:val="24"/>
                <w:szCs w:val="24"/>
              </w:rPr>
              <w:t xml:space="preserve"> </w:t>
            </w:r>
            <w:r w:rsidRPr="00EB6F6A">
              <w:rPr>
                <w:rFonts w:ascii="Times New Roman" w:eastAsia="Times New Roman" w:hAnsi="Times New Roman" w:cs="Times New Roman"/>
                <w:i/>
                <w:noProof/>
                <w:sz w:val="24"/>
                <w:szCs w:val="24"/>
                <w:lang w:val="lv-LV" w:eastAsia="lv-LV"/>
              </w:rPr>
              <w:t>euro</w:t>
            </w:r>
          </w:p>
          <w:p w:rsidR="00204A68" w:rsidRPr="00EB6F6A" w:rsidRDefault="00204A68" w:rsidP="00772140">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kapitālie izdevumi </w:t>
            </w:r>
            <w:r w:rsidRPr="00EB6F6A">
              <w:rPr>
                <w:rStyle w:val="Bodytext13pt"/>
                <w:rFonts w:eastAsiaTheme="minorEastAsia"/>
                <w:color w:val="auto"/>
                <w:sz w:val="24"/>
                <w:szCs w:val="24"/>
              </w:rPr>
              <w:t xml:space="preserve">81 860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w:t>
            </w:r>
          </w:p>
          <w:p w:rsidR="00204A68" w:rsidRPr="00EB6F6A" w:rsidRDefault="00204A68" w:rsidP="00772140">
            <w:pPr>
              <w:spacing w:after="0" w:line="240" w:lineRule="auto"/>
              <w:jc w:val="both"/>
              <w:rPr>
                <w:rFonts w:ascii="Times New Roman" w:eastAsia="Times New Roman" w:hAnsi="Times New Roman" w:cs="Times New Roman"/>
                <w:noProof/>
                <w:sz w:val="24"/>
                <w:szCs w:val="24"/>
                <w:lang w:val="lv-LV" w:eastAsia="lv-LV"/>
              </w:rPr>
            </w:pPr>
          </w:p>
          <w:p w:rsidR="00204A68" w:rsidRPr="00EB6F6A" w:rsidRDefault="00204A68" w:rsidP="00633894">
            <w:pPr>
              <w:spacing w:after="0" w:line="240" w:lineRule="auto"/>
              <w:ind w:right="142"/>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b/>
                <w:noProof/>
                <w:sz w:val="24"/>
                <w:szCs w:val="24"/>
                <w:lang w:val="lv-LV" w:eastAsia="lv-LV"/>
              </w:rPr>
              <w:t xml:space="preserve">Atbilstoši </w:t>
            </w:r>
            <w:r w:rsidR="00633894" w:rsidRPr="00EB6F6A">
              <w:rPr>
                <w:rFonts w:ascii="Times New Roman" w:eastAsia="Times New Roman" w:hAnsi="Times New Roman" w:cs="Times New Roman"/>
                <w:b/>
                <w:noProof/>
                <w:sz w:val="24"/>
                <w:szCs w:val="24"/>
                <w:lang w:val="lv-LV" w:eastAsia="lv-LV"/>
              </w:rPr>
              <w:t>Ministru kabinetā 2016.gada 1.martā apstiprinātai valsts pamatbudžeta bāzei</w:t>
            </w:r>
            <w:r w:rsidRPr="00EB6F6A">
              <w:rPr>
                <w:rFonts w:ascii="Times New Roman" w:eastAsia="Times New Roman" w:hAnsi="Times New Roman" w:cs="Times New Roman"/>
                <w:b/>
                <w:noProof/>
                <w:sz w:val="24"/>
                <w:szCs w:val="24"/>
                <w:lang w:val="lv-LV" w:eastAsia="lv-LV"/>
              </w:rPr>
              <w:t xml:space="preserve"> 201</w:t>
            </w:r>
            <w:r w:rsidR="00633894" w:rsidRPr="00EB6F6A">
              <w:rPr>
                <w:rFonts w:ascii="Times New Roman" w:eastAsia="Times New Roman" w:hAnsi="Times New Roman" w:cs="Times New Roman"/>
                <w:b/>
                <w:noProof/>
                <w:sz w:val="24"/>
                <w:szCs w:val="24"/>
                <w:lang w:val="lv-LV" w:eastAsia="lv-LV"/>
              </w:rPr>
              <w:t>7</w:t>
            </w:r>
            <w:r w:rsidRPr="00EB6F6A">
              <w:rPr>
                <w:rFonts w:ascii="Times New Roman" w:eastAsia="Times New Roman" w:hAnsi="Times New Roman" w:cs="Times New Roman"/>
                <w:b/>
                <w:noProof/>
                <w:sz w:val="24"/>
                <w:szCs w:val="24"/>
                <w:lang w:val="lv-LV" w:eastAsia="lv-LV"/>
              </w:rPr>
              <w:t>., 201</w:t>
            </w:r>
            <w:r w:rsidR="00633894" w:rsidRPr="00EB6F6A">
              <w:rPr>
                <w:rFonts w:ascii="Times New Roman" w:eastAsia="Times New Roman" w:hAnsi="Times New Roman" w:cs="Times New Roman"/>
                <w:b/>
                <w:noProof/>
                <w:sz w:val="24"/>
                <w:szCs w:val="24"/>
                <w:lang w:val="lv-LV" w:eastAsia="lv-LV"/>
              </w:rPr>
              <w:t>8</w:t>
            </w:r>
            <w:r w:rsidRPr="00EB6F6A">
              <w:rPr>
                <w:rFonts w:ascii="Times New Roman" w:eastAsia="Times New Roman" w:hAnsi="Times New Roman" w:cs="Times New Roman"/>
                <w:b/>
                <w:noProof/>
                <w:sz w:val="24"/>
                <w:szCs w:val="24"/>
                <w:lang w:val="lv-LV" w:eastAsia="lv-LV"/>
              </w:rPr>
              <w:t>. un 201</w:t>
            </w:r>
            <w:r w:rsidR="00633894" w:rsidRPr="00EB6F6A">
              <w:rPr>
                <w:rFonts w:ascii="Times New Roman" w:eastAsia="Times New Roman" w:hAnsi="Times New Roman" w:cs="Times New Roman"/>
                <w:b/>
                <w:noProof/>
                <w:sz w:val="24"/>
                <w:szCs w:val="24"/>
                <w:lang w:val="lv-LV" w:eastAsia="lv-LV"/>
              </w:rPr>
              <w:t>9</w:t>
            </w:r>
            <w:r w:rsidRPr="00EB6F6A">
              <w:rPr>
                <w:rFonts w:ascii="Times New Roman" w:eastAsia="Times New Roman" w:hAnsi="Times New Roman" w:cs="Times New Roman"/>
                <w:b/>
                <w:noProof/>
                <w:sz w:val="24"/>
                <w:szCs w:val="24"/>
                <w:lang w:val="lv-LV" w:eastAsia="lv-LV"/>
              </w:rPr>
              <w:t>.gadam</w:t>
            </w:r>
            <w:r w:rsidR="00633894" w:rsidRPr="00EB6F6A">
              <w:rPr>
                <w:rFonts w:ascii="Times New Roman" w:eastAsia="Times New Roman" w:hAnsi="Times New Roman" w:cs="Times New Roman"/>
                <w:b/>
                <w:noProof/>
                <w:sz w:val="24"/>
                <w:szCs w:val="24"/>
                <w:lang w:val="lv-LV" w:eastAsia="lv-LV"/>
              </w:rPr>
              <w:t xml:space="preserve"> </w:t>
            </w:r>
            <w:r w:rsidR="00633894" w:rsidRPr="00EB6F6A">
              <w:rPr>
                <w:rFonts w:ascii="Times New Roman" w:eastAsia="Times New Roman" w:hAnsi="Times New Roman" w:cs="Times New Roman"/>
                <w:noProof/>
                <w:sz w:val="24"/>
                <w:szCs w:val="24"/>
                <w:lang w:val="lv-LV" w:eastAsia="lv-LV"/>
              </w:rPr>
              <w:t>(prot</w:t>
            </w:r>
            <w:r w:rsidR="006D3C7F" w:rsidRPr="00EB6F6A">
              <w:rPr>
                <w:rFonts w:ascii="Times New Roman" w:eastAsia="Times New Roman" w:hAnsi="Times New Roman" w:cs="Times New Roman"/>
                <w:noProof/>
                <w:sz w:val="24"/>
                <w:szCs w:val="24"/>
                <w:lang w:val="lv-LV" w:eastAsia="lv-LV"/>
              </w:rPr>
              <w:t>okols</w:t>
            </w:r>
            <w:r w:rsidR="00633894" w:rsidRPr="00EB6F6A">
              <w:rPr>
                <w:rFonts w:ascii="Times New Roman" w:eastAsia="Times New Roman" w:hAnsi="Times New Roman" w:cs="Times New Roman"/>
                <w:noProof/>
                <w:sz w:val="24"/>
                <w:szCs w:val="24"/>
                <w:lang w:val="lv-LV" w:eastAsia="lv-LV"/>
              </w:rPr>
              <w:t xml:space="preserve"> Nr.10, </w:t>
            </w:r>
            <w:r w:rsidR="0095436D" w:rsidRPr="00EB6F6A">
              <w:rPr>
                <w:rFonts w:ascii="Times New Roman" w:eastAsia="Times New Roman" w:hAnsi="Times New Roman" w:cs="Times New Roman"/>
                <w:noProof/>
                <w:sz w:val="24"/>
                <w:szCs w:val="24"/>
                <w:lang w:val="lv-LV" w:eastAsia="lv-LV"/>
              </w:rPr>
              <w:t>51.</w:t>
            </w:r>
            <w:r w:rsidR="00633894" w:rsidRPr="00EB6F6A">
              <w:rPr>
                <w:rFonts w:ascii="Times New Roman" w:eastAsia="Times New Roman" w:hAnsi="Times New Roman" w:cs="Times New Roman"/>
                <w:noProof/>
                <w:sz w:val="24"/>
                <w:szCs w:val="24"/>
                <w:lang w:val="lv-LV" w:eastAsia="lv-LV"/>
              </w:rPr>
              <w:t>§):</w:t>
            </w:r>
          </w:p>
          <w:p w:rsidR="00633894" w:rsidRPr="00EB6F6A" w:rsidRDefault="00633894" w:rsidP="00633894">
            <w:pPr>
              <w:pStyle w:val="BodyText2"/>
              <w:shd w:val="clear" w:color="auto" w:fill="auto"/>
              <w:spacing w:before="0" w:after="0" w:line="240" w:lineRule="auto"/>
              <w:jc w:val="left"/>
              <w:rPr>
                <w:rStyle w:val="Bodytext13pt"/>
                <w:color w:val="auto"/>
                <w:sz w:val="24"/>
                <w:szCs w:val="24"/>
              </w:rPr>
            </w:pPr>
            <w:r w:rsidRPr="00EB6F6A">
              <w:rPr>
                <w:rStyle w:val="Bodytext13pt"/>
                <w:color w:val="auto"/>
                <w:sz w:val="24"/>
                <w:szCs w:val="24"/>
                <w:u w:val="single"/>
              </w:rPr>
              <w:t>Slimību profilakses un kontroles centra</w:t>
            </w:r>
            <w:r w:rsidRPr="00EB6F6A">
              <w:rPr>
                <w:rStyle w:val="Bodytext13pt"/>
                <w:color w:val="auto"/>
                <w:sz w:val="24"/>
                <w:szCs w:val="24"/>
              </w:rPr>
              <w:t xml:space="preserve"> finansējums Veselības ministrijas budžeta programmas 46.00.00 „Uzraudzība un kontrole” apakšprogrammā 46.03.00 „Slimību profilakses nodrošināšana”:</w:t>
            </w:r>
          </w:p>
          <w:p w:rsidR="00633894" w:rsidRPr="00EB6F6A" w:rsidRDefault="00633894" w:rsidP="006D3C7F">
            <w:pPr>
              <w:spacing w:before="120" w:after="0" w:line="240" w:lineRule="auto"/>
              <w:ind w:right="142"/>
              <w:jc w:val="both"/>
              <w:rPr>
                <w:rFonts w:ascii="Times New Roman" w:eastAsia="Times New Roman" w:hAnsi="Times New Roman" w:cs="Times New Roman"/>
                <w:b/>
                <w:noProof/>
                <w:sz w:val="24"/>
                <w:szCs w:val="24"/>
                <w:lang w:val="lv-LV" w:eastAsia="lv-LV"/>
              </w:rPr>
            </w:pPr>
            <w:r w:rsidRPr="00EB6F6A">
              <w:rPr>
                <w:rFonts w:ascii="Times New Roman" w:eastAsia="Times New Roman" w:hAnsi="Times New Roman" w:cs="Times New Roman"/>
                <w:b/>
                <w:noProof/>
                <w:sz w:val="24"/>
                <w:szCs w:val="24"/>
                <w:lang w:val="lv-LV" w:eastAsia="lv-LV"/>
              </w:rPr>
              <w:t>2017.gadā:</w:t>
            </w:r>
          </w:p>
          <w:p w:rsidR="00633894" w:rsidRPr="00EB6F6A" w:rsidRDefault="00633894" w:rsidP="00633894">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Resursi izdevumu segšanai </w:t>
            </w:r>
            <w:r w:rsidRPr="00EB6F6A">
              <w:rPr>
                <w:rStyle w:val="Bodytext13pt"/>
                <w:rFonts w:eastAsiaTheme="minorEastAsia"/>
                <w:color w:val="auto"/>
                <w:sz w:val="24"/>
                <w:szCs w:val="24"/>
              </w:rPr>
              <w:t xml:space="preserve">3 196 333 </w:t>
            </w:r>
            <w:r w:rsidRPr="00EB6F6A">
              <w:rPr>
                <w:rFonts w:ascii="Times New Roman" w:eastAsia="Times New Roman" w:hAnsi="Times New Roman" w:cs="Times New Roman"/>
                <w:i/>
                <w:noProof/>
                <w:sz w:val="24"/>
                <w:szCs w:val="24"/>
                <w:lang w:val="lv-LV" w:eastAsia="lv-LV"/>
              </w:rPr>
              <w:t>euro</w:t>
            </w:r>
          </w:p>
          <w:p w:rsidR="00633894" w:rsidRPr="00EB6F6A" w:rsidRDefault="00633894" w:rsidP="00633894">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ieņēmumi no maksas pakalpojumiem </w:t>
            </w:r>
            <w:r w:rsidRPr="00EB6F6A">
              <w:rPr>
                <w:rStyle w:val="Bodytext13pt"/>
                <w:rFonts w:eastAsiaTheme="minorEastAsia"/>
                <w:color w:val="auto"/>
                <w:sz w:val="24"/>
                <w:szCs w:val="24"/>
              </w:rPr>
              <w:t xml:space="preserve">13 715 </w:t>
            </w:r>
            <w:r w:rsidRPr="00EB6F6A">
              <w:rPr>
                <w:rFonts w:ascii="Times New Roman" w:eastAsia="Times New Roman" w:hAnsi="Times New Roman" w:cs="Times New Roman"/>
                <w:i/>
                <w:noProof/>
                <w:sz w:val="24"/>
                <w:szCs w:val="24"/>
                <w:lang w:val="lv-LV" w:eastAsia="lv-LV"/>
              </w:rPr>
              <w:t>euro</w:t>
            </w:r>
          </w:p>
          <w:p w:rsidR="00633894" w:rsidRPr="00EB6F6A" w:rsidRDefault="00633894" w:rsidP="00633894">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dotācija no vispārējiem ieņēmumiem </w:t>
            </w:r>
            <w:r w:rsidRPr="00EB6F6A">
              <w:rPr>
                <w:rStyle w:val="Bodytext13pt"/>
                <w:rFonts w:eastAsiaTheme="minorEastAsia"/>
                <w:color w:val="auto"/>
                <w:sz w:val="24"/>
                <w:szCs w:val="24"/>
              </w:rPr>
              <w:t xml:space="preserve">3 182 618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 xml:space="preserve"> </w:t>
            </w:r>
          </w:p>
          <w:p w:rsidR="00633894" w:rsidRPr="00EB6F6A" w:rsidRDefault="00633894" w:rsidP="00633894">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Izdevumi </w:t>
            </w:r>
            <w:r w:rsidRPr="00EB6F6A">
              <w:rPr>
                <w:rStyle w:val="Bodytext13pt"/>
                <w:rFonts w:eastAsiaTheme="minorEastAsia"/>
                <w:color w:val="auto"/>
                <w:sz w:val="24"/>
                <w:szCs w:val="24"/>
              </w:rPr>
              <w:t xml:space="preserve">3 196 333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 tai skaitā:</w:t>
            </w:r>
          </w:p>
          <w:p w:rsidR="00633894" w:rsidRPr="00EB6F6A" w:rsidRDefault="00633894" w:rsidP="00633894">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atlīdzība </w:t>
            </w:r>
            <w:r w:rsidRPr="00EB6F6A">
              <w:rPr>
                <w:rStyle w:val="Bodytext13pt"/>
                <w:rFonts w:eastAsiaTheme="minorEastAsia"/>
                <w:color w:val="auto"/>
                <w:sz w:val="24"/>
                <w:szCs w:val="24"/>
              </w:rPr>
              <w:t xml:space="preserve">2 196 776 </w:t>
            </w:r>
            <w:r w:rsidRPr="00EB6F6A">
              <w:rPr>
                <w:rFonts w:ascii="Times New Roman" w:eastAsia="Times New Roman" w:hAnsi="Times New Roman" w:cs="Times New Roman"/>
                <w:i/>
                <w:noProof/>
                <w:sz w:val="24"/>
                <w:szCs w:val="24"/>
                <w:lang w:val="lv-LV" w:eastAsia="lv-LV"/>
              </w:rPr>
              <w:t>euro</w:t>
            </w:r>
          </w:p>
          <w:p w:rsidR="00633894" w:rsidRPr="00EB6F6A" w:rsidRDefault="00633894" w:rsidP="00633894">
            <w:pPr>
              <w:spacing w:after="0" w:line="240" w:lineRule="auto"/>
              <w:ind w:right="142"/>
              <w:jc w:val="both"/>
              <w:rPr>
                <w:rFonts w:ascii="Times New Roman" w:eastAsia="Times New Roman" w:hAnsi="Times New Roman" w:cs="Times New Roman"/>
                <w:i/>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atalgojums </w:t>
            </w:r>
            <w:r w:rsidRPr="00EB6F6A">
              <w:rPr>
                <w:rStyle w:val="Bodytext13pt"/>
                <w:rFonts w:eastAsiaTheme="minorEastAsia"/>
                <w:color w:val="auto"/>
                <w:sz w:val="24"/>
                <w:szCs w:val="24"/>
              </w:rPr>
              <w:t xml:space="preserve">1 726 812 </w:t>
            </w:r>
            <w:r w:rsidRPr="00EB6F6A">
              <w:rPr>
                <w:rFonts w:ascii="Times New Roman" w:eastAsia="Times New Roman" w:hAnsi="Times New Roman" w:cs="Times New Roman"/>
                <w:i/>
                <w:noProof/>
                <w:sz w:val="24"/>
                <w:szCs w:val="24"/>
                <w:lang w:val="lv-LV" w:eastAsia="lv-LV"/>
              </w:rPr>
              <w:t>euro</w:t>
            </w:r>
          </w:p>
          <w:p w:rsidR="00633894" w:rsidRPr="00EB6F6A" w:rsidRDefault="00633894" w:rsidP="00633894">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preces un pakalpojumi </w:t>
            </w:r>
            <w:r w:rsidRPr="00EB6F6A">
              <w:rPr>
                <w:rStyle w:val="Bodytext13pt"/>
                <w:rFonts w:eastAsiaTheme="minorEastAsia"/>
                <w:color w:val="auto"/>
                <w:sz w:val="24"/>
                <w:szCs w:val="24"/>
              </w:rPr>
              <w:t xml:space="preserve">917 697 </w:t>
            </w:r>
            <w:r w:rsidRPr="00EB6F6A">
              <w:rPr>
                <w:rFonts w:ascii="Times New Roman" w:eastAsia="Times New Roman" w:hAnsi="Times New Roman" w:cs="Times New Roman"/>
                <w:i/>
                <w:noProof/>
                <w:sz w:val="24"/>
                <w:szCs w:val="24"/>
                <w:lang w:val="lv-LV" w:eastAsia="lv-LV"/>
              </w:rPr>
              <w:t>euro</w:t>
            </w:r>
          </w:p>
          <w:p w:rsidR="00633894" w:rsidRPr="00EB6F6A" w:rsidRDefault="00633894" w:rsidP="00633894">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kapitālie izdevumi </w:t>
            </w:r>
            <w:r w:rsidRPr="00EB6F6A">
              <w:rPr>
                <w:rStyle w:val="Bodytext13pt"/>
                <w:rFonts w:eastAsiaTheme="minorEastAsia"/>
                <w:color w:val="auto"/>
                <w:sz w:val="24"/>
                <w:szCs w:val="24"/>
              </w:rPr>
              <w:t xml:space="preserve">81 860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w:t>
            </w:r>
          </w:p>
          <w:p w:rsidR="006D3C7F" w:rsidRPr="00EB6F6A" w:rsidRDefault="006D3C7F" w:rsidP="006D3C7F">
            <w:pPr>
              <w:spacing w:before="120" w:after="0" w:line="240" w:lineRule="auto"/>
              <w:ind w:right="142"/>
              <w:jc w:val="both"/>
              <w:rPr>
                <w:rFonts w:ascii="Times New Roman" w:eastAsia="Times New Roman" w:hAnsi="Times New Roman" w:cs="Times New Roman"/>
                <w:b/>
                <w:noProof/>
                <w:sz w:val="24"/>
                <w:szCs w:val="24"/>
                <w:lang w:val="lv-LV" w:eastAsia="lv-LV"/>
              </w:rPr>
            </w:pPr>
            <w:r w:rsidRPr="00EB6F6A">
              <w:rPr>
                <w:rFonts w:ascii="Times New Roman" w:eastAsia="Times New Roman" w:hAnsi="Times New Roman" w:cs="Times New Roman"/>
                <w:b/>
                <w:noProof/>
                <w:sz w:val="24"/>
                <w:szCs w:val="24"/>
                <w:lang w:val="lv-LV" w:eastAsia="lv-LV"/>
              </w:rPr>
              <w:t>2018.gadā:</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Resursi izdevumu segšanai </w:t>
            </w:r>
            <w:r w:rsidRPr="00EB6F6A">
              <w:rPr>
                <w:rStyle w:val="Bodytext13pt"/>
                <w:rFonts w:eastAsiaTheme="minorEastAsia"/>
                <w:color w:val="auto"/>
                <w:sz w:val="24"/>
                <w:szCs w:val="24"/>
              </w:rPr>
              <w:t xml:space="preserve">3 196 333 </w:t>
            </w:r>
            <w:r w:rsidRPr="00EB6F6A">
              <w:rPr>
                <w:rFonts w:ascii="Times New Roman" w:eastAsia="Times New Roman" w:hAnsi="Times New Roman" w:cs="Times New Roman"/>
                <w:i/>
                <w:noProof/>
                <w:sz w:val="24"/>
                <w:szCs w:val="24"/>
                <w:lang w:val="lv-LV" w:eastAsia="lv-LV"/>
              </w:rPr>
              <w:t>euro</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ieņēmumi no maksas pakalpojumiem </w:t>
            </w:r>
            <w:r w:rsidRPr="00EB6F6A">
              <w:rPr>
                <w:rStyle w:val="Bodytext13pt"/>
                <w:rFonts w:eastAsiaTheme="minorEastAsia"/>
                <w:color w:val="auto"/>
                <w:sz w:val="24"/>
                <w:szCs w:val="24"/>
              </w:rPr>
              <w:t xml:space="preserve">13 715 </w:t>
            </w:r>
            <w:r w:rsidRPr="00EB6F6A">
              <w:rPr>
                <w:rFonts w:ascii="Times New Roman" w:eastAsia="Times New Roman" w:hAnsi="Times New Roman" w:cs="Times New Roman"/>
                <w:i/>
                <w:noProof/>
                <w:sz w:val="24"/>
                <w:szCs w:val="24"/>
                <w:lang w:val="lv-LV" w:eastAsia="lv-LV"/>
              </w:rPr>
              <w:t>euro</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dotācija no vispārējiem ieņēmumiem </w:t>
            </w:r>
            <w:r w:rsidRPr="00EB6F6A">
              <w:rPr>
                <w:rStyle w:val="Bodytext13pt"/>
                <w:rFonts w:eastAsiaTheme="minorEastAsia"/>
                <w:color w:val="auto"/>
                <w:sz w:val="24"/>
                <w:szCs w:val="24"/>
              </w:rPr>
              <w:t xml:space="preserve">3 182 618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 xml:space="preserve"> </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Izdevumi </w:t>
            </w:r>
            <w:r w:rsidRPr="00EB6F6A">
              <w:rPr>
                <w:rStyle w:val="Bodytext13pt"/>
                <w:rFonts w:eastAsiaTheme="minorEastAsia"/>
                <w:color w:val="auto"/>
                <w:sz w:val="24"/>
                <w:szCs w:val="24"/>
              </w:rPr>
              <w:t xml:space="preserve">3 196 333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 tai skaitā:</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atlīdzība </w:t>
            </w:r>
            <w:r w:rsidRPr="00EB6F6A">
              <w:rPr>
                <w:rStyle w:val="Bodytext13pt"/>
                <w:rFonts w:eastAsiaTheme="minorEastAsia"/>
                <w:color w:val="auto"/>
                <w:sz w:val="24"/>
                <w:szCs w:val="24"/>
              </w:rPr>
              <w:t xml:space="preserve">2 196 776 </w:t>
            </w:r>
            <w:r w:rsidRPr="00EB6F6A">
              <w:rPr>
                <w:rFonts w:ascii="Times New Roman" w:eastAsia="Times New Roman" w:hAnsi="Times New Roman" w:cs="Times New Roman"/>
                <w:i/>
                <w:noProof/>
                <w:sz w:val="24"/>
                <w:szCs w:val="24"/>
                <w:lang w:val="lv-LV" w:eastAsia="lv-LV"/>
              </w:rPr>
              <w:t>euro</w:t>
            </w:r>
          </w:p>
          <w:p w:rsidR="006D3C7F" w:rsidRPr="00EB6F6A" w:rsidRDefault="006D3C7F" w:rsidP="006D3C7F">
            <w:pPr>
              <w:spacing w:after="0" w:line="240" w:lineRule="auto"/>
              <w:ind w:right="142"/>
              <w:jc w:val="both"/>
              <w:rPr>
                <w:rFonts w:ascii="Times New Roman" w:eastAsia="Times New Roman" w:hAnsi="Times New Roman" w:cs="Times New Roman"/>
                <w:i/>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atalgojums </w:t>
            </w:r>
            <w:r w:rsidRPr="00EB6F6A">
              <w:rPr>
                <w:rStyle w:val="Bodytext13pt"/>
                <w:rFonts w:eastAsiaTheme="minorEastAsia"/>
                <w:color w:val="auto"/>
                <w:sz w:val="24"/>
                <w:szCs w:val="24"/>
              </w:rPr>
              <w:t xml:space="preserve">1 726 812 </w:t>
            </w:r>
            <w:r w:rsidRPr="00EB6F6A">
              <w:rPr>
                <w:rFonts w:ascii="Times New Roman" w:eastAsia="Times New Roman" w:hAnsi="Times New Roman" w:cs="Times New Roman"/>
                <w:i/>
                <w:noProof/>
                <w:sz w:val="24"/>
                <w:szCs w:val="24"/>
                <w:lang w:val="lv-LV" w:eastAsia="lv-LV"/>
              </w:rPr>
              <w:t>euro</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preces un pakalpojumi </w:t>
            </w:r>
            <w:r w:rsidRPr="00EB6F6A">
              <w:rPr>
                <w:rStyle w:val="Bodytext13pt"/>
                <w:rFonts w:eastAsiaTheme="minorEastAsia"/>
                <w:color w:val="auto"/>
                <w:sz w:val="24"/>
                <w:szCs w:val="24"/>
              </w:rPr>
              <w:t xml:space="preserve">917 697 </w:t>
            </w:r>
            <w:r w:rsidRPr="00EB6F6A">
              <w:rPr>
                <w:rFonts w:ascii="Times New Roman" w:eastAsia="Times New Roman" w:hAnsi="Times New Roman" w:cs="Times New Roman"/>
                <w:i/>
                <w:noProof/>
                <w:sz w:val="24"/>
                <w:szCs w:val="24"/>
                <w:lang w:val="lv-LV" w:eastAsia="lv-LV"/>
              </w:rPr>
              <w:t>euro</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kapitālie izdevumi </w:t>
            </w:r>
            <w:r w:rsidRPr="00EB6F6A">
              <w:rPr>
                <w:rStyle w:val="Bodytext13pt"/>
                <w:rFonts w:eastAsiaTheme="minorEastAsia"/>
                <w:color w:val="auto"/>
                <w:sz w:val="24"/>
                <w:szCs w:val="24"/>
              </w:rPr>
              <w:t xml:space="preserve">81 860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w:t>
            </w:r>
          </w:p>
          <w:p w:rsidR="006D3C7F" w:rsidRPr="00EB6F6A" w:rsidRDefault="006D3C7F" w:rsidP="006D3C7F">
            <w:pPr>
              <w:spacing w:before="120" w:after="0" w:line="240" w:lineRule="auto"/>
              <w:ind w:right="142"/>
              <w:jc w:val="both"/>
              <w:rPr>
                <w:rFonts w:ascii="Times New Roman" w:eastAsia="Times New Roman" w:hAnsi="Times New Roman" w:cs="Times New Roman"/>
                <w:b/>
                <w:noProof/>
                <w:sz w:val="24"/>
                <w:szCs w:val="24"/>
                <w:lang w:val="lv-LV" w:eastAsia="lv-LV"/>
              </w:rPr>
            </w:pPr>
            <w:r w:rsidRPr="00EB6F6A">
              <w:rPr>
                <w:rFonts w:ascii="Times New Roman" w:eastAsia="Times New Roman" w:hAnsi="Times New Roman" w:cs="Times New Roman"/>
                <w:b/>
                <w:noProof/>
                <w:sz w:val="24"/>
                <w:szCs w:val="24"/>
                <w:lang w:val="lv-LV" w:eastAsia="lv-LV"/>
              </w:rPr>
              <w:t>2019.gadā:</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Resursi izdevumu segšanai </w:t>
            </w:r>
            <w:r w:rsidRPr="00EB6F6A">
              <w:rPr>
                <w:rStyle w:val="Bodytext13pt"/>
                <w:rFonts w:eastAsiaTheme="minorEastAsia"/>
                <w:color w:val="auto"/>
                <w:sz w:val="24"/>
                <w:szCs w:val="24"/>
              </w:rPr>
              <w:t xml:space="preserve">3 196 333 </w:t>
            </w:r>
            <w:r w:rsidRPr="00EB6F6A">
              <w:rPr>
                <w:rFonts w:ascii="Times New Roman" w:eastAsia="Times New Roman" w:hAnsi="Times New Roman" w:cs="Times New Roman"/>
                <w:i/>
                <w:noProof/>
                <w:sz w:val="24"/>
                <w:szCs w:val="24"/>
                <w:lang w:val="lv-LV" w:eastAsia="lv-LV"/>
              </w:rPr>
              <w:t>euro</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ieņēmumi no maksas pakalpojumiem </w:t>
            </w:r>
            <w:r w:rsidRPr="00EB6F6A">
              <w:rPr>
                <w:rStyle w:val="Bodytext13pt"/>
                <w:rFonts w:eastAsiaTheme="minorEastAsia"/>
                <w:color w:val="auto"/>
                <w:sz w:val="24"/>
                <w:szCs w:val="24"/>
              </w:rPr>
              <w:t xml:space="preserve">13 715 </w:t>
            </w:r>
            <w:r w:rsidRPr="00EB6F6A">
              <w:rPr>
                <w:rFonts w:ascii="Times New Roman" w:eastAsia="Times New Roman" w:hAnsi="Times New Roman" w:cs="Times New Roman"/>
                <w:i/>
                <w:noProof/>
                <w:sz w:val="24"/>
                <w:szCs w:val="24"/>
                <w:lang w:val="lv-LV" w:eastAsia="lv-LV"/>
              </w:rPr>
              <w:t>euro</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dotācija no vispārējiem ieņēmumiem </w:t>
            </w:r>
            <w:r w:rsidRPr="00EB6F6A">
              <w:rPr>
                <w:rStyle w:val="Bodytext13pt"/>
                <w:rFonts w:eastAsiaTheme="minorEastAsia"/>
                <w:color w:val="auto"/>
                <w:sz w:val="24"/>
                <w:szCs w:val="24"/>
              </w:rPr>
              <w:t xml:space="preserve">3 182 618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 xml:space="preserve"> </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Izdevumi </w:t>
            </w:r>
            <w:r w:rsidRPr="00EB6F6A">
              <w:rPr>
                <w:rStyle w:val="Bodytext13pt"/>
                <w:rFonts w:eastAsiaTheme="minorEastAsia"/>
                <w:color w:val="auto"/>
                <w:sz w:val="24"/>
                <w:szCs w:val="24"/>
              </w:rPr>
              <w:t xml:space="preserve">3 196 333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 tai skaitā:</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atlīdzība </w:t>
            </w:r>
            <w:r w:rsidRPr="00EB6F6A">
              <w:rPr>
                <w:rStyle w:val="Bodytext13pt"/>
                <w:rFonts w:eastAsiaTheme="minorEastAsia"/>
                <w:color w:val="auto"/>
                <w:sz w:val="24"/>
                <w:szCs w:val="24"/>
              </w:rPr>
              <w:t xml:space="preserve">2 196 776 </w:t>
            </w:r>
            <w:r w:rsidRPr="00EB6F6A">
              <w:rPr>
                <w:rFonts w:ascii="Times New Roman" w:eastAsia="Times New Roman" w:hAnsi="Times New Roman" w:cs="Times New Roman"/>
                <w:i/>
                <w:noProof/>
                <w:sz w:val="24"/>
                <w:szCs w:val="24"/>
                <w:lang w:val="lv-LV" w:eastAsia="lv-LV"/>
              </w:rPr>
              <w:t>euro</w:t>
            </w:r>
          </w:p>
          <w:p w:rsidR="006D3C7F" w:rsidRPr="00EB6F6A" w:rsidRDefault="006D3C7F" w:rsidP="006D3C7F">
            <w:pPr>
              <w:spacing w:after="0" w:line="240" w:lineRule="auto"/>
              <w:ind w:right="142"/>
              <w:jc w:val="both"/>
              <w:rPr>
                <w:rFonts w:ascii="Times New Roman" w:eastAsia="Times New Roman" w:hAnsi="Times New Roman" w:cs="Times New Roman"/>
                <w:i/>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atalgojums </w:t>
            </w:r>
            <w:r w:rsidRPr="00EB6F6A">
              <w:rPr>
                <w:rStyle w:val="Bodytext13pt"/>
                <w:rFonts w:eastAsiaTheme="minorEastAsia"/>
                <w:color w:val="auto"/>
                <w:sz w:val="24"/>
                <w:szCs w:val="24"/>
              </w:rPr>
              <w:t xml:space="preserve">1 726 812 </w:t>
            </w:r>
            <w:r w:rsidRPr="00EB6F6A">
              <w:rPr>
                <w:rFonts w:ascii="Times New Roman" w:eastAsia="Times New Roman" w:hAnsi="Times New Roman" w:cs="Times New Roman"/>
                <w:i/>
                <w:noProof/>
                <w:sz w:val="24"/>
                <w:szCs w:val="24"/>
                <w:lang w:val="lv-LV" w:eastAsia="lv-LV"/>
              </w:rPr>
              <w:t>euro</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preces un pakalpojumi </w:t>
            </w:r>
            <w:r w:rsidRPr="00EB6F6A">
              <w:rPr>
                <w:rStyle w:val="Bodytext13pt"/>
                <w:rFonts w:eastAsiaTheme="minorEastAsia"/>
                <w:color w:val="auto"/>
                <w:sz w:val="24"/>
                <w:szCs w:val="24"/>
              </w:rPr>
              <w:t xml:space="preserve">917 697 </w:t>
            </w:r>
            <w:r w:rsidRPr="00EB6F6A">
              <w:rPr>
                <w:rFonts w:ascii="Times New Roman" w:eastAsia="Times New Roman" w:hAnsi="Times New Roman" w:cs="Times New Roman"/>
                <w:i/>
                <w:noProof/>
                <w:sz w:val="24"/>
                <w:szCs w:val="24"/>
                <w:lang w:val="lv-LV" w:eastAsia="lv-LV"/>
              </w:rPr>
              <w:t>euro</w:t>
            </w:r>
          </w:p>
          <w:p w:rsidR="006D3C7F" w:rsidRPr="00EB6F6A" w:rsidRDefault="006D3C7F" w:rsidP="006D3C7F">
            <w:pPr>
              <w:spacing w:after="0" w:line="240" w:lineRule="auto"/>
              <w:ind w:right="142"/>
              <w:jc w:val="both"/>
              <w:rPr>
                <w:rFonts w:ascii="Times New Roman" w:eastAsia="Times New Roman" w:hAnsi="Times New Roman" w:cs="Times New Roman"/>
                <w:noProof/>
                <w:sz w:val="24"/>
                <w:szCs w:val="24"/>
                <w:lang w:val="lv-LV" w:eastAsia="lv-LV"/>
              </w:rPr>
            </w:pPr>
            <w:r w:rsidRPr="00EB6F6A">
              <w:rPr>
                <w:rFonts w:ascii="Times New Roman" w:eastAsia="Times New Roman" w:hAnsi="Times New Roman" w:cs="Times New Roman"/>
                <w:noProof/>
                <w:sz w:val="24"/>
                <w:szCs w:val="24"/>
                <w:lang w:val="lv-LV" w:eastAsia="lv-LV"/>
              </w:rPr>
              <w:t xml:space="preserve">  kapitālie izdevumi </w:t>
            </w:r>
            <w:r w:rsidRPr="00EB6F6A">
              <w:rPr>
                <w:rStyle w:val="Bodytext13pt"/>
                <w:rFonts w:eastAsiaTheme="minorEastAsia"/>
                <w:color w:val="auto"/>
                <w:sz w:val="24"/>
                <w:szCs w:val="24"/>
              </w:rPr>
              <w:t xml:space="preserve">81 860 </w:t>
            </w:r>
            <w:r w:rsidRPr="00EB6F6A">
              <w:rPr>
                <w:rFonts w:ascii="Times New Roman" w:eastAsia="Times New Roman" w:hAnsi="Times New Roman" w:cs="Times New Roman"/>
                <w:i/>
                <w:noProof/>
                <w:sz w:val="24"/>
                <w:szCs w:val="24"/>
                <w:lang w:val="lv-LV" w:eastAsia="lv-LV"/>
              </w:rPr>
              <w:t>euro</w:t>
            </w:r>
            <w:r w:rsidRPr="00EB6F6A">
              <w:rPr>
                <w:rFonts w:ascii="Times New Roman" w:eastAsia="Times New Roman" w:hAnsi="Times New Roman" w:cs="Times New Roman"/>
                <w:noProof/>
                <w:sz w:val="24"/>
                <w:szCs w:val="24"/>
                <w:lang w:val="lv-LV" w:eastAsia="lv-LV"/>
              </w:rPr>
              <w:t>.</w:t>
            </w:r>
          </w:p>
          <w:p w:rsidR="00633894" w:rsidRPr="00EB6F6A" w:rsidRDefault="00633894" w:rsidP="00772140">
            <w:pPr>
              <w:spacing w:after="0" w:line="240" w:lineRule="auto"/>
              <w:ind w:right="215"/>
              <w:jc w:val="both"/>
              <w:rPr>
                <w:rFonts w:ascii="Times New Roman" w:eastAsia="Times New Roman" w:hAnsi="Times New Roman" w:cs="Times New Roman"/>
                <w:b/>
                <w:noProof/>
                <w:sz w:val="24"/>
                <w:szCs w:val="24"/>
                <w:lang w:val="lv-LV" w:eastAsia="lv-LV"/>
              </w:rPr>
            </w:pPr>
          </w:p>
          <w:p w:rsidR="00204A68" w:rsidRPr="00EB6F6A" w:rsidRDefault="00204A68" w:rsidP="00772140">
            <w:pPr>
              <w:spacing w:after="0" w:line="240" w:lineRule="auto"/>
              <w:ind w:right="215"/>
              <w:jc w:val="both"/>
              <w:rPr>
                <w:rFonts w:ascii="Times New Roman" w:eastAsia="Times New Roman" w:hAnsi="Times New Roman" w:cs="Times New Roman"/>
                <w:b/>
                <w:noProof/>
                <w:sz w:val="24"/>
                <w:szCs w:val="24"/>
                <w:lang w:val="lv-LV" w:eastAsia="lv-LV"/>
              </w:rPr>
            </w:pPr>
            <w:r w:rsidRPr="00EB6F6A">
              <w:rPr>
                <w:rFonts w:ascii="Times New Roman" w:eastAsia="Times New Roman" w:hAnsi="Times New Roman" w:cs="Times New Roman"/>
                <w:b/>
                <w:noProof/>
                <w:sz w:val="24"/>
                <w:szCs w:val="24"/>
                <w:lang w:val="lv-LV" w:eastAsia="lv-LV"/>
              </w:rPr>
              <w:lastRenderedPageBreak/>
              <w:t>Skaidrojums</w:t>
            </w:r>
          </w:p>
          <w:p w:rsidR="001337B8" w:rsidRPr="00EB6F6A" w:rsidRDefault="001337B8" w:rsidP="006C25D7">
            <w:pPr>
              <w:pStyle w:val="BodyText2"/>
              <w:shd w:val="clear" w:color="auto" w:fill="auto"/>
              <w:spacing w:before="0" w:after="0" w:line="240" w:lineRule="auto"/>
              <w:jc w:val="both"/>
              <w:rPr>
                <w:rStyle w:val="Bodytext13pt"/>
                <w:color w:val="auto"/>
                <w:sz w:val="24"/>
                <w:szCs w:val="24"/>
              </w:rPr>
            </w:pPr>
            <w:r w:rsidRPr="00EB6F6A">
              <w:rPr>
                <w:rStyle w:val="Bodytext13pt"/>
                <w:color w:val="auto"/>
                <w:sz w:val="24"/>
                <w:szCs w:val="24"/>
              </w:rPr>
              <w:t xml:space="preserve">Atbilstoši Direktīvas 2014/40/ES prasībām, kas iestrādātas  likumprojekta 7.pantā un noteikumu projektā, Latvijā </w:t>
            </w:r>
            <w:r w:rsidR="00204A68" w:rsidRPr="00EB6F6A">
              <w:rPr>
                <w:rStyle w:val="Bodytext13pt"/>
                <w:color w:val="auto"/>
                <w:sz w:val="24"/>
                <w:szCs w:val="24"/>
              </w:rPr>
              <w:t>uz katra</w:t>
            </w:r>
            <w:r w:rsidRPr="00EB6F6A">
              <w:rPr>
                <w:rStyle w:val="Bodytext13pt"/>
                <w:color w:val="auto"/>
                <w:sz w:val="24"/>
                <w:szCs w:val="24"/>
              </w:rPr>
              <w:t>s  smēķēšanai paredzētā</w:t>
            </w:r>
            <w:r w:rsidR="00204A68" w:rsidRPr="00EB6F6A">
              <w:rPr>
                <w:rStyle w:val="Bodytext13pt"/>
                <w:color w:val="auto"/>
                <w:sz w:val="24"/>
                <w:szCs w:val="24"/>
              </w:rPr>
              <w:t xml:space="preserve"> tabakas izstrādājuma iepakojuma</w:t>
            </w:r>
            <w:r w:rsidRPr="00EB6F6A">
              <w:rPr>
                <w:rStyle w:val="Bodytext13pt"/>
                <w:color w:val="auto"/>
                <w:sz w:val="24"/>
                <w:szCs w:val="24"/>
              </w:rPr>
              <w:t xml:space="preserve"> vienības un jebkāda ārējā iepakojuma</w:t>
            </w:r>
            <w:r w:rsidR="00204A68" w:rsidRPr="00EB6F6A">
              <w:rPr>
                <w:rStyle w:val="Bodytext13pt"/>
                <w:color w:val="auto"/>
                <w:sz w:val="24"/>
                <w:szCs w:val="24"/>
              </w:rPr>
              <w:t xml:space="preserve"> </w:t>
            </w:r>
            <w:r w:rsidRPr="00EB6F6A">
              <w:rPr>
                <w:rStyle w:val="Bodytext13pt"/>
                <w:color w:val="auto"/>
                <w:sz w:val="24"/>
                <w:szCs w:val="24"/>
              </w:rPr>
              <w:t>kombinētā brīdinājuma par ietekmi uz veselību ietvaros būs jānorāda</w:t>
            </w:r>
            <w:r w:rsidR="00204A68" w:rsidRPr="00EB6F6A">
              <w:rPr>
                <w:rStyle w:val="Bodytext13pt"/>
                <w:color w:val="auto"/>
                <w:sz w:val="24"/>
                <w:szCs w:val="24"/>
              </w:rPr>
              <w:t xml:space="preserve"> Slimību profilakses un kontroles centra Konsultatīvā tālruņa smēķēšanas jautājumos</w:t>
            </w:r>
            <w:r w:rsidR="00204A68" w:rsidRPr="00EB6F6A">
              <w:rPr>
                <w:rStyle w:val="Bodytext13pt"/>
                <w:rFonts w:eastAsia="Calibri"/>
                <w:color w:val="auto"/>
                <w:sz w:val="24"/>
                <w:szCs w:val="24"/>
              </w:rPr>
              <w:t xml:space="preserve"> </w:t>
            </w:r>
            <w:r w:rsidRPr="00EB6F6A">
              <w:rPr>
                <w:rStyle w:val="Bodytext13pt"/>
                <w:rFonts w:eastAsia="Calibri"/>
                <w:color w:val="auto"/>
                <w:sz w:val="24"/>
                <w:szCs w:val="24"/>
              </w:rPr>
              <w:t>numurs- „</w:t>
            </w:r>
            <w:r w:rsidR="00204A68" w:rsidRPr="00EB6F6A">
              <w:rPr>
                <w:rStyle w:val="Bodytext13pt"/>
                <w:color w:val="auto"/>
                <w:sz w:val="24"/>
                <w:szCs w:val="24"/>
              </w:rPr>
              <w:t>67037333</w:t>
            </w:r>
            <w:r w:rsidRPr="00EB6F6A">
              <w:rPr>
                <w:rStyle w:val="Bodytext13pt"/>
                <w:color w:val="auto"/>
                <w:sz w:val="24"/>
                <w:szCs w:val="24"/>
              </w:rPr>
              <w:t>”</w:t>
            </w:r>
            <w:r w:rsidR="00204A68" w:rsidRPr="00EB6F6A">
              <w:rPr>
                <w:rStyle w:val="Bodytext13pt"/>
                <w:color w:val="auto"/>
                <w:sz w:val="24"/>
                <w:szCs w:val="24"/>
              </w:rPr>
              <w:t xml:space="preserve">. </w:t>
            </w:r>
            <w:r w:rsidRPr="00EB6F6A">
              <w:rPr>
                <w:rStyle w:val="Bodytext13pt"/>
                <w:color w:val="auto"/>
                <w:sz w:val="24"/>
                <w:szCs w:val="24"/>
              </w:rPr>
              <w:t>Līdz šim a</w:t>
            </w:r>
            <w:r w:rsidR="00204A68" w:rsidRPr="00EB6F6A">
              <w:rPr>
                <w:rStyle w:val="Bodytext13pt"/>
                <w:color w:val="auto"/>
                <w:sz w:val="24"/>
                <w:szCs w:val="24"/>
              </w:rPr>
              <w:t xml:space="preserve">tbilstoši likuma „Par tabakas izstrādājumu realizācijas, reklāmas un lietošanas ierobežošanu” 6.panta trešās daļas 10.punktam, </w:t>
            </w:r>
            <w:r w:rsidRPr="00EB6F6A">
              <w:rPr>
                <w:rStyle w:val="Bodytext13pt"/>
                <w:color w:val="auto"/>
                <w:sz w:val="24"/>
                <w:szCs w:val="24"/>
              </w:rPr>
              <w:t xml:space="preserve">tālruņa numurs </w:t>
            </w:r>
            <w:r w:rsidR="00204A68" w:rsidRPr="00EB6F6A">
              <w:rPr>
                <w:rStyle w:val="Bodytext13pt"/>
                <w:color w:val="auto"/>
                <w:sz w:val="24"/>
                <w:szCs w:val="24"/>
              </w:rPr>
              <w:t>ir bijis tikai uz v</w:t>
            </w:r>
            <w:r w:rsidRPr="00EB6F6A">
              <w:rPr>
                <w:rStyle w:val="Bodytext13pt"/>
                <w:color w:val="auto"/>
                <w:sz w:val="24"/>
                <w:szCs w:val="24"/>
              </w:rPr>
              <w:t xml:space="preserve">iena noteikta iepakojuma veida. </w:t>
            </w:r>
          </w:p>
          <w:p w:rsidR="00343436" w:rsidRPr="00EB6F6A" w:rsidRDefault="006D3C7F" w:rsidP="006C25D7">
            <w:pPr>
              <w:pStyle w:val="BodyText2"/>
              <w:shd w:val="clear" w:color="auto" w:fill="auto"/>
              <w:spacing w:before="0" w:after="0" w:line="240" w:lineRule="auto"/>
              <w:jc w:val="both"/>
              <w:rPr>
                <w:rStyle w:val="Bodytext13pt"/>
                <w:rFonts w:eastAsiaTheme="minorEastAsia"/>
                <w:color w:val="auto"/>
                <w:sz w:val="24"/>
                <w:szCs w:val="24"/>
              </w:rPr>
            </w:pPr>
            <w:r w:rsidRPr="00EB6F6A">
              <w:rPr>
                <w:rStyle w:val="Bodytext13pt"/>
                <w:rFonts w:eastAsiaTheme="minorEastAsia"/>
                <w:color w:val="auto"/>
                <w:sz w:val="24"/>
                <w:szCs w:val="24"/>
              </w:rPr>
              <w:t xml:space="preserve">Līdz 2014.gada beigām tālrunis bija Rīgas domes Labklājības departamenta pārraudzībā, taču ņemot vērā tā valstisko nozīmi, sākot ar 2015.gada 1.janvāri tā darbību nodrošina Slimību profilakses un kontroles centrs. </w:t>
            </w:r>
          </w:p>
          <w:p w:rsidR="00343436" w:rsidRPr="00EB6F6A" w:rsidRDefault="00343436" w:rsidP="006C25D7">
            <w:pPr>
              <w:spacing w:after="0" w:line="240" w:lineRule="auto"/>
              <w:jc w:val="both"/>
              <w:rPr>
                <w:rStyle w:val="Bodytext13pt"/>
                <w:rFonts w:eastAsiaTheme="minorEastAsia"/>
                <w:color w:val="auto"/>
                <w:sz w:val="24"/>
                <w:szCs w:val="24"/>
                <w:shd w:val="clear" w:color="auto" w:fill="auto"/>
                <w:lang w:eastAsia="zh-CN" w:bidi="ar-SA"/>
              </w:rPr>
            </w:pPr>
            <w:r w:rsidRPr="00EB6F6A">
              <w:rPr>
                <w:rFonts w:ascii="Times New Roman" w:hAnsi="Times New Roman" w:cs="Times New Roman"/>
                <w:sz w:val="24"/>
                <w:szCs w:val="24"/>
                <w:lang w:val="lv-LV"/>
              </w:rPr>
              <w:t>Kopš uzsākta tālruņa darbības nodrošināšana 2015. gadā, pieaudzis saņemto zvanu skaits par jautājumiem, kas saistīti ar smēķēšanas atmešanu. Atkarībā no mēneša,  saņemtais zvanu skaits svārstās no  vairākiem desmitiem saņemto zvanu gada pēdējos mēnešos līdz vairāk nekā 100 zvaniem  gada pirmajos mēnešos. Viens no zvanītāju biežāk minētajiem iemesliem, kas ir mudinājis pirmoreiz pazvanīt ir bijusi uz iegādāta tabakas izstrādājuma iepakojuma izvietotā norāde par tālruni 67037333</w:t>
            </w:r>
            <w:r w:rsidR="00892B19" w:rsidRPr="00EB6F6A">
              <w:rPr>
                <w:rFonts w:ascii="Times New Roman" w:hAnsi="Times New Roman" w:cs="Times New Roman"/>
                <w:sz w:val="24"/>
                <w:szCs w:val="24"/>
                <w:lang w:val="lv-LV"/>
              </w:rPr>
              <w:t xml:space="preserve"> </w:t>
            </w:r>
            <w:r w:rsidRPr="00EB6F6A">
              <w:rPr>
                <w:rFonts w:ascii="Times New Roman" w:hAnsi="Times New Roman" w:cs="Times New Roman"/>
                <w:sz w:val="24"/>
                <w:szCs w:val="24"/>
                <w:lang w:val="lv-LV"/>
              </w:rPr>
              <w:t>”. Regulāro zvanītāju vidū pakalpojums tiek izmantots, lai saņemtu atbalstu un motivāciju brīžos, kad bijušais smēķētājs izjūt vēlmi to atsākt.  Aktīvākie zvanītāji ir gados jauni vīrieši, kas veido līdz 40% no kopējā mēneša zvanītāju kopskaita, savukārt visaktīvāk palīdzība tiek meklēta darba nedēļas sākumā. Tālruņa konsultanti nodrošinājuši ne tikai palīdzību smēķēšanas atmešanā, bet arī snieguši informāciju par citiem pakalpojumiem un palīdzības saņemšanas avotiem arī tiem zvanītājiem, kuri vērsušies pēc palīdzības jautājumos, kas saistīti ar citām atkarības problēmām. Šādu zvanu skaits mēnesī sasniedz  vidēji 15% līdz 35% no kopēja zvanu kopskaita.</w:t>
            </w:r>
          </w:p>
          <w:p w:rsidR="006D3C7F" w:rsidRPr="00EB6F6A" w:rsidRDefault="006D3C7F" w:rsidP="006C25D7">
            <w:pPr>
              <w:pStyle w:val="BodyText2"/>
              <w:shd w:val="clear" w:color="auto" w:fill="auto"/>
              <w:spacing w:before="0" w:after="0" w:line="240" w:lineRule="auto"/>
              <w:jc w:val="both"/>
              <w:rPr>
                <w:rStyle w:val="Bodytext13pt"/>
                <w:rFonts w:eastAsiaTheme="minorEastAsia"/>
                <w:noProof/>
                <w:color w:val="auto"/>
                <w:sz w:val="24"/>
                <w:szCs w:val="24"/>
              </w:rPr>
            </w:pPr>
            <w:r w:rsidRPr="00EB6F6A">
              <w:rPr>
                <w:rStyle w:val="Bodytext13pt"/>
                <w:rFonts w:eastAsiaTheme="minorEastAsia"/>
                <w:color w:val="auto"/>
                <w:sz w:val="24"/>
                <w:szCs w:val="24"/>
              </w:rPr>
              <w:t>Šādi tālruņi ir 22 ES valstīs un nereti tie darbojas diennakts režīmā, turklāt ir bez maksas, tādējādi sniedzot nepieciešamo atbalstu personām, kuras vēlas pārtraukt smēķēšanu. Latvijā, zvanot uz tālruni, ied</w:t>
            </w:r>
            <w:r w:rsidR="001337B8" w:rsidRPr="00EB6F6A">
              <w:rPr>
                <w:rStyle w:val="Bodytext13pt"/>
                <w:rFonts w:eastAsiaTheme="minorEastAsia"/>
                <w:color w:val="auto"/>
                <w:sz w:val="24"/>
                <w:szCs w:val="24"/>
              </w:rPr>
              <w:t>zīvotāji par sarunu maksā paši un</w:t>
            </w:r>
            <w:r w:rsidRPr="00EB6F6A">
              <w:rPr>
                <w:rStyle w:val="Bodytext13pt"/>
                <w:rFonts w:eastAsiaTheme="minorEastAsia"/>
                <w:color w:val="auto"/>
                <w:sz w:val="24"/>
                <w:szCs w:val="24"/>
              </w:rPr>
              <w:t xml:space="preserve"> pagaidām tālrunis darbojas tikai darba dienās līdz plkst. 1</w:t>
            </w:r>
            <w:r w:rsidR="00343436" w:rsidRPr="00EB6F6A">
              <w:rPr>
                <w:rStyle w:val="Bodytext13pt"/>
                <w:rFonts w:eastAsiaTheme="minorEastAsia"/>
                <w:color w:val="auto"/>
                <w:sz w:val="24"/>
                <w:szCs w:val="24"/>
              </w:rPr>
              <w:t>9</w:t>
            </w:r>
            <w:r w:rsidRPr="00EB6F6A">
              <w:rPr>
                <w:rStyle w:val="Bodytext13pt"/>
                <w:rFonts w:eastAsiaTheme="minorEastAsia"/>
                <w:color w:val="auto"/>
                <w:sz w:val="24"/>
                <w:szCs w:val="24"/>
              </w:rPr>
              <w:t>.00. Tomēr palīdzības nodrošināšanai darbības laiks būtu jāp</w:t>
            </w:r>
            <w:r w:rsidR="00343436" w:rsidRPr="00EB6F6A">
              <w:rPr>
                <w:rStyle w:val="Bodytext13pt"/>
                <w:rFonts w:eastAsiaTheme="minorEastAsia"/>
                <w:color w:val="auto"/>
                <w:sz w:val="24"/>
                <w:szCs w:val="24"/>
              </w:rPr>
              <w:t>aplašina</w:t>
            </w:r>
            <w:r w:rsidRPr="00EB6F6A">
              <w:rPr>
                <w:rStyle w:val="Bodytext13pt"/>
                <w:rFonts w:eastAsiaTheme="minorEastAsia"/>
                <w:color w:val="auto"/>
                <w:sz w:val="24"/>
                <w:szCs w:val="24"/>
              </w:rPr>
              <w:t>. Ņemot vērā, ka tālruņa numurs turpmāk būs uz visiem smēķēšanai paredzētu tabakas izstrādājumu iepakojuma vienībām, pieaugs pieprasījums pēc pakalpojuma, jo kā liecina arī Veselību ietekmējošo paradumu pētījuma 2014.gada aptaujas dati, personu, kuras vēlas atmest smēķēšanu īpatsvars populācijā ir ļoti augsts (46,6% ikdienas smēķētāju vēlas atmest smēķēšanu, 33,8% nav pārliecināti, bet tikai 19,6% skaidri norāda, ka smēķēšanu atmest nevēlas</w:t>
            </w:r>
            <w:r w:rsidRPr="00EB6F6A">
              <w:rPr>
                <w:rStyle w:val="FootnoteReference"/>
                <w:sz w:val="24"/>
                <w:szCs w:val="24"/>
                <w:shd w:val="clear" w:color="auto" w:fill="FFFFFF"/>
                <w:lang w:eastAsia="lv-LV" w:bidi="lv-LV"/>
              </w:rPr>
              <w:footnoteReference w:id="15"/>
            </w:r>
            <w:r w:rsidRPr="00EB6F6A">
              <w:rPr>
                <w:rStyle w:val="Bodytext13pt"/>
                <w:rFonts w:eastAsiaTheme="minorEastAsia"/>
                <w:color w:val="auto"/>
                <w:sz w:val="24"/>
                <w:szCs w:val="24"/>
              </w:rPr>
              <w:t xml:space="preserve">). Tātad ir </w:t>
            </w:r>
            <w:r w:rsidRPr="00EB6F6A">
              <w:rPr>
                <w:rStyle w:val="Bodytext13pt"/>
                <w:rFonts w:eastAsiaTheme="minorEastAsia"/>
                <w:color w:val="auto"/>
                <w:sz w:val="24"/>
                <w:szCs w:val="24"/>
              </w:rPr>
              <w:lastRenderedPageBreak/>
              <w:t xml:space="preserve">nepieciešams nodrošināt uzticamas informācijas pieejamību neierobežotā daudzumā, lai veicinātu smēķēšanas atmešanu un pievēršanos veselīgam dzīvesveidam. Ja papildu finansējums piešķirts netiks, pakalpojums tiks sniegts līdzšinējā apmērā, nepagarinot darba laiku un tādējādi palielinot slodzi ģimenes ārstiem un ģimenes ārstu māsām pacientu motivēšanai smēķēšanas </w:t>
            </w:r>
            <w:r w:rsidRPr="00EB6F6A">
              <w:rPr>
                <w:rStyle w:val="Bodytext13pt"/>
                <w:rFonts w:eastAsiaTheme="minorEastAsia"/>
                <w:noProof/>
                <w:color w:val="auto"/>
                <w:sz w:val="24"/>
                <w:szCs w:val="24"/>
              </w:rPr>
              <w:t xml:space="preserve">atmešanai.  </w:t>
            </w:r>
          </w:p>
          <w:p w:rsidR="00892B19" w:rsidRPr="00EB6F6A" w:rsidRDefault="00892B19" w:rsidP="00772140">
            <w:pPr>
              <w:pStyle w:val="BodyText2"/>
              <w:shd w:val="clear" w:color="auto" w:fill="auto"/>
              <w:spacing w:before="0" w:after="0" w:line="240" w:lineRule="auto"/>
              <w:jc w:val="both"/>
              <w:rPr>
                <w:rStyle w:val="Bodytext13pt"/>
                <w:noProof/>
                <w:color w:val="auto"/>
                <w:sz w:val="24"/>
                <w:szCs w:val="24"/>
              </w:rPr>
            </w:pPr>
          </w:p>
          <w:p w:rsidR="00D2070A" w:rsidRPr="00EB6F6A" w:rsidRDefault="00D2070A" w:rsidP="00D2070A">
            <w:pPr>
              <w:tabs>
                <w:tab w:val="left" w:pos="7371"/>
              </w:tabs>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u w:val="single"/>
                <w:lang w:val="lv-LV"/>
              </w:rPr>
              <w:t xml:space="preserve">Slimību profilakses un kontroles centrs 2015.gadā funkciju pārņēma bez finansējuma </w:t>
            </w:r>
            <w:r w:rsidRPr="00EB6F6A">
              <w:rPr>
                <w:rFonts w:ascii="Times New Roman" w:hAnsi="Times New Roman" w:cs="Times New Roman"/>
                <w:sz w:val="24"/>
                <w:szCs w:val="24"/>
                <w:lang w:val="lv-LV"/>
              </w:rPr>
              <w:t>un sadarbībā ar Veselības ministriju, pieejamo finanšu līdzekļu ietvaros atrada iespēju 2015. un 2016.gadā nodrošināt minimālu finansējumu Konsultatīvā tālruņa darbības nodrošināšanai. Finansējums tika nodrošināts, samazinot Slimību profilakses un kontroles centra pamatfunkcijai – pētījumu sabiedrības veselības jomā veikšanai pieejamo finansējumu, pārskatot veicamo pētījumu laika grafikus un apjomus. Ņemot vērā, ka 2017. gadā un turpmāk Slimību profilakses un kontroles centra funkciju izpildei piešķirto valsts budžeta līdzekļa ietvaros, saskaņā ar noteikto pētījumu veikšanas periodiskumu nepieciešams nodrošināt Veselības paradumu un Smēķēšanas pētījumu veikšanai nepieciešamo datu savākšanas darbu, nepiešķirot papildus valsts budžeta finansējumu, nevarēs nodrošināt pilnvērtīgu Konsultatīvā tālruņa uzturēšanu.</w:t>
            </w:r>
          </w:p>
          <w:p w:rsidR="00D2070A" w:rsidRPr="00EB6F6A" w:rsidRDefault="00D2070A" w:rsidP="00D2070A">
            <w:pPr>
              <w:tabs>
                <w:tab w:val="left" w:pos="7371"/>
              </w:tabs>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Garantēts piešķirtais finansējums pilnā apmērā tiktu novirzīts šim valstiskā mērogā svarīgajam pasākumam un tiktu nodrošināta ne tikai pakalpojuma pamatfunkcijas nodrošināšana (tālruņa konsultantu nolīgšana un zvanu pieņemšana), bet nākotnē tiktu paplašināts pakalpojuma klāsts un veicināts pieprasījuma apjoms (p</w:t>
            </w:r>
            <w:r w:rsidRPr="00EB6F6A">
              <w:rPr>
                <w:rFonts w:ascii="Times New Roman" w:eastAsia="SimSun" w:hAnsi="Times New Roman" w:cs="Times New Roman"/>
                <w:sz w:val="24"/>
                <w:szCs w:val="24"/>
                <w:lang w:val="lv-LV"/>
              </w:rPr>
              <w:t>rognozējams, ka likumprojektā virzīto izmaiņu rezultātā palielināsies pieprasījums pēc pakalpojuma, radot nepieciešamību palielināt pakalpojuma nodrošināšanai atvēlētos resursus)</w:t>
            </w:r>
            <w:r w:rsidRPr="00EB6F6A">
              <w:rPr>
                <w:rFonts w:ascii="Times New Roman" w:hAnsi="Times New Roman" w:cs="Times New Roman"/>
                <w:sz w:val="24"/>
                <w:szCs w:val="24"/>
                <w:lang w:val="lv-LV"/>
              </w:rPr>
              <w:t xml:space="preserve">, kā arī paaugstinātas pakalpojuma kvalitātes prasības, tai skaitā, lai nodrošinātu 100% saņemto zvanu apkalpošanu. </w:t>
            </w:r>
          </w:p>
          <w:p w:rsidR="00D2070A" w:rsidRPr="00EB6F6A" w:rsidRDefault="00D2070A" w:rsidP="00D2070A">
            <w:pPr>
              <w:pStyle w:val="BodyText2"/>
              <w:shd w:val="clear" w:color="auto" w:fill="auto"/>
              <w:spacing w:before="0" w:after="0" w:line="240" w:lineRule="auto"/>
              <w:jc w:val="both"/>
            </w:pPr>
            <w:r w:rsidRPr="00EB6F6A">
              <w:rPr>
                <w:sz w:val="24"/>
                <w:szCs w:val="24"/>
              </w:rPr>
              <w:t>Papildus vēršam uzmanību, ka šāds finansējuma apjoms tika saskaņots arī likumprojekta „Tabakas izstrādājumu, augu smēķēšanas produktu, elektronisko smēķēšanas ierīču un to šķidrumu aprites likums”, kas 2015.gada 8.decembrī tika atbalstīts Ministru kabinetā, anotācijā</w:t>
            </w:r>
            <w:r w:rsidRPr="00EB6F6A">
              <w:t>.</w:t>
            </w:r>
          </w:p>
          <w:p w:rsidR="00D2070A" w:rsidRPr="00EB6F6A" w:rsidRDefault="00D2070A" w:rsidP="00D2070A">
            <w:pPr>
              <w:pStyle w:val="BodyText2"/>
              <w:shd w:val="clear" w:color="auto" w:fill="auto"/>
              <w:spacing w:before="0" w:after="0" w:line="240" w:lineRule="auto"/>
              <w:jc w:val="both"/>
            </w:pPr>
          </w:p>
          <w:p w:rsidR="00204A68" w:rsidRPr="00EB6F6A" w:rsidRDefault="00204A68" w:rsidP="00D2070A">
            <w:pPr>
              <w:pStyle w:val="BodyText2"/>
              <w:shd w:val="clear" w:color="auto" w:fill="auto"/>
              <w:spacing w:before="0" w:after="0" w:line="240" w:lineRule="auto"/>
              <w:jc w:val="both"/>
              <w:rPr>
                <w:rStyle w:val="Bodytext13ptBold"/>
                <w:b w:val="0"/>
                <w:noProof/>
                <w:color w:val="auto"/>
                <w:sz w:val="24"/>
                <w:szCs w:val="24"/>
              </w:rPr>
            </w:pPr>
            <w:r w:rsidRPr="00EB6F6A">
              <w:rPr>
                <w:rStyle w:val="Bodytext13pt"/>
                <w:noProof/>
                <w:color w:val="auto"/>
                <w:sz w:val="24"/>
                <w:szCs w:val="24"/>
              </w:rPr>
              <w:t xml:space="preserve">Lai nodrošinātu tālruņa darbības uzturēšanu un darba laika paplašināšanu, paredzot būtisku zvanu skaita pieaugumu pēc </w:t>
            </w:r>
            <w:r w:rsidR="001337B8" w:rsidRPr="00EB6F6A">
              <w:rPr>
                <w:rStyle w:val="Bodytext13pt"/>
                <w:noProof/>
                <w:color w:val="auto"/>
                <w:sz w:val="24"/>
                <w:szCs w:val="24"/>
              </w:rPr>
              <w:t>D</w:t>
            </w:r>
            <w:r w:rsidRPr="00EB6F6A">
              <w:rPr>
                <w:rStyle w:val="Bodytext13pt"/>
                <w:noProof/>
                <w:color w:val="auto"/>
                <w:sz w:val="24"/>
                <w:szCs w:val="24"/>
              </w:rPr>
              <w:t xml:space="preserve">irektīvas 2014/40/ES prasības transponēšanas nacionālajos tiesību aktos, plānots, ka </w:t>
            </w:r>
            <w:r w:rsidRPr="00EB6F6A">
              <w:rPr>
                <w:rStyle w:val="Bodytext13ptBold"/>
                <w:b w:val="0"/>
                <w:noProof/>
                <w:color w:val="auto"/>
                <w:sz w:val="24"/>
                <w:szCs w:val="24"/>
              </w:rPr>
              <w:t>2017.</w:t>
            </w:r>
            <w:r w:rsidR="006D3C7F" w:rsidRPr="00EB6F6A">
              <w:rPr>
                <w:rStyle w:val="Bodytext13ptBold"/>
                <w:b w:val="0"/>
                <w:noProof/>
                <w:color w:val="auto"/>
                <w:sz w:val="24"/>
                <w:szCs w:val="24"/>
              </w:rPr>
              <w:t>, 2018.</w:t>
            </w:r>
            <w:r w:rsidR="001E106D" w:rsidRPr="00EB6F6A">
              <w:rPr>
                <w:rStyle w:val="Bodytext13ptBold"/>
                <w:b w:val="0"/>
                <w:noProof/>
                <w:color w:val="auto"/>
                <w:sz w:val="24"/>
                <w:szCs w:val="24"/>
              </w:rPr>
              <w:t xml:space="preserve">, </w:t>
            </w:r>
            <w:r w:rsidRPr="00EB6F6A">
              <w:rPr>
                <w:rStyle w:val="Bodytext13ptBold"/>
                <w:b w:val="0"/>
                <w:noProof/>
                <w:color w:val="auto"/>
                <w:sz w:val="24"/>
                <w:szCs w:val="24"/>
              </w:rPr>
              <w:t>201</w:t>
            </w:r>
            <w:r w:rsidR="006D3C7F" w:rsidRPr="00EB6F6A">
              <w:rPr>
                <w:rStyle w:val="Bodytext13ptBold"/>
                <w:b w:val="0"/>
                <w:noProof/>
                <w:color w:val="auto"/>
                <w:sz w:val="24"/>
                <w:szCs w:val="24"/>
              </w:rPr>
              <w:t>9</w:t>
            </w:r>
            <w:r w:rsidRPr="00EB6F6A">
              <w:rPr>
                <w:rStyle w:val="Bodytext13ptBold"/>
                <w:b w:val="0"/>
                <w:noProof/>
                <w:color w:val="auto"/>
                <w:sz w:val="24"/>
                <w:szCs w:val="24"/>
              </w:rPr>
              <w:t xml:space="preserve">.gadam </w:t>
            </w:r>
            <w:r w:rsidR="001E106D" w:rsidRPr="00EB6F6A">
              <w:rPr>
                <w:rStyle w:val="Bodytext13ptBold"/>
                <w:b w:val="0"/>
                <w:noProof/>
                <w:color w:val="auto"/>
                <w:sz w:val="24"/>
                <w:szCs w:val="24"/>
              </w:rPr>
              <w:t xml:space="preserve">un turpmāk ik gadu </w:t>
            </w:r>
            <w:r w:rsidR="00AB4A1B" w:rsidRPr="00EB6F6A">
              <w:rPr>
                <w:rStyle w:val="Bodytext13ptBold"/>
                <w:b w:val="0"/>
                <w:noProof/>
                <w:color w:val="auto"/>
                <w:sz w:val="24"/>
                <w:szCs w:val="24"/>
              </w:rPr>
              <w:t>būs</w:t>
            </w:r>
            <w:r w:rsidRPr="00EB6F6A">
              <w:rPr>
                <w:rStyle w:val="Bodytext13ptBold"/>
                <w:b w:val="0"/>
                <w:noProof/>
                <w:color w:val="auto"/>
                <w:sz w:val="24"/>
                <w:szCs w:val="24"/>
              </w:rPr>
              <w:t xml:space="preserve"> nepieciešams papildus valsts budžeta finansējums (2000</w:t>
            </w:r>
            <w:r w:rsidR="006D3C7F" w:rsidRPr="00EB6F6A">
              <w:rPr>
                <w:rStyle w:val="Bodytext13ptBold"/>
                <w:b w:val="0"/>
                <w:noProof/>
                <w:color w:val="auto"/>
                <w:sz w:val="24"/>
                <w:szCs w:val="24"/>
              </w:rPr>
              <w:t> izdevumu kodā „p</w:t>
            </w:r>
            <w:r w:rsidRPr="00EB6F6A">
              <w:rPr>
                <w:rStyle w:val="Bodytext13ptBold"/>
                <w:b w:val="0"/>
                <w:noProof/>
                <w:color w:val="auto"/>
                <w:sz w:val="24"/>
                <w:szCs w:val="24"/>
              </w:rPr>
              <w:t>rec</w:t>
            </w:r>
            <w:r w:rsidR="006D3C7F" w:rsidRPr="00EB6F6A">
              <w:rPr>
                <w:rStyle w:val="Bodytext13ptBold"/>
                <w:b w:val="0"/>
                <w:noProof/>
                <w:color w:val="auto"/>
                <w:sz w:val="24"/>
                <w:szCs w:val="24"/>
              </w:rPr>
              <w:t>es un pakalpojumi”</w:t>
            </w:r>
            <w:r w:rsidRPr="00EB6F6A">
              <w:rPr>
                <w:rStyle w:val="Bodytext13ptBold"/>
                <w:b w:val="0"/>
                <w:noProof/>
                <w:color w:val="auto"/>
                <w:sz w:val="24"/>
                <w:szCs w:val="24"/>
              </w:rPr>
              <w:t xml:space="preserve">) </w:t>
            </w:r>
            <w:r w:rsidRPr="00EB6F6A">
              <w:rPr>
                <w:rStyle w:val="Bodytext13ptBold"/>
                <w:noProof/>
                <w:color w:val="auto"/>
                <w:sz w:val="24"/>
                <w:szCs w:val="24"/>
              </w:rPr>
              <w:t>39 616</w:t>
            </w:r>
            <w:r w:rsidRPr="00EB6F6A">
              <w:rPr>
                <w:rStyle w:val="Bodytext13ptBold"/>
                <w:b w:val="0"/>
                <w:noProof/>
                <w:color w:val="auto"/>
                <w:sz w:val="24"/>
                <w:szCs w:val="24"/>
              </w:rPr>
              <w:t> </w:t>
            </w:r>
            <w:r w:rsidRPr="00EB6F6A">
              <w:rPr>
                <w:rStyle w:val="Bodytext13ptBold"/>
                <w:i/>
                <w:noProof/>
                <w:color w:val="auto"/>
                <w:sz w:val="24"/>
                <w:szCs w:val="24"/>
              </w:rPr>
              <w:t>euro</w:t>
            </w:r>
            <w:r w:rsidRPr="00EB6F6A">
              <w:rPr>
                <w:rStyle w:val="Bodytext13ptBold"/>
                <w:b w:val="0"/>
                <w:noProof/>
                <w:color w:val="auto"/>
                <w:sz w:val="24"/>
                <w:szCs w:val="24"/>
              </w:rPr>
              <w:t xml:space="preserve"> apmērā. </w:t>
            </w:r>
          </w:p>
          <w:p w:rsidR="00204A68" w:rsidRPr="00EB6F6A" w:rsidRDefault="00204A68" w:rsidP="006D3C7F">
            <w:pPr>
              <w:pStyle w:val="BodyText2"/>
              <w:shd w:val="clear" w:color="auto" w:fill="auto"/>
              <w:spacing w:before="120" w:after="0" w:line="240" w:lineRule="auto"/>
              <w:jc w:val="both"/>
              <w:rPr>
                <w:rStyle w:val="Bodytext13ptBold"/>
                <w:b w:val="0"/>
                <w:noProof/>
                <w:color w:val="auto"/>
                <w:sz w:val="24"/>
                <w:szCs w:val="24"/>
              </w:rPr>
            </w:pPr>
            <w:r w:rsidRPr="00EB6F6A">
              <w:rPr>
                <w:rStyle w:val="Bodytext13ptBold"/>
                <w:b w:val="0"/>
                <w:noProof/>
                <w:color w:val="auto"/>
                <w:sz w:val="24"/>
                <w:szCs w:val="24"/>
                <w:u w:val="single"/>
              </w:rPr>
              <w:t>Aprēķins</w:t>
            </w:r>
            <w:r w:rsidRPr="00EB6F6A">
              <w:rPr>
                <w:rStyle w:val="Bodytext13ptBold"/>
                <w:b w:val="0"/>
                <w:noProof/>
                <w:color w:val="auto"/>
                <w:sz w:val="24"/>
                <w:szCs w:val="24"/>
              </w:rPr>
              <w:t>:</w:t>
            </w:r>
          </w:p>
          <w:p w:rsidR="00204A68" w:rsidRPr="00EB6F6A" w:rsidRDefault="00204A68" w:rsidP="00772140">
            <w:pPr>
              <w:pStyle w:val="BodyText2"/>
              <w:shd w:val="clear" w:color="auto" w:fill="auto"/>
              <w:spacing w:before="0" w:after="0" w:line="240" w:lineRule="auto"/>
              <w:jc w:val="both"/>
              <w:rPr>
                <w:rStyle w:val="Bodytext13pt"/>
                <w:noProof/>
                <w:color w:val="auto"/>
                <w:sz w:val="24"/>
                <w:szCs w:val="24"/>
              </w:rPr>
            </w:pPr>
            <w:r w:rsidRPr="00EB6F6A">
              <w:rPr>
                <w:rStyle w:val="Bodytext13pt"/>
                <w:noProof/>
                <w:color w:val="auto"/>
                <w:sz w:val="24"/>
                <w:szCs w:val="24"/>
              </w:rPr>
              <w:t xml:space="preserve">8,97 </w:t>
            </w:r>
            <w:r w:rsidRPr="00EB6F6A">
              <w:rPr>
                <w:rStyle w:val="Bodytext13pt"/>
                <w:i/>
                <w:noProof/>
                <w:color w:val="auto"/>
                <w:sz w:val="24"/>
                <w:szCs w:val="24"/>
              </w:rPr>
              <w:t>euro</w:t>
            </w:r>
            <w:r w:rsidRPr="00EB6F6A">
              <w:rPr>
                <w:rStyle w:val="Bodytext13pt"/>
                <w:noProof/>
                <w:color w:val="auto"/>
                <w:sz w:val="24"/>
                <w:szCs w:val="24"/>
              </w:rPr>
              <w:t xml:space="preserve"> (1 darba h izmaksa (bez PVN)) × 10</w:t>
            </w:r>
            <w:r w:rsidR="00AB4A1B" w:rsidRPr="00EB6F6A">
              <w:rPr>
                <w:rStyle w:val="Bodytext13pt"/>
                <w:noProof/>
                <w:color w:val="auto"/>
                <w:sz w:val="24"/>
                <w:szCs w:val="24"/>
              </w:rPr>
              <w:t> </w:t>
            </w:r>
            <w:r w:rsidRPr="00EB6F6A">
              <w:rPr>
                <w:rStyle w:val="Bodytext13pt"/>
                <w:noProof/>
                <w:color w:val="auto"/>
                <w:sz w:val="24"/>
                <w:szCs w:val="24"/>
              </w:rPr>
              <w:t xml:space="preserve">h (darba dienas ilgums) × 365 dienas = 32 740,50 </w:t>
            </w:r>
            <w:r w:rsidRPr="00EB6F6A">
              <w:rPr>
                <w:rStyle w:val="Bodytext13pt"/>
                <w:i/>
                <w:noProof/>
                <w:color w:val="auto"/>
                <w:sz w:val="24"/>
                <w:szCs w:val="24"/>
              </w:rPr>
              <w:t>euro</w:t>
            </w:r>
            <w:r w:rsidRPr="00EB6F6A">
              <w:rPr>
                <w:rStyle w:val="Bodytext13pt"/>
                <w:noProof/>
                <w:color w:val="auto"/>
                <w:sz w:val="24"/>
                <w:szCs w:val="24"/>
              </w:rPr>
              <w:t xml:space="preserve"> (bez PVN); </w:t>
            </w:r>
          </w:p>
          <w:p w:rsidR="00204A68" w:rsidRPr="00EB6F6A" w:rsidRDefault="00204A68" w:rsidP="00772140">
            <w:pPr>
              <w:pStyle w:val="BodyText2"/>
              <w:shd w:val="clear" w:color="auto" w:fill="auto"/>
              <w:spacing w:before="0" w:after="0" w:line="240" w:lineRule="auto"/>
              <w:jc w:val="both"/>
              <w:rPr>
                <w:rStyle w:val="Bodytext13pt"/>
                <w:noProof/>
                <w:color w:val="auto"/>
                <w:sz w:val="24"/>
                <w:szCs w:val="24"/>
              </w:rPr>
            </w:pPr>
            <w:r w:rsidRPr="00EB6F6A">
              <w:rPr>
                <w:rStyle w:val="Bodytext13pt"/>
                <w:noProof/>
                <w:color w:val="auto"/>
                <w:sz w:val="24"/>
                <w:szCs w:val="24"/>
              </w:rPr>
              <w:t xml:space="preserve">Ar PVN (21%):  32 740,50 </w:t>
            </w:r>
            <w:r w:rsidRPr="00EB6F6A">
              <w:rPr>
                <w:rStyle w:val="Bodytext13pt"/>
                <w:i/>
                <w:noProof/>
                <w:color w:val="auto"/>
                <w:sz w:val="24"/>
                <w:szCs w:val="24"/>
              </w:rPr>
              <w:t>euro</w:t>
            </w:r>
            <w:r w:rsidRPr="00EB6F6A">
              <w:rPr>
                <w:rStyle w:val="Bodytext13pt"/>
                <w:noProof/>
                <w:color w:val="auto"/>
                <w:sz w:val="24"/>
                <w:szCs w:val="24"/>
              </w:rPr>
              <w:t xml:space="preserve"> × 1,21 = </w:t>
            </w:r>
            <w:r w:rsidRPr="00EB6F6A">
              <w:rPr>
                <w:rStyle w:val="Bodytext13pt"/>
                <w:b/>
                <w:noProof/>
                <w:color w:val="auto"/>
                <w:sz w:val="24"/>
                <w:szCs w:val="24"/>
              </w:rPr>
              <w:t xml:space="preserve">39 616 </w:t>
            </w:r>
            <w:r w:rsidRPr="00EB6F6A">
              <w:rPr>
                <w:rStyle w:val="Bodytext13pt"/>
                <w:b/>
                <w:i/>
                <w:noProof/>
                <w:color w:val="auto"/>
                <w:sz w:val="24"/>
                <w:szCs w:val="24"/>
              </w:rPr>
              <w:t>euro</w:t>
            </w:r>
          </w:p>
          <w:p w:rsidR="00204A68" w:rsidRPr="00EB6F6A" w:rsidRDefault="00204A68" w:rsidP="00772140">
            <w:pPr>
              <w:pStyle w:val="BodyText2"/>
              <w:shd w:val="clear" w:color="auto" w:fill="auto"/>
              <w:spacing w:before="0" w:after="0" w:line="240" w:lineRule="auto"/>
              <w:jc w:val="both"/>
              <w:rPr>
                <w:rStyle w:val="Bodytext13pt"/>
                <w:noProof/>
                <w:color w:val="auto"/>
                <w:sz w:val="24"/>
                <w:szCs w:val="24"/>
              </w:rPr>
            </w:pPr>
          </w:p>
          <w:p w:rsidR="00204A68" w:rsidRPr="00EB6F6A" w:rsidRDefault="00343436" w:rsidP="00772140">
            <w:pPr>
              <w:pStyle w:val="BodyText2"/>
              <w:shd w:val="clear" w:color="auto" w:fill="auto"/>
              <w:spacing w:before="0" w:after="0" w:line="240" w:lineRule="auto"/>
              <w:jc w:val="both"/>
              <w:rPr>
                <w:noProof/>
                <w:sz w:val="24"/>
                <w:szCs w:val="24"/>
              </w:rPr>
            </w:pPr>
            <w:r w:rsidRPr="00EB6F6A">
              <w:rPr>
                <w:rStyle w:val="Bodytext13pt"/>
                <w:noProof/>
                <w:color w:val="auto"/>
                <w:sz w:val="24"/>
                <w:szCs w:val="24"/>
              </w:rPr>
              <w:t>Plānotās i</w:t>
            </w:r>
            <w:r w:rsidR="00204A68" w:rsidRPr="00EB6F6A">
              <w:rPr>
                <w:rStyle w:val="Bodytext13pt"/>
                <w:noProof/>
                <w:color w:val="auto"/>
                <w:sz w:val="24"/>
                <w:szCs w:val="24"/>
              </w:rPr>
              <w:t xml:space="preserve">zmaksas noteiktas atbilstoši izcenojumiem par eksperta  darba stundu atbilstoši 2015.gada 30.janvārī noslēgtajam līgumam starp Slimību profilakses un kontroles centru un Veselības centru „Vivendi” </w:t>
            </w:r>
            <w:r w:rsidR="0009662C" w:rsidRPr="00EB6F6A">
              <w:rPr>
                <w:rStyle w:val="Bodytext13pt"/>
                <w:noProof/>
                <w:color w:val="auto"/>
                <w:sz w:val="24"/>
                <w:szCs w:val="24"/>
              </w:rPr>
              <w:t>p</w:t>
            </w:r>
            <w:r w:rsidR="00204A68" w:rsidRPr="00EB6F6A">
              <w:rPr>
                <w:rStyle w:val="Bodytext13pt"/>
                <w:noProof/>
                <w:color w:val="auto"/>
                <w:sz w:val="24"/>
                <w:szCs w:val="24"/>
              </w:rPr>
              <w:t xml:space="preserve">ar konsultatīvā tālruņa smēķēšanas jautājumos darbības nodrošināšanu.  </w:t>
            </w:r>
          </w:p>
          <w:p w:rsidR="00204A68" w:rsidRPr="00EB6F6A" w:rsidRDefault="00204A68" w:rsidP="00772140">
            <w:pPr>
              <w:pStyle w:val="BodyText2"/>
              <w:shd w:val="clear" w:color="auto" w:fill="auto"/>
              <w:spacing w:before="0" w:after="0" w:line="240" w:lineRule="auto"/>
              <w:jc w:val="both"/>
              <w:rPr>
                <w:rStyle w:val="Bodytext13pt"/>
                <w:noProof/>
                <w:color w:val="auto"/>
                <w:sz w:val="24"/>
                <w:szCs w:val="24"/>
              </w:rPr>
            </w:pPr>
          </w:p>
          <w:p w:rsidR="00204A68" w:rsidRPr="00EB6F6A" w:rsidRDefault="00204A68" w:rsidP="001337B8">
            <w:pPr>
              <w:pStyle w:val="BodyText2"/>
              <w:shd w:val="clear" w:color="auto" w:fill="auto"/>
              <w:spacing w:before="0" w:after="0" w:line="240" w:lineRule="auto"/>
              <w:jc w:val="both"/>
              <w:rPr>
                <w:noProof/>
                <w:sz w:val="24"/>
                <w:szCs w:val="24"/>
                <w:shd w:val="clear" w:color="auto" w:fill="FFFFFF"/>
                <w:lang w:eastAsia="lv-LV" w:bidi="lv-LV"/>
              </w:rPr>
            </w:pPr>
            <w:r w:rsidRPr="00EB6F6A">
              <w:rPr>
                <w:rStyle w:val="Bodytext13pt"/>
                <w:noProof/>
                <w:color w:val="auto"/>
                <w:sz w:val="24"/>
                <w:szCs w:val="24"/>
              </w:rPr>
              <w:t>Līdz ar to Slimības un profilakses kontroles centra izdevumi 2017.</w:t>
            </w:r>
            <w:r w:rsidR="006D3C7F" w:rsidRPr="00EB6F6A">
              <w:rPr>
                <w:rStyle w:val="Bodytext13pt"/>
                <w:noProof/>
                <w:color w:val="auto"/>
                <w:sz w:val="24"/>
                <w:szCs w:val="24"/>
              </w:rPr>
              <w:t>,</w:t>
            </w:r>
            <w:r w:rsidRPr="00EB6F6A">
              <w:rPr>
                <w:rStyle w:val="Bodytext13pt"/>
                <w:noProof/>
                <w:color w:val="auto"/>
                <w:sz w:val="24"/>
                <w:szCs w:val="24"/>
              </w:rPr>
              <w:t xml:space="preserve"> </w:t>
            </w:r>
            <w:r w:rsidR="006D3C7F" w:rsidRPr="00EB6F6A">
              <w:rPr>
                <w:rStyle w:val="Bodytext13pt"/>
                <w:noProof/>
                <w:color w:val="auto"/>
                <w:sz w:val="24"/>
                <w:szCs w:val="24"/>
              </w:rPr>
              <w:t xml:space="preserve">2018. </w:t>
            </w:r>
            <w:r w:rsidRPr="00EB6F6A">
              <w:rPr>
                <w:rStyle w:val="Bodytext13pt"/>
                <w:noProof/>
                <w:color w:val="auto"/>
                <w:sz w:val="24"/>
                <w:szCs w:val="24"/>
              </w:rPr>
              <w:t>un 201</w:t>
            </w:r>
            <w:r w:rsidR="006D3C7F" w:rsidRPr="00EB6F6A">
              <w:rPr>
                <w:rStyle w:val="Bodytext13pt"/>
                <w:noProof/>
                <w:color w:val="auto"/>
                <w:sz w:val="24"/>
                <w:szCs w:val="24"/>
              </w:rPr>
              <w:t>9</w:t>
            </w:r>
            <w:r w:rsidRPr="00EB6F6A">
              <w:rPr>
                <w:rStyle w:val="Bodytext13pt"/>
                <w:noProof/>
                <w:color w:val="auto"/>
                <w:sz w:val="24"/>
                <w:szCs w:val="24"/>
              </w:rPr>
              <w:t xml:space="preserve">.gadam </w:t>
            </w:r>
            <w:r w:rsidR="006D3C7F" w:rsidRPr="00EB6F6A">
              <w:rPr>
                <w:rStyle w:val="Bodytext13pt"/>
                <w:noProof/>
                <w:color w:val="auto"/>
                <w:sz w:val="24"/>
                <w:szCs w:val="24"/>
              </w:rPr>
              <w:t xml:space="preserve">Veselības ministrijas </w:t>
            </w:r>
            <w:r w:rsidRPr="00EB6F6A">
              <w:rPr>
                <w:rStyle w:val="Bodytext13pt"/>
                <w:noProof/>
                <w:color w:val="auto"/>
                <w:sz w:val="24"/>
                <w:szCs w:val="24"/>
              </w:rPr>
              <w:t>budžeta programmas 46.00.00 „Veselības nozares uzraudzība” apakš</w:t>
            </w:r>
            <w:r w:rsidR="00AB4A1B" w:rsidRPr="00EB6F6A">
              <w:rPr>
                <w:rStyle w:val="Bodytext13pt"/>
                <w:noProof/>
                <w:color w:val="auto"/>
                <w:sz w:val="24"/>
                <w:szCs w:val="24"/>
              </w:rPr>
              <w:softHyphen/>
            </w:r>
            <w:r w:rsidRPr="00EB6F6A">
              <w:rPr>
                <w:rStyle w:val="Bodytext13pt"/>
                <w:noProof/>
                <w:color w:val="auto"/>
                <w:sz w:val="24"/>
                <w:szCs w:val="24"/>
              </w:rPr>
              <w:t>programmā 46.03.00 „Slimību profilakses nodrošināšana” bū</w:t>
            </w:r>
            <w:r w:rsidR="0009662C" w:rsidRPr="00EB6F6A">
              <w:rPr>
                <w:rStyle w:val="Bodytext13pt"/>
                <w:noProof/>
                <w:color w:val="auto"/>
                <w:sz w:val="24"/>
                <w:szCs w:val="24"/>
              </w:rPr>
              <w:t>tu</w:t>
            </w:r>
            <w:r w:rsidRPr="00EB6F6A">
              <w:rPr>
                <w:rStyle w:val="Bodytext13pt"/>
                <w:noProof/>
                <w:color w:val="auto"/>
                <w:sz w:val="24"/>
                <w:szCs w:val="24"/>
              </w:rPr>
              <w:t xml:space="preserve"> </w:t>
            </w:r>
            <w:r w:rsidR="00AB4A1B" w:rsidRPr="00EB6F6A">
              <w:rPr>
                <w:rStyle w:val="Bodytext13pt"/>
                <w:noProof/>
                <w:color w:val="auto"/>
                <w:sz w:val="24"/>
                <w:szCs w:val="24"/>
              </w:rPr>
              <w:t xml:space="preserve"> 3 235 949 </w:t>
            </w:r>
            <w:r w:rsidRPr="00EB6F6A">
              <w:rPr>
                <w:rStyle w:val="Bodytext13pt"/>
                <w:i/>
                <w:noProof/>
                <w:color w:val="auto"/>
                <w:sz w:val="24"/>
                <w:szCs w:val="24"/>
              </w:rPr>
              <w:t>euro</w:t>
            </w:r>
            <w:r w:rsidRPr="00EB6F6A">
              <w:rPr>
                <w:rStyle w:val="Bodytext13pt"/>
                <w:noProof/>
                <w:color w:val="auto"/>
                <w:sz w:val="24"/>
                <w:szCs w:val="24"/>
              </w:rPr>
              <w:t>, tai skaitā atlīdzība 2</w:t>
            </w:r>
            <w:r w:rsidR="0009662C" w:rsidRPr="00EB6F6A">
              <w:rPr>
                <w:rStyle w:val="Bodytext13pt"/>
                <w:noProof/>
                <w:color w:val="auto"/>
                <w:sz w:val="24"/>
                <w:szCs w:val="24"/>
              </w:rPr>
              <w:t> </w:t>
            </w:r>
            <w:r w:rsidRPr="00EB6F6A">
              <w:rPr>
                <w:rStyle w:val="Bodytext13pt"/>
                <w:noProof/>
                <w:color w:val="auto"/>
                <w:sz w:val="24"/>
                <w:szCs w:val="24"/>
              </w:rPr>
              <w:t>196</w:t>
            </w:r>
            <w:r w:rsidR="0009662C" w:rsidRPr="00EB6F6A">
              <w:rPr>
                <w:rStyle w:val="Bodytext13pt"/>
                <w:noProof/>
                <w:color w:val="auto"/>
                <w:sz w:val="24"/>
                <w:szCs w:val="24"/>
              </w:rPr>
              <w:t xml:space="preserve"> </w:t>
            </w:r>
            <w:r w:rsidRPr="00EB6F6A">
              <w:rPr>
                <w:rStyle w:val="Bodytext13pt"/>
                <w:noProof/>
                <w:color w:val="auto"/>
                <w:sz w:val="24"/>
                <w:szCs w:val="24"/>
              </w:rPr>
              <w:t xml:space="preserve">776 </w:t>
            </w:r>
            <w:r w:rsidRPr="00EB6F6A">
              <w:rPr>
                <w:rStyle w:val="Bodytext13pt"/>
                <w:i/>
                <w:noProof/>
                <w:color w:val="auto"/>
                <w:sz w:val="24"/>
                <w:szCs w:val="24"/>
              </w:rPr>
              <w:t>euro</w:t>
            </w:r>
            <w:r w:rsidRPr="00EB6F6A">
              <w:rPr>
                <w:rStyle w:val="Bodytext13pt"/>
                <w:noProof/>
                <w:color w:val="auto"/>
                <w:sz w:val="24"/>
                <w:szCs w:val="24"/>
              </w:rPr>
              <w:t xml:space="preserve"> (tai skaitā atalgojums 1</w:t>
            </w:r>
            <w:r w:rsidR="0009662C" w:rsidRPr="00EB6F6A">
              <w:rPr>
                <w:rStyle w:val="Bodytext13pt"/>
                <w:noProof/>
                <w:color w:val="auto"/>
                <w:sz w:val="24"/>
                <w:szCs w:val="24"/>
              </w:rPr>
              <w:t> </w:t>
            </w:r>
            <w:r w:rsidRPr="00EB6F6A">
              <w:rPr>
                <w:rStyle w:val="Bodytext13pt"/>
                <w:noProof/>
                <w:color w:val="auto"/>
                <w:sz w:val="24"/>
                <w:szCs w:val="24"/>
              </w:rPr>
              <w:t>726</w:t>
            </w:r>
            <w:r w:rsidR="0009662C" w:rsidRPr="00EB6F6A">
              <w:rPr>
                <w:rStyle w:val="Bodytext13pt"/>
                <w:noProof/>
                <w:color w:val="auto"/>
                <w:sz w:val="24"/>
                <w:szCs w:val="24"/>
              </w:rPr>
              <w:t> </w:t>
            </w:r>
            <w:r w:rsidRPr="00EB6F6A">
              <w:rPr>
                <w:rStyle w:val="Bodytext13pt"/>
                <w:noProof/>
                <w:color w:val="auto"/>
                <w:sz w:val="24"/>
                <w:szCs w:val="24"/>
              </w:rPr>
              <w:t xml:space="preserve">812 </w:t>
            </w:r>
            <w:r w:rsidRPr="00EB6F6A">
              <w:rPr>
                <w:rStyle w:val="Bodytext13pt"/>
                <w:i/>
                <w:noProof/>
                <w:color w:val="auto"/>
                <w:sz w:val="24"/>
                <w:szCs w:val="24"/>
              </w:rPr>
              <w:t>euro</w:t>
            </w:r>
            <w:r w:rsidRPr="00EB6F6A">
              <w:rPr>
                <w:rStyle w:val="Bodytext13pt"/>
                <w:noProof/>
                <w:color w:val="auto"/>
                <w:sz w:val="24"/>
                <w:szCs w:val="24"/>
              </w:rPr>
              <w:t>), preces un pakalpojumi 957</w:t>
            </w:r>
            <w:r w:rsidR="0009662C" w:rsidRPr="00EB6F6A">
              <w:rPr>
                <w:rStyle w:val="Bodytext13pt"/>
                <w:noProof/>
                <w:color w:val="auto"/>
                <w:sz w:val="24"/>
                <w:szCs w:val="24"/>
              </w:rPr>
              <w:t> </w:t>
            </w:r>
            <w:r w:rsidRPr="00EB6F6A">
              <w:rPr>
                <w:rStyle w:val="Bodytext13pt"/>
                <w:noProof/>
                <w:color w:val="auto"/>
                <w:sz w:val="24"/>
                <w:szCs w:val="24"/>
              </w:rPr>
              <w:t xml:space="preserve">313 </w:t>
            </w:r>
            <w:r w:rsidRPr="00EB6F6A">
              <w:rPr>
                <w:rStyle w:val="Bodytext13pt"/>
                <w:i/>
                <w:noProof/>
                <w:color w:val="auto"/>
                <w:sz w:val="24"/>
                <w:szCs w:val="24"/>
              </w:rPr>
              <w:t>euro</w:t>
            </w:r>
            <w:r w:rsidRPr="00EB6F6A">
              <w:rPr>
                <w:rStyle w:val="Bodytext13pt"/>
                <w:noProof/>
                <w:color w:val="auto"/>
                <w:sz w:val="24"/>
                <w:szCs w:val="24"/>
              </w:rPr>
              <w:t>; kapitālie izdevumi 81</w:t>
            </w:r>
            <w:r w:rsidR="0009662C" w:rsidRPr="00EB6F6A">
              <w:rPr>
                <w:rStyle w:val="Bodytext13pt"/>
                <w:noProof/>
                <w:color w:val="auto"/>
                <w:sz w:val="24"/>
                <w:szCs w:val="24"/>
              </w:rPr>
              <w:t> </w:t>
            </w:r>
            <w:r w:rsidRPr="00EB6F6A">
              <w:rPr>
                <w:rStyle w:val="Bodytext13pt"/>
                <w:noProof/>
                <w:color w:val="auto"/>
                <w:sz w:val="24"/>
                <w:szCs w:val="24"/>
              </w:rPr>
              <w:t xml:space="preserve">860 </w:t>
            </w:r>
            <w:r w:rsidRPr="00EB6F6A">
              <w:rPr>
                <w:rStyle w:val="Bodytext13pt"/>
                <w:i/>
                <w:noProof/>
                <w:color w:val="auto"/>
                <w:sz w:val="24"/>
                <w:szCs w:val="24"/>
              </w:rPr>
              <w:t>euro</w:t>
            </w:r>
            <w:r w:rsidRPr="00EB6F6A">
              <w:rPr>
                <w:rStyle w:val="Bodytext13pt"/>
                <w:noProof/>
                <w:color w:val="auto"/>
                <w:sz w:val="24"/>
                <w:szCs w:val="24"/>
              </w:rPr>
              <w:t>.</w:t>
            </w:r>
          </w:p>
        </w:tc>
      </w:tr>
      <w:tr w:rsidR="00204A68"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Borders>
              <w:top w:val="single" w:sz="4" w:space="0" w:color="auto"/>
              <w:left w:val="single" w:sz="4" w:space="0" w:color="auto"/>
              <w:bottom w:val="single" w:sz="4" w:space="0" w:color="auto"/>
              <w:right w:val="single" w:sz="4" w:space="0" w:color="auto"/>
            </w:tcBorders>
          </w:tcPr>
          <w:p w:rsidR="00204A68" w:rsidRPr="00EB6F6A" w:rsidRDefault="00204A68" w:rsidP="00772140">
            <w:pPr>
              <w:pStyle w:val="NoSpacing"/>
              <w:rPr>
                <w:lang w:val="lv-LV"/>
              </w:rPr>
            </w:pPr>
            <w:r w:rsidRPr="00EB6F6A">
              <w:rPr>
                <w:lang w:val="lv-LV"/>
              </w:rPr>
              <w:t>6.1. detalizēts ieņēmumu aprēķins</w:t>
            </w:r>
          </w:p>
        </w:tc>
        <w:tc>
          <w:tcPr>
            <w:tcW w:w="3656" w:type="pct"/>
            <w:gridSpan w:val="8"/>
            <w:vMerge/>
            <w:tcBorders>
              <w:top w:val="single" w:sz="4" w:space="0" w:color="auto"/>
              <w:left w:val="single" w:sz="4" w:space="0" w:color="auto"/>
              <w:bottom w:val="single" w:sz="4" w:space="0" w:color="auto"/>
              <w:right w:val="single" w:sz="4" w:space="0" w:color="auto"/>
            </w:tcBorders>
          </w:tcPr>
          <w:p w:rsidR="00204A68" w:rsidRPr="00EB6F6A" w:rsidRDefault="00204A68" w:rsidP="00772140">
            <w:pPr>
              <w:pStyle w:val="naisf"/>
              <w:spacing w:before="0" w:after="0"/>
              <w:ind w:firstLine="0"/>
              <w:jc w:val="left"/>
              <w:rPr>
                <w:i/>
                <w:lang w:val="lv-LV"/>
              </w:rPr>
            </w:pPr>
          </w:p>
        </w:tc>
      </w:tr>
      <w:tr w:rsidR="00204A68" w:rsidRPr="00EB6F6A"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Borders>
              <w:top w:val="single" w:sz="4" w:space="0" w:color="auto"/>
              <w:left w:val="single" w:sz="4" w:space="0" w:color="auto"/>
              <w:bottom w:val="single" w:sz="4" w:space="0" w:color="auto"/>
              <w:right w:val="single" w:sz="4" w:space="0" w:color="auto"/>
            </w:tcBorders>
          </w:tcPr>
          <w:p w:rsidR="00204A68" w:rsidRPr="00EB6F6A" w:rsidRDefault="00204A68" w:rsidP="00772140">
            <w:pPr>
              <w:pStyle w:val="NoSpacing"/>
              <w:rPr>
                <w:lang w:val="lv-LV"/>
              </w:rPr>
            </w:pPr>
            <w:r w:rsidRPr="00EB6F6A">
              <w:rPr>
                <w:lang w:val="lv-LV"/>
              </w:rPr>
              <w:t>6.2. detalizēts izdevumu aprēķins</w:t>
            </w:r>
          </w:p>
        </w:tc>
        <w:tc>
          <w:tcPr>
            <w:tcW w:w="3656" w:type="pct"/>
            <w:gridSpan w:val="8"/>
            <w:vMerge/>
            <w:tcBorders>
              <w:top w:val="single" w:sz="4" w:space="0" w:color="auto"/>
              <w:left w:val="single" w:sz="4" w:space="0" w:color="auto"/>
              <w:bottom w:val="single" w:sz="4" w:space="0" w:color="auto"/>
              <w:right w:val="single" w:sz="4" w:space="0" w:color="auto"/>
            </w:tcBorders>
          </w:tcPr>
          <w:p w:rsidR="00204A68" w:rsidRPr="00EB6F6A" w:rsidRDefault="00204A68" w:rsidP="00772140">
            <w:pPr>
              <w:pStyle w:val="naisf"/>
              <w:spacing w:before="0" w:after="0"/>
              <w:ind w:firstLine="0"/>
              <w:jc w:val="left"/>
              <w:rPr>
                <w:i/>
                <w:lang w:val="lv-LV"/>
              </w:rPr>
            </w:pPr>
          </w:p>
        </w:tc>
      </w:tr>
      <w:tr w:rsidR="00204A68" w:rsidRPr="00FE0001"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wBefore w:w="20" w:type="pct"/>
          <w:jc w:val="center"/>
        </w:trPr>
        <w:tc>
          <w:tcPr>
            <w:tcW w:w="1323" w:type="pct"/>
            <w:gridSpan w:val="4"/>
            <w:tcBorders>
              <w:top w:val="single" w:sz="4" w:space="0" w:color="auto"/>
              <w:left w:val="single" w:sz="4" w:space="0" w:color="auto"/>
              <w:bottom w:val="single" w:sz="4" w:space="0" w:color="auto"/>
              <w:right w:val="single" w:sz="4" w:space="0" w:color="auto"/>
            </w:tcBorders>
          </w:tcPr>
          <w:p w:rsidR="00204A68" w:rsidRPr="00EB6F6A" w:rsidRDefault="00204A68" w:rsidP="00772140">
            <w:pPr>
              <w:pStyle w:val="NoSpacing"/>
              <w:rPr>
                <w:lang w:val="lv-LV"/>
              </w:rPr>
            </w:pPr>
            <w:r w:rsidRPr="00EB6F6A">
              <w:rPr>
                <w:lang w:val="lv-LV"/>
              </w:rPr>
              <w:lastRenderedPageBreak/>
              <w:t>7. Cita informācija</w:t>
            </w:r>
          </w:p>
        </w:tc>
        <w:tc>
          <w:tcPr>
            <w:tcW w:w="3656" w:type="pct"/>
            <w:gridSpan w:val="8"/>
            <w:tcBorders>
              <w:top w:val="single" w:sz="4" w:space="0" w:color="auto"/>
              <w:left w:val="single" w:sz="4" w:space="0" w:color="auto"/>
              <w:bottom w:val="single" w:sz="4" w:space="0" w:color="auto"/>
              <w:right w:val="single" w:sz="4" w:space="0" w:color="auto"/>
            </w:tcBorders>
          </w:tcPr>
          <w:p w:rsidR="00AB4A1B" w:rsidRPr="00EB6F6A" w:rsidRDefault="00204A68" w:rsidP="00AB4A1B">
            <w:pPr>
              <w:tabs>
                <w:tab w:val="left" w:pos="5940"/>
              </w:tabs>
              <w:spacing w:after="0" w:line="240" w:lineRule="auto"/>
              <w:jc w:val="both"/>
              <w:rPr>
                <w:rFonts w:ascii="Times New Roman" w:eastAsia="Calibri" w:hAnsi="Times New Roman" w:cs="Times New Roman"/>
                <w:noProof/>
                <w:sz w:val="24"/>
                <w:szCs w:val="24"/>
                <w:lang w:val="lv-LV" w:eastAsia="en-US"/>
              </w:rPr>
            </w:pPr>
            <w:r w:rsidRPr="00EB6F6A">
              <w:rPr>
                <w:rFonts w:ascii="Times New Roman" w:hAnsi="Times New Roman" w:cs="Times New Roman"/>
                <w:sz w:val="24"/>
                <w:szCs w:val="24"/>
                <w:lang w:val="lv-LV"/>
              </w:rPr>
              <w:t>Papildu finansējuma pieprasījums Slimību un profilakses kontroles centram 201</w:t>
            </w:r>
            <w:r w:rsidR="00AB4A1B" w:rsidRPr="00EB6F6A">
              <w:rPr>
                <w:rFonts w:ascii="Times New Roman" w:hAnsi="Times New Roman" w:cs="Times New Roman"/>
                <w:sz w:val="24"/>
                <w:szCs w:val="24"/>
                <w:lang w:val="lv-LV"/>
              </w:rPr>
              <w:t>7</w:t>
            </w:r>
            <w:r w:rsidRPr="00EB6F6A">
              <w:rPr>
                <w:rFonts w:ascii="Times New Roman" w:hAnsi="Times New Roman" w:cs="Times New Roman"/>
                <w:sz w:val="24"/>
                <w:szCs w:val="24"/>
                <w:lang w:val="lv-LV"/>
              </w:rPr>
              <w:t>., 201</w:t>
            </w:r>
            <w:r w:rsidR="00AB4A1B" w:rsidRPr="00EB6F6A">
              <w:rPr>
                <w:rFonts w:ascii="Times New Roman" w:hAnsi="Times New Roman" w:cs="Times New Roman"/>
                <w:sz w:val="24"/>
                <w:szCs w:val="24"/>
                <w:lang w:val="lv-LV"/>
              </w:rPr>
              <w:t>8</w:t>
            </w:r>
            <w:r w:rsidRPr="00EB6F6A">
              <w:rPr>
                <w:rFonts w:ascii="Times New Roman" w:hAnsi="Times New Roman" w:cs="Times New Roman"/>
                <w:sz w:val="24"/>
                <w:szCs w:val="24"/>
                <w:lang w:val="lv-LV"/>
              </w:rPr>
              <w:t>. un 201</w:t>
            </w:r>
            <w:r w:rsidR="00AB4A1B" w:rsidRPr="00EB6F6A">
              <w:rPr>
                <w:rFonts w:ascii="Times New Roman" w:hAnsi="Times New Roman" w:cs="Times New Roman"/>
                <w:sz w:val="24"/>
                <w:szCs w:val="24"/>
                <w:lang w:val="lv-LV"/>
              </w:rPr>
              <w:t>9</w:t>
            </w:r>
            <w:r w:rsidRPr="00EB6F6A">
              <w:rPr>
                <w:rFonts w:ascii="Times New Roman" w:hAnsi="Times New Roman" w:cs="Times New Roman"/>
                <w:sz w:val="24"/>
                <w:szCs w:val="24"/>
                <w:lang w:val="lv-LV"/>
              </w:rPr>
              <w:t xml:space="preserve">.gadam </w:t>
            </w:r>
            <w:r w:rsidR="00AB4A1B" w:rsidRPr="00EB6F6A">
              <w:rPr>
                <w:rFonts w:ascii="Times New Roman" w:hAnsi="Times New Roman" w:cs="Times New Roman"/>
                <w:sz w:val="24"/>
                <w:szCs w:val="24"/>
                <w:lang w:val="lv-LV"/>
              </w:rPr>
              <w:t>tiks</w:t>
            </w:r>
            <w:r w:rsidRPr="00EB6F6A">
              <w:rPr>
                <w:rFonts w:ascii="Times New Roman" w:hAnsi="Times New Roman" w:cs="Times New Roman"/>
                <w:sz w:val="24"/>
                <w:szCs w:val="24"/>
                <w:lang w:val="lv-LV"/>
              </w:rPr>
              <w:t xml:space="preserve"> iekļauts jaunajās politikas iniciatīvās,  ko Veselības ministrija saskaņā ar Ministru kabineta </w:t>
            </w:r>
            <w:r w:rsidR="00AB4A1B" w:rsidRPr="00EB6F6A">
              <w:rPr>
                <w:rFonts w:ascii="Times New Roman" w:eastAsia="Calibri" w:hAnsi="Times New Roman" w:cs="Times New Roman"/>
                <w:sz w:val="24"/>
                <w:szCs w:val="24"/>
                <w:lang w:val="lv-LV" w:eastAsia="en-US"/>
              </w:rPr>
              <w:t xml:space="preserve">2016.gada 23.februāra sēdes protokola Nr.9, 20.§ akceptēto likumprojekta „Par valsts budžetu 2017.gadam” un likumprojekta „Par vidēja termiņa budžeta ietvaru 2017., 2018. un 2019.gadam” sagatavošanas grafiku iesniegs Finanšu ministrijā un </w:t>
            </w:r>
            <w:r w:rsidR="00AB4A1B" w:rsidRPr="00EB6F6A">
              <w:rPr>
                <w:rFonts w:ascii="Times New Roman" w:eastAsia="Calibri" w:hAnsi="Times New Roman" w:cs="Times New Roman"/>
                <w:noProof/>
                <w:sz w:val="24"/>
                <w:szCs w:val="24"/>
                <w:lang w:val="lv-LV" w:eastAsia="en-US"/>
              </w:rPr>
              <w:t>Pārresoru koordinācijas centrā (</w:t>
            </w:r>
            <w:r w:rsidR="00AB4A1B" w:rsidRPr="00EB6F6A">
              <w:rPr>
                <w:rFonts w:ascii="Times New Roman" w:eastAsia="Calibri" w:hAnsi="Times New Roman" w:cs="Times New Roman"/>
                <w:bCs/>
                <w:noProof/>
                <w:sz w:val="24"/>
                <w:szCs w:val="24"/>
                <w:shd w:val="clear" w:color="auto" w:fill="FFFFFF"/>
                <w:lang w:val="lv-LV" w:eastAsia="lv-LV" w:bidi="lv-LV"/>
              </w:rPr>
              <w:t>jaunās politikas iniciatīvas „Veselības veici</w:t>
            </w:r>
            <w:r w:rsidR="00AB4A1B" w:rsidRPr="00EB6F6A">
              <w:rPr>
                <w:rFonts w:ascii="Times New Roman" w:eastAsia="Calibri" w:hAnsi="Times New Roman" w:cs="Times New Roman"/>
                <w:bCs/>
                <w:noProof/>
                <w:sz w:val="24"/>
                <w:szCs w:val="24"/>
                <w:shd w:val="clear" w:color="auto" w:fill="FFFFFF"/>
                <w:lang w:val="lv-LV" w:eastAsia="lv-LV" w:bidi="lv-LV"/>
              </w:rPr>
              <w:softHyphen/>
              <w:t>nāšana” ietvaros).</w:t>
            </w:r>
            <w:r w:rsidR="00AB4A1B" w:rsidRPr="00EB6F6A">
              <w:rPr>
                <w:rFonts w:ascii="Times New Roman" w:eastAsia="Calibri" w:hAnsi="Times New Roman" w:cs="Times New Roman"/>
                <w:noProof/>
                <w:sz w:val="24"/>
                <w:szCs w:val="24"/>
                <w:lang w:val="lv-LV" w:eastAsia="en-US"/>
              </w:rPr>
              <w:t xml:space="preserve"> </w:t>
            </w:r>
          </w:p>
          <w:p w:rsidR="00204A68" w:rsidRPr="00EB6F6A" w:rsidRDefault="00AB4A1B" w:rsidP="005A4A91">
            <w:pPr>
              <w:tabs>
                <w:tab w:val="left" w:pos="5940"/>
              </w:tabs>
              <w:spacing w:after="0" w:line="240" w:lineRule="auto"/>
              <w:jc w:val="both"/>
              <w:rPr>
                <w:rFonts w:ascii="Times New Roman" w:hAnsi="Times New Roman" w:cs="Times New Roman"/>
                <w:sz w:val="24"/>
                <w:szCs w:val="24"/>
                <w:lang w:val="lv-LV"/>
              </w:rPr>
            </w:pPr>
            <w:r w:rsidRPr="00EB6F6A">
              <w:rPr>
                <w:rFonts w:ascii="Times New Roman" w:eastAsia="Calibri" w:hAnsi="Times New Roman" w:cs="Times New Roman"/>
                <w:noProof/>
                <w:sz w:val="24"/>
                <w:szCs w:val="24"/>
                <w:lang w:val="lv-LV" w:eastAsia="en-US"/>
              </w:rPr>
              <w:t>Jautājums par papildus valsts budžeta līdzekļu piešķiršanu 2017., 2018. un 2019.gadam skatāms Ministru kabinetā kopā ar visu ministriju un citu centrālo valsts iestāžu priekš</w:t>
            </w:r>
            <w:r w:rsidRPr="00EB6F6A">
              <w:rPr>
                <w:rFonts w:ascii="Times New Roman" w:eastAsia="Calibri" w:hAnsi="Times New Roman" w:cs="Times New Roman"/>
                <w:noProof/>
                <w:sz w:val="24"/>
                <w:szCs w:val="24"/>
                <w:lang w:val="lv-LV" w:eastAsia="en-US"/>
              </w:rPr>
              <w:softHyphen/>
              <w:t>likumiem jaunajām politikas iniciatīvām likum</w:t>
            </w:r>
            <w:r w:rsidRPr="00EB6F6A">
              <w:rPr>
                <w:rFonts w:ascii="Times New Roman" w:eastAsia="Calibri" w:hAnsi="Times New Roman" w:cs="Times New Roman"/>
                <w:noProof/>
                <w:sz w:val="24"/>
                <w:szCs w:val="24"/>
                <w:lang w:val="lv-LV" w:eastAsia="en-US"/>
              </w:rPr>
              <w:softHyphen/>
              <w:t>projekta „Par valsts budžetu 2017.gadam” un likumprojekta „Par vidēja termiņa budžeta ietvaru 2017., 2018. un 2019.gadam” sagatavošanas un izskatīšanas</w:t>
            </w:r>
            <w:r w:rsidRPr="00EB6F6A">
              <w:rPr>
                <w:rFonts w:ascii="Times New Roman" w:eastAsia="Calibri" w:hAnsi="Times New Roman" w:cs="Times New Roman"/>
                <w:sz w:val="24"/>
                <w:szCs w:val="24"/>
                <w:lang w:val="lv-LV" w:eastAsia="en-US"/>
              </w:rPr>
              <w:t xml:space="preserve"> procesā atbilstoši valsts budžeta finansiālajām iespējām.</w:t>
            </w:r>
          </w:p>
        </w:tc>
      </w:tr>
      <w:tr w:rsidR="00204A68" w:rsidRPr="00FE0001" w:rsidTr="00232C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1E0"/>
        </w:tblPrEx>
        <w:trPr>
          <w:gridBefore w:val="1"/>
          <w:gridAfter w:val="2"/>
          <w:wBefore w:w="20" w:type="pct"/>
          <w:wAfter w:w="571" w:type="pct"/>
          <w:jc w:val="center"/>
        </w:trPr>
        <w:tc>
          <w:tcPr>
            <w:tcW w:w="4408" w:type="pct"/>
            <w:gridSpan w:val="10"/>
            <w:tcBorders>
              <w:top w:val="single" w:sz="4" w:space="0" w:color="auto"/>
              <w:left w:val="nil"/>
              <w:bottom w:val="nil"/>
              <w:right w:val="nil"/>
            </w:tcBorders>
          </w:tcPr>
          <w:p w:rsidR="00204A68" w:rsidRPr="00EB6F6A" w:rsidRDefault="00204A68" w:rsidP="00B12A6E">
            <w:pPr>
              <w:tabs>
                <w:tab w:val="left" w:pos="5940"/>
              </w:tabs>
              <w:spacing w:after="0" w:line="240" w:lineRule="auto"/>
              <w:jc w:val="both"/>
              <w:rPr>
                <w:rFonts w:ascii="Times New Roman" w:hAnsi="Times New Roman" w:cs="Times New Roman"/>
                <w:sz w:val="24"/>
                <w:szCs w:val="24"/>
                <w:lang w:val="lv-LV"/>
              </w:rPr>
            </w:pPr>
          </w:p>
        </w:tc>
      </w:tr>
      <w:tr w:rsidR="00204A68" w:rsidRPr="00FE0001" w:rsidTr="001337B8">
        <w:trPr>
          <w:gridAfter w:val="1"/>
          <w:wAfter w:w="38" w:type="pct"/>
          <w:trHeight w:val="450"/>
        </w:trPr>
        <w:tc>
          <w:tcPr>
            <w:tcW w:w="4962" w:type="pct"/>
            <w:gridSpan w:val="1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04A68" w:rsidRPr="00EB6F6A" w:rsidRDefault="00204A68" w:rsidP="00775E2E">
            <w:pPr>
              <w:pStyle w:val="NoSpacing"/>
              <w:jc w:val="both"/>
              <w:rPr>
                <w:b/>
                <w:lang w:val="lv-LV"/>
              </w:rPr>
            </w:pPr>
            <w:r w:rsidRPr="00EB6F6A">
              <w:rPr>
                <w:b/>
                <w:lang w:val="lv-LV"/>
              </w:rPr>
              <w:t>IV. Tiesību akta projekta ietekme uz spēkā esošo tiesību normu sistēmu</w:t>
            </w:r>
          </w:p>
        </w:tc>
      </w:tr>
      <w:tr w:rsidR="00204A68" w:rsidRPr="00FE0001" w:rsidTr="001337B8">
        <w:trPr>
          <w:gridAfter w:val="1"/>
          <w:wAfter w:w="38" w:type="pct"/>
        </w:trPr>
        <w:tc>
          <w:tcPr>
            <w:tcW w:w="38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04A68" w:rsidRPr="00EB6F6A" w:rsidRDefault="00204A68" w:rsidP="00775E2E">
            <w:pPr>
              <w:pStyle w:val="NoSpacing"/>
              <w:jc w:val="both"/>
              <w:rPr>
                <w:lang w:val="lv-LV"/>
              </w:rPr>
            </w:pPr>
            <w:r w:rsidRPr="00EB6F6A">
              <w:rPr>
                <w:lang w:val="lv-LV"/>
              </w:rPr>
              <w:t>1.</w:t>
            </w:r>
          </w:p>
        </w:tc>
        <w:tc>
          <w:tcPr>
            <w:tcW w:w="14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04A68" w:rsidRPr="00EB6F6A" w:rsidRDefault="00204A68" w:rsidP="00775E2E">
            <w:pPr>
              <w:pStyle w:val="NoSpacing"/>
              <w:jc w:val="both"/>
              <w:rPr>
                <w:lang w:val="lv-LV"/>
              </w:rPr>
            </w:pPr>
            <w:r w:rsidRPr="00EB6F6A">
              <w:rPr>
                <w:lang w:val="lv-LV"/>
              </w:rPr>
              <w:t>Nepieciešamie saistītie tiesību aktu projekti</w:t>
            </w:r>
          </w:p>
        </w:tc>
        <w:tc>
          <w:tcPr>
            <w:tcW w:w="3085"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204A68" w:rsidRPr="00EB6F6A" w:rsidRDefault="00204A68" w:rsidP="00813AF1">
            <w:pPr>
              <w:spacing w:after="0" w:line="240" w:lineRule="auto"/>
              <w:jc w:val="both"/>
              <w:rPr>
                <w:rFonts w:ascii="Times New Roman" w:eastAsia="Times New Roman" w:hAnsi="Times New Roman" w:cs="Times New Roman"/>
                <w:bCs/>
                <w:sz w:val="24"/>
                <w:szCs w:val="24"/>
                <w:lang w:val="lv-LV" w:eastAsia="lv-LV"/>
              </w:rPr>
            </w:pPr>
            <w:r w:rsidRPr="00EB6F6A">
              <w:rPr>
                <w:rFonts w:ascii="Times New Roman" w:eastAsia="Times New Roman" w:hAnsi="Times New Roman" w:cs="Times New Roman"/>
                <w:bCs/>
                <w:sz w:val="24"/>
                <w:szCs w:val="24"/>
                <w:lang w:val="lv-LV" w:eastAsia="lv-LV"/>
              </w:rPr>
              <w:t>Grozījumi 2015.gada 12.maija Ministru kabineta noteikumos Nr.220</w:t>
            </w:r>
            <w:r w:rsidRPr="00EB6F6A">
              <w:rPr>
                <w:rFonts w:ascii="Times New Roman" w:eastAsia="Times New Roman" w:hAnsi="Times New Roman" w:cs="Times New Roman"/>
                <w:sz w:val="24"/>
                <w:szCs w:val="24"/>
                <w:lang w:val="lv-LV" w:eastAsia="lv-LV"/>
              </w:rPr>
              <w:t> „</w:t>
            </w:r>
            <w:r w:rsidRPr="00EB6F6A">
              <w:rPr>
                <w:rFonts w:ascii="Times New Roman" w:eastAsia="Times New Roman" w:hAnsi="Times New Roman" w:cs="Times New Roman"/>
                <w:bCs/>
                <w:sz w:val="24"/>
                <w:szCs w:val="24"/>
                <w:lang w:val="lv-LV" w:eastAsia="lv-LV"/>
              </w:rPr>
              <w:t xml:space="preserve">Kārtība, kādā alkoholiskos dzērienus un tabakas izstrādājumus marķē ar akcīzes nodokļa markām”.  </w:t>
            </w:r>
          </w:p>
          <w:p w:rsidR="00204A68" w:rsidRPr="00EB6F6A" w:rsidRDefault="00204A68">
            <w:pPr>
              <w:spacing w:after="0" w:line="240" w:lineRule="auto"/>
              <w:jc w:val="both"/>
              <w:rPr>
                <w:rFonts w:ascii="Times New Roman" w:hAnsi="Times New Roman" w:cs="Times New Roman"/>
                <w:sz w:val="24"/>
                <w:szCs w:val="24"/>
                <w:lang w:val="lv-LV"/>
              </w:rPr>
            </w:pPr>
          </w:p>
        </w:tc>
      </w:tr>
      <w:tr w:rsidR="00204A68" w:rsidRPr="00EB6F6A" w:rsidTr="001337B8">
        <w:trPr>
          <w:gridAfter w:val="1"/>
          <w:wAfter w:w="38" w:type="pct"/>
        </w:trPr>
        <w:tc>
          <w:tcPr>
            <w:tcW w:w="38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04A68" w:rsidRPr="00EB6F6A" w:rsidRDefault="00204A68" w:rsidP="001B3285">
            <w:pPr>
              <w:pStyle w:val="NoSpacing"/>
              <w:jc w:val="both"/>
              <w:rPr>
                <w:lang w:val="lv-LV"/>
              </w:rPr>
            </w:pPr>
            <w:r w:rsidRPr="00EB6F6A">
              <w:rPr>
                <w:lang w:val="lv-LV"/>
              </w:rPr>
              <w:t>2.</w:t>
            </w:r>
          </w:p>
        </w:tc>
        <w:tc>
          <w:tcPr>
            <w:tcW w:w="14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04A68" w:rsidRPr="00EB6F6A" w:rsidRDefault="00204A68" w:rsidP="001B3285">
            <w:pPr>
              <w:pStyle w:val="NoSpacing"/>
              <w:jc w:val="both"/>
              <w:rPr>
                <w:lang w:val="lv-LV"/>
              </w:rPr>
            </w:pPr>
            <w:r w:rsidRPr="00EB6F6A">
              <w:rPr>
                <w:lang w:val="lv-LV"/>
              </w:rPr>
              <w:t>Atbildīgā institūcija</w:t>
            </w:r>
          </w:p>
        </w:tc>
        <w:tc>
          <w:tcPr>
            <w:tcW w:w="3085"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204A68" w:rsidRPr="00EB6F6A" w:rsidRDefault="00204A68" w:rsidP="009E56F0">
            <w:pPr>
              <w:pStyle w:val="NoSpacing"/>
              <w:jc w:val="both"/>
              <w:rPr>
                <w:lang w:val="lv-LV"/>
              </w:rPr>
            </w:pPr>
            <w:r w:rsidRPr="00EB6F6A">
              <w:rPr>
                <w:lang w:val="lv-LV"/>
              </w:rPr>
              <w:t xml:space="preserve">Finanšu ministrija </w:t>
            </w:r>
          </w:p>
        </w:tc>
      </w:tr>
      <w:tr w:rsidR="00204A68" w:rsidRPr="00FE0001" w:rsidTr="001337B8">
        <w:trPr>
          <w:gridAfter w:val="1"/>
          <w:wAfter w:w="38" w:type="pct"/>
        </w:trPr>
        <w:tc>
          <w:tcPr>
            <w:tcW w:w="38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04A68" w:rsidRPr="00EB6F6A" w:rsidRDefault="00204A68" w:rsidP="001B3285">
            <w:pPr>
              <w:pStyle w:val="NoSpacing"/>
              <w:jc w:val="both"/>
              <w:rPr>
                <w:lang w:val="lv-LV"/>
              </w:rPr>
            </w:pPr>
            <w:r w:rsidRPr="00EB6F6A">
              <w:rPr>
                <w:lang w:val="lv-LV"/>
              </w:rPr>
              <w:t>3.</w:t>
            </w:r>
          </w:p>
        </w:tc>
        <w:tc>
          <w:tcPr>
            <w:tcW w:w="14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04A68" w:rsidRPr="00EB6F6A" w:rsidRDefault="00204A68" w:rsidP="001B3285">
            <w:pPr>
              <w:pStyle w:val="NoSpacing"/>
              <w:jc w:val="both"/>
              <w:rPr>
                <w:lang w:val="lv-LV"/>
              </w:rPr>
            </w:pPr>
            <w:r w:rsidRPr="00EB6F6A">
              <w:rPr>
                <w:lang w:val="lv-LV"/>
              </w:rPr>
              <w:t>Cita informācija</w:t>
            </w:r>
          </w:p>
        </w:tc>
        <w:tc>
          <w:tcPr>
            <w:tcW w:w="3085"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204A68" w:rsidRPr="00EB6F6A" w:rsidRDefault="00204A68" w:rsidP="00813AF1">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Ministru kabineta 2015.gada 21.maija noteikumu Nr.220 III un IV daļa nosaka, kā uz smēķēšanai paredzētu tabakas izstrādājumu iepakojuma izvietojama akcīzes nodokļa marka. Atbilstoši spēkā esošajam regulējumam, attiecībā uz tādiem smēķēšanai paredzētiem tabakas izstrādājumiem kā cigaretes, tinamā tabaka, ūdenspīpju un pīpju tabaka nevar tikt izpildītas Direktīvas 2014/40/ES 10.panta 1.punkta e) apakšpunktā (noteikumu projekta 18.5 punkts) noteiktās prasības </w:t>
            </w:r>
            <w:r w:rsidRPr="00EB6F6A">
              <w:rPr>
                <w:rFonts w:ascii="Times New Roman" w:hAnsi="Times New Roman" w:cs="Times New Roman"/>
                <w:sz w:val="24"/>
                <w:szCs w:val="24"/>
                <w:lang w:val="lv-LV"/>
              </w:rPr>
              <w:lastRenderedPageBreak/>
              <w:t xml:space="preserve">izvietot kombinēto brīdinājumu par ietekmi uz veselību iepakojuma vienības un jebkāda ārējā iepakojuma </w:t>
            </w:r>
            <w:r w:rsidRPr="00EB6F6A">
              <w:rPr>
                <w:rFonts w:ascii="Times New Roman" w:hAnsi="Times New Roman" w:cs="Times New Roman"/>
                <w:sz w:val="24"/>
                <w:szCs w:val="24"/>
                <w:u w:val="single"/>
                <w:lang w:val="lv-LV"/>
              </w:rPr>
              <w:t>augšējā malā</w:t>
            </w:r>
            <w:r w:rsidRPr="00EB6F6A">
              <w:rPr>
                <w:rFonts w:ascii="Times New Roman" w:hAnsi="Times New Roman" w:cs="Times New Roman"/>
                <w:sz w:val="24"/>
                <w:szCs w:val="24"/>
                <w:lang w:val="lv-LV"/>
              </w:rPr>
              <w:t xml:space="preserve">, jo akcīzes nodokļa marka aizklātu kombinēto brīdinājumu. </w:t>
            </w:r>
          </w:p>
          <w:p w:rsidR="00204A68" w:rsidRPr="00EB6F6A" w:rsidRDefault="00204A68" w:rsidP="00813AF1">
            <w:pPr>
              <w:spacing w:after="0" w:line="240" w:lineRule="auto"/>
              <w:jc w:val="both"/>
              <w:rPr>
                <w:rFonts w:ascii="Times New Roman" w:eastAsia="Times New Roman" w:hAnsi="Times New Roman" w:cs="Times New Roman"/>
                <w:bCs/>
                <w:sz w:val="24"/>
                <w:szCs w:val="24"/>
                <w:lang w:val="lv-LV" w:eastAsia="lv-LV"/>
              </w:rPr>
            </w:pPr>
            <w:r w:rsidRPr="00EB6F6A">
              <w:rPr>
                <w:rFonts w:ascii="Times New Roman" w:eastAsia="Times New Roman" w:hAnsi="Times New Roman" w:cs="Times New Roman"/>
                <w:bCs/>
                <w:sz w:val="24"/>
                <w:szCs w:val="24"/>
                <w:lang w:val="lv-LV" w:eastAsia="lv-LV"/>
              </w:rPr>
              <w:t xml:space="preserve">Latvija nav vienīgā valsts, kam nepieciešams mainīt spēkā esošo regulējumu attiecībā uz akcīzes nodokļa markas novietojumu, tāpēc Direktīvas 2014/40/ES 10.panta 1.punkta i) un </w:t>
            </w:r>
            <w:proofErr w:type="spellStart"/>
            <w:r w:rsidRPr="00EB6F6A">
              <w:rPr>
                <w:rFonts w:ascii="Times New Roman" w:eastAsia="Times New Roman" w:hAnsi="Times New Roman" w:cs="Times New Roman"/>
                <w:bCs/>
                <w:sz w:val="24"/>
                <w:szCs w:val="24"/>
                <w:lang w:val="lv-LV" w:eastAsia="lv-LV"/>
              </w:rPr>
              <w:t>ii</w:t>
            </w:r>
            <w:proofErr w:type="spellEnd"/>
            <w:r w:rsidRPr="00EB6F6A">
              <w:rPr>
                <w:rFonts w:ascii="Times New Roman" w:eastAsia="Times New Roman" w:hAnsi="Times New Roman" w:cs="Times New Roman"/>
                <w:bCs/>
                <w:sz w:val="24"/>
                <w:szCs w:val="24"/>
                <w:lang w:val="lv-LV" w:eastAsia="lv-LV"/>
              </w:rPr>
              <w:t xml:space="preserve">) apakšpunkti paredz, ka dalībvalstis, kurās fiskāliem nolūkiem lietotas nodokļu markas vai valsts identifikācijas zīmes joprojām ir obligātas, atsevišķiem smēķēšanai paredzētu tabakas izstrādājumu iepakojumiem var piemērot izņēmumus  attiecībā uz veidu, kā tiek izvietoti kombinētie brīdinājumi par ietekmi uz veselību. Tiek noteikts, ka šādus atvieglinātus nosacījumus var piemērot uz trīs gadu laikposmu no 2016.gada 20.maija. </w:t>
            </w:r>
          </w:p>
          <w:p w:rsidR="00204A68" w:rsidRPr="00EB6F6A" w:rsidRDefault="00204A68" w:rsidP="00111159">
            <w:pPr>
              <w:spacing w:after="0" w:line="240" w:lineRule="auto"/>
              <w:jc w:val="both"/>
              <w:rPr>
                <w:rFonts w:ascii="Times New Roman" w:hAnsi="Times New Roman" w:cs="Times New Roman"/>
                <w:b/>
                <w:sz w:val="24"/>
                <w:szCs w:val="24"/>
                <w:lang w:val="lv-LV"/>
              </w:rPr>
            </w:pPr>
            <w:r w:rsidRPr="00EB6F6A">
              <w:rPr>
                <w:rFonts w:ascii="Times New Roman" w:eastAsia="Times New Roman" w:hAnsi="Times New Roman" w:cs="Times New Roman"/>
                <w:bCs/>
                <w:sz w:val="24"/>
                <w:szCs w:val="24"/>
                <w:lang w:val="lv-LV" w:eastAsia="lv-LV"/>
              </w:rPr>
              <w:t>Atbilstoši augstāk minētajam, noteikumu projekta 39.punkts paredz, ka l</w:t>
            </w:r>
            <w:r w:rsidRPr="00EB6F6A">
              <w:rPr>
                <w:rFonts w:ascii="Times New Roman" w:hAnsi="Times New Roman" w:cs="Times New Roman"/>
                <w:sz w:val="24"/>
                <w:szCs w:val="24"/>
                <w:lang w:val="lv-LV"/>
              </w:rPr>
              <w:t xml:space="preserve">īdz 2019.gada 19.maijam kombinētos brīdinājumus par ietekmi uz veselību, kas drukāti uz kartona iepakojuma vienības aizmugurējās virsmas, novieto </w:t>
            </w:r>
            <w:r w:rsidRPr="00EB6F6A">
              <w:rPr>
                <w:rFonts w:ascii="Times New Roman" w:hAnsi="Times New Roman" w:cs="Times New Roman"/>
                <w:sz w:val="24"/>
                <w:szCs w:val="24"/>
                <w:u w:val="single"/>
                <w:lang w:val="lv-LV"/>
              </w:rPr>
              <w:t>tieši zem</w:t>
            </w:r>
            <w:r w:rsidRPr="00EB6F6A">
              <w:rPr>
                <w:rFonts w:ascii="Times New Roman" w:hAnsi="Times New Roman" w:cs="Times New Roman"/>
                <w:sz w:val="24"/>
                <w:szCs w:val="24"/>
                <w:lang w:val="lv-LV"/>
              </w:rPr>
              <w:t xml:space="preserve"> akcīzes nodokļa markas. Savukārt, ja iepakojuma vienība ir ražota no mīksta materiāla, akcīzes nodokļu marku var ievietot taisnstūra laukumā tā, lai akcīzes nodokļa markas augstums nepārsniedz 13 mm starp iepakojuma augšējo malu un kombinēto brīdinājumu par ietekmi uz veselību augšējo malu. Vienlaikus tiek noteikts, ka zīmolvārdus vai logotipus nenovieto virs brīdinājuma par ietekmi uz veselību.</w:t>
            </w:r>
            <w:r w:rsidRPr="00EB6F6A">
              <w:rPr>
                <w:rFonts w:ascii="Times New Roman" w:hAnsi="Times New Roman" w:cs="Times New Roman"/>
                <w:b/>
                <w:sz w:val="24"/>
                <w:szCs w:val="24"/>
                <w:lang w:val="lv-LV"/>
              </w:rPr>
              <w:t xml:space="preserve"> </w:t>
            </w:r>
          </w:p>
        </w:tc>
      </w:tr>
    </w:tbl>
    <w:p w:rsidR="00E101BB" w:rsidRPr="00EB6F6A" w:rsidRDefault="00E101BB" w:rsidP="00E101BB">
      <w:pPr>
        <w:pStyle w:val="NoSpacing"/>
        <w:jc w:val="both"/>
        <w:rPr>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2647"/>
        <w:gridCol w:w="6140"/>
      </w:tblGrid>
      <w:tr w:rsidR="00E101BB" w:rsidRPr="00FE0001" w:rsidTr="005A4A91">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EB6F6A" w:rsidRDefault="00E101BB" w:rsidP="001B3285">
            <w:pPr>
              <w:pStyle w:val="NoSpacing"/>
              <w:jc w:val="both"/>
              <w:rPr>
                <w:b/>
                <w:lang w:val="lv-LV"/>
              </w:rPr>
            </w:pPr>
            <w:r w:rsidRPr="00EB6F6A">
              <w:rPr>
                <w:b/>
                <w:lang w:val="lv-LV"/>
              </w:rPr>
              <w:t>V. Tiesību akta projekta atbilstība Latvijas Republikas starptautiskajām saistībām</w:t>
            </w:r>
          </w:p>
        </w:tc>
      </w:tr>
      <w:tr w:rsidR="00E101BB" w:rsidRPr="00FE0001" w:rsidTr="005A4A91">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067EF1" w:rsidP="001B3285">
            <w:pPr>
              <w:pStyle w:val="NoSpacing"/>
              <w:jc w:val="both"/>
              <w:rPr>
                <w:lang w:val="lv-LV"/>
              </w:rPr>
            </w:pPr>
            <w:r w:rsidRPr="00EB6F6A">
              <w:rPr>
                <w:lang w:val="lv-LV"/>
              </w:rPr>
              <w:t>1.</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Saistības pret Eiropas Savienību</w:t>
            </w:r>
          </w:p>
        </w:tc>
        <w:tc>
          <w:tcPr>
            <w:tcW w:w="3321" w:type="pct"/>
            <w:tcBorders>
              <w:top w:val="outset" w:sz="6" w:space="0" w:color="414142"/>
              <w:left w:val="outset" w:sz="6" w:space="0" w:color="414142"/>
              <w:bottom w:val="outset" w:sz="6" w:space="0" w:color="414142"/>
              <w:right w:val="outset" w:sz="6" w:space="0" w:color="414142"/>
            </w:tcBorders>
            <w:shd w:val="clear" w:color="auto" w:fill="FFFFFF"/>
            <w:hideMark/>
          </w:tcPr>
          <w:p w:rsidR="00675EFF" w:rsidRPr="00EB6F6A" w:rsidRDefault="00E101BB" w:rsidP="00A97858">
            <w:pPr>
              <w:pStyle w:val="NoSpacing"/>
              <w:jc w:val="both"/>
              <w:rPr>
                <w:lang w:val="lv-LV"/>
              </w:rPr>
            </w:pPr>
            <w:r w:rsidRPr="00EB6F6A">
              <w:rPr>
                <w:lang w:val="lv-LV"/>
              </w:rPr>
              <w:t xml:space="preserve">Ar </w:t>
            </w:r>
            <w:r w:rsidR="00675EFF" w:rsidRPr="00EB6F6A">
              <w:rPr>
                <w:lang w:val="lv-LV"/>
              </w:rPr>
              <w:t>noteikumu projektu</w:t>
            </w:r>
            <w:r w:rsidRPr="00EB6F6A">
              <w:rPr>
                <w:lang w:val="lv-LV"/>
              </w:rPr>
              <w:t xml:space="preserve"> tiek ieviestas</w:t>
            </w:r>
            <w:r w:rsidR="00675EFF" w:rsidRPr="00EB6F6A">
              <w:rPr>
                <w:lang w:val="lv-LV"/>
              </w:rPr>
              <w:t xml:space="preserve"> noteiktās prasības atbilstoši šādiem ES tiesību aktiem: </w:t>
            </w:r>
          </w:p>
          <w:p w:rsidR="00675EFF" w:rsidRPr="00EB6F6A" w:rsidRDefault="00A579A4" w:rsidP="00675EFF">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1) </w:t>
            </w:r>
            <w:r w:rsidR="00675EFF" w:rsidRPr="00EB6F6A">
              <w:rPr>
                <w:rFonts w:ascii="Times New Roman" w:hAnsi="Times New Roman" w:cs="Times New Roman"/>
                <w:sz w:val="24"/>
                <w:szCs w:val="24"/>
                <w:lang w:val="lv-LV"/>
              </w:rPr>
              <w:t>Eiropas Parlamenta un Padomes 2014.gada 3.aprīļa direktīva</w:t>
            </w:r>
            <w:r w:rsidR="00F51A04" w:rsidRPr="00EB6F6A">
              <w:rPr>
                <w:rFonts w:ascii="Times New Roman" w:hAnsi="Times New Roman" w:cs="Times New Roman"/>
                <w:sz w:val="24"/>
                <w:szCs w:val="24"/>
                <w:lang w:val="lv-LV"/>
              </w:rPr>
              <w:t xml:space="preserve"> 20</w:t>
            </w:r>
            <w:r w:rsidR="00675EFF" w:rsidRPr="00EB6F6A">
              <w:rPr>
                <w:rFonts w:ascii="Times New Roman" w:hAnsi="Times New Roman" w:cs="Times New Roman"/>
                <w:sz w:val="24"/>
                <w:szCs w:val="24"/>
                <w:lang w:val="lv-LV"/>
              </w:rPr>
              <w:t>1</w:t>
            </w:r>
            <w:r w:rsidR="00F51A04" w:rsidRPr="00EB6F6A">
              <w:rPr>
                <w:rFonts w:ascii="Times New Roman" w:hAnsi="Times New Roman" w:cs="Times New Roman"/>
                <w:sz w:val="24"/>
                <w:szCs w:val="24"/>
                <w:lang w:val="lv-LV"/>
              </w:rPr>
              <w:t>4</w:t>
            </w:r>
            <w:r w:rsidR="00675EFF" w:rsidRPr="00EB6F6A">
              <w:rPr>
                <w:rFonts w:ascii="Times New Roman" w:hAnsi="Times New Roman" w:cs="Times New Roman"/>
                <w:sz w:val="24"/>
                <w:szCs w:val="24"/>
                <w:lang w:val="lv-LV"/>
              </w:rPr>
              <w:t xml:space="preserve">/40/ES par dalībvalstu normatīvo un administratīvo aktu tuvināšanu attiecībā uz tabakas un saistīto izstrādājumu ražošanu, noformēšanu un pārdošanu un ar ko atceļ Direktīvu 2001/37/EK; </w:t>
            </w:r>
          </w:p>
          <w:p w:rsidR="00A579A4" w:rsidRPr="00EB6F6A" w:rsidRDefault="00A579A4"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 Eiropas Komisijas 2012.gada 7.marta direktīva 2012/9/ES ar ko groza I pielikumu Eiropas Parlamenta un Padomes Direktīvā 2001/37/EK par dalībvalstu normatīvo un administratīvo aktu tuvināšanu attiecībā uz tabakas izstrādājumu ražošanu, noformēšanu un pārdošanu; </w:t>
            </w:r>
          </w:p>
          <w:p w:rsidR="00A579A4" w:rsidRPr="00EB6F6A" w:rsidRDefault="00A579A4" w:rsidP="00A579A4">
            <w:pPr>
              <w:autoSpaceDE w:val="0"/>
              <w:autoSpaceDN w:val="0"/>
              <w:adjustRightInd w:val="0"/>
              <w:spacing w:after="0" w:line="240" w:lineRule="auto"/>
              <w:jc w:val="both"/>
              <w:rPr>
                <w:rFonts w:ascii="Times New Roman" w:hAnsi="Times New Roman" w:cs="Times New Roman"/>
                <w:sz w:val="24"/>
                <w:szCs w:val="24"/>
                <w:lang w:val="pt-PT"/>
              </w:rPr>
            </w:pPr>
            <w:r w:rsidRPr="00EB6F6A">
              <w:rPr>
                <w:rFonts w:ascii="Times New Roman" w:hAnsi="Times New Roman" w:cs="Times New Roman"/>
                <w:sz w:val="24"/>
                <w:szCs w:val="24"/>
                <w:lang w:val="pt-PT"/>
              </w:rPr>
              <w:t xml:space="preserve">3)Eiropas Komisijas 2014.gada 12.marta direktīva 2014/39/EK ar ko groza Direktīvu 2012/9/ES attiecībā uz tās transponēšanas datumu un pārejas perioda beigu termiņu; </w:t>
            </w:r>
          </w:p>
          <w:p w:rsidR="00675EFF" w:rsidRPr="00EB6F6A" w:rsidRDefault="00A579A4" w:rsidP="00675EFF">
            <w:pPr>
              <w:autoSpaceDE w:val="0"/>
              <w:autoSpaceDN w:val="0"/>
              <w:adjustRightInd w:val="0"/>
              <w:spacing w:after="0" w:line="240" w:lineRule="auto"/>
              <w:jc w:val="both"/>
              <w:rPr>
                <w:rFonts w:ascii="Times New Roman" w:hAnsi="Times New Roman" w:cs="Times New Roman"/>
                <w:sz w:val="24"/>
                <w:szCs w:val="24"/>
                <w:shd w:val="clear" w:color="auto" w:fill="FFFFFF"/>
                <w:lang w:val="pt-PT"/>
              </w:rPr>
            </w:pPr>
            <w:r w:rsidRPr="00EB6F6A">
              <w:rPr>
                <w:rFonts w:ascii="Times New Roman" w:hAnsi="Times New Roman" w:cs="Times New Roman"/>
                <w:sz w:val="24"/>
                <w:szCs w:val="24"/>
                <w:lang w:val="pt-PT"/>
              </w:rPr>
              <w:t>4)</w:t>
            </w:r>
            <w:r w:rsidR="00675EFF" w:rsidRPr="00EB6F6A">
              <w:rPr>
                <w:rFonts w:ascii="Times New Roman" w:hAnsi="Times New Roman" w:cs="Times New Roman"/>
                <w:sz w:val="24"/>
                <w:szCs w:val="24"/>
                <w:lang w:val="pt-PT"/>
              </w:rPr>
              <w:t xml:space="preserve">Eiropas Komisijas 2015.gada 13.jūlija direktīva 2015/1139 ar ko Direktīvu 2012/9/ES groza attiecībā uz tās </w:t>
            </w:r>
            <w:r w:rsidR="00675EFF" w:rsidRPr="00EB6F6A">
              <w:rPr>
                <w:rFonts w:ascii="Times New Roman" w:hAnsi="Times New Roman" w:cs="Times New Roman"/>
                <w:sz w:val="24"/>
                <w:szCs w:val="24"/>
                <w:lang w:val="pt-PT"/>
              </w:rPr>
              <w:lastRenderedPageBreak/>
              <w:t xml:space="preserve">transponēšanas datumu un pārejas perioda beigu termiņu; </w:t>
            </w:r>
          </w:p>
          <w:p w:rsidR="00675EFF" w:rsidRPr="00EB6F6A" w:rsidRDefault="00675EFF" w:rsidP="00675EFF">
            <w:pPr>
              <w:autoSpaceDE w:val="0"/>
              <w:autoSpaceDN w:val="0"/>
              <w:adjustRightInd w:val="0"/>
              <w:spacing w:after="0" w:line="240" w:lineRule="auto"/>
              <w:jc w:val="both"/>
              <w:rPr>
                <w:rFonts w:ascii="Times New Roman" w:hAnsi="Times New Roman" w:cs="Times New Roman"/>
                <w:sz w:val="24"/>
                <w:szCs w:val="24"/>
                <w:lang w:val="pt-PT"/>
              </w:rPr>
            </w:pPr>
            <w:r w:rsidRPr="00EB6F6A">
              <w:rPr>
                <w:rFonts w:ascii="Times New Roman" w:hAnsi="Times New Roman" w:cs="Times New Roman"/>
                <w:sz w:val="24"/>
                <w:szCs w:val="24"/>
                <w:lang w:val="pt-PT"/>
              </w:rPr>
              <w:t xml:space="preserve">5) 2014.gada 10.oktobra Eiropas Komisijas deleģētā direktīva 2014/109/ES ar ko groza Eiropas Parlamenta un Padomes Direktīvas 2014/40/ES II pielikumu, izveidojot galeriju ar ilustratīviem brīdinājumiem, kuri jāizvieto uz tabakas izstrādājumiem;  </w:t>
            </w:r>
          </w:p>
          <w:p w:rsidR="00675EFF" w:rsidRPr="00EB6F6A" w:rsidRDefault="00675EFF" w:rsidP="00675EFF">
            <w:pPr>
              <w:autoSpaceDE w:val="0"/>
              <w:autoSpaceDN w:val="0"/>
              <w:adjustRightInd w:val="0"/>
              <w:spacing w:after="0" w:line="240" w:lineRule="auto"/>
              <w:jc w:val="both"/>
              <w:rPr>
                <w:rFonts w:ascii="Times New Roman" w:hAnsi="Times New Roman" w:cs="Times New Roman"/>
                <w:sz w:val="24"/>
                <w:szCs w:val="24"/>
                <w:lang w:val="pt-PT"/>
              </w:rPr>
            </w:pPr>
            <w:r w:rsidRPr="00EB6F6A">
              <w:rPr>
                <w:rFonts w:ascii="Times New Roman" w:hAnsi="Times New Roman" w:cs="Times New Roman"/>
                <w:sz w:val="24"/>
                <w:szCs w:val="24"/>
                <w:lang w:val="pt-PT"/>
              </w:rPr>
              <w:t xml:space="preserve">6) Eiropas Komisijas 2015.gada 24.septembra īstenošanas lēmums (ES) 2015/1735 par vispārīgā brīdinājuma un informatīvā uzraksta precīzu izvietojumu uz tinamās tabakas, ko pārdod  maisiņos; </w:t>
            </w:r>
          </w:p>
          <w:p w:rsidR="00633A1C" w:rsidRPr="00EB6F6A" w:rsidRDefault="00675EFF" w:rsidP="00675EFF">
            <w:pPr>
              <w:autoSpaceDE w:val="0"/>
              <w:autoSpaceDN w:val="0"/>
              <w:adjustRightInd w:val="0"/>
              <w:spacing w:after="0" w:line="240" w:lineRule="auto"/>
              <w:jc w:val="both"/>
              <w:rPr>
                <w:rFonts w:ascii="Times New Roman" w:hAnsi="Times New Roman" w:cs="Times New Roman"/>
                <w:sz w:val="24"/>
                <w:szCs w:val="24"/>
                <w:lang w:val="pt-PT"/>
              </w:rPr>
            </w:pPr>
            <w:r w:rsidRPr="00EB6F6A">
              <w:rPr>
                <w:rFonts w:ascii="Times New Roman" w:hAnsi="Times New Roman" w:cs="Times New Roman"/>
                <w:sz w:val="24"/>
                <w:szCs w:val="24"/>
                <w:lang w:val="pt-PT"/>
              </w:rPr>
              <w:t xml:space="preserve">7) Eiropas Komisijas 2015.gada 9.oktobra īstenošanas lēmums (ES) par kombinēto brīdinājumu par smēķēšanai paredzēto tabakas izstrādājumu ietekmi uz veselību izvietojuma, dizaina un formas tehniskajām specifikācijām. </w:t>
            </w:r>
          </w:p>
        </w:tc>
      </w:tr>
      <w:tr w:rsidR="00E101BB" w:rsidRPr="00EB6F6A" w:rsidTr="005A4A91">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lastRenderedPageBreak/>
              <w:t>2.</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Citas starptautiskās saistības</w:t>
            </w:r>
          </w:p>
        </w:tc>
        <w:tc>
          <w:tcPr>
            <w:tcW w:w="3321"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A97858" w:rsidP="000709FD">
            <w:pPr>
              <w:pStyle w:val="NoSpacing"/>
              <w:jc w:val="both"/>
              <w:rPr>
                <w:lang w:val="lv-LV"/>
              </w:rPr>
            </w:pPr>
            <w:r w:rsidRPr="00EB6F6A">
              <w:rPr>
                <w:lang w:val="lv-LV"/>
              </w:rPr>
              <w:t>Nav</w:t>
            </w:r>
          </w:p>
        </w:tc>
      </w:tr>
      <w:tr w:rsidR="00E101BB" w:rsidRPr="00EB6F6A" w:rsidTr="005A4A91">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3.</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Cita informācija</w:t>
            </w:r>
          </w:p>
        </w:tc>
        <w:tc>
          <w:tcPr>
            <w:tcW w:w="3321" w:type="pct"/>
            <w:tcBorders>
              <w:top w:val="outset" w:sz="6" w:space="0" w:color="414142"/>
              <w:left w:val="outset" w:sz="6" w:space="0" w:color="414142"/>
              <w:bottom w:val="outset" w:sz="6" w:space="0" w:color="414142"/>
              <w:right w:val="outset" w:sz="6" w:space="0" w:color="414142"/>
            </w:tcBorders>
            <w:shd w:val="clear" w:color="auto" w:fill="FFFFFF"/>
            <w:hideMark/>
          </w:tcPr>
          <w:p w:rsidR="004112E3" w:rsidRPr="00EB6F6A" w:rsidRDefault="00A97858" w:rsidP="001E1C1B">
            <w:pPr>
              <w:pStyle w:val="NoSpacing"/>
              <w:jc w:val="both"/>
              <w:rPr>
                <w:lang w:val="lv-LV"/>
              </w:rPr>
            </w:pPr>
            <w:r w:rsidRPr="00EB6F6A">
              <w:rPr>
                <w:lang w:val="lv-LV"/>
              </w:rPr>
              <w:t>Nav</w:t>
            </w:r>
          </w:p>
        </w:tc>
      </w:tr>
    </w:tbl>
    <w:p w:rsidR="00E101BB" w:rsidRPr="00EB6F6A" w:rsidRDefault="00E101BB" w:rsidP="00E101BB">
      <w:pPr>
        <w:pStyle w:val="NoSpacing"/>
        <w:jc w:val="both"/>
        <w:rPr>
          <w:lang w:val="lv-LV"/>
        </w:rPr>
      </w:pPr>
    </w:p>
    <w:p w:rsidR="00DA30E1" w:rsidRPr="00EB6F6A" w:rsidRDefault="00DA30E1" w:rsidP="00E101BB">
      <w:pPr>
        <w:pStyle w:val="NoSpacing"/>
        <w:jc w:val="both"/>
        <w:rPr>
          <w:lang w:val="lv-LV"/>
        </w:rPr>
      </w:pPr>
    </w:p>
    <w:tbl>
      <w:tblPr>
        <w:tblW w:w="508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802"/>
        <w:gridCol w:w="2080"/>
        <w:gridCol w:w="2239"/>
        <w:gridCol w:w="2171"/>
      </w:tblGrid>
      <w:tr w:rsidR="00E101BB" w:rsidRPr="00FE0001" w:rsidTr="00D85869">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EB6F6A" w:rsidRDefault="00E101BB" w:rsidP="001B3285">
            <w:pPr>
              <w:pStyle w:val="NoSpacing"/>
              <w:jc w:val="both"/>
              <w:rPr>
                <w:b/>
                <w:lang w:val="lv-LV"/>
              </w:rPr>
            </w:pPr>
            <w:r w:rsidRPr="00EB6F6A">
              <w:rPr>
                <w:b/>
                <w:lang w:val="lv-LV"/>
              </w:rPr>
              <w:t>1.</w:t>
            </w:r>
            <w:r w:rsidR="007911CC" w:rsidRPr="00EB6F6A">
              <w:rPr>
                <w:b/>
                <w:lang w:val="lv-LV"/>
              </w:rPr>
              <w:t>a.</w:t>
            </w:r>
            <w:r w:rsidRPr="00EB6F6A">
              <w:rPr>
                <w:b/>
                <w:lang w:val="lv-LV"/>
              </w:rPr>
              <w:t>tabula</w:t>
            </w:r>
            <w:r w:rsidRPr="00EB6F6A">
              <w:rPr>
                <w:b/>
                <w:lang w:val="lv-LV"/>
              </w:rPr>
              <w:br/>
              <w:t>Tiesību akta projekta atbilstība ES tiesību aktiem</w:t>
            </w:r>
          </w:p>
        </w:tc>
      </w:tr>
      <w:tr w:rsidR="00E101BB" w:rsidRPr="00FE0001" w:rsidTr="00D85869">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b/>
                <w:lang w:val="lv-LV"/>
              </w:rPr>
            </w:pPr>
            <w:r w:rsidRPr="00EB6F6A">
              <w:rPr>
                <w:b/>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A579A4" w:rsidP="0036018D">
            <w:pPr>
              <w:autoSpaceDE w:val="0"/>
              <w:autoSpaceDN w:val="0"/>
              <w:adjustRightInd w:val="0"/>
              <w:spacing w:after="0" w:line="240" w:lineRule="auto"/>
              <w:jc w:val="both"/>
              <w:rPr>
                <w:rFonts w:ascii="Times New Roman" w:hAnsi="Times New Roman" w:cs="Times New Roman"/>
                <w:b/>
                <w:sz w:val="24"/>
                <w:szCs w:val="24"/>
                <w:lang w:val="lv-LV"/>
              </w:rPr>
            </w:pPr>
            <w:r w:rsidRPr="00EB6F6A">
              <w:rPr>
                <w:rFonts w:ascii="Times New Roman" w:hAnsi="Times New Roman" w:cs="Times New Roman"/>
                <w:b/>
                <w:sz w:val="24"/>
                <w:szCs w:val="24"/>
                <w:lang w:val="lv-LV"/>
              </w:rPr>
              <w:t>Eiropas Parlamenta un Padomes 2014.gada 3.aprīļa direktīva</w:t>
            </w:r>
            <w:r w:rsidR="00123C55" w:rsidRPr="00EB6F6A">
              <w:rPr>
                <w:rFonts w:ascii="Times New Roman" w:hAnsi="Times New Roman" w:cs="Times New Roman"/>
                <w:b/>
                <w:sz w:val="24"/>
                <w:szCs w:val="24"/>
                <w:lang w:val="lv-LV"/>
              </w:rPr>
              <w:t>s</w:t>
            </w:r>
            <w:r w:rsidRPr="00EB6F6A">
              <w:rPr>
                <w:rFonts w:ascii="Times New Roman" w:hAnsi="Times New Roman" w:cs="Times New Roman"/>
                <w:b/>
                <w:sz w:val="24"/>
                <w:szCs w:val="24"/>
                <w:lang w:val="lv-LV"/>
              </w:rPr>
              <w:t xml:space="preserve"> 2014/40/ES </w:t>
            </w:r>
            <w:r w:rsidRPr="00EB6F6A">
              <w:rPr>
                <w:rFonts w:ascii="Times New Roman" w:hAnsi="Times New Roman" w:cs="Times New Roman"/>
                <w:b/>
                <w:i/>
                <w:sz w:val="24"/>
                <w:szCs w:val="24"/>
                <w:lang w:val="lv-LV"/>
              </w:rPr>
              <w:t>par dalībvalstu normatīvo un administratīvo aktu tuvināšanu attiecībā uz tabakas un saistīto izstrādājumu ražošanu, noformēšanu un pārdošanu un ar ko atceļ Direktīvu 2001/37/EK</w:t>
            </w:r>
            <w:r w:rsidRPr="00EB6F6A">
              <w:rPr>
                <w:rFonts w:ascii="Times New Roman" w:hAnsi="Times New Roman" w:cs="Times New Roman"/>
                <w:b/>
                <w:sz w:val="24"/>
                <w:szCs w:val="24"/>
                <w:lang w:val="lv-LV"/>
              </w:rPr>
              <w:t xml:space="preserve"> </w:t>
            </w:r>
          </w:p>
        </w:tc>
      </w:tr>
      <w:tr w:rsidR="00DC467B" w:rsidRPr="00EB6F6A" w:rsidTr="005E4DC5">
        <w:tc>
          <w:tcPr>
            <w:tcW w:w="15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EB6F6A" w:rsidRDefault="00E101BB" w:rsidP="001B3285">
            <w:pPr>
              <w:pStyle w:val="NoSpacing"/>
              <w:jc w:val="both"/>
              <w:rPr>
                <w:lang w:val="lv-LV"/>
              </w:rPr>
            </w:pPr>
            <w:r w:rsidRPr="00EB6F6A">
              <w:rPr>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EB6F6A" w:rsidRDefault="00E101BB" w:rsidP="001B3285">
            <w:pPr>
              <w:pStyle w:val="NoSpacing"/>
              <w:jc w:val="both"/>
              <w:rPr>
                <w:lang w:val="lv-LV"/>
              </w:rPr>
            </w:pPr>
            <w:r w:rsidRPr="00EB6F6A">
              <w:rPr>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EB6F6A" w:rsidRDefault="00E101BB" w:rsidP="001B3285">
            <w:pPr>
              <w:pStyle w:val="NoSpacing"/>
              <w:jc w:val="both"/>
              <w:rPr>
                <w:lang w:val="lv-LV"/>
              </w:rPr>
            </w:pPr>
            <w:r w:rsidRPr="00EB6F6A">
              <w:rPr>
                <w:lang w:val="lv-LV"/>
              </w:rPr>
              <w:t>C</w:t>
            </w:r>
          </w:p>
        </w:tc>
        <w:tc>
          <w:tcPr>
            <w:tcW w:w="11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EB6F6A" w:rsidRDefault="00E101BB" w:rsidP="001B3285">
            <w:pPr>
              <w:pStyle w:val="NoSpacing"/>
              <w:jc w:val="both"/>
              <w:rPr>
                <w:lang w:val="lv-LV"/>
              </w:rPr>
            </w:pPr>
            <w:r w:rsidRPr="00EB6F6A">
              <w:rPr>
                <w:lang w:val="lv-LV"/>
              </w:rPr>
              <w:t>D</w:t>
            </w:r>
          </w:p>
        </w:tc>
      </w:tr>
      <w:tr w:rsidR="00DC467B" w:rsidRPr="00FE0001" w:rsidTr="005E4DC5">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Attiecīgā ES tiesību akta panta numurs (uzskaitot katru tiesību akta vienību - pantu, daļu, punktu, 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Projekta vienība, kas pārņem vai ievieš katru šīs tabulas A ailē minēto ES tiesību akta vienību, vai tiesību akts, kur attiecīgā ES tiesību akta vienība 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Informācija par to, vai šīs tabulas A ailē minētās ES tiesību akta vienības tiek pārņemtas vai ieviestas pilnībā vai daļēji.</w:t>
            </w:r>
          </w:p>
          <w:p w:rsidR="00E101BB" w:rsidRPr="00EB6F6A" w:rsidRDefault="00E101BB" w:rsidP="001B3285">
            <w:pPr>
              <w:pStyle w:val="NoSpacing"/>
              <w:jc w:val="both"/>
              <w:rPr>
                <w:lang w:val="lv-LV"/>
              </w:rPr>
            </w:pPr>
            <w:r w:rsidRPr="00EB6F6A">
              <w:rPr>
                <w:lang w:val="lv-LV"/>
              </w:rPr>
              <w:t>Ja attiecīgā ES tiesību akta vienība tiek pārņemta vai ieviesta daļēji, sniedz attiecīgu skaidrojumu, kā arī precīzi norāda, kad un kādā veidā ES tiesību akta vienība tiks pārņemta vai ieviesta pilnībā.</w:t>
            </w:r>
          </w:p>
          <w:p w:rsidR="00E101BB" w:rsidRPr="00EB6F6A" w:rsidRDefault="00E101BB" w:rsidP="001B3285">
            <w:pPr>
              <w:pStyle w:val="NoSpacing"/>
              <w:jc w:val="both"/>
              <w:rPr>
                <w:lang w:val="lv-LV"/>
              </w:rPr>
            </w:pPr>
            <w:r w:rsidRPr="00EB6F6A">
              <w:rPr>
                <w:lang w:val="lv-LV"/>
              </w:rPr>
              <w:t>Norāda institūciju, kas ir atbildīga par šo saistību izpildi pilnībā</w:t>
            </w:r>
          </w:p>
        </w:tc>
        <w:tc>
          <w:tcPr>
            <w:tcW w:w="1168"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Informācija par to, vai šīs tabulas B ailē minētās projekta vienības paredz stingrākas prasības nekā šīs tabulas A ailē minētās ES tiesību akta vienības.</w:t>
            </w:r>
          </w:p>
          <w:p w:rsidR="00E101BB" w:rsidRPr="00EB6F6A" w:rsidRDefault="00E101BB" w:rsidP="001B3285">
            <w:pPr>
              <w:pStyle w:val="NoSpacing"/>
              <w:jc w:val="both"/>
              <w:rPr>
                <w:lang w:val="lv-LV"/>
              </w:rPr>
            </w:pPr>
            <w:r w:rsidRPr="00EB6F6A">
              <w:rPr>
                <w:lang w:val="lv-LV"/>
              </w:rPr>
              <w:t>Ja projekts satur stingrākas prasības nekā attiecīgais ES tiesību akts, norāda pamatojumu un samērīgumu.</w:t>
            </w:r>
          </w:p>
          <w:p w:rsidR="00E101BB" w:rsidRPr="00EB6F6A" w:rsidRDefault="00E101BB" w:rsidP="001B3285">
            <w:pPr>
              <w:pStyle w:val="NoSpacing"/>
              <w:jc w:val="both"/>
              <w:rPr>
                <w:lang w:val="lv-LV"/>
              </w:rPr>
            </w:pPr>
            <w:r w:rsidRPr="00EB6F6A">
              <w:rPr>
                <w:lang w:val="lv-LV"/>
              </w:rPr>
              <w:t xml:space="preserve">Norāda iespējamās alternatīvas (t.sk. alternatīvas, kas neparedz tiesiskā regulējuma izstrādi) - kādos gadījumos būtu </w:t>
            </w:r>
            <w:r w:rsidRPr="00EB6F6A">
              <w:rPr>
                <w:lang w:val="lv-LV"/>
              </w:rPr>
              <w:lastRenderedPageBreak/>
              <w:t>iespējams izvairīties no stingrāku prasību noteikšanas, nekā paredzēts attiecīgajos ES tiesību aktos</w:t>
            </w:r>
          </w:p>
        </w:tc>
      </w:tr>
      <w:tr w:rsidR="00487E7C" w:rsidRPr="00EB6F6A" w:rsidTr="00D85869">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487E7C" w:rsidRPr="00EB6F6A" w:rsidRDefault="00487E7C" w:rsidP="00A24790">
            <w:pPr>
              <w:pStyle w:val="NoSpacing"/>
              <w:jc w:val="both"/>
              <w:rPr>
                <w:lang w:val="lv-LV"/>
              </w:rPr>
            </w:pPr>
            <w:r w:rsidRPr="00EB6F6A">
              <w:rPr>
                <w:b/>
                <w:lang w:val="lv-LV"/>
              </w:rPr>
              <w:lastRenderedPageBreak/>
              <w:t xml:space="preserve">8.pants </w:t>
            </w:r>
          </w:p>
        </w:tc>
      </w:tr>
      <w:tr w:rsidR="00487E7C"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EB6F6A" w:rsidRDefault="00487E7C"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487E7C" w:rsidRPr="00EB6F6A" w:rsidRDefault="00487E7C" w:rsidP="00AC7EC0">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Likumprojekta </w:t>
            </w:r>
            <w:r w:rsidR="00AC7EC0" w:rsidRPr="00EB6F6A">
              <w:rPr>
                <w:rFonts w:ascii="Times New Roman" w:hAnsi="Times New Roman" w:cs="Times New Roman"/>
                <w:sz w:val="24"/>
                <w:szCs w:val="24"/>
                <w:lang w:val="lv-LV"/>
              </w:rPr>
              <w:t>„Tabakas izstrādājumu, augu smēķēšanas produktu, elektronisko smēķēšanas ierīču un to šķidrumu aprites likums” 7.pants</w:t>
            </w:r>
            <w:r w:rsidRPr="00EB6F6A">
              <w:rPr>
                <w:rFonts w:ascii="Times New Roman" w:hAnsi="Times New Roman" w:cs="Times New Roman"/>
                <w:sz w:val="24"/>
                <w:szCs w:val="24"/>
                <w:lang w:val="lv-LV"/>
              </w:rPr>
              <w:t xml:space="preserve">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487E7C" w:rsidRPr="00EB6F6A" w:rsidRDefault="00487E7C" w:rsidP="00A55E5B">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487E7C" w:rsidRPr="00EB6F6A" w:rsidRDefault="00850814" w:rsidP="0043053C">
            <w:pPr>
              <w:pStyle w:val="NoSpacing"/>
              <w:jc w:val="both"/>
              <w:rPr>
                <w:lang w:val="lv-LV"/>
              </w:rPr>
            </w:pPr>
            <w:r w:rsidRPr="00EB6F6A">
              <w:rPr>
                <w:lang w:val="lv-LV"/>
              </w:rPr>
              <w:t>Neparedz stingrākas prasības</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Neparedz stingrākas prasības</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3.punkts, 8.punkts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Neparedz stingrākas prasības</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4.punkts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4.punkts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Neparedz stingrākas prasības</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5.punkts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5.punkts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Neparedz stingrākas prasības</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6.punkts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6.punkts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Neparedz stingrākas prasības</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7.punkts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C7EC0">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 jo tā ir Eiropas Komisijas kompetence</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 xml:space="preserve">Nav attiecināms </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8.punkts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7.punkts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Neparedz stingrākas prasības</w:t>
            </w:r>
          </w:p>
        </w:tc>
      </w:tr>
      <w:tr w:rsidR="00AC7EC0" w:rsidRPr="00EB6F6A" w:rsidTr="00D85869">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AC7EC0" w:rsidRPr="00EB6F6A" w:rsidRDefault="00AC7EC0" w:rsidP="00A24790">
            <w:pPr>
              <w:pStyle w:val="NoSpacing"/>
              <w:jc w:val="both"/>
              <w:rPr>
                <w:lang w:val="lv-LV"/>
              </w:rPr>
            </w:pPr>
            <w:r w:rsidRPr="00EB6F6A">
              <w:rPr>
                <w:b/>
                <w:lang w:val="lv-LV"/>
              </w:rPr>
              <w:t>9.pants</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1.punkts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Likumprojekta „Tabakas izstrādājumu, augu smēķēšanas produktu, elektronisko smēķēšanas ierīču un to šķidrumu aprites likums” 7.pants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24790">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DC11F2">
            <w:pPr>
              <w:pStyle w:val="NoSpacing"/>
              <w:jc w:val="both"/>
              <w:rPr>
                <w:lang w:val="lv-LV"/>
              </w:rPr>
            </w:pPr>
            <w:r w:rsidRPr="00EB6F6A">
              <w:rPr>
                <w:lang w:val="lv-LV"/>
              </w:rPr>
              <w:t xml:space="preserve">Neparedz stingrākas prasības </w:t>
            </w:r>
          </w:p>
        </w:tc>
      </w:tr>
      <w:tr w:rsidR="00AC7EC0" w:rsidRPr="00FE0001"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2.punkts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Likumprojekta „Tabakas </w:t>
            </w:r>
            <w:r w:rsidRPr="00EB6F6A">
              <w:rPr>
                <w:rFonts w:ascii="Times New Roman" w:hAnsi="Times New Roman" w:cs="Times New Roman"/>
                <w:sz w:val="24"/>
                <w:szCs w:val="24"/>
                <w:lang w:val="lv-LV"/>
              </w:rPr>
              <w:lastRenderedPageBreak/>
              <w:t>izstrādājumu, augu smēķēšanas produktu, elektronisko smēķēšanas ierīču un to šķidrumu aprites likums” 7.pants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24790">
            <w:pPr>
              <w:pStyle w:val="NoSpacing"/>
              <w:jc w:val="both"/>
              <w:rPr>
                <w:lang w:val="lv-LV"/>
              </w:rPr>
            </w:pPr>
            <w:r w:rsidRPr="00EB6F6A">
              <w:rPr>
                <w:lang w:val="lv-LV"/>
              </w:rPr>
              <w:lastRenderedPageBreak/>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D44B79">
            <w:pPr>
              <w:pStyle w:val="NoSpacing"/>
              <w:jc w:val="both"/>
              <w:rPr>
                <w:lang w:val="lv-LV"/>
              </w:rPr>
            </w:pPr>
            <w:r w:rsidRPr="00EB6F6A">
              <w:rPr>
                <w:lang w:val="lv-LV"/>
              </w:rPr>
              <w:t xml:space="preserve">Paredz stingrākas prasības. </w:t>
            </w:r>
          </w:p>
          <w:p w:rsidR="00AC7EC0" w:rsidRPr="00EB6F6A" w:rsidRDefault="00AC7EC0" w:rsidP="00D44B79">
            <w:pPr>
              <w:pStyle w:val="NoSpacing"/>
              <w:jc w:val="both"/>
              <w:rPr>
                <w:lang w:val="lv-LV"/>
              </w:rPr>
            </w:pPr>
            <w:r w:rsidRPr="00EB6F6A">
              <w:rPr>
                <w:lang w:val="lv-LV"/>
              </w:rPr>
              <w:lastRenderedPageBreak/>
              <w:t>Tiek piemērota dalībvalsts rīcības  brīvība nepiemērot 11.pantu, tādējādi norma attiecināta uz visiem smēķēšanai paredzētiem tabakas izstrādājumiem.</w:t>
            </w:r>
          </w:p>
        </w:tc>
      </w:tr>
      <w:tr w:rsidR="00AC7EC0" w:rsidRPr="00FE0001"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AC7EC0">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lastRenderedPageBreak/>
              <w:t>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9.punkts, 10.punkts, 11.punkts, 12.punkts, 16.punkts.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AC7EC0">
            <w:pPr>
              <w:pStyle w:val="NoSpacing"/>
              <w:jc w:val="both"/>
              <w:rPr>
                <w:lang w:val="lv-LV"/>
              </w:rPr>
            </w:pPr>
            <w:r w:rsidRPr="00EB6F6A">
              <w:rPr>
                <w:lang w:val="lv-LV"/>
              </w:rPr>
              <w:t xml:space="preserve">Paredz stingrākas prasības. </w:t>
            </w:r>
          </w:p>
          <w:p w:rsidR="00AC7EC0" w:rsidRPr="00EB6F6A" w:rsidRDefault="00AC7EC0" w:rsidP="00AC7EC0">
            <w:pPr>
              <w:pStyle w:val="NoSpacing"/>
              <w:jc w:val="both"/>
              <w:rPr>
                <w:lang w:val="lv-LV"/>
              </w:rPr>
            </w:pPr>
            <w:r w:rsidRPr="00EB6F6A">
              <w:rPr>
                <w:lang w:val="lv-LV"/>
              </w:rPr>
              <w:t>Tiek piemērota dalībvalsts rīcības  brīvība nepiemērot 11.pantu, tādējādi norma attiecināta uz visiem smēķēšanai paredzētiem tabakas izstrādājumiem.</w:t>
            </w:r>
          </w:p>
        </w:tc>
      </w:tr>
      <w:tr w:rsidR="00AC7EC0" w:rsidRPr="00FE0001"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4.punkts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17.punkts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064AA8">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D52E3C">
            <w:pPr>
              <w:pStyle w:val="NoSpacing"/>
              <w:jc w:val="both"/>
              <w:rPr>
                <w:lang w:val="lv-LV"/>
              </w:rPr>
            </w:pPr>
            <w:r w:rsidRPr="00EB6F6A">
              <w:rPr>
                <w:lang w:val="lv-LV"/>
              </w:rPr>
              <w:t xml:space="preserve">Paredz stingrākas prasības. </w:t>
            </w:r>
          </w:p>
          <w:p w:rsidR="00AC7EC0" w:rsidRPr="00EB6F6A" w:rsidRDefault="00AC7EC0" w:rsidP="00D52E3C">
            <w:pPr>
              <w:pStyle w:val="NoSpacing"/>
              <w:jc w:val="both"/>
              <w:rPr>
                <w:lang w:val="lv-LV"/>
              </w:rPr>
            </w:pPr>
            <w:r w:rsidRPr="00EB6F6A">
              <w:rPr>
                <w:lang w:val="lv-LV"/>
              </w:rPr>
              <w:t>Tiek piemērota dalībvalsts rīcības  brīvība nepiemērot 11.pantu, tādējādi norma attiecināta uz visiem smēķēšanai paredzētiem tabakas izstrādājumiem.</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15D6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5.punkts</w:t>
            </w:r>
          </w:p>
          <w:p w:rsidR="00AC7EC0" w:rsidRPr="00EB6F6A" w:rsidRDefault="00AC7EC0" w:rsidP="00D15D65">
            <w:pPr>
              <w:autoSpaceDE w:val="0"/>
              <w:autoSpaceDN w:val="0"/>
              <w:adjustRightInd w:val="0"/>
              <w:spacing w:after="0" w:line="240" w:lineRule="auto"/>
              <w:jc w:val="both"/>
              <w:rPr>
                <w:rFonts w:ascii="Times New Roman" w:hAnsi="Times New Roman" w:cs="Times New Roman"/>
                <w:sz w:val="24"/>
                <w:szCs w:val="24"/>
                <w:lang w:val="lv-LV"/>
              </w:rPr>
            </w:pP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3F6C07">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 jo tā ir Eiropas Komisijas kompetence</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3F6C07">
            <w:pPr>
              <w:pStyle w:val="NoSpacing"/>
              <w:jc w:val="both"/>
              <w:rPr>
                <w:lang w:val="lv-LV"/>
              </w:rPr>
            </w:pPr>
            <w:r w:rsidRPr="00EB6F6A">
              <w:rPr>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3F6C07">
            <w:pPr>
              <w:pStyle w:val="NoSpacing"/>
              <w:jc w:val="both"/>
              <w:rPr>
                <w:lang w:val="lv-LV"/>
              </w:rPr>
            </w:pPr>
            <w:r w:rsidRPr="00EB6F6A">
              <w:rPr>
                <w:lang w:val="lv-LV"/>
              </w:rPr>
              <w:t xml:space="preserve">Nav attiecināms </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15D6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6.punkts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3F6C07">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 jo tā ir Eiropas Komisijas kompetence</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3F6C07">
            <w:pPr>
              <w:pStyle w:val="NoSpacing"/>
              <w:jc w:val="both"/>
              <w:rPr>
                <w:lang w:val="lv-LV"/>
              </w:rPr>
            </w:pPr>
            <w:r w:rsidRPr="00EB6F6A">
              <w:rPr>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3F6C07">
            <w:pPr>
              <w:pStyle w:val="NoSpacing"/>
              <w:jc w:val="both"/>
              <w:rPr>
                <w:lang w:val="lv-LV"/>
              </w:rPr>
            </w:pPr>
            <w:r w:rsidRPr="00EB6F6A">
              <w:rPr>
                <w:lang w:val="lv-LV"/>
              </w:rPr>
              <w:t xml:space="preserve">Nav attiecināms </w:t>
            </w:r>
          </w:p>
        </w:tc>
      </w:tr>
      <w:tr w:rsidR="00AC7EC0" w:rsidRPr="00EB6F6A" w:rsidTr="00D85869">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AC7EC0" w:rsidRPr="00EB6F6A" w:rsidRDefault="00AC7EC0" w:rsidP="00A24790">
            <w:pPr>
              <w:pStyle w:val="NoSpacing"/>
              <w:jc w:val="both"/>
              <w:rPr>
                <w:lang w:val="lv-LV"/>
              </w:rPr>
            </w:pPr>
            <w:r w:rsidRPr="00EB6F6A">
              <w:rPr>
                <w:b/>
                <w:lang w:val="lv-LV"/>
              </w:rPr>
              <w:t xml:space="preserve">10.pants </w:t>
            </w:r>
          </w:p>
        </w:tc>
      </w:tr>
      <w:tr w:rsidR="00AC7EC0" w:rsidRPr="00FE0001"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08300B">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15768">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18.punkts</w:t>
            </w:r>
          </w:p>
          <w:p w:rsidR="0021365B" w:rsidRPr="00EB6F6A" w:rsidRDefault="0021365B" w:rsidP="00D15768">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39.punkts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24790">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A00CE2">
            <w:pPr>
              <w:pStyle w:val="NoSpacing"/>
              <w:jc w:val="both"/>
              <w:rPr>
                <w:lang w:val="lv-LV"/>
              </w:rPr>
            </w:pPr>
            <w:r w:rsidRPr="00EB6F6A">
              <w:rPr>
                <w:lang w:val="lv-LV"/>
              </w:rPr>
              <w:t xml:space="preserve">Paredz stingrākas prasības. </w:t>
            </w:r>
          </w:p>
          <w:p w:rsidR="00AC7EC0" w:rsidRPr="00EB6F6A" w:rsidRDefault="00AC7EC0" w:rsidP="00A00CE2">
            <w:pPr>
              <w:pStyle w:val="NoSpacing"/>
              <w:jc w:val="both"/>
              <w:rPr>
                <w:lang w:val="lv-LV"/>
              </w:rPr>
            </w:pPr>
            <w:r w:rsidRPr="00EB6F6A">
              <w:rPr>
                <w:lang w:val="lv-LV"/>
              </w:rPr>
              <w:t>Tiek piemērota dalībvalsts rīcības  brīvība nepiemērot 11.pantu, tādējādi norma attiecināta uz visiem smēķēšanai paredzētiem tabakas izstrādājumiem.</w:t>
            </w:r>
          </w:p>
        </w:tc>
      </w:tr>
      <w:tr w:rsidR="00AC7EC0" w:rsidRPr="00FE0001"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436099">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lastRenderedPageBreak/>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19.punkts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91337C">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436099">
            <w:pPr>
              <w:pStyle w:val="NoSpacing"/>
              <w:jc w:val="both"/>
              <w:rPr>
                <w:lang w:val="lv-LV"/>
              </w:rPr>
            </w:pPr>
            <w:r w:rsidRPr="00EB6F6A">
              <w:rPr>
                <w:lang w:val="lv-LV"/>
              </w:rPr>
              <w:t xml:space="preserve">Paredz stingrākas prasības. </w:t>
            </w:r>
          </w:p>
          <w:p w:rsidR="00AC7EC0" w:rsidRPr="00EB6F6A" w:rsidRDefault="00AC7EC0" w:rsidP="00436099">
            <w:pPr>
              <w:pStyle w:val="NoSpacing"/>
              <w:jc w:val="both"/>
              <w:rPr>
                <w:lang w:val="lv-LV"/>
              </w:rPr>
            </w:pPr>
            <w:r w:rsidRPr="00EB6F6A">
              <w:rPr>
                <w:lang w:val="lv-LV"/>
              </w:rPr>
              <w:t>Tiek piemērota dalībvalsts rīcības  brīvība nepiemērot 11.pantu, tādējādi norma attiecināta uz visiem smēķēšanai paredzētiem tabakas izstrādājumiem.</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4869B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3.punkts, 4.punkts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3F6C07">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 jo tā ir Eiropas Komisijas kompetence</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3F6C07">
            <w:pPr>
              <w:pStyle w:val="NoSpacing"/>
              <w:jc w:val="both"/>
              <w:rPr>
                <w:lang w:val="lv-LV"/>
              </w:rPr>
            </w:pPr>
            <w:r w:rsidRPr="00EB6F6A">
              <w:rPr>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3F6C07">
            <w:pPr>
              <w:pStyle w:val="NoSpacing"/>
              <w:jc w:val="both"/>
              <w:rPr>
                <w:lang w:val="lv-LV"/>
              </w:rPr>
            </w:pPr>
            <w:r w:rsidRPr="00EB6F6A">
              <w:rPr>
                <w:lang w:val="lv-LV"/>
              </w:rPr>
              <w:t xml:space="preserve">Nav attiecināms </w:t>
            </w:r>
          </w:p>
        </w:tc>
      </w:tr>
      <w:tr w:rsidR="00DC0254" w:rsidRPr="00EB6F6A" w:rsidTr="00DC0254">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DC0254" w:rsidRPr="00EB6F6A" w:rsidRDefault="00DC0254" w:rsidP="005659DE">
            <w:pPr>
              <w:pStyle w:val="NoSpacing"/>
              <w:jc w:val="both"/>
              <w:rPr>
                <w:lang w:val="lv-LV"/>
              </w:rPr>
            </w:pPr>
            <w:r w:rsidRPr="00EB6F6A">
              <w:rPr>
                <w:b/>
                <w:lang w:val="lv-LV"/>
              </w:rPr>
              <w:t xml:space="preserve">11.pants </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DC0254"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DC0254" w:rsidP="00111159">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Netiek pārņemts, </w:t>
            </w:r>
            <w:r w:rsidR="00111159" w:rsidRPr="00EB6F6A">
              <w:rPr>
                <w:rFonts w:ascii="Times New Roman" w:hAnsi="Times New Roman" w:cs="Times New Roman"/>
                <w:sz w:val="24"/>
                <w:szCs w:val="24"/>
                <w:lang w:val="lv-LV"/>
              </w:rPr>
              <w:t xml:space="preserve">jo  uz visu smēķēšanai paredzētu tabakas izstrādājumu marķēšanu tiek attiecinātas vienādas prasības.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DC0254" w:rsidP="00055D4F">
            <w:pPr>
              <w:pStyle w:val="NoSpacing"/>
              <w:jc w:val="both"/>
              <w:rPr>
                <w:lang w:val="lv-LV"/>
              </w:rPr>
            </w:pPr>
            <w:r w:rsidRPr="00EB6F6A">
              <w:rPr>
                <w:lang w:val="lv-LV"/>
              </w:rPr>
              <w:t xml:space="preserve">Netiek pārņemts </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DC0254" w:rsidP="005659DE">
            <w:pPr>
              <w:pStyle w:val="NoSpacing"/>
              <w:jc w:val="both"/>
              <w:rPr>
                <w:lang w:val="lv-LV"/>
              </w:rPr>
            </w:pPr>
            <w:r w:rsidRPr="00EB6F6A">
              <w:rPr>
                <w:lang w:val="lv-LV"/>
              </w:rPr>
              <w:t xml:space="preserve">Nav attiecināms </w:t>
            </w:r>
          </w:p>
        </w:tc>
      </w:tr>
      <w:tr w:rsidR="00AC7EC0" w:rsidRPr="00EB6F6A" w:rsidTr="00D85869">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AC7EC0" w:rsidRPr="00EB6F6A" w:rsidRDefault="00AC7EC0" w:rsidP="00A24790">
            <w:pPr>
              <w:pStyle w:val="NoSpacing"/>
              <w:jc w:val="both"/>
              <w:rPr>
                <w:lang w:val="lv-LV"/>
              </w:rPr>
            </w:pPr>
            <w:r w:rsidRPr="00EB6F6A">
              <w:rPr>
                <w:b/>
                <w:lang w:val="lv-LV"/>
              </w:rPr>
              <w:t>12.pants</w:t>
            </w: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1.punkts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D15768"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Likumprojekta „Tabakas izstrādājumu, augu smēķēšanas produktu, elektronisko smēķēšanas ierīču un to šķidrumu aprites likums” 7.pants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A55E5B">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A55E5B">
            <w:pPr>
              <w:pStyle w:val="NoSpacing"/>
              <w:jc w:val="both"/>
              <w:rPr>
                <w:lang w:val="lv-LV"/>
              </w:rPr>
            </w:pPr>
            <w:r w:rsidRPr="00EB6F6A">
              <w:rPr>
                <w:lang w:val="lv-LV"/>
              </w:rPr>
              <w:t>Neparedz stingrākas prasības</w:t>
            </w:r>
          </w:p>
          <w:p w:rsidR="00AC7EC0" w:rsidRPr="00EB6F6A" w:rsidRDefault="00AC7EC0" w:rsidP="00A55E5B">
            <w:pPr>
              <w:pStyle w:val="NoSpacing"/>
              <w:jc w:val="both"/>
              <w:rPr>
                <w:lang w:val="lv-LV"/>
              </w:rPr>
            </w:pP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2.punkts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D15768"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32.punkts</w:t>
            </w:r>
            <w:r w:rsidR="00AC7EC0" w:rsidRPr="00EB6F6A">
              <w:rPr>
                <w:rFonts w:ascii="Times New Roman" w:hAnsi="Times New Roman" w:cs="Times New Roman"/>
                <w:sz w:val="24"/>
                <w:szCs w:val="24"/>
                <w:lang w:val="lv-LV"/>
              </w:rPr>
              <w:t xml:space="preserve"> </w:t>
            </w:r>
          </w:p>
          <w:p w:rsidR="0036018D" w:rsidRPr="00EB6F6A" w:rsidRDefault="0036018D"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34.punkts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673602" w:rsidP="001046AE">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8F305A">
            <w:pPr>
              <w:pStyle w:val="NoSpacing"/>
              <w:jc w:val="both"/>
              <w:rPr>
                <w:lang w:val="lv-LV"/>
              </w:rPr>
            </w:pPr>
            <w:r w:rsidRPr="00EB6F6A">
              <w:rPr>
                <w:lang w:val="lv-LV"/>
              </w:rPr>
              <w:t>Neparedz stingrākas prasības</w:t>
            </w:r>
          </w:p>
          <w:p w:rsidR="00AC7EC0" w:rsidRPr="00EB6F6A" w:rsidRDefault="00AC7EC0" w:rsidP="00CF233A">
            <w:pPr>
              <w:pStyle w:val="NoSpacing"/>
              <w:jc w:val="both"/>
              <w:rPr>
                <w:lang w:val="lv-LV"/>
              </w:rPr>
            </w:pPr>
          </w:p>
        </w:tc>
      </w:tr>
      <w:tr w:rsidR="00AC7EC0"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3.punkts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 jo tā ir Eiropas Komisijas kompetence</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C7EC0" w:rsidRPr="00EB6F6A" w:rsidRDefault="00AC7EC0" w:rsidP="00ED1DFA">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AC7EC0" w:rsidRPr="00EB6F6A" w:rsidRDefault="00AC7EC0" w:rsidP="00490AFC">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Nav attiecināms </w:t>
            </w:r>
          </w:p>
        </w:tc>
      </w:tr>
      <w:tr w:rsidR="00AC7EC0" w:rsidRPr="00EB6F6A" w:rsidTr="00D85869">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AC7EC0" w:rsidRPr="00EB6F6A" w:rsidRDefault="00AC7EC0" w:rsidP="00A24790">
            <w:pPr>
              <w:pStyle w:val="NoSpacing"/>
              <w:jc w:val="both"/>
              <w:rPr>
                <w:lang w:val="lv-LV"/>
              </w:rPr>
            </w:pPr>
            <w:r w:rsidRPr="00EB6F6A">
              <w:rPr>
                <w:b/>
                <w:lang w:val="lv-LV"/>
              </w:rPr>
              <w:t xml:space="preserve">20.pants </w:t>
            </w:r>
          </w:p>
        </w:tc>
      </w:tr>
      <w:tr w:rsidR="00673602"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73602" w:rsidRPr="00EB6F6A" w:rsidRDefault="00673602" w:rsidP="00673602">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4.punkts a) un b) apakšpunkts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673602" w:rsidP="00C66B17">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Likumprojekta „Tabakas izstrādājumu, augu smēķēšanas produktu, </w:t>
            </w:r>
            <w:r w:rsidRPr="00EB6F6A">
              <w:rPr>
                <w:rFonts w:ascii="Times New Roman" w:hAnsi="Times New Roman" w:cs="Times New Roman"/>
                <w:sz w:val="24"/>
                <w:szCs w:val="24"/>
                <w:lang w:val="lv-LV"/>
              </w:rPr>
              <w:lastRenderedPageBreak/>
              <w:t>elektronisko smēķēšanas ierīču un to šķidrumu aprites likums” 7.pants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673602" w:rsidP="00673602">
            <w:pPr>
              <w:pStyle w:val="NoSpacing"/>
              <w:jc w:val="both"/>
              <w:rPr>
                <w:lang w:val="lv-LV"/>
              </w:rPr>
            </w:pPr>
            <w:r w:rsidRPr="00EB6F6A">
              <w:rPr>
                <w:lang w:val="lv-LV"/>
              </w:rPr>
              <w:lastRenderedPageBreak/>
              <w:t>Pārņemts pilnībā</w:t>
            </w:r>
          </w:p>
        </w:tc>
        <w:tc>
          <w:tcPr>
            <w:tcW w:w="1168" w:type="pct"/>
            <w:tcBorders>
              <w:top w:val="outset" w:sz="6" w:space="0" w:color="414142"/>
              <w:left w:val="outset" w:sz="6" w:space="0" w:color="414142"/>
              <w:bottom w:val="outset" w:sz="6" w:space="0" w:color="414142"/>
            </w:tcBorders>
            <w:shd w:val="clear" w:color="auto" w:fill="FFFFFF"/>
          </w:tcPr>
          <w:p w:rsidR="00673602" w:rsidRPr="00EB6F6A" w:rsidRDefault="00673602" w:rsidP="00673602">
            <w:pPr>
              <w:pStyle w:val="NoSpacing"/>
              <w:jc w:val="both"/>
              <w:rPr>
                <w:lang w:val="lv-LV"/>
              </w:rPr>
            </w:pPr>
            <w:r w:rsidRPr="00EB6F6A">
              <w:rPr>
                <w:lang w:val="lv-LV"/>
              </w:rPr>
              <w:t>Neparedz stingrākas prasības</w:t>
            </w:r>
          </w:p>
          <w:p w:rsidR="00673602" w:rsidRPr="00EB6F6A" w:rsidRDefault="00673602" w:rsidP="00673602">
            <w:pPr>
              <w:pStyle w:val="NoSpacing"/>
              <w:jc w:val="both"/>
              <w:rPr>
                <w:lang w:val="lv-LV"/>
              </w:rPr>
            </w:pPr>
          </w:p>
        </w:tc>
      </w:tr>
      <w:tr w:rsidR="00673602"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73602" w:rsidRPr="00EB6F6A" w:rsidRDefault="00673602" w:rsidP="003B46A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lastRenderedPageBreak/>
              <w:t xml:space="preserve">c) apakšpunkts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673602"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32.punkts</w:t>
            </w:r>
          </w:p>
          <w:p w:rsidR="001C596B" w:rsidRPr="00EB6F6A" w:rsidRDefault="001C596B"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34.punkts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673602" w:rsidP="00673602">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673602" w:rsidRPr="00EB6F6A" w:rsidRDefault="00673602" w:rsidP="00673602">
            <w:pPr>
              <w:pStyle w:val="NoSpacing"/>
              <w:jc w:val="both"/>
              <w:rPr>
                <w:lang w:val="lv-LV"/>
              </w:rPr>
            </w:pPr>
            <w:r w:rsidRPr="00EB6F6A">
              <w:rPr>
                <w:lang w:val="lv-LV"/>
              </w:rPr>
              <w:t>Neparedz stingrākas prasības</w:t>
            </w:r>
          </w:p>
        </w:tc>
      </w:tr>
      <w:tr w:rsidR="00673602" w:rsidRPr="00EB6F6A" w:rsidTr="00D85869">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673602" w:rsidRPr="00EB6F6A" w:rsidRDefault="00673602" w:rsidP="00A24790">
            <w:pPr>
              <w:pStyle w:val="NoSpacing"/>
              <w:jc w:val="both"/>
              <w:rPr>
                <w:lang w:val="lv-LV"/>
              </w:rPr>
            </w:pPr>
            <w:r w:rsidRPr="00EB6F6A">
              <w:rPr>
                <w:b/>
                <w:lang w:val="lv-LV"/>
              </w:rPr>
              <w:t xml:space="preserve">21.pants </w:t>
            </w:r>
          </w:p>
        </w:tc>
      </w:tr>
      <w:tr w:rsidR="001C596B"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C596B" w:rsidRPr="00EB6F6A" w:rsidRDefault="001C596B" w:rsidP="00673602">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C596B" w:rsidRPr="00EB6F6A" w:rsidRDefault="00D2044E"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Likumprojekta „Tabakas izstrādājumu, augu smēķēšanas produktu, elektronisko smēķēšanas ierīču un to šķidrumu aprites likums” 7.pants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C596B" w:rsidRPr="00EB6F6A" w:rsidRDefault="00D2044E" w:rsidP="00AD77B1">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1C596B" w:rsidRPr="00EB6F6A" w:rsidRDefault="00D2044E" w:rsidP="000F27B0">
            <w:pPr>
              <w:pStyle w:val="NoSpacing"/>
              <w:jc w:val="both"/>
              <w:rPr>
                <w:lang w:val="lv-LV"/>
              </w:rPr>
            </w:pPr>
            <w:r w:rsidRPr="00EB6F6A">
              <w:rPr>
                <w:lang w:val="lv-LV"/>
              </w:rPr>
              <w:t>Neparedz stingrākas prasības</w:t>
            </w:r>
          </w:p>
        </w:tc>
      </w:tr>
      <w:tr w:rsidR="00673602"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73602" w:rsidRPr="00EB6F6A" w:rsidRDefault="00673602" w:rsidP="00673602">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2.punkts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673602"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33.punkts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D2044E" w:rsidP="00AD77B1">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673602" w:rsidRPr="00EB6F6A" w:rsidRDefault="00673602" w:rsidP="000F27B0">
            <w:pPr>
              <w:pStyle w:val="NoSpacing"/>
              <w:jc w:val="both"/>
              <w:rPr>
                <w:lang w:val="lv-LV"/>
              </w:rPr>
            </w:pPr>
            <w:r w:rsidRPr="00EB6F6A">
              <w:rPr>
                <w:lang w:val="lv-LV"/>
              </w:rPr>
              <w:t>Neparedz stingrākas prasības</w:t>
            </w:r>
          </w:p>
        </w:tc>
      </w:tr>
      <w:tr w:rsidR="00673602"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73602" w:rsidRPr="00EB6F6A" w:rsidRDefault="00673602"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C596B" w:rsidRPr="00EB6F6A" w:rsidRDefault="001C596B"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33.punkts</w:t>
            </w:r>
          </w:p>
          <w:p w:rsidR="00673602" w:rsidRPr="00EB6F6A" w:rsidRDefault="00673602"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34.punkts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D2044E" w:rsidP="00A24790">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673602" w:rsidRPr="00EB6F6A" w:rsidRDefault="00D2044E" w:rsidP="00A24790">
            <w:pPr>
              <w:pStyle w:val="NoSpacing"/>
              <w:jc w:val="both"/>
              <w:rPr>
                <w:lang w:val="lv-LV"/>
              </w:rPr>
            </w:pPr>
            <w:r w:rsidRPr="00EB6F6A">
              <w:rPr>
                <w:lang w:val="lv-LV"/>
              </w:rPr>
              <w:t>Neparedz stingrākas prasības</w:t>
            </w:r>
          </w:p>
        </w:tc>
      </w:tr>
      <w:tr w:rsidR="00D2044E"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2044E" w:rsidRPr="00EB6F6A" w:rsidRDefault="00D2044E"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4.punkts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D2044E" w:rsidRPr="00EB6F6A" w:rsidRDefault="00D2044E"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Likumprojekta „Tabakas izstrādājumu, augu smēķēšanas produktu, elektronisko smēķēšanas ierīču un to šķidrumu aprites likums” 6.pants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D2044E" w:rsidRPr="00EB6F6A" w:rsidRDefault="00D2044E" w:rsidP="00A24790">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D2044E" w:rsidRPr="00EB6F6A" w:rsidRDefault="00D2044E" w:rsidP="00A24790">
            <w:pPr>
              <w:pStyle w:val="NoSpacing"/>
              <w:jc w:val="both"/>
              <w:rPr>
                <w:lang w:val="lv-LV"/>
              </w:rPr>
            </w:pPr>
            <w:r w:rsidRPr="00EB6F6A">
              <w:rPr>
                <w:lang w:val="lv-LV"/>
              </w:rPr>
              <w:t>Neparedz stingrākas prasības</w:t>
            </w:r>
          </w:p>
        </w:tc>
      </w:tr>
      <w:tr w:rsidR="00673602" w:rsidRPr="00EB6F6A" w:rsidTr="00D85869">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673602" w:rsidRPr="00EB6F6A" w:rsidRDefault="00673602" w:rsidP="002201AE">
            <w:pPr>
              <w:pStyle w:val="NoSpacing"/>
              <w:jc w:val="both"/>
              <w:rPr>
                <w:lang w:val="lv-LV"/>
              </w:rPr>
            </w:pPr>
            <w:r w:rsidRPr="00EB6F6A">
              <w:rPr>
                <w:b/>
                <w:lang w:val="lv-LV"/>
              </w:rPr>
              <w:t>29.pants</w:t>
            </w:r>
          </w:p>
        </w:tc>
      </w:tr>
      <w:tr w:rsidR="00673602"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73602" w:rsidRPr="00EB6F6A" w:rsidRDefault="00673602"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673602" w:rsidP="00751389">
            <w:pPr>
              <w:pStyle w:val="tv213"/>
              <w:spacing w:before="0" w:beforeAutospacing="0" w:after="0" w:afterAutospacing="0"/>
              <w:jc w:val="both"/>
              <w:rPr>
                <w:lang w:val="lv-LV"/>
              </w:rPr>
            </w:pPr>
            <w:r w:rsidRPr="00EB6F6A">
              <w:rPr>
                <w:lang w:val="lv-LV"/>
              </w:rPr>
              <w:t xml:space="preserve">40.punkts </w:t>
            </w:r>
          </w:p>
          <w:p w:rsidR="00673602" w:rsidRPr="00EB6F6A" w:rsidRDefault="00673602" w:rsidP="00751389">
            <w:pPr>
              <w:pStyle w:val="tv213"/>
              <w:spacing w:before="0" w:beforeAutospacing="0" w:after="0" w:afterAutospacing="0"/>
              <w:jc w:val="both"/>
              <w:rPr>
                <w:lang w:val="lv-LV"/>
              </w:rPr>
            </w:pPr>
          </w:p>
          <w:p w:rsidR="00673602" w:rsidRPr="00EB6F6A" w:rsidRDefault="00673602" w:rsidP="00751389">
            <w:pPr>
              <w:pStyle w:val="tv213"/>
              <w:spacing w:before="0" w:beforeAutospacing="0" w:after="0" w:afterAutospacing="0"/>
              <w:jc w:val="both"/>
              <w:rPr>
                <w:lang w:val="lv-LV"/>
              </w:rPr>
            </w:pP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673602" w:rsidP="00673602">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673602" w:rsidRPr="00EB6F6A" w:rsidRDefault="00673602" w:rsidP="002201AE">
            <w:pPr>
              <w:pStyle w:val="NoSpacing"/>
              <w:jc w:val="both"/>
              <w:rPr>
                <w:lang w:val="lv-LV"/>
              </w:rPr>
            </w:pPr>
            <w:r w:rsidRPr="00EB6F6A">
              <w:rPr>
                <w:lang w:val="lv-LV"/>
              </w:rPr>
              <w:t>Neparedz stingrākas prasības</w:t>
            </w:r>
          </w:p>
        </w:tc>
      </w:tr>
      <w:tr w:rsidR="00673602"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73602" w:rsidRPr="00EB6F6A" w:rsidRDefault="00673602"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673602" w:rsidP="00751389">
            <w:pPr>
              <w:pStyle w:val="tv213"/>
              <w:spacing w:before="0" w:beforeAutospacing="0" w:after="0" w:afterAutospacing="0"/>
              <w:jc w:val="both"/>
              <w:rPr>
                <w:lang w:val="lv-LV"/>
              </w:rPr>
            </w:pPr>
            <w:r w:rsidRPr="00EB6F6A">
              <w:rPr>
                <w:lang w:val="lv-LV"/>
              </w:rPr>
              <w:t>Informatīva atsauce uz Eiropas Savienības direktīvām.</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673602" w:rsidP="00673602">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673602" w:rsidRPr="00EB6F6A" w:rsidRDefault="00673602" w:rsidP="00673602">
            <w:pPr>
              <w:pStyle w:val="NoSpacing"/>
              <w:jc w:val="both"/>
              <w:rPr>
                <w:lang w:val="lv-LV"/>
              </w:rPr>
            </w:pPr>
            <w:r w:rsidRPr="00EB6F6A">
              <w:rPr>
                <w:lang w:val="lv-LV"/>
              </w:rPr>
              <w:t>Neparedz stingrākas prasības</w:t>
            </w:r>
          </w:p>
        </w:tc>
      </w:tr>
      <w:tr w:rsidR="00673602"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73602" w:rsidRPr="00EB6F6A" w:rsidRDefault="00673602" w:rsidP="00D97DB1">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673602" w:rsidP="00751389">
            <w:pPr>
              <w:pStyle w:val="tv213"/>
              <w:spacing w:before="0" w:beforeAutospacing="0" w:after="0" w:afterAutospacing="0"/>
              <w:jc w:val="both"/>
              <w:rPr>
                <w:lang w:val="lv-LV"/>
              </w:rPr>
            </w:pPr>
            <w:r w:rsidRPr="00EB6F6A">
              <w:rPr>
                <w:lang w:val="lv-LV"/>
              </w:rPr>
              <w:t xml:space="preserve">Netiek pārņemts, jo to nenosaka tiesību aktā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673602" w:rsidRPr="00EB6F6A" w:rsidRDefault="00673602" w:rsidP="004C2715">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673602" w:rsidRPr="00EB6F6A" w:rsidRDefault="00673602" w:rsidP="004C2715">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Nav attiecināms </w:t>
            </w:r>
          </w:p>
        </w:tc>
      </w:tr>
      <w:tr w:rsidR="002A0702"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A0702" w:rsidRPr="00EB6F6A" w:rsidRDefault="002A0702" w:rsidP="00D97DB1">
            <w:pPr>
              <w:autoSpaceDE w:val="0"/>
              <w:autoSpaceDN w:val="0"/>
              <w:adjustRightInd w:val="0"/>
              <w:spacing w:after="0" w:line="240" w:lineRule="auto"/>
              <w:jc w:val="both"/>
              <w:rPr>
                <w:rFonts w:ascii="Times New Roman" w:hAnsi="Times New Roman" w:cs="Times New Roman"/>
                <w:b/>
                <w:sz w:val="24"/>
                <w:szCs w:val="24"/>
                <w:lang w:val="lv-LV"/>
              </w:rPr>
            </w:pPr>
            <w:r w:rsidRPr="00EB6F6A">
              <w:rPr>
                <w:rFonts w:ascii="Times New Roman" w:hAnsi="Times New Roman" w:cs="Times New Roman"/>
                <w:b/>
                <w:sz w:val="24"/>
                <w:szCs w:val="24"/>
                <w:lang w:val="lv-LV"/>
              </w:rPr>
              <w:t>30.pants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A0702" w:rsidRPr="00EB6F6A" w:rsidRDefault="002A0702" w:rsidP="00751389">
            <w:pPr>
              <w:pStyle w:val="tv213"/>
              <w:spacing w:before="0" w:beforeAutospacing="0" w:after="0" w:afterAutospacing="0"/>
              <w:jc w:val="both"/>
              <w:rPr>
                <w:lang w:val="lv-LV"/>
              </w:rPr>
            </w:pPr>
            <w:r w:rsidRPr="00EB6F6A">
              <w:rPr>
                <w:lang w:val="lv-LV"/>
              </w:rPr>
              <w:t xml:space="preserve">36.punkts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A0702" w:rsidRPr="00EB6F6A" w:rsidRDefault="002A0702" w:rsidP="0021365B">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2A0702" w:rsidRPr="00EB6F6A" w:rsidRDefault="002A0702" w:rsidP="0021365B">
            <w:pPr>
              <w:pStyle w:val="NoSpacing"/>
              <w:jc w:val="both"/>
              <w:rPr>
                <w:lang w:val="lv-LV"/>
              </w:rPr>
            </w:pPr>
            <w:r w:rsidRPr="00EB6F6A">
              <w:rPr>
                <w:lang w:val="lv-LV"/>
              </w:rPr>
              <w:t>Neparedz stingrākas prasības</w:t>
            </w:r>
          </w:p>
        </w:tc>
      </w:tr>
      <w:tr w:rsidR="002A0702" w:rsidRPr="00FE0001" w:rsidTr="00D85869">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2A0702" w:rsidRPr="00EB6F6A" w:rsidRDefault="002A0702" w:rsidP="001B3285">
            <w:pPr>
              <w:pStyle w:val="NoSpacing"/>
              <w:jc w:val="both"/>
              <w:rPr>
                <w:lang w:val="lv-LV"/>
              </w:rPr>
            </w:pPr>
            <w:r w:rsidRPr="00EB6F6A">
              <w:rPr>
                <w:lang w:val="lv-LV"/>
              </w:rPr>
              <w:lastRenderedPageBreak/>
              <w:t>Kā ir izmantota ES tiesību aktā paredzētā rīcības brīvība dalībvalstij pārņemt vai ieviest noteiktas ES tiesību akta normas?</w:t>
            </w:r>
            <w:r w:rsidRPr="00EB6F6A">
              <w:rPr>
                <w:lang w:val="lv-LV"/>
              </w:rPr>
              <w:br/>
              <w:t>Kādēļ?</w:t>
            </w:r>
          </w:p>
        </w:tc>
        <w:tc>
          <w:tcPr>
            <w:tcW w:w="349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A0702" w:rsidRPr="00EB6F6A" w:rsidRDefault="006D28CC" w:rsidP="001B3285">
            <w:pPr>
              <w:pStyle w:val="NoSpacing"/>
              <w:jc w:val="both"/>
              <w:rPr>
                <w:lang w:val="lv-LV"/>
              </w:rPr>
            </w:pPr>
            <w:r w:rsidRPr="00EB6F6A">
              <w:rPr>
                <w:lang w:val="lv-LV"/>
              </w:rPr>
              <w:t>1. Ir izmantota D</w:t>
            </w:r>
            <w:r w:rsidR="002A0702" w:rsidRPr="00EB6F6A">
              <w:rPr>
                <w:lang w:val="lv-LV"/>
              </w:rPr>
              <w:t xml:space="preserve">irektīvas 2014/40/ES 11.panta 1.punktā noteiktā dalībvalstu rīcības brīvība neatbrīvot no 9. un 10.pantā noteiktajām prasībām smēķēšanai paredzētus tabakas izstrādājumus, kas nav cigaretes, tinamā tabaka un ūdenspīpju tabaka. </w:t>
            </w:r>
          </w:p>
          <w:p w:rsidR="006D28CC" w:rsidRPr="00EB6F6A" w:rsidRDefault="002A0702" w:rsidP="006D28CC">
            <w:pPr>
              <w:spacing w:after="0" w:line="240" w:lineRule="auto"/>
              <w:jc w:val="both"/>
              <w:rPr>
                <w:rFonts w:ascii="Times New Roman" w:hAnsi="Times New Roman" w:cs="Times New Roman"/>
                <w:sz w:val="24"/>
                <w:szCs w:val="24"/>
                <w:u w:val="single"/>
                <w:lang w:val="lv-LV"/>
              </w:rPr>
            </w:pPr>
            <w:r w:rsidRPr="00EB6F6A">
              <w:rPr>
                <w:rFonts w:ascii="Times New Roman" w:hAnsi="Times New Roman" w:cs="Times New Roman"/>
                <w:sz w:val="24"/>
                <w:szCs w:val="24"/>
                <w:u w:val="single"/>
                <w:lang w:val="lv-LV"/>
              </w:rPr>
              <w:t>Pamatojums</w:t>
            </w:r>
            <w:r w:rsidR="006D28CC" w:rsidRPr="00EB6F6A">
              <w:rPr>
                <w:rFonts w:ascii="Times New Roman" w:hAnsi="Times New Roman" w:cs="Times New Roman"/>
                <w:sz w:val="24"/>
                <w:szCs w:val="24"/>
                <w:u w:val="single"/>
                <w:lang w:val="lv-LV"/>
              </w:rPr>
              <w:t>:</w:t>
            </w:r>
          </w:p>
          <w:p w:rsidR="006D28CC" w:rsidRPr="00EB6F6A" w:rsidRDefault="006D28CC" w:rsidP="006D28CC">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1) 2013.gada 16.aprīļa Ministru kabineta sēdē tika apstiprināta Latvijas nacionālā pozīcija grozījumiem Eiropas Parlamenta un Padomes Direktīvā, kas regulē tabakas izstrādājumu ražošanu, noformēšanu un pārdošanu (turpmāk- Pozīcija). Pozīcijā tika atbalstīta vienotu kombinēto brīdinājumu izvietošana uz abām iepakojuma lielākajām redzamajām (priekšējā un aizmugurējā ārējā virsma) pusēm uz visiem smēķēšanai paredzētajiem tabakas izstrādājumiem;  </w:t>
            </w:r>
          </w:p>
          <w:p w:rsidR="006D28CC" w:rsidRPr="00EB6F6A" w:rsidRDefault="006D28CC" w:rsidP="006D28CC">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 Direktīvas 2014/40/ES 10.pants paredz regulējumu visiem smēķēšanai paredzētiem tabakas izstrādājumiem, savukārt 11.pantā noteiktais regulējums piemērojams situācijā, ja dalībvalsts nevēlas atbrīvot tādus smēķēšanai paredzētus tabakas izstrādājumu, kas nav cigaretes, tinamā tabaka un ūdenspīpju tabaka no marķējuma prasībām, kas ietvertas 10.pantā. Līdz ar to 11.pantā izteiktā norma dod dalībvalstīm rīcības brīvību, tomēr par vēlamo regulējumu uzskatāms 10.pantā noteiktais; </w:t>
            </w:r>
          </w:p>
          <w:p w:rsidR="006D28CC" w:rsidRPr="00EB6F6A" w:rsidRDefault="006D28CC" w:rsidP="006D28CC">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3) Latvija ir to Eiropas Savienības valstu vidū, kur jau šobrīd ir noteikta prasība uz visiem tabakas izstrādājumiem izvietot kombinētos brīdinājumus. Tādējādi, piemērojot Direktīvas 2014/40/ES 11.pantā noteiktās prasības, tiktu vājinātas jau spēkā esošās normas. Tomēr tāds nav ne Direktīvas 2014/40/ES mērķis, ne Latvijas tabakas kontroles politikas mērķis; </w:t>
            </w:r>
          </w:p>
          <w:p w:rsidR="006D28CC" w:rsidRPr="00EB6F6A" w:rsidRDefault="006D28CC" w:rsidP="006D28CC">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4) Direktīvas 2014/40/ES  mērķis saskaņā ar tās 1.pantu ir arī Pasaules Veselības organizācijas Vispārējā konvencijā par tabakas uzraudzību (turpmāk- FCTC) noteikto pienākumu pildīšana. FCTC ir juridiski saistošs dokuments visām tās pusēm. Latvija FCTC pievienojās 2005.gadā. FCTC 11.pants nosaka valstu pienākumu 3 gadu laikā kopš FCTC stāšanās spēkā pieņemt regulējumu, kas aizliedz veicinošas un maldinošas informācijas izvietošanu uz tabakas izstrādājumu iepakojuma, kā arī prasa brīdinājumu par ietekmi uz veselību izvietošanu fotogrāfiju vai piktogrammu veidā uz abām lielākajām virsmām. FCTC visus tabakas izstrādājumu vērtē līdzvērtīgi un 11.panta vadlīniju 36.punkts to apstiprina, nosakot, ka nav pieļaujami izņēmumi attiecībā uz mazajām kompānijām un zīmoliem. </w:t>
            </w:r>
          </w:p>
          <w:p w:rsidR="002A0702" w:rsidRPr="00EB6F6A" w:rsidRDefault="002A0702" w:rsidP="00C02797">
            <w:pPr>
              <w:pStyle w:val="NoSpacing"/>
              <w:jc w:val="both"/>
              <w:rPr>
                <w:lang w:val="lv-LV"/>
              </w:rPr>
            </w:pPr>
          </w:p>
          <w:p w:rsidR="002A0702" w:rsidRPr="00EB6F6A" w:rsidRDefault="006D28CC" w:rsidP="002A0702">
            <w:pPr>
              <w:pStyle w:val="NoSpacing"/>
              <w:jc w:val="both"/>
              <w:rPr>
                <w:lang w:val="lv-LV"/>
              </w:rPr>
            </w:pPr>
            <w:r w:rsidRPr="00EB6F6A">
              <w:rPr>
                <w:lang w:val="lv-LV"/>
              </w:rPr>
              <w:t>2. Atbilstoši Di</w:t>
            </w:r>
            <w:r w:rsidR="002A0702" w:rsidRPr="00EB6F6A">
              <w:rPr>
                <w:lang w:val="lv-LV"/>
              </w:rPr>
              <w:t xml:space="preserve">rektīvas 2014/40/ES 30.pantam izmantota dalībvalstu rīcības brīvība noteikt pārejas periodu </w:t>
            </w:r>
            <w:r w:rsidRPr="00EB6F6A">
              <w:rPr>
                <w:lang w:val="lv-LV"/>
              </w:rPr>
              <w:t>D</w:t>
            </w:r>
            <w:r w:rsidR="002A0702" w:rsidRPr="00EB6F6A">
              <w:rPr>
                <w:lang w:val="lv-LV"/>
              </w:rPr>
              <w:t xml:space="preserve">irektīvas 2014/40/ES prasībām neatbilstošu produktu laišanai tirgū, nosakot 12 mēnešu pārejas periodu tabakas izstrādājumiem un augu smēķēšanas produktiem, lai nozare varētu sagatavoties jauno prasību īstenošanai. Elektroniskajām cigaretēm un uzpildes flakoniem atbilstoši </w:t>
            </w:r>
            <w:r w:rsidRPr="00EB6F6A">
              <w:rPr>
                <w:lang w:val="lv-LV"/>
              </w:rPr>
              <w:t>D</w:t>
            </w:r>
            <w:r w:rsidR="002A0702" w:rsidRPr="00EB6F6A">
              <w:rPr>
                <w:lang w:val="lv-LV"/>
              </w:rPr>
              <w:t xml:space="preserve">irektīvas 2014/40/ES 30.pantam piemērots </w:t>
            </w:r>
            <w:r w:rsidR="002A0702" w:rsidRPr="00EB6F6A">
              <w:rPr>
                <w:lang w:val="lv-LV"/>
              </w:rPr>
              <w:lastRenderedPageBreak/>
              <w:t xml:space="preserve">pārejas periods līdz 2017.gada 20.maijam, lai nozare varētu sagatavoties jauno prasību īstenošanai. Atbilstoši </w:t>
            </w:r>
            <w:r w:rsidRPr="00EB6F6A">
              <w:rPr>
                <w:lang w:val="lv-LV"/>
              </w:rPr>
              <w:t>likumprojektam</w:t>
            </w:r>
            <w:r w:rsidR="002A0702" w:rsidRPr="00EB6F6A">
              <w:rPr>
                <w:lang w:val="lv-LV"/>
              </w:rPr>
              <w:t xml:space="preserve">, noteikumi attiecībā uz elektroniskajām cigaretēm  un uzpildes flakoniem, kas saražoti vai laisti brīvā apgrozībā līdz 2016.gada 20.novembrim, stājas spēkā 2017.gada 20.maijā, kad laist tirgū varēs tikai tādus izstrādājumus, kuri atbilst </w:t>
            </w:r>
            <w:r w:rsidRPr="00EB6F6A">
              <w:rPr>
                <w:lang w:val="lv-LV"/>
              </w:rPr>
              <w:t>likumprojektā un noteikumu projektā</w:t>
            </w:r>
            <w:r w:rsidR="002A0702" w:rsidRPr="00EB6F6A">
              <w:rPr>
                <w:lang w:val="lv-LV"/>
              </w:rPr>
              <w:t xml:space="preserve"> noteiktajām prasībām. </w:t>
            </w:r>
          </w:p>
          <w:p w:rsidR="00FD4209" w:rsidRPr="00EB6F6A" w:rsidRDefault="00FD4209" w:rsidP="002A0702">
            <w:pPr>
              <w:pStyle w:val="NoSpacing"/>
              <w:jc w:val="both"/>
              <w:rPr>
                <w:lang w:val="lv-LV"/>
              </w:rPr>
            </w:pPr>
          </w:p>
          <w:p w:rsidR="00FD4209" w:rsidRPr="00EB6F6A" w:rsidRDefault="00FD4209" w:rsidP="006C25D7">
            <w:pPr>
              <w:pStyle w:val="NoSpacing"/>
              <w:jc w:val="both"/>
              <w:rPr>
                <w:lang w:val="lv-LV"/>
              </w:rPr>
            </w:pPr>
            <w:r w:rsidRPr="00EB6F6A">
              <w:rPr>
                <w:lang w:val="lv-LV"/>
              </w:rPr>
              <w:t>3</w:t>
            </w:r>
            <w:r w:rsidR="006D28CC" w:rsidRPr="00EB6F6A">
              <w:rPr>
                <w:lang w:val="lv-LV"/>
              </w:rPr>
              <w:t>. Atbilstoši D</w:t>
            </w:r>
            <w:r w:rsidRPr="00EB6F6A">
              <w:rPr>
                <w:lang w:val="lv-LV"/>
              </w:rPr>
              <w:t xml:space="preserve">irektīvas 2014/40/ES 10.panta 1.punkta e) apakšpunkta i) un </w:t>
            </w:r>
            <w:proofErr w:type="spellStart"/>
            <w:r w:rsidRPr="00EB6F6A">
              <w:rPr>
                <w:lang w:val="lv-LV"/>
              </w:rPr>
              <w:t>ii</w:t>
            </w:r>
            <w:proofErr w:type="spellEnd"/>
            <w:r w:rsidRPr="00EB6F6A">
              <w:rPr>
                <w:lang w:val="lv-LV"/>
              </w:rPr>
              <w:t xml:space="preserve">) apakšpunktiem izmantota dalībvalsts rīcības brīvība noteikt pārejas periodu uz trīs gadu laikposmu no 2016.gada 20.maijam. </w:t>
            </w:r>
          </w:p>
        </w:tc>
      </w:tr>
      <w:tr w:rsidR="002A0702" w:rsidRPr="00EB6F6A" w:rsidTr="00D85869">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2A0702" w:rsidRPr="00EB6F6A" w:rsidRDefault="002A0702" w:rsidP="001B3285">
            <w:pPr>
              <w:pStyle w:val="NoSpacing"/>
              <w:jc w:val="both"/>
              <w:rPr>
                <w:lang w:val="lv-LV"/>
              </w:rPr>
            </w:pPr>
            <w:r w:rsidRPr="00EB6F6A">
              <w:rPr>
                <w:lang w:val="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A0702" w:rsidRPr="00EB6F6A" w:rsidRDefault="002A0702" w:rsidP="001F55DE">
            <w:pPr>
              <w:pStyle w:val="NoSpacing"/>
              <w:jc w:val="both"/>
              <w:rPr>
                <w:lang w:val="lv-LV"/>
              </w:rPr>
            </w:pPr>
            <w:r w:rsidRPr="00EB6F6A">
              <w:rPr>
                <w:lang w:val="lv-LV"/>
              </w:rPr>
              <w:t xml:space="preserve">Nav </w:t>
            </w:r>
          </w:p>
        </w:tc>
      </w:tr>
      <w:tr w:rsidR="002A0702" w:rsidRPr="00EB6F6A" w:rsidTr="00D85869">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2A0702" w:rsidRPr="00EB6F6A" w:rsidRDefault="002A0702" w:rsidP="001B3285">
            <w:pPr>
              <w:pStyle w:val="NoSpacing"/>
              <w:jc w:val="both"/>
              <w:rPr>
                <w:lang w:val="lv-LV"/>
              </w:rPr>
            </w:pPr>
            <w:r w:rsidRPr="00EB6F6A">
              <w:rPr>
                <w:lang w:val="lv-LV"/>
              </w:rPr>
              <w:t>Cita informācija</w:t>
            </w:r>
          </w:p>
        </w:tc>
        <w:tc>
          <w:tcPr>
            <w:tcW w:w="349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A0702" w:rsidRPr="00EB6F6A" w:rsidRDefault="002A0702" w:rsidP="001B3285">
            <w:pPr>
              <w:pStyle w:val="NoSpacing"/>
              <w:jc w:val="both"/>
              <w:rPr>
                <w:lang w:val="lv-LV"/>
              </w:rPr>
            </w:pPr>
            <w:r w:rsidRPr="00EB6F6A">
              <w:rPr>
                <w:lang w:val="lv-LV"/>
              </w:rPr>
              <w:t>Nav</w:t>
            </w:r>
          </w:p>
        </w:tc>
      </w:tr>
      <w:tr w:rsidR="002A0702" w:rsidRPr="00EB6F6A" w:rsidTr="00D85869">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2A0702" w:rsidRPr="00EB6F6A" w:rsidRDefault="002A0702" w:rsidP="000711CF">
            <w:pPr>
              <w:pStyle w:val="NoSpacing"/>
              <w:jc w:val="both"/>
              <w:rPr>
                <w:b/>
                <w:lang w:val="lv-LV"/>
              </w:rPr>
            </w:pPr>
            <w:r w:rsidRPr="00EB6F6A">
              <w:rPr>
                <w:b/>
                <w:lang w:val="lv-LV"/>
              </w:rPr>
              <w:t>1.b.tabula</w:t>
            </w:r>
            <w:r w:rsidRPr="00EB6F6A">
              <w:rPr>
                <w:b/>
                <w:lang w:val="lv-LV"/>
              </w:rPr>
              <w:br/>
              <w:t>Tiesību akta projekta atbilstība ES tiesību aktiem</w:t>
            </w:r>
          </w:p>
        </w:tc>
      </w:tr>
      <w:tr w:rsidR="002A0702" w:rsidRPr="00FE0001" w:rsidTr="00D85869">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A0702" w:rsidRPr="00EB6F6A" w:rsidRDefault="002A0702" w:rsidP="00012D85">
            <w:pPr>
              <w:pStyle w:val="NoSpacing"/>
              <w:jc w:val="both"/>
              <w:rPr>
                <w:lang w:val="lv-LV"/>
              </w:rPr>
            </w:pPr>
            <w:r w:rsidRPr="00EB6F6A">
              <w:rPr>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tcBorders>
            <w:shd w:val="clear" w:color="auto" w:fill="FFFFFF"/>
          </w:tcPr>
          <w:p w:rsidR="002A0702" w:rsidRPr="00EB6F6A" w:rsidRDefault="002A0702" w:rsidP="00A579A4">
            <w:pPr>
              <w:autoSpaceDE w:val="0"/>
              <w:autoSpaceDN w:val="0"/>
              <w:adjustRightInd w:val="0"/>
              <w:spacing w:after="0" w:line="240" w:lineRule="auto"/>
              <w:jc w:val="both"/>
              <w:rPr>
                <w:rFonts w:ascii="Times New Roman" w:hAnsi="Times New Roman" w:cs="Times New Roman"/>
                <w:b/>
                <w:i/>
                <w:sz w:val="24"/>
                <w:szCs w:val="24"/>
                <w:lang w:val="lv-LV"/>
              </w:rPr>
            </w:pPr>
            <w:r w:rsidRPr="00EB6F6A">
              <w:rPr>
                <w:rFonts w:ascii="Times New Roman" w:hAnsi="Times New Roman" w:cs="Times New Roman"/>
                <w:b/>
                <w:sz w:val="24"/>
                <w:szCs w:val="24"/>
                <w:lang w:val="lv-LV"/>
              </w:rPr>
              <w:t>Eiropas Komisijas 2012.gada 7.marta direktīva</w:t>
            </w:r>
            <w:r w:rsidRPr="00EB6F6A">
              <w:rPr>
                <w:rFonts w:ascii="Times New Roman" w:hAnsi="Times New Roman" w:cs="Times New Roman"/>
                <w:b/>
                <w:i/>
                <w:sz w:val="24"/>
                <w:szCs w:val="24"/>
                <w:lang w:val="lv-LV"/>
              </w:rPr>
              <w:t xml:space="preserve"> </w:t>
            </w:r>
            <w:r w:rsidRPr="00EB6F6A">
              <w:rPr>
                <w:rFonts w:ascii="Times New Roman" w:hAnsi="Times New Roman" w:cs="Times New Roman"/>
                <w:b/>
                <w:sz w:val="24"/>
                <w:szCs w:val="24"/>
                <w:lang w:val="lv-LV"/>
              </w:rPr>
              <w:t>2012/9/ES</w:t>
            </w:r>
            <w:r w:rsidRPr="00EB6F6A">
              <w:rPr>
                <w:rFonts w:ascii="Times New Roman" w:hAnsi="Times New Roman" w:cs="Times New Roman"/>
                <w:b/>
                <w:i/>
                <w:sz w:val="24"/>
                <w:szCs w:val="24"/>
                <w:lang w:val="lv-LV"/>
              </w:rPr>
              <w:t xml:space="preserve"> ar ko groza I pielikumu Eiropas Parlamenta un Padomes Direktīvā 2001/37/EK par dalībvalstu normatīvo un administratīvo aktu tuvināšanu attiecībā uz tabakas izstrādājumu ražošanu, noformēšanu un pārdošanu </w:t>
            </w:r>
            <w:r w:rsidRPr="00EB6F6A">
              <w:rPr>
                <w:rFonts w:ascii="Times New Roman" w:hAnsi="Times New Roman" w:cs="Times New Roman"/>
                <w:b/>
                <w:sz w:val="24"/>
                <w:szCs w:val="24"/>
                <w:lang w:val="lv-LV"/>
              </w:rPr>
              <w:t>(</w:t>
            </w:r>
            <w:r w:rsidR="00461DC4" w:rsidRPr="00EB6F6A">
              <w:rPr>
                <w:rFonts w:ascii="Times New Roman" w:hAnsi="Times New Roman" w:cs="Times New Roman"/>
                <w:b/>
                <w:sz w:val="24"/>
                <w:szCs w:val="24"/>
                <w:lang w:val="lv-LV"/>
              </w:rPr>
              <w:t xml:space="preserve">turpmāk- </w:t>
            </w:r>
            <w:r w:rsidRPr="00EB6F6A">
              <w:rPr>
                <w:rFonts w:ascii="Times New Roman" w:hAnsi="Times New Roman" w:cs="Times New Roman"/>
                <w:b/>
                <w:sz w:val="24"/>
                <w:szCs w:val="24"/>
                <w:lang w:val="lv-LV"/>
              </w:rPr>
              <w:t>2012/9/ES)</w:t>
            </w:r>
            <w:r w:rsidRPr="00EB6F6A">
              <w:rPr>
                <w:rFonts w:ascii="Times New Roman" w:hAnsi="Times New Roman" w:cs="Times New Roman"/>
                <w:b/>
                <w:i/>
                <w:sz w:val="24"/>
                <w:szCs w:val="24"/>
                <w:lang w:val="lv-LV"/>
              </w:rPr>
              <w:t xml:space="preserve"> ;</w:t>
            </w:r>
          </w:p>
          <w:p w:rsidR="002A0702" w:rsidRPr="00EB6F6A" w:rsidRDefault="002A0702" w:rsidP="00A579A4">
            <w:pPr>
              <w:autoSpaceDE w:val="0"/>
              <w:autoSpaceDN w:val="0"/>
              <w:adjustRightInd w:val="0"/>
              <w:spacing w:after="0" w:line="240" w:lineRule="auto"/>
              <w:jc w:val="both"/>
              <w:rPr>
                <w:rFonts w:ascii="Times New Roman" w:hAnsi="Times New Roman" w:cs="Times New Roman"/>
                <w:b/>
                <w:i/>
                <w:sz w:val="24"/>
                <w:szCs w:val="24"/>
                <w:lang w:val="lv-LV"/>
              </w:rPr>
            </w:pPr>
            <w:r w:rsidRPr="00EB6F6A">
              <w:rPr>
                <w:rFonts w:ascii="Times New Roman" w:hAnsi="Times New Roman" w:cs="Times New Roman"/>
                <w:b/>
                <w:sz w:val="24"/>
                <w:szCs w:val="24"/>
                <w:lang w:val="lv-LV"/>
              </w:rPr>
              <w:t>Eiropas Komisijas 2014.gada 12.marta direktīva 2014/39/EK</w:t>
            </w:r>
            <w:r w:rsidRPr="00EB6F6A">
              <w:rPr>
                <w:rFonts w:ascii="Times New Roman" w:hAnsi="Times New Roman" w:cs="Times New Roman"/>
                <w:b/>
                <w:i/>
                <w:sz w:val="24"/>
                <w:szCs w:val="24"/>
                <w:lang w:val="lv-LV"/>
              </w:rPr>
              <w:t xml:space="preserve"> ar ko groza Direktīvu 2012/9/ES attiecībā uz tās transponēšanas datumu un pārejas perioda beigu termiņu </w:t>
            </w:r>
            <w:r w:rsidRPr="00EB6F6A">
              <w:rPr>
                <w:rFonts w:ascii="Times New Roman" w:hAnsi="Times New Roman" w:cs="Times New Roman"/>
                <w:b/>
                <w:sz w:val="24"/>
                <w:szCs w:val="24"/>
                <w:lang w:val="lv-LV"/>
              </w:rPr>
              <w:t>(</w:t>
            </w:r>
            <w:r w:rsidR="00461DC4" w:rsidRPr="00EB6F6A">
              <w:rPr>
                <w:rFonts w:ascii="Times New Roman" w:hAnsi="Times New Roman" w:cs="Times New Roman"/>
                <w:b/>
                <w:sz w:val="24"/>
                <w:szCs w:val="24"/>
                <w:lang w:val="lv-LV"/>
              </w:rPr>
              <w:t xml:space="preserve">turpmāk- </w:t>
            </w:r>
            <w:r w:rsidRPr="00EB6F6A">
              <w:rPr>
                <w:rFonts w:ascii="Times New Roman" w:hAnsi="Times New Roman" w:cs="Times New Roman"/>
                <w:b/>
                <w:sz w:val="24"/>
                <w:szCs w:val="24"/>
                <w:lang w:val="lv-LV"/>
              </w:rPr>
              <w:t>2014/39/E</w:t>
            </w:r>
            <w:r w:rsidR="00731B7A" w:rsidRPr="00EB6F6A">
              <w:rPr>
                <w:rFonts w:ascii="Times New Roman" w:hAnsi="Times New Roman" w:cs="Times New Roman"/>
                <w:b/>
                <w:sz w:val="24"/>
                <w:szCs w:val="24"/>
                <w:lang w:val="lv-LV"/>
              </w:rPr>
              <w:t>S</w:t>
            </w:r>
            <w:r w:rsidRPr="00EB6F6A">
              <w:rPr>
                <w:rFonts w:ascii="Times New Roman" w:hAnsi="Times New Roman" w:cs="Times New Roman"/>
                <w:b/>
                <w:sz w:val="24"/>
                <w:szCs w:val="24"/>
                <w:lang w:val="lv-LV"/>
              </w:rPr>
              <w:t>)</w:t>
            </w:r>
            <w:r w:rsidRPr="00EB6F6A">
              <w:rPr>
                <w:rFonts w:ascii="Times New Roman" w:hAnsi="Times New Roman" w:cs="Times New Roman"/>
                <w:b/>
                <w:i/>
                <w:sz w:val="24"/>
                <w:szCs w:val="24"/>
                <w:lang w:val="lv-LV"/>
              </w:rPr>
              <w:t xml:space="preserve">; </w:t>
            </w:r>
          </w:p>
          <w:p w:rsidR="002A0702" w:rsidRPr="00EB6F6A" w:rsidRDefault="002A0702" w:rsidP="00A579A4">
            <w:pPr>
              <w:autoSpaceDE w:val="0"/>
              <w:autoSpaceDN w:val="0"/>
              <w:adjustRightInd w:val="0"/>
              <w:spacing w:after="0" w:line="240" w:lineRule="auto"/>
              <w:jc w:val="both"/>
              <w:rPr>
                <w:rFonts w:ascii="Times New Roman" w:hAnsi="Times New Roman" w:cs="Times New Roman"/>
                <w:i/>
                <w:sz w:val="24"/>
                <w:szCs w:val="24"/>
                <w:lang w:val="lv-LV"/>
              </w:rPr>
            </w:pPr>
            <w:r w:rsidRPr="00EB6F6A">
              <w:rPr>
                <w:rFonts w:ascii="Times New Roman" w:hAnsi="Times New Roman" w:cs="Times New Roman"/>
                <w:b/>
                <w:sz w:val="24"/>
                <w:szCs w:val="24"/>
                <w:lang w:val="lv-LV"/>
              </w:rPr>
              <w:t>Eiropas Komisijas 2015.gada 13.jūlija direktīva 2015/1139</w:t>
            </w:r>
            <w:r w:rsidRPr="00EB6F6A">
              <w:rPr>
                <w:rFonts w:ascii="Times New Roman" w:hAnsi="Times New Roman" w:cs="Times New Roman"/>
                <w:b/>
                <w:i/>
                <w:sz w:val="24"/>
                <w:szCs w:val="24"/>
                <w:lang w:val="lv-LV"/>
              </w:rPr>
              <w:t xml:space="preserve"> ar ko Direktīvu 2012/9/ES groza attiecībā uz tās transponēšanas datumu un pārejas perioda beigu termiņu </w:t>
            </w:r>
            <w:r w:rsidRPr="00EB6F6A">
              <w:rPr>
                <w:rFonts w:ascii="Times New Roman" w:hAnsi="Times New Roman" w:cs="Times New Roman"/>
                <w:b/>
                <w:sz w:val="24"/>
                <w:szCs w:val="24"/>
                <w:lang w:val="lv-LV"/>
              </w:rPr>
              <w:t>(</w:t>
            </w:r>
            <w:r w:rsidR="00461DC4" w:rsidRPr="00EB6F6A">
              <w:rPr>
                <w:rFonts w:ascii="Times New Roman" w:hAnsi="Times New Roman" w:cs="Times New Roman"/>
                <w:b/>
                <w:sz w:val="24"/>
                <w:szCs w:val="24"/>
                <w:lang w:val="lv-LV"/>
              </w:rPr>
              <w:t xml:space="preserve">turpmāk- </w:t>
            </w:r>
            <w:r w:rsidRPr="00EB6F6A">
              <w:rPr>
                <w:rFonts w:ascii="Times New Roman" w:hAnsi="Times New Roman" w:cs="Times New Roman"/>
                <w:b/>
                <w:sz w:val="24"/>
                <w:szCs w:val="24"/>
                <w:lang w:val="lv-LV"/>
              </w:rPr>
              <w:t>2015/1139)</w:t>
            </w:r>
            <w:r w:rsidRPr="00EB6F6A">
              <w:rPr>
                <w:rFonts w:ascii="Times New Roman" w:hAnsi="Times New Roman" w:cs="Times New Roman"/>
                <w:b/>
                <w:i/>
                <w:sz w:val="24"/>
                <w:szCs w:val="24"/>
                <w:lang w:val="lv-LV"/>
              </w:rPr>
              <w:t>.</w:t>
            </w:r>
          </w:p>
        </w:tc>
      </w:tr>
      <w:tr w:rsidR="002A0702"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vAlign w:val="center"/>
          </w:tcPr>
          <w:p w:rsidR="002A0702" w:rsidRPr="00EB6F6A" w:rsidRDefault="002A0702" w:rsidP="00012D85">
            <w:pPr>
              <w:pStyle w:val="NoSpacing"/>
              <w:jc w:val="both"/>
              <w:rPr>
                <w:lang w:val="lv-LV"/>
              </w:rPr>
            </w:pPr>
            <w:r w:rsidRPr="00EB6F6A">
              <w:rPr>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A0702" w:rsidRPr="00EB6F6A" w:rsidRDefault="002A0702" w:rsidP="00012D85">
            <w:pPr>
              <w:pStyle w:val="NoSpacing"/>
              <w:jc w:val="both"/>
              <w:rPr>
                <w:lang w:val="lv-LV"/>
              </w:rPr>
            </w:pPr>
            <w:r w:rsidRPr="00EB6F6A">
              <w:rPr>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A0702" w:rsidRPr="00EB6F6A" w:rsidRDefault="002A0702" w:rsidP="00012D85">
            <w:pPr>
              <w:pStyle w:val="NoSpacing"/>
              <w:jc w:val="both"/>
              <w:rPr>
                <w:lang w:val="lv-LV"/>
              </w:rPr>
            </w:pPr>
            <w:r w:rsidRPr="00EB6F6A">
              <w:rPr>
                <w:lang w:val="lv-LV"/>
              </w:rPr>
              <w:t>C</w:t>
            </w:r>
          </w:p>
        </w:tc>
        <w:tc>
          <w:tcPr>
            <w:tcW w:w="1168" w:type="pct"/>
            <w:tcBorders>
              <w:top w:val="outset" w:sz="6" w:space="0" w:color="414142"/>
              <w:left w:val="outset" w:sz="6" w:space="0" w:color="414142"/>
              <w:bottom w:val="outset" w:sz="6" w:space="0" w:color="414142"/>
            </w:tcBorders>
            <w:shd w:val="clear" w:color="auto" w:fill="FFFFFF"/>
            <w:vAlign w:val="center"/>
          </w:tcPr>
          <w:p w:rsidR="002A0702" w:rsidRPr="00EB6F6A" w:rsidRDefault="002A0702" w:rsidP="00012D85">
            <w:pPr>
              <w:pStyle w:val="NoSpacing"/>
              <w:jc w:val="both"/>
              <w:rPr>
                <w:lang w:val="lv-LV"/>
              </w:rPr>
            </w:pPr>
            <w:r w:rsidRPr="00EB6F6A">
              <w:rPr>
                <w:lang w:val="lv-LV"/>
              </w:rPr>
              <w:t>D</w:t>
            </w:r>
          </w:p>
        </w:tc>
      </w:tr>
      <w:tr w:rsidR="002A0702" w:rsidRPr="00FE0001"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A0702" w:rsidRPr="00EB6F6A" w:rsidRDefault="002A0702" w:rsidP="00012D85">
            <w:pPr>
              <w:pStyle w:val="NoSpacing"/>
              <w:jc w:val="both"/>
              <w:rPr>
                <w:lang w:val="lv-LV"/>
              </w:rPr>
            </w:pPr>
            <w:r w:rsidRPr="00EB6F6A">
              <w:rPr>
                <w:lang w:val="lv-LV"/>
              </w:rPr>
              <w:t>Attiecīgā ES tiesību akta panta numurs (uzskaitot katru tiesību akta vienību - pantu, daļu, punktu, 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A0702" w:rsidRPr="00EB6F6A" w:rsidRDefault="002A0702" w:rsidP="00012D85">
            <w:pPr>
              <w:pStyle w:val="NoSpacing"/>
              <w:jc w:val="both"/>
              <w:rPr>
                <w:lang w:val="lv-LV"/>
              </w:rPr>
            </w:pPr>
            <w:r w:rsidRPr="00EB6F6A">
              <w:rPr>
                <w:lang w:val="lv-LV"/>
              </w:rPr>
              <w:t xml:space="preserve">Projekta vienība, kas pārņem vai ievieš katru šīs tabulas A ailē minēto ES tiesību akta vienību, vai tiesību akts, kur attiecīgā ES tiesību </w:t>
            </w:r>
            <w:r w:rsidRPr="00EB6F6A">
              <w:rPr>
                <w:lang w:val="lv-LV"/>
              </w:rPr>
              <w:lastRenderedPageBreak/>
              <w:t>akta vienība 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A0702" w:rsidRPr="00EB6F6A" w:rsidRDefault="002A0702" w:rsidP="00012D85">
            <w:pPr>
              <w:pStyle w:val="NoSpacing"/>
              <w:jc w:val="both"/>
              <w:rPr>
                <w:lang w:val="lv-LV"/>
              </w:rPr>
            </w:pPr>
            <w:r w:rsidRPr="00EB6F6A">
              <w:rPr>
                <w:lang w:val="lv-LV"/>
              </w:rPr>
              <w:lastRenderedPageBreak/>
              <w:t>Informācija par to, vai šīs tabulas A ailē minētās ES tiesību akta vienības tiek pārņemtas vai ieviestas pilnībā vai daļēji.</w:t>
            </w:r>
          </w:p>
          <w:p w:rsidR="002A0702" w:rsidRPr="00EB6F6A" w:rsidRDefault="002A0702" w:rsidP="00012D85">
            <w:pPr>
              <w:pStyle w:val="NoSpacing"/>
              <w:jc w:val="both"/>
              <w:rPr>
                <w:lang w:val="lv-LV"/>
              </w:rPr>
            </w:pPr>
            <w:r w:rsidRPr="00EB6F6A">
              <w:rPr>
                <w:lang w:val="lv-LV"/>
              </w:rPr>
              <w:lastRenderedPageBreak/>
              <w:t>Ja attiecīgā ES tiesību akta vienība tiek pārņemta vai ieviesta daļēji, sniedz attiecīgu skaidrojumu, kā arī precīzi norāda, kad un kādā veidā ES tiesību akta vienība tiks pārņemta vai ieviesta pilnībā.</w:t>
            </w:r>
          </w:p>
          <w:p w:rsidR="002A0702" w:rsidRPr="00EB6F6A" w:rsidRDefault="002A0702" w:rsidP="00012D85">
            <w:pPr>
              <w:pStyle w:val="NoSpacing"/>
              <w:jc w:val="both"/>
              <w:rPr>
                <w:lang w:val="lv-LV"/>
              </w:rPr>
            </w:pPr>
            <w:r w:rsidRPr="00EB6F6A">
              <w:rPr>
                <w:lang w:val="lv-LV"/>
              </w:rPr>
              <w:t>Norāda institūciju, kas ir atbildīga par šo saistību izpildi pilnībā</w:t>
            </w:r>
          </w:p>
        </w:tc>
        <w:tc>
          <w:tcPr>
            <w:tcW w:w="1168" w:type="pct"/>
            <w:tcBorders>
              <w:top w:val="outset" w:sz="6" w:space="0" w:color="414142"/>
              <w:left w:val="outset" w:sz="6" w:space="0" w:color="414142"/>
              <w:bottom w:val="outset" w:sz="6" w:space="0" w:color="414142"/>
            </w:tcBorders>
            <w:shd w:val="clear" w:color="auto" w:fill="FFFFFF"/>
          </w:tcPr>
          <w:p w:rsidR="002A0702" w:rsidRPr="00EB6F6A" w:rsidRDefault="002A0702" w:rsidP="00012D85">
            <w:pPr>
              <w:pStyle w:val="NoSpacing"/>
              <w:jc w:val="both"/>
              <w:rPr>
                <w:lang w:val="lv-LV"/>
              </w:rPr>
            </w:pPr>
            <w:r w:rsidRPr="00EB6F6A">
              <w:rPr>
                <w:lang w:val="lv-LV"/>
              </w:rPr>
              <w:lastRenderedPageBreak/>
              <w:t xml:space="preserve">Informācija par to, vai šīs tabulas B ailē minētās projekta vienības paredz stingrākas prasības nekā šīs tabulas A ailē minētās ES </w:t>
            </w:r>
            <w:r w:rsidRPr="00EB6F6A">
              <w:rPr>
                <w:lang w:val="lv-LV"/>
              </w:rPr>
              <w:lastRenderedPageBreak/>
              <w:t>tiesību akta vienības.</w:t>
            </w:r>
          </w:p>
          <w:p w:rsidR="002A0702" w:rsidRPr="00EB6F6A" w:rsidRDefault="002A0702" w:rsidP="00012D85">
            <w:pPr>
              <w:pStyle w:val="NoSpacing"/>
              <w:jc w:val="both"/>
              <w:rPr>
                <w:lang w:val="lv-LV"/>
              </w:rPr>
            </w:pPr>
            <w:r w:rsidRPr="00EB6F6A">
              <w:rPr>
                <w:lang w:val="lv-LV"/>
              </w:rPr>
              <w:t>Ja projekts satur stingrākas prasības nekā attiecīgais ES tiesību akts, norāda pamatojumu un samērīgumu.</w:t>
            </w:r>
          </w:p>
          <w:p w:rsidR="002A0702" w:rsidRPr="00EB6F6A" w:rsidRDefault="002A0702" w:rsidP="00012D85">
            <w:pPr>
              <w:pStyle w:val="NoSpacing"/>
              <w:jc w:val="both"/>
              <w:rPr>
                <w:lang w:val="lv-LV"/>
              </w:rPr>
            </w:pPr>
            <w:r w:rsidRPr="00EB6F6A">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2A0702" w:rsidRPr="00EB6F6A" w:rsidTr="00D85869">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2A0702" w:rsidRPr="00EB6F6A" w:rsidRDefault="002A0702" w:rsidP="00012D85">
            <w:pPr>
              <w:pStyle w:val="NoSpacing"/>
              <w:jc w:val="both"/>
              <w:rPr>
                <w:lang w:val="lv-LV"/>
              </w:rPr>
            </w:pPr>
            <w:r w:rsidRPr="00EB6F6A">
              <w:rPr>
                <w:b/>
                <w:lang w:val="lv-LV"/>
              </w:rPr>
              <w:lastRenderedPageBreak/>
              <w:t>2012/9/ES</w:t>
            </w:r>
          </w:p>
        </w:tc>
      </w:tr>
      <w:tr w:rsidR="003C308A"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C308A" w:rsidRPr="00EB6F6A" w:rsidRDefault="003C308A"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3C308A" w:rsidRPr="00EB6F6A" w:rsidRDefault="00885C17" w:rsidP="003C308A">
            <w:pPr>
              <w:pStyle w:val="tv213"/>
              <w:spacing w:before="0" w:beforeAutospacing="0" w:after="0" w:afterAutospacing="0"/>
              <w:jc w:val="both"/>
              <w:rPr>
                <w:lang w:val="lv-LV"/>
              </w:rPr>
            </w:pPr>
            <w:r w:rsidRPr="00EB6F6A">
              <w:rPr>
                <w:lang w:val="lv-LV"/>
              </w:rPr>
              <w:t xml:space="preserve">Nav attiecināms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3C308A" w:rsidRPr="00EB6F6A" w:rsidRDefault="00885C17" w:rsidP="003C308A">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Netiek pārņemts </w:t>
            </w:r>
          </w:p>
        </w:tc>
        <w:tc>
          <w:tcPr>
            <w:tcW w:w="1168" w:type="pct"/>
            <w:tcBorders>
              <w:top w:val="outset" w:sz="6" w:space="0" w:color="414142"/>
              <w:left w:val="outset" w:sz="6" w:space="0" w:color="414142"/>
              <w:bottom w:val="outset" w:sz="6" w:space="0" w:color="414142"/>
            </w:tcBorders>
            <w:shd w:val="clear" w:color="auto" w:fill="FFFFFF"/>
          </w:tcPr>
          <w:p w:rsidR="003C308A" w:rsidRPr="00EB6F6A" w:rsidRDefault="003C308A" w:rsidP="003C308A">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Neparedz stingrākas prasības</w:t>
            </w:r>
          </w:p>
        </w:tc>
      </w:tr>
      <w:tr w:rsidR="003C308A"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C308A" w:rsidRPr="00EB6F6A" w:rsidRDefault="003C308A"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2.pants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3C308A" w:rsidRPr="00EB6F6A" w:rsidRDefault="003C308A" w:rsidP="003C308A">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40.punkts;  Informatīva atsauce uz Eiropas Savienības direktīvām.</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3C308A" w:rsidRPr="00EB6F6A" w:rsidRDefault="003C308A" w:rsidP="003C308A">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Pārņemts pilnībā atbilstoši Eiropas Komisijas </w:t>
            </w:r>
          </w:p>
          <w:p w:rsidR="003C308A" w:rsidRPr="00EB6F6A" w:rsidRDefault="003C308A" w:rsidP="003C308A">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direktīvas 2015/1139 1.pantam </w:t>
            </w:r>
          </w:p>
          <w:p w:rsidR="003C308A" w:rsidRPr="00EB6F6A" w:rsidRDefault="003C308A" w:rsidP="003C308A">
            <w:pPr>
              <w:pStyle w:val="NoSpacing"/>
              <w:jc w:val="both"/>
              <w:rPr>
                <w:lang w:val="lv-LV"/>
              </w:rPr>
            </w:pPr>
          </w:p>
        </w:tc>
        <w:tc>
          <w:tcPr>
            <w:tcW w:w="1168" w:type="pct"/>
            <w:tcBorders>
              <w:top w:val="outset" w:sz="6" w:space="0" w:color="414142"/>
              <w:left w:val="outset" w:sz="6" w:space="0" w:color="414142"/>
              <w:bottom w:val="outset" w:sz="6" w:space="0" w:color="414142"/>
            </w:tcBorders>
            <w:shd w:val="clear" w:color="auto" w:fill="FFFFFF"/>
          </w:tcPr>
          <w:p w:rsidR="003C308A" w:rsidRPr="00EB6F6A" w:rsidRDefault="003C308A" w:rsidP="00224717">
            <w:pPr>
              <w:pStyle w:val="NoSpacing"/>
              <w:jc w:val="both"/>
              <w:rPr>
                <w:lang w:val="lv-LV"/>
              </w:rPr>
            </w:pPr>
            <w:r w:rsidRPr="00EB6F6A">
              <w:rPr>
                <w:lang w:val="lv-LV"/>
              </w:rPr>
              <w:t>Neparedz stingrākas prasības</w:t>
            </w:r>
          </w:p>
        </w:tc>
      </w:tr>
      <w:tr w:rsidR="003C308A"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C308A" w:rsidRPr="00EB6F6A" w:rsidRDefault="003C308A"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3.pants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3C308A" w:rsidRPr="00EB6F6A" w:rsidRDefault="00885C17" w:rsidP="003C308A">
            <w:pPr>
              <w:pStyle w:val="tv213"/>
              <w:spacing w:before="0" w:beforeAutospacing="0" w:after="0" w:afterAutospacing="0"/>
              <w:jc w:val="both"/>
              <w:rPr>
                <w:lang w:val="lv-LV"/>
              </w:rPr>
            </w:pPr>
            <w:r w:rsidRPr="00EB6F6A">
              <w:rPr>
                <w:lang w:val="lv-LV"/>
              </w:rPr>
              <w:t>36.punkts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85C17" w:rsidRPr="00EB6F6A" w:rsidRDefault="00885C17" w:rsidP="00885C17">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Pārņemts pilnībā atbilstoši Eiropas Komisijas </w:t>
            </w:r>
          </w:p>
          <w:p w:rsidR="003C308A" w:rsidRPr="00EB6F6A" w:rsidRDefault="00885C17" w:rsidP="00885C17">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direktīvas 2015/1139 1.pantam </w:t>
            </w:r>
          </w:p>
        </w:tc>
        <w:tc>
          <w:tcPr>
            <w:tcW w:w="1168" w:type="pct"/>
            <w:tcBorders>
              <w:top w:val="outset" w:sz="6" w:space="0" w:color="414142"/>
              <w:left w:val="outset" w:sz="6" w:space="0" w:color="414142"/>
              <w:bottom w:val="outset" w:sz="6" w:space="0" w:color="414142"/>
            </w:tcBorders>
            <w:shd w:val="clear" w:color="auto" w:fill="FFFFFF"/>
          </w:tcPr>
          <w:p w:rsidR="003C308A" w:rsidRPr="00EB6F6A" w:rsidRDefault="003C308A" w:rsidP="003C308A">
            <w:pPr>
              <w:pStyle w:val="NoSpacing"/>
              <w:jc w:val="both"/>
              <w:rPr>
                <w:lang w:val="lv-LV"/>
              </w:rPr>
            </w:pPr>
            <w:r w:rsidRPr="00EB6F6A">
              <w:rPr>
                <w:lang w:val="lv-LV"/>
              </w:rPr>
              <w:t>Neparedz stingrākas prasības</w:t>
            </w:r>
          </w:p>
        </w:tc>
      </w:tr>
      <w:tr w:rsidR="00885C17"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85C17" w:rsidRPr="00EB6F6A" w:rsidRDefault="00885C17"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4.pants, 5.pants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85C17" w:rsidRPr="00EB6F6A" w:rsidRDefault="00885C17" w:rsidP="004129BD">
            <w:pPr>
              <w:pStyle w:val="tv213"/>
              <w:spacing w:before="0" w:beforeAutospacing="0" w:after="0" w:afterAutospacing="0"/>
              <w:jc w:val="both"/>
              <w:rPr>
                <w:lang w:val="lv-LV"/>
              </w:rPr>
            </w:pPr>
            <w:r w:rsidRPr="00EB6F6A">
              <w:rPr>
                <w:lang w:val="lv-LV"/>
              </w:rPr>
              <w:t xml:space="preserve">Vispārējās ES dokumentu prasības, ko nenosaka nacionālajā tiesību aktā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85C17" w:rsidRPr="00EB6F6A" w:rsidRDefault="00885C17" w:rsidP="004129BD">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885C17" w:rsidRPr="00EB6F6A" w:rsidRDefault="00885C17" w:rsidP="004129BD">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Nav attiecināms </w:t>
            </w:r>
          </w:p>
        </w:tc>
      </w:tr>
      <w:tr w:rsidR="004765CA"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765CA" w:rsidRPr="00EB6F6A" w:rsidRDefault="004765CA"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Pielikums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4765CA" w:rsidRPr="00EB6F6A" w:rsidRDefault="00AE769C"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w:t>
            </w:r>
            <w:r w:rsidR="004765CA" w:rsidRPr="00EB6F6A">
              <w:rPr>
                <w:rFonts w:ascii="Times New Roman" w:hAnsi="Times New Roman" w:cs="Times New Roman"/>
                <w:sz w:val="24"/>
                <w:szCs w:val="24"/>
                <w:lang w:val="lv-LV"/>
              </w:rPr>
              <w:t xml:space="preserve">.pielikums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4765CA" w:rsidRPr="00EB6F6A" w:rsidRDefault="004765CA" w:rsidP="004765CA">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Pārņemts pilnībā </w:t>
            </w:r>
          </w:p>
          <w:p w:rsidR="004765CA" w:rsidRPr="00EB6F6A" w:rsidRDefault="004765CA" w:rsidP="004129BD">
            <w:pPr>
              <w:autoSpaceDE w:val="0"/>
              <w:autoSpaceDN w:val="0"/>
              <w:adjustRightInd w:val="0"/>
              <w:spacing w:after="0" w:line="240" w:lineRule="auto"/>
              <w:jc w:val="both"/>
              <w:rPr>
                <w:rFonts w:ascii="Times New Roman" w:hAnsi="Times New Roman" w:cs="Times New Roman"/>
                <w:sz w:val="24"/>
                <w:szCs w:val="24"/>
                <w:lang w:val="lv-LV"/>
              </w:rPr>
            </w:pPr>
          </w:p>
        </w:tc>
        <w:tc>
          <w:tcPr>
            <w:tcW w:w="1168" w:type="pct"/>
            <w:tcBorders>
              <w:top w:val="outset" w:sz="6" w:space="0" w:color="414142"/>
              <w:left w:val="outset" w:sz="6" w:space="0" w:color="414142"/>
              <w:bottom w:val="outset" w:sz="6" w:space="0" w:color="414142"/>
            </w:tcBorders>
            <w:shd w:val="clear" w:color="auto" w:fill="FFFFFF"/>
          </w:tcPr>
          <w:p w:rsidR="004765CA" w:rsidRPr="00EB6F6A" w:rsidRDefault="004765CA" w:rsidP="004129BD">
            <w:pPr>
              <w:pStyle w:val="NoSpacing"/>
              <w:jc w:val="both"/>
              <w:rPr>
                <w:lang w:val="lv-LV"/>
              </w:rPr>
            </w:pPr>
            <w:r w:rsidRPr="00EB6F6A">
              <w:rPr>
                <w:lang w:val="lv-LV"/>
              </w:rPr>
              <w:t>Neparedz stingrākas prasības</w:t>
            </w:r>
          </w:p>
        </w:tc>
      </w:tr>
      <w:tr w:rsidR="004765CA" w:rsidRPr="00EB6F6A" w:rsidTr="00D85869">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4765CA" w:rsidRPr="00EB6F6A" w:rsidRDefault="00731B7A" w:rsidP="00012D85">
            <w:pPr>
              <w:pStyle w:val="NoSpacing"/>
              <w:jc w:val="both"/>
              <w:rPr>
                <w:b/>
                <w:lang w:val="lv-LV"/>
              </w:rPr>
            </w:pPr>
            <w:r w:rsidRPr="00EB6F6A">
              <w:rPr>
                <w:b/>
                <w:lang w:val="lv-LV"/>
              </w:rPr>
              <w:t>2014/39/ES</w:t>
            </w:r>
          </w:p>
        </w:tc>
      </w:tr>
      <w:tr w:rsidR="004765CA"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765CA" w:rsidRPr="00EB6F6A" w:rsidRDefault="004765CA"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4765CA" w:rsidRPr="00EB6F6A" w:rsidRDefault="00B63536"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40.punkts, 36.punkts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B63536" w:rsidRPr="00EB6F6A" w:rsidRDefault="00B63536" w:rsidP="00B63536">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Pārņemts pilnībā atbilstoši Eiropas Komisijas </w:t>
            </w:r>
          </w:p>
          <w:p w:rsidR="004765CA" w:rsidRPr="00EB6F6A" w:rsidRDefault="00B63536" w:rsidP="00B63536">
            <w:pPr>
              <w:pStyle w:val="NoSpacing"/>
              <w:jc w:val="both"/>
              <w:rPr>
                <w:lang w:val="lv-LV"/>
              </w:rPr>
            </w:pPr>
            <w:r w:rsidRPr="00EB6F6A">
              <w:rPr>
                <w:lang w:val="lv-LV"/>
              </w:rPr>
              <w:t>direktīvas 2015/1139 1.pantam</w:t>
            </w:r>
          </w:p>
        </w:tc>
        <w:tc>
          <w:tcPr>
            <w:tcW w:w="1168" w:type="pct"/>
            <w:tcBorders>
              <w:top w:val="outset" w:sz="6" w:space="0" w:color="414142"/>
              <w:left w:val="outset" w:sz="6" w:space="0" w:color="414142"/>
              <w:bottom w:val="outset" w:sz="6" w:space="0" w:color="414142"/>
            </w:tcBorders>
            <w:shd w:val="clear" w:color="auto" w:fill="FFFFFF"/>
          </w:tcPr>
          <w:p w:rsidR="004765CA" w:rsidRPr="00EB6F6A" w:rsidRDefault="00B63536" w:rsidP="00B67AE3">
            <w:pPr>
              <w:pStyle w:val="NoSpacing"/>
              <w:jc w:val="both"/>
              <w:rPr>
                <w:lang w:val="lv-LV"/>
              </w:rPr>
            </w:pPr>
            <w:r w:rsidRPr="00EB6F6A">
              <w:rPr>
                <w:lang w:val="lv-LV"/>
              </w:rPr>
              <w:t>Neparedz stingrākas prasības</w:t>
            </w:r>
          </w:p>
        </w:tc>
      </w:tr>
      <w:tr w:rsidR="00B63536"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63536" w:rsidRPr="00EB6F6A" w:rsidRDefault="00B63536"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2.pants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B63536" w:rsidRPr="00EB6F6A" w:rsidRDefault="00B63536" w:rsidP="004129BD">
            <w:pPr>
              <w:pStyle w:val="tv213"/>
              <w:spacing w:before="0" w:beforeAutospacing="0" w:after="0" w:afterAutospacing="0"/>
              <w:jc w:val="both"/>
              <w:rPr>
                <w:lang w:val="lv-LV"/>
              </w:rPr>
            </w:pPr>
            <w:r w:rsidRPr="00EB6F6A">
              <w:rPr>
                <w:lang w:val="lv-LV"/>
              </w:rPr>
              <w:t xml:space="preserve">Vispārējās ES </w:t>
            </w:r>
            <w:r w:rsidRPr="00EB6F6A">
              <w:rPr>
                <w:lang w:val="lv-LV"/>
              </w:rPr>
              <w:lastRenderedPageBreak/>
              <w:t xml:space="preserve">dokumentu prasības, ko nenosaka nacionālajā tiesību aktā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B63536" w:rsidRPr="00EB6F6A" w:rsidRDefault="00B63536" w:rsidP="004129BD">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lastRenderedPageBreak/>
              <w:t>Netiek pārņemts</w:t>
            </w:r>
          </w:p>
        </w:tc>
        <w:tc>
          <w:tcPr>
            <w:tcW w:w="1168" w:type="pct"/>
            <w:tcBorders>
              <w:top w:val="outset" w:sz="6" w:space="0" w:color="414142"/>
              <w:left w:val="outset" w:sz="6" w:space="0" w:color="414142"/>
              <w:bottom w:val="outset" w:sz="6" w:space="0" w:color="414142"/>
            </w:tcBorders>
            <w:shd w:val="clear" w:color="auto" w:fill="FFFFFF"/>
          </w:tcPr>
          <w:p w:rsidR="00B63536" w:rsidRPr="00EB6F6A" w:rsidRDefault="00B63536" w:rsidP="004129BD">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Nav attiecināms </w:t>
            </w:r>
          </w:p>
        </w:tc>
      </w:tr>
      <w:tr w:rsidR="00B63536" w:rsidRPr="00EB6F6A" w:rsidTr="00B63536">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B63536" w:rsidRPr="00EB6F6A" w:rsidRDefault="00B63536" w:rsidP="00012D85">
            <w:pPr>
              <w:pStyle w:val="NoSpacing"/>
              <w:jc w:val="both"/>
              <w:rPr>
                <w:lang w:val="lv-LV"/>
              </w:rPr>
            </w:pPr>
            <w:r w:rsidRPr="00EB6F6A">
              <w:rPr>
                <w:b/>
                <w:lang w:val="lv-LV"/>
              </w:rPr>
              <w:lastRenderedPageBreak/>
              <w:t>2015/1139</w:t>
            </w:r>
          </w:p>
        </w:tc>
      </w:tr>
      <w:tr w:rsidR="00B63536"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63536" w:rsidRPr="00EB6F6A" w:rsidRDefault="00B63536"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1.pants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B63536" w:rsidRPr="00EB6F6A" w:rsidRDefault="00B63536"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40.punkts, 36.punkts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B63536" w:rsidRPr="00EB6F6A" w:rsidRDefault="00B63536" w:rsidP="004129BD">
            <w:pPr>
              <w:pStyle w:val="NoSpacing"/>
              <w:jc w:val="both"/>
              <w:rPr>
                <w:lang w:val="lv-LV"/>
              </w:rPr>
            </w:pPr>
            <w:r w:rsidRPr="00EB6F6A">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B63536" w:rsidRPr="00EB6F6A" w:rsidRDefault="00B63536" w:rsidP="004129BD">
            <w:pPr>
              <w:pStyle w:val="NoSpacing"/>
              <w:jc w:val="both"/>
              <w:rPr>
                <w:lang w:val="lv-LV"/>
              </w:rPr>
            </w:pPr>
            <w:r w:rsidRPr="00EB6F6A">
              <w:rPr>
                <w:lang w:val="lv-LV"/>
              </w:rPr>
              <w:t>Neparedz stingrākas prasības</w:t>
            </w:r>
          </w:p>
        </w:tc>
      </w:tr>
      <w:tr w:rsidR="00B63536"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63536" w:rsidRPr="00EB6F6A" w:rsidRDefault="00B63536" w:rsidP="00012D85">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2.pants un 3.pants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B63536" w:rsidRPr="00EB6F6A" w:rsidRDefault="00B63536" w:rsidP="003C308A">
            <w:pPr>
              <w:pStyle w:val="tv213"/>
              <w:spacing w:before="0" w:beforeAutospacing="0" w:after="0" w:afterAutospacing="0"/>
              <w:jc w:val="both"/>
              <w:rPr>
                <w:lang w:val="lv-LV"/>
              </w:rPr>
            </w:pPr>
            <w:r w:rsidRPr="00EB6F6A">
              <w:rPr>
                <w:lang w:val="lv-LV"/>
              </w:rPr>
              <w:t xml:space="preserve">Vispārējās ES dokumentu prasības, ko nenosaka nacionālajā tiesību aktā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B63536" w:rsidRPr="00EB6F6A" w:rsidRDefault="00B63536" w:rsidP="003C308A">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B63536" w:rsidRPr="00EB6F6A" w:rsidRDefault="00B63536" w:rsidP="003C308A">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Nav attiecināms </w:t>
            </w:r>
          </w:p>
        </w:tc>
      </w:tr>
      <w:tr w:rsidR="00B63536"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63536" w:rsidRPr="00EB6F6A" w:rsidRDefault="00B63536" w:rsidP="00012D85">
            <w:pPr>
              <w:pStyle w:val="NoSpacing"/>
              <w:jc w:val="both"/>
              <w:rPr>
                <w:lang w:val="lv-LV"/>
              </w:rPr>
            </w:pPr>
            <w:r w:rsidRPr="00EB6F6A">
              <w:rPr>
                <w:lang w:val="lv-LV"/>
              </w:rPr>
              <w:t>Kā ir izmantota ES tiesību aktā paredzētā rīcības brīvība dalībvalstij pārņemt vai ieviest noteiktas ES tiesību akta normas?</w:t>
            </w:r>
            <w:r w:rsidRPr="00EB6F6A">
              <w:rPr>
                <w:lang w:val="lv-LV"/>
              </w:rPr>
              <w:br/>
              <w:t>Kādēļ?</w:t>
            </w:r>
          </w:p>
        </w:tc>
        <w:tc>
          <w:tcPr>
            <w:tcW w:w="3492" w:type="pct"/>
            <w:gridSpan w:val="3"/>
            <w:tcBorders>
              <w:top w:val="outset" w:sz="6" w:space="0" w:color="414142"/>
              <w:left w:val="outset" w:sz="6" w:space="0" w:color="414142"/>
              <w:bottom w:val="outset" w:sz="6" w:space="0" w:color="414142"/>
            </w:tcBorders>
            <w:shd w:val="clear" w:color="auto" w:fill="FFFFFF"/>
          </w:tcPr>
          <w:p w:rsidR="00B63536" w:rsidRPr="00EB6F6A" w:rsidRDefault="006D28CC" w:rsidP="00E35EBD">
            <w:pPr>
              <w:pStyle w:val="NoSpacing"/>
              <w:jc w:val="both"/>
              <w:rPr>
                <w:lang w:val="lv-LV"/>
              </w:rPr>
            </w:pPr>
            <w:r w:rsidRPr="00EB6F6A">
              <w:rPr>
                <w:lang w:val="lv-LV"/>
              </w:rPr>
              <w:t>Nav</w:t>
            </w:r>
            <w:r w:rsidR="00B63536" w:rsidRPr="00EB6F6A">
              <w:rPr>
                <w:lang w:val="lv-LV"/>
              </w:rPr>
              <w:t xml:space="preserve"> </w:t>
            </w:r>
          </w:p>
        </w:tc>
      </w:tr>
      <w:tr w:rsidR="00B63536"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63536" w:rsidRPr="00EB6F6A" w:rsidRDefault="00B63536" w:rsidP="00012D85">
            <w:pPr>
              <w:pStyle w:val="NoSpacing"/>
              <w:jc w:val="both"/>
              <w:rPr>
                <w:lang w:val="lv-LV"/>
              </w:rPr>
            </w:pPr>
            <w:r w:rsidRPr="00EB6F6A">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3"/>
            <w:tcBorders>
              <w:top w:val="outset" w:sz="6" w:space="0" w:color="414142"/>
              <w:left w:val="outset" w:sz="6" w:space="0" w:color="414142"/>
              <w:bottom w:val="outset" w:sz="6" w:space="0" w:color="414142"/>
            </w:tcBorders>
            <w:shd w:val="clear" w:color="auto" w:fill="FFFFFF"/>
          </w:tcPr>
          <w:p w:rsidR="00B63536" w:rsidRPr="00EB6F6A" w:rsidRDefault="00731B7A" w:rsidP="00012D85">
            <w:pPr>
              <w:pStyle w:val="NoSpacing"/>
              <w:jc w:val="both"/>
              <w:rPr>
                <w:lang w:val="lv-LV"/>
              </w:rPr>
            </w:pPr>
            <w:r w:rsidRPr="00EB6F6A">
              <w:rPr>
                <w:lang w:val="lv-LV"/>
              </w:rPr>
              <w:t>Nav</w:t>
            </w:r>
          </w:p>
        </w:tc>
      </w:tr>
      <w:tr w:rsidR="00B63536"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63536" w:rsidRPr="00EB6F6A" w:rsidRDefault="00B63536" w:rsidP="00012D85">
            <w:pPr>
              <w:pStyle w:val="NoSpacing"/>
              <w:jc w:val="both"/>
              <w:rPr>
                <w:lang w:val="lv-LV"/>
              </w:rPr>
            </w:pPr>
            <w:r w:rsidRPr="00EB6F6A">
              <w:rPr>
                <w:lang w:val="lv-LV"/>
              </w:rPr>
              <w:t>Cita informācija</w:t>
            </w:r>
          </w:p>
        </w:tc>
        <w:tc>
          <w:tcPr>
            <w:tcW w:w="3492" w:type="pct"/>
            <w:gridSpan w:val="3"/>
            <w:tcBorders>
              <w:top w:val="outset" w:sz="6" w:space="0" w:color="414142"/>
              <w:left w:val="outset" w:sz="6" w:space="0" w:color="414142"/>
              <w:bottom w:val="outset" w:sz="6" w:space="0" w:color="414142"/>
            </w:tcBorders>
            <w:shd w:val="clear" w:color="auto" w:fill="FFFFFF"/>
          </w:tcPr>
          <w:p w:rsidR="00B63536" w:rsidRPr="00EB6F6A" w:rsidRDefault="00B63536" w:rsidP="00012D85">
            <w:pPr>
              <w:pStyle w:val="NoSpacing"/>
              <w:jc w:val="both"/>
              <w:rPr>
                <w:lang w:val="lv-LV"/>
              </w:rPr>
            </w:pPr>
            <w:r w:rsidRPr="00EB6F6A">
              <w:rPr>
                <w:lang w:val="lv-LV"/>
              </w:rPr>
              <w:t>Nav</w:t>
            </w:r>
          </w:p>
        </w:tc>
      </w:tr>
      <w:tr w:rsidR="00B63536" w:rsidRPr="00EB6F6A" w:rsidTr="00E838FD">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B63536" w:rsidRPr="00EB6F6A" w:rsidRDefault="00B63536" w:rsidP="00E838FD">
            <w:pPr>
              <w:pStyle w:val="NoSpacing"/>
              <w:jc w:val="both"/>
              <w:rPr>
                <w:b/>
                <w:lang w:val="lv-LV"/>
              </w:rPr>
            </w:pPr>
            <w:r w:rsidRPr="00EB6F6A">
              <w:rPr>
                <w:b/>
                <w:lang w:val="lv-LV"/>
              </w:rPr>
              <w:t>1.c.tabula</w:t>
            </w:r>
            <w:r w:rsidRPr="00EB6F6A">
              <w:rPr>
                <w:b/>
                <w:lang w:val="lv-LV"/>
              </w:rPr>
              <w:br/>
              <w:t>Tiesību akta projekta atbilstība ES tiesību aktiem</w:t>
            </w:r>
          </w:p>
        </w:tc>
      </w:tr>
      <w:tr w:rsidR="00B63536" w:rsidRPr="00FE0001" w:rsidTr="00E838FD">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63536" w:rsidRPr="00EB6F6A" w:rsidRDefault="00B63536" w:rsidP="00E838FD">
            <w:pPr>
              <w:pStyle w:val="NoSpacing"/>
              <w:jc w:val="both"/>
              <w:rPr>
                <w:lang w:val="lv-LV"/>
              </w:rPr>
            </w:pPr>
            <w:r w:rsidRPr="00EB6F6A">
              <w:rPr>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tcBorders>
            <w:shd w:val="clear" w:color="auto" w:fill="FFFFFF"/>
          </w:tcPr>
          <w:p w:rsidR="00B63536" w:rsidRPr="00EB6F6A" w:rsidRDefault="00B63536" w:rsidP="00731B7A">
            <w:pPr>
              <w:autoSpaceDE w:val="0"/>
              <w:autoSpaceDN w:val="0"/>
              <w:adjustRightInd w:val="0"/>
              <w:spacing w:after="0" w:line="240" w:lineRule="auto"/>
              <w:jc w:val="both"/>
              <w:rPr>
                <w:rFonts w:ascii="Times New Roman" w:hAnsi="Times New Roman" w:cs="Times New Roman"/>
                <w:b/>
                <w:sz w:val="24"/>
                <w:szCs w:val="24"/>
                <w:lang w:val="lv-LV"/>
              </w:rPr>
            </w:pPr>
            <w:r w:rsidRPr="00EB6F6A">
              <w:rPr>
                <w:rFonts w:ascii="Times New Roman" w:hAnsi="Times New Roman" w:cs="Times New Roman"/>
                <w:b/>
                <w:sz w:val="24"/>
                <w:szCs w:val="24"/>
                <w:lang w:val="lv-LV"/>
              </w:rPr>
              <w:t xml:space="preserve">2014.gada 10.oktobra Eiropas Komisijas deleģētā direktīva 2014/109/ES </w:t>
            </w:r>
            <w:r w:rsidRPr="00EB6F6A">
              <w:rPr>
                <w:rFonts w:ascii="Times New Roman" w:hAnsi="Times New Roman" w:cs="Times New Roman"/>
                <w:b/>
                <w:i/>
                <w:sz w:val="24"/>
                <w:szCs w:val="24"/>
                <w:lang w:val="lv-LV"/>
              </w:rPr>
              <w:t>ar ko groza Eiropas Parlamenta un Padomes Direktīvas 2014/40/ES II pielikumu, izveidojot galeriju ar ilustratīviem brīdinājumiem, kuri jāizvieto uz tabakas izstrādājumiem</w:t>
            </w:r>
            <w:r w:rsidR="00731B7A" w:rsidRPr="00EB6F6A">
              <w:rPr>
                <w:rFonts w:ascii="Times New Roman" w:hAnsi="Times New Roman" w:cs="Times New Roman"/>
                <w:b/>
                <w:i/>
                <w:sz w:val="24"/>
                <w:szCs w:val="24"/>
                <w:lang w:val="lv-LV"/>
              </w:rPr>
              <w:t xml:space="preserve"> </w:t>
            </w:r>
            <w:r w:rsidRPr="00EB6F6A">
              <w:rPr>
                <w:rFonts w:ascii="Times New Roman" w:hAnsi="Times New Roman" w:cs="Times New Roman"/>
                <w:b/>
                <w:sz w:val="24"/>
                <w:szCs w:val="24"/>
                <w:lang w:val="lv-LV"/>
              </w:rPr>
              <w:t xml:space="preserve">  </w:t>
            </w:r>
          </w:p>
        </w:tc>
      </w:tr>
      <w:tr w:rsidR="00B63536"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vAlign w:val="center"/>
          </w:tcPr>
          <w:p w:rsidR="00B63536" w:rsidRPr="00EB6F6A" w:rsidRDefault="00B63536" w:rsidP="00E838FD">
            <w:pPr>
              <w:pStyle w:val="NoSpacing"/>
              <w:jc w:val="both"/>
              <w:rPr>
                <w:lang w:val="lv-LV"/>
              </w:rPr>
            </w:pPr>
            <w:r w:rsidRPr="00EB6F6A">
              <w:rPr>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63536" w:rsidRPr="00EB6F6A" w:rsidRDefault="00B63536" w:rsidP="00E838FD">
            <w:pPr>
              <w:pStyle w:val="NoSpacing"/>
              <w:jc w:val="both"/>
              <w:rPr>
                <w:lang w:val="lv-LV"/>
              </w:rPr>
            </w:pPr>
            <w:r w:rsidRPr="00EB6F6A">
              <w:rPr>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63536" w:rsidRPr="00EB6F6A" w:rsidRDefault="00B63536" w:rsidP="00E838FD">
            <w:pPr>
              <w:pStyle w:val="NoSpacing"/>
              <w:jc w:val="both"/>
              <w:rPr>
                <w:lang w:val="lv-LV"/>
              </w:rPr>
            </w:pPr>
            <w:r w:rsidRPr="00EB6F6A">
              <w:rPr>
                <w:lang w:val="lv-LV"/>
              </w:rPr>
              <w:t>C</w:t>
            </w:r>
          </w:p>
        </w:tc>
        <w:tc>
          <w:tcPr>
            <w:tcW w:w="1168" w:type="pct"/>
            <w:tcBorders>
              <w:top w:val="outset" w:sz="6" w:space="0" w:color="414142"/>
              <w:left w:val="outset" w:sz="6" w:space="0" w:color="414142"/>
              <w:bottom w:val="outset" w:sz="6" w:space="0" w:color="414142"/>
            </w:tcBorders>
            <w:shd w:val="clear" w:color="auto" w:fill="FFFFFF"/>
            <w:vAlign w:val="center"/>
          </w:tcPr>
          <w:p w:rsidR="00B63536" w:rsidRPr="00EB6F6A" w:rsidRDefault="00B63536" w:rsidP="00E838FD">
            <w:pPr>
              <w:pStyle w:val="NoSpacing"/>
              <w:jc w:val="both"/>
              <w:rPr>
                <w:lang w:val="lv-LV"/>
              </w:rPr>
            </w:pPr>
            <w:r w:rsidRPr="00EB6F6A">
              <w:rPr>
                <w:lang w:val="lv-LV"/>
              </w:rPr>
              <w:t>D</w:t>
            </w:r>
          </w:p>
        </w:tc>
      </w:tr>
      <w:tr w:rsidR="00B63536" w:rsidRPr="00FE0001"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63536" w:rsidRPr="00EB6F6A" w:rsidRDefault="00B63536" w:rsidP="00E838FD">
            <w:pPr>
              <w:pStyle w:val="NoSpacing"/>
              <w:jc w:val="both"/>
              <w:rPr>
                <w:lang w:val="lv-LV"/>
              </w:rPr>
            </w:pPr>
            <w:r w:rsidRPr="00EB6F6A">
              <w:rPr>
                <w:lang w:val="lv-LV"/>
              </w:rPr>
              <w:t>Attiecīgā ES tiesību akta panta numurs (uzskaitot katru tiesību akta vienību - pantu, daļu, punktu, 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B63536" w:rsidRPr="00EB6F6A" w:rsidRDefault="00B63536" w:rsidP="00E838FD">
            <w:pPr>
              <w:pStyle w:val="NoSpacing"/>
              <w:jc w:val="both"/>
              <w:rPr>
                <w:lang w:val="lv-LV"/>
              </w:rPr>
            </w:pPr>
            <w:r w:rsidRPr="00EB6F6A">
              <w:rPr>
                <w:lang w:val="lv-LV"/>
              </w:rPr>
              <w:t xml:space="preserve">Projekta vienība, kas pārņem vai ievieš katru šīs tabulas A ailē minēto ES tiesību akta vienību, vai tiesību akts, kur attiecīgā ES tiesību akta vienība </w:t>
            </w:r>
            <w:r w:rsidRPr="00EB6F6A">
              <w:rPr>
                <w:lang w:val="lv-LV"/>
              </w:rPr>
              <w:lastRenderedPageBreak/>
              <w:t>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B63536" w:rsidRPr="00EB6F6A" w:rsidRDefault="00B63536" w:rsidP="00E838FD">
            <w:pPr>
              <w:pStyle w:val="NoSpacing"/>
              <w:jc w:val="both"/>
              <w:rPr>
                <w:lang w:val="lv-LV"/>
              </w:rPr>
            </w:pPr>
            <w:r w:rsidRPr="00EB6F6A">
              <w:rPr>
                <w:lang w:val="lv-LV"/>
              </w:rPr>
              <w:lastRenderedPageBreak/>
              <w:t>Informācija par to, vai šīs tabulas A ailē minētās ES tiesību akta vienības tiek pārņemtas vai ieviestas pilnībā vai daļēji.</w:t>
            </w:r>
          </w:p>
          <w:p w:rsidR="00B63536" w:rsidRPr="00EB6F6A" w:rsidRDefault="00B63536" w:rsidP="00E838FD">
            <w:pPr>
              <w:pStyle w:val="NoSpacing"/>
              <w:jc w:val="both"/>
              <w:rPr>
                <w:lang w:val="lv-LV"/>
              </w:rPr>
            </w:pPr>
            <w:r w:rsidRPr="00EB6F6A">
              <w:rPr>
                <w:lang w:val="lv-LV"/>
              </w:rPr>
              <w:t xml:space="preserve">Ja attiecīgā ES tiesību </w:t>
            </w:r>
            <w:r w:rsidRPr="00EB6F6A">
              <w:rPr>
                <w:lang w:val="lv-LV"/>
              </w:rPr>
              <w:lastRenderedPageBreak/>
              <w:t>akta vienība tiek pārņemta vai ieviesta daļēji, sniedz attiecīgu skaidrojumu, kā arī precīzi norāda, kad un kādā veidā ES tiesību akta vienība tiks pārņemta vai ieviesta pilnībā.</w:t>
            </w:r>
          </w:p>
          <w:p w:rsidR="00B63536" w:rsidRPr="00EB6F6A" w:rsidRDefault="00B63536" w:rsidP="00E838FD">
            <w:pPr>
              <w:pStyle w:val="NoSpacing"/>
              <w:jc w:val="both"/>
              <w:rPr>
                <w:lang w:val="lv-LV"/>
              </w:rPr>
            </w:pPr>
            <w:r w:rsidRPr="00EB6F6A">
              <w:rPr>
                <w:lang w:val="lv-LV"/>
              </w:rPr>
              <w:t>Norāda institūciju, kas ir atbildīga par šo saistību izpildi pilnībā</w:t>
            </w:r>
          </w:p>
        </w:tc>
        <w:tc>
          <w:tcPr>
            <w:tcW w:w="1168" w:type="pct"/>
            <w:tcBorders>
              <w:top w:val="outset" w:sz="6" w:space="0" w:color="414142"/>
              <w:left w:val="outset" w:sz="6" w:space="0" w:color="414142"/>
              <w:bottom w:val="outset" w:sz="6" w:space="0" w:color="414142"/>
            </w:tcBorders>
            <w:shd w:val="clear" w:color="auto" w:fill="FFFFFF"/>
          </w:tcPr>
          <w:p w:rsidR="00B63536" w:rsidRPr="00EB6F6A" w:rsidRDefault="00B63536" w:rsidP="00E838FD">
            <w:pPr>
              <w:pStyle w:val="NoSpacing"/>
              <w:jc w:val="both"/>
              <w:rPr>
                <w:lang w:val="lv-LV"/>
              </w:rPr>
            </w:pPr>
            <w:r w:rsidRPr="00EB6F6A">
              <w:rPr>
                <w:lang w:val="lv-LV"/>
              </w:rPr>
              <w:lastRenderedPageBreak/>
              <w:t>Informācija par to, vai šīs tabulas B ailē minētās projekta vienības paredz stingrākas prasības nekā šīs tabulas A ailē minētās ES tiesību akta vienības.</w:t>
            </w:r>
          </w:p>
          <w:p w:rsidR="00B63536" w:rsidRPr="00EB6F6A" w:rsidRDefault="00B63536" w:rsidP="00E838FD">
            <w:pPr>
              <w:pStyle w:val="NoSpacing"/>
              <w:jc w:val="both"/>
              <w:rPr>
                <w:lang w:val="lv-LV"/>
              </w:rPr>
            </w:pPr>
            <w:r w:rsidRPr="00EB6F6A">
              <w:rPr>
                <w:lang w:val="lv-LV"/>
              </w:rPr>
              <w:lastRenderedPageBreak/>
              <w:t>Ja projekts satur stingrākas prasības nekā attiecīgais ES tiesību akts, norāda pamatojumu un samērīgumu.</w:t>
            </w:r>
          </w:p>
          <w:p w:rsidR="00B63536" w:rsidRPr="00EB6F6A" w:rsidRDefault="00B63536" w:rsidP="00E838FD">
            <w:pPr>
              <w:pStyle w:val="NoSpacing"/>
              <w:jc w:val="both"/>
              <w:rPr>
                <w:lang w:val="lv-LV"/>
              </w:rPr>
            </w:pPr>
            <w:r w:rsidRPr="00EB6F6A">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635F53"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35F53" w:rsidRPr="00EB6F6A" w:rsidRDefault="00635F53"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lastRenderedPageBreak/>
              <w:t>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635F53" w:rsidRPr="00EB6F6A" w:rsidRDefault="00635F53" w:rsidP="00635F53">
            <w:pPr>
              <w:pStyle w:val="tv213"/>
              <w:spacing w:before="0" w:beforeAutospacing="0" w:after="0" w:afterAutospacing="0"/>
              <w:jc w:val="both"/>
              <w:rPr>
                <w:lang w:val="lv-LV"/>
              </w:rPr>
            </w:pPr>
            <w:r w:rsidRPr="00EB6F6A">
              <w:rPr>
                <w:lang w:val="lv-LV"/>
              </w:rPr>
              <w:t xml:space="preserve">Nav attiecināms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635F53" w:rsidRPr="00EB6F6A" w:rsidRDefault="00635F53" w:rsidP="00635F53">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Netiek pārņemts </w:t>
            </w:r>
          </w:p>
        </w:tc>
        <w:tc>
          <w:tcPr>
            <w:tcW w:w="1168" w:type="pct"/>
            <w:tcBorders>
              <w:top w:val="outset" w:sz="6" w:space="0" w:color="414142"/>
              <w:left w:val="outset" w:sz="6" w:space="0" w:color="414142"/>
              <w:bottom w:val="outset" w:sz="6" w:space="0" w:color="414142"/>
            </w:tcBorders>
            <w:shd w:val="clear" w:color="auto" w:fill="FFFFFF"/>
          </w:tcPr>
          <w:p w:rsidR="00635F53" w:rsidRPr="00EB6F6A" w:rsidRDefault="00635F53" w:rsidP="00635F53">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Neparedz stingrākas prasības</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2.pants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40.punkts; </w:t>
            </w:r>
          </w:p>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Informatīva atsauce uz Eiropas Savienības direktīvām.</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 xml:space="preserve">Netiek noteiktas stingrākas prasības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3.pants, 4.pants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497A0A">
            <w:pPr>
              <w:pStyle w:val="tv213"/>
              <w:spacing w:before="0" w:beforeAutospacing="0" w:after="0" w:afterAutospacing="0"/>
              <w:jc w:val="both"/>
              <w:rPr>
                <w:lang w:val="lv-LV"/>
              </w:rPr>
            </w:pPr>
            <w:r w:rsidRPr="00EB6F6A">
              <w:rPr>
                <w:lang w:val="lv-LV"/>
              </w:rPr>
              <w:t xml:space="preserve">Vispārējās ES dokumentu prasības, ko nenosaka nacionālajā tiesību aktā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497A0A">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497A0A">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Nav attiecināms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Pielikums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AE769C"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w:t>
            </w:r>
            <w:r w:rsidR="005E4DC5" w:rsidRPr="00EB6F6A">
              <w:rPr>
                <w:rFonts w:ascii="Times New Roman" w:hAnsi="Times New Roman" w:cs="Times New Roman"/>
                <w:sz w:val="24"/>
                <w:szCs w:val="24"/>
                <w:lang w:val="lv-LV"/>
              </w:rPr>
              <w:t xml:space="preserve">.pielikums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 xml:space="preserve">Netiek noteiktas stingrākas prasības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Kā ir izmantota ES tiesību aktā paredzētā rīcības brīvība dalībvalstij pārņemt vai ieviest noteiktas ES tiesību akta normas?</w:t>
            </w:r>
            <w:r w:rsidRPr="00EB6F6A">
              <w:rPr>
                <w:lang w:val="lv-LV"/>
              </w:rPr>
              <w:br/>
              <w:t>Kādēļ?</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6D28CC">
            <w:pPr>
              <w:pStyle w:val="NoSpacing"/>
              <w:jc w:val="both"/>
              <w:rPr>
                <w:lang w:val="lv-LV"/>
              </w:rPr>
            </w:pPr>
            <w:r w:rsidRPr="00EB6F6A">
              <w:rPr>
                <w:lang w:val="lv-LV"/>
              </w:rPr>
              <w:t xml:space="preserve">Nav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 xml:space="preserve">Saistības sniegt paziņojumu ES institūcijām un ES dalībvalstīm atbilstoši normatīvajiem aktiem, kas regulē informācijas sniegšanu par tehnisko noteikumu, valsts atbalsta piešķiršanas un finanšu noteikumu (attiecībā uz monetāro politiku) </w:t>
            </w:r>
            <w:r w:rsidRPr="00EB6F6A">
              <w:rPr>
                <w:lang w:val="lv-LV"/>
              </w:rPr>
              <w:lastRenderedPageBreak/>
              <w:t>projektiem</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lastRenderedPageBreak/>
              <w:t>Nav</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lastRenderedPageBreak/>
              <w:t>Cita informācija</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Nav</w:t>
            </w:r>
          </w:p>
        </w:tc>
      </w:tr>
      <w:tr w:rsidR="005E4DC5" w:rsidRPr="00EB6F6A" w:rsidTr="00A579A4">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5E4DC5" w:rsidRPr="00EB6F6A" w:rsidRDefault="005E4DC5" w:rsidP="00461320">
            <w:pPr>
              <w:pStyle w:val="NoSpacing"/>
              <w:jc w:val="both"/>
              <w:rPr>
                <w:b/>
                <w:lang w:val="lv-LV"/>
              </w:rPr>
            </w:pPr>
            <w:r w:rsidRPr="00EB6F6A">
              <w:rPr>
                <w:b/>
                <w:lang w:val="lv-LV"/>
              </w:rPr>
              <w:t>1.d.tabula</w:t>
            </w:r>
            <w:r w:rsidRPr="00EB6F6A">
              <w:rPr>
                <w:b/>
                <w:lang w:val="lv-LV"/>
              </w:rPr>
              <w:br/>
              <w:t>Tiesību akta projekta atbilstība ES tiesību aktiem</w:t>
            </w:r>
          </w:p>
        </w:tc>
      </w:tr>
      <w:tr w:rsidR="005E4DC5" w:rsidRPr="00FE0001" w:rsidTr="00A579A4">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A579A4">
            <w:pPr>
              <w:pStyle w:val="NoSpacing"/>
              <w:jc w:val="both"/>
              <w:rPr>
                <w:lang w:val="lv-LV"/>
              </w:rPr>
            </w:pPr>
            <w:r w:rsidRPr="00EB6F6A">
              <w:rPr>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8329FA">
            <w:pPr>
              <w:autoSpaceDE w:val="0"/>
              <w:autoSpaceDN w:val="0"/>
              <w:adjustRightInd w:val="0"/>
              <w:spacing w:after="0" w:line="240" w:lineRule="auto"/>
              <w:jc w:val="both"/>
              <w:rPr>
                <w:rFonts w:ascii="Times New Roman" w:hAnsi="Times New Roman" w:cs="Times New Roman"/>
                <w:b/>
                <w:sz w:val="24"/>
                <w:szCs w:val="24"/>
                <w:lang w:val="lv-LV"/>
              </w:rPr>
            </w:pPr>
            <w:r w:rsidRPr="00EB6F6A">
              <w:rPr>
                <w:rFonts w:ascii="Times New Roman" w:hAnsi="Times New Roman" w:cs="Times New Roman"/>
                <w:b/>
                <w:sz w:val="24"/>
                <w:szCs w:val="24"/>
                <w:lang w:val="lv-LV"/>
              </w:rPr>
              <w:t xml:space="preserve">Eiropas Komisijas 2015.gada 24.septembra īstenošanas lēmums (ES) 2015/1735 </w:t>
            </w:r>
            <w:r w:rsidRPr="00EB6F6A">
              <w:rPr>
                <w:rFonts w:ascii="Times New Roman" w:hAnsi="Times New Roman" w:cs="Times New Roman"/>
                <w:b/>
                <w:i/>
                <w:sz w:val="24"/>
                <w:szCs w:val="24"/>
                <w:lang w:val="lv-LV"/>
              </w:rPr>
              <w:t>par vispārīgā brīdinājuma un informatīvā uzraksta precīzu izvietojumu uz tinamās tabakas, ko pārdod  maisiņos</w:t>
            </w:r>
            <w:r w:rsidRPr="00EB6F6A">
              <w:rPr>
                <w:rFonts w:ascii="Times New Roman" w:hAnsi="Times New Roman" w:cs="Times New Roman"/>
                <w:b/>
                <w:sz w:val="24"/>
                <w:szCs w:val="24"/>
                <w:lang w:val="lv-LV"/>
              </w:rPr>
              <w:t xml:space="preserve">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vAlign w:val="center"/>
          </w:tcPr>
          <w:p w:rsidR="005E4DC5" w:rsidRPr="00EB6F6A" w:rsidRDefault="005E4DC5" w:rsidP="00A579A4">
            <w:pPr>
              <w:pStyle w:val="NoSpacing"/>
              <w:jc w:val="both"/>
              <w:rPr>
                <w:lang w:val="lv-LV"/>
              </w:rPr>
            </w:pPr>
            <w:r w:rsidRPr="00EB6F6A">
              <w:rPr>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E4DC5" w:rsidRPr="00EB6F6A" w:rsidRDefault="005E4DC5" w:rsidP="00A579A4">
            <w:pPr>
              <w:pStyle w:val="NoSpacing"/>
              <w:jc w:val="both"/>
              <w:rPr>
                <w:lang w:val="lv-LV"/>
              </w:rPr>
            </w:pPr>
            <w:r w:rsidRPr="00EB6F6A">
              <w:rPr>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E4DC5" w:rsidRPr="00EB6F6A" w:rsidRDefault="005E4DC5" w:rsidP="00A579A4">
            <w:pPr>
              <w:pStyle w:val="NoSpacing"/>
              <w:jc w:val="both"/>
              <w:rPr>
                <w:lang w:val="lv-LV"/>
              </w:rPr>
            </w:pPr>
            <w:r w:rsidRPr="00EB6F6A">
              <w:rPr>
                <w:lang w:val="lv-LV"/>
              </w:rPr>
              <w:t>C</w:t>
            </w:r>
          </w:p>
        </w:tc>
        <w:tc>
          <w:tcPr>
            <w:tcW w:w="1168" w:type="pct"/>
            <w:tcBorders>
              <w:top w:val="outset" w:sz="6" w:space="0" w:color="414142"/>
              <w:left w:val="outset" w:sz="6" w:space="0" w:color="414142"/>
              <w:bottom w:val="outset" w:sz="6" w:space="0" w:color="414142"/>
            </w:tcBorders>
            <w:shd w:val="clear" w:color="auto" w:fill="FFFFFF"/>
            <w:vAlign w:val="center"/>
          </w:tcPr>
          <w:p w:rsidR="005E4DC5" w:rsidRPr="00EB6F6A" w:rsidRDefault="005E4DC5" w:rsidP="00A579A4">
            <w:pPr>
              <w:pStyle w:val="NoSpacing"/>
              <w:jc w:val="both"/>
              <w:rPr>
                <w:lang w:val="lv-LV"/>
              </w:rPr>
            </w:pPr>
            <w:r w:rsidRPr="00EB6F6A">
              <w:rPr>
                <w:lang w:val="lv-LV"/>
              </w:rPr>
              <w:t>D</w:t>
            </w:r>
          </w:p>
        </w:tc>
      </w:tr>
      <w:tr w:rsidR="005E4DC5" w:rsidRPr="00FE0001"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A579A4">
            <w:pPr>
              <w:pStyle w:val="NoSpacing"/>
              <w:jc w:val="both"/>
              <w:rPr>
                <w:lang w:val="lv-LV"/>
              </w:rPr>
            </w:pPr>
            <w:r w:rsidRPr="00EB6F6A">
              <w:rPr>
                <w:lang w:val="lv-LV"/>
              </w:rPr>
              <w:t>Attiecīgā ES tiesību akta panta numurs (uzskaitot katru tiesību akta vienību - pantu, daļu, punktu, 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A579A4">
            <w:pPr>
              <w:pStyle w:val="NoSpacing"/>
              <w:jc w:val="both"/>
              <w:rPr>
                <w:lang w:val="lv-LV"/>
              </w:rPr>
            </w:pPr>
            <w:r w:rsidRPr="00EB6F6A">
              <w:rPr>
                <w:lang w:val="lv-LV"/>
              </w:rPr>
              <w:t>Projekta vienība, kas pārņem vai ievieš katru šīs tabulas A ailē minēto ES tiesību akta vienību, vai tiesību akts, kur attiecīgā ES tiesību akta vienība 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A579A4">
            <w:pPr>
              <w:pStyle w:val="NoSpacing"/>
              <w:jc w:val="both"/>
              <w:rPr>
                <w:lang w:val="lv-LV"/>
              </w:rPr>
            </w:pPr>
            <w:r w:rsidRPr="00EB6F6A">
              <w:rPr>
                <w:lang w:val="lv-LV"/>
              </w:rPr>
              <w:t>Informācija par to, vai šīs tabulas A ailē minētās ES tiesību akta vienības tiek pārņemtas vai ieviestas pilnībā vai daļēji.</w:t>
            </w:r>
          </w:p>
          <w:p w:rsidR="005E4DC5" w:rsidRPr="00EB6F6A" w:rsidRDefault="005E4DC5" w:rsidP="00A579A4">
            <w:pPr>
              <w:pStyle w:val="NoSpacing"/>
              <w:jc w:val="both"/>
              <w:rPr>
                <w:lang w:val="lv-LV"/>
              </w:rPr>
            </w:pPr>
            <w:r w:rsidRPr="00EB6F6A">
              <w:rPr>
                <w:lang w:val="lv-LV"/>
              </w:rPr>
              <w:t>Ja attiecīgā ES tiesību akta vienība tiek pārņemta vai ieviesta daļēji, sniedz attiecīgu skaidrojumu, kā arī precīzi norāda, kad un kādā veidā ES tiesību akta vienība tiks pārņemta vai ieviesta pilnībā.</w:t>
            </w:r>
          </w:p>
          <w:p w:rsidR="005E4DC5" w:rsidRPr="00EB6F6A" w:rsidRDefault="005E4DC5" w:rsidP="00A579A4">
            <w:pPr>
              <w:pStyle w:val="NoSpacing"/>
              <w:jc w:val="both"/>
              <w:rPr>
                <w:lang w:val="lv-LV"/>
              </w:rPr>
            </w:pPr>
            <w:r w:rsidRPr="00EB6F6A">
              <w:rPr>
                <w:lang w:val="lv-LV"/>
              </w:rPr>
              <w:t>Norāda institūciju, kas ir atbildīga par šo saistību izpildi pilnībā</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A579A4">
            <w:pPr>
              <w:pStyle w:val="NoSpacing"/>
              <w:jc w:val="both"/>
              <w:rPr>
                <w:lang w:val="lv-LV"/>
              </w:rPr>
            </w:pPr>
            <w:r w:rsidRPr="00EB6F6A">
              <w:rPr>
                <w:lang w:val="lv-LV"/>
              </w:rPr>
              <w:t>Informācija par to, vai šīs tabulas B ailē minētās projekta vienības paredz stingrākas prasības nekā šīs tabulas A ailē minētās ES tiesību akta vienības.</w:t>
            </w:r>
          </w:p>
          <w:p w:rsidR="005E4DC5" w:rsidRPr="00EB6F6A" w:rsidRDefault="005E4DC5" w:rsidP="00A579A4">
            <w:pPr>
              <w:pStyle w:val="NoSpacing"/>
              <w:jc w:val="both"/>
              <w:rPr>
                <w:lang w:val="lv-LV"/>
              </w:rPr>
            </w:pPr>
            <w:r w:rsidRPr="00EB6F6A">
              <w:rPr>
                <w:lang w:val="lv-LV"/>
              </w:rPr>
              <w:t>Ja projekts satur stingrākas prasības nekā attiecīgais ES tiesību akts, norāda pamatojumu un samērīgumu.</w:t>
            </w:r>
          </w:p>
          <w:p w:rsidR="005E4DC5" w:rsidRPr="00EB6F6A" w:rsidRDefault="005E4DC5" w:rsidP="00A579A4">
            <w:pPr>
              <w:pStyle w:val="NoSpacing"/>
              <w:jc w:val="both"/>
              <w:rPr>
                <w:lang w:val="lv-LV"/>
              </w:rPr>
            </w:pPr>
            <w:r w:rsidRPr="00EB6F6A">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 jo nosaka lēmuma mērķi</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DA7B0F">
            <w:pPr>
              <w:pStyle w:val="NoSpacing"/>
              <w:jc w:val="both"/>
              <w:rPr>
                <w:b/>
                <w:bCs/>
                <w:lang w:val="lv-LV"/>
              </w:rPr>
            </w:pPr>
            <w:r w:rsidRPr="00EB6F6A">
              <w:rPr>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A579A4">
            <w:pPr>
              <w:pStyle w:val="NoSpacing"/>
              <w:jc w:val="both"/>
              <w:rPr>
                <w:lang w:val="lv-LV"/>
              </w:rPr>
            </w:pP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9.punkts, 13.punkts, 14.punkts, </w:t>
            </w:r>
          </w:p>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37.punkts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497A0A">
            <w:pPr>
              <w:pStyle w:val="NoSpacing"/>
              <w:jc w:val="both"/>
              <w:rPr>
                <w:lang w:val="lv-LV"/>
              </w:rPr>
            </w:pPr>
            <w:r w:rsidRPr="00EB6F6A">
              <w:rPr>
                <w:lang w:val="lv-LV"/>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497A0A">
            <w:pPr>
              <w:pStyle w:val="NoSpacing"/>
              <w:jc w:val="both"/>
              <w:rPr>
                <w:lang w:val="lv-LV"/>
              </w:rPr>
            </w:pPr>
            <w:r w:rsidRPr="00EB6F6A">
              <w:rPr>
                <w:lang w:val="lv-LV"/>
              </w:rPr>
              <w:t xml:space="preserve">Netiek noteiktas stingrākas prasības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9.punkts</w:t>
            </w:r>
          </w:p>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15.punkts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497A0A">
            <w:pPr>
              <w:pStyle w:val="NoSpacing"/>
              <w:jc w:val="both"/>
              <w:rPr>
                <w:lang w:val="lv-LV"/>
              </w:rPr>
            </w:pPr>
            <w:r w:rsidRPr="00EB6F6A">
              <w:rPr>
                <w:lang w:val="lv-LV"/>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497A0A">
            <w:pPr>
              <w:pStyle w:val="NoSpacing"/>
              <w:jc w:val="both"/>
              <w:rPr>
                <w:lang w:val="lv-LV"/>
              </w:rPr>
            </w:pPr>
            <w:r w:rsidRPr="00EB6F6A">
              <w:rPr>
                <w:lang w:val="lv-LV"/>
              </w:rPr>
              <w:t xml:space="preserve">Netiek noteiktas stingrākas prasības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4.pants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38.punkts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497A0A">
            <w:pPr>
              <w:pStyle w:val="NoSpacing"/>
              <w:jc w:val="both"/>
              <w:rPr>
                <w:lang w:val="lv-LV"/>
              </w:rPr>
            </w:pPr>
            <w:r w:rsidRPr="00EB6F6A">
              <w:rPr>
                <w:lang w:val="lv-LV"/>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497A0A">
            <w:pPr>
              <w:pStyle w:val="NoSpacing"/>
              <w:jc w:val="both"/>
              <w:rPr>
                <w:lang w:val="lv-LV"/>
              </w:rPr>
            </w:pPr>
            <w:r w:rsidRPr="00EB6F6A">
              <w:rPr>
                <w:lang w:val="lv-LV"/>
              </w:rPr>
              <w:t xml:space="preserve">Netiek noteiktas stingrākas prasības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5.pants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497A0A">
            <w:pPr>
              <w:pStyle w:val="tv213"/>
              <w:spacing w:before="0" w:beforeAutospacing="0" w:after="0" w:afterAutospacing="0"/>
              <w:jc w:val="both"/>
              <w:rPr>
                <w:lang w:val="lv-LV"/>
              </w:rPr>
            </w:pPr>
            <w:r w:rsidRPr="00EB6F6A">
              <w:rPr>
                <w:lang w:val="lv-LV"/>
              </w:rPr>
              <w:t xml:space="preserve">Vispārējās ES dokumentu prasības, </w:t>
            </w:r>
            <w:r w:rsidRPr="00EB6F6A">
              <w:rPr>
                <w:lang w:val="lv-LV"/>
              </w:rPr>
              <w:lastRenderedPageBreak/>
              <w:t xml:space="preserve">ko nenosaka nacionālajā tiesību aktā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497A0A">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lastRenderedPageBreak/>
              <w:t>Netiek pārņemts</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497A0A">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Nav attiecināms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lastRenderedPageBreak/>
              <w:t xml:space="preserve">Pielikums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A579A4">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1.pielikums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497A0A">
            <w:pPr>
              <w:pStyle w:val="NoSpacing"/>
              <w:jc w:val="both"/>
              <w:rPr>
                <w:lang w:val="lv-LV"/>
              </w:rPr>
            </w:pPr>
            <w:r w:rsidRPr="00EB6F6A">
              <w:rPr>
                <w:lang w:val="lv-LV"/>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497A0A">
            <w:pPr>
              <w:pStyle w:val="NoSpacing"/>
              <w:jc w:val="both"/>
              <w:rPr>
                <w:lang w:val="lv-LV"/>
              </w:rPr>
            </w:pPr>
            <w:r w:rsidRPr="00EB6F6A">
              <w:rPr>
                <w:lang w:val="lv-LV"/>
              </w:rPr>
              <w:t xml:space="preserve">Netiek noteiktas stingrākas prasības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A579A4">
            <w:pPr>
              <w:pStyle w:val="NoSpacing"/>
              <w:jc w:val="both"/>
              <w:rPr>
                <w:lang w:val="lv-LV"/>
              </w:rPr>
            </w:pPr>
            <w:r w:rsidRPr="00EB6F6A">
              <w:rPr>
                <w:lang w:val="lv-LV"/>
              </w:rPr>
              <w:t>Kā ir izmantota ES tiesību aktā paredzētā rīcības brīvība dalībvalstij pārņemt vai ieviest noteiktas ES tiesību akta normas?</w:t>
            </w:r>
            <w:r w:rsidRPr="00EB6F6A">
              <w:rPr>
                <w:lang w:val="lv-LV"/>
              </w:rPr>
              <w:br/>
              <w:t>Kādēļ?</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A579A4">
            <w:pPr>
              <w:pStyle w:val="NoSpacing"/>
              <w:jc w:val="both"/>
              <w:rPr>
                <w:lang w:val="lv-LV"/>
              </w:rPr>
            </w:pPr>
            <w:r w:rsidRPr="00EB6F6A">
              <w:rPr>
                <w:lang w:val="lv-LV"/>
              </w:rPr>
              <w:t xml:space="preserve">Nav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A579A4">
            <w:pPr>
              <w:pStyle w:val="NoSpacing"/>
              <w:jc w:val="both"/>
              <w:rPr>
                <w:lang w:val="lv-LV"/>
              </w:rPr>
            </w:pPr>
            <w:r w:rsidRPr="00EB6F6A">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A579A4">
            <w:pPr>
              <w:pStyle w:val="NoSpacing"/>
              <w:jc w:val="both"/>
              <w:rPr>
                <w:lang w:val="lv-LV"/>
              </w:rPr>
            </w:pP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A579A4">
            <w:pPr>
              <w:pStyle w:val="NoSpacing"/>
              <w:jc w:val="both"/>
              <w:rPr>
                <w:lang w:val="lv-LV"/>
              </w:rPr>
            </w:pPr>
            <w:r w:rsidRPr="00EB6F6A">
              <w:rPr>
                <w:lang w:val="lv-LV"/>
              </w:rPr>
              <w:t>Cita informācija</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A579A4">
            <w:pPr>
              <w:pStyle w:val="NoSpacing"/>
              <w:jc w:val="both"/>
              <w:rPr>
                <w:lang w:val="lv-LV"/>
              </w:rPr>
            </w:pPr>
            <w:r w:rsidRPr="00EB6F6A">
              <w:rPr>
                <w:lang w:val="lv-LV"/>
              </w:rPr>
              <w:t>Nav</w:t>
            </w:r>
          </w:p>
        </w:tc>
      </w:tr>
      <w:tr w:rsidR="005E4DC5" w:rsidRPr="00EB6F6A" w:rsidTr="00E838FD">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5E4DC5" w:rsidRPr="00EB6F6A" w:rsidRDefault="005E4DC5" w:rsidP="00461320">
            <w:pPr>
              <w:pStyle w:val="NoSpacing"/>
              <w:jc w:val="both"/>
              <w:rPr>
                <w:b/>
                <w:lang w:val="lv-LV"/>
              </w:rPr>
            </w:pPr>
            <w:r w:rsidRPr="00EB6F6A">
              <w:rPr>
                <w:b/>
                <w:lang w:val="lv-LV"/>
              </w:rPr>
              <w:t>1.e.tabula</w:t>
            </w:r>
            <w:r w:rsidRPr="00EB6F6A">
              <w:rPr>
                <w:b/>
                <w:lang w:val="lv-LV"/>
              </w:rPr>
              <w:br/>
              <w:t>Tiesību akta projekta atbilstība ES tiesību aktiem</w:t>
            </w:r>
          </w:p>
        </w:tc>
      </w:tr>
      <w:tr w:rsidR="005E4DC5" w:rsidRPr="00FE0001" w:rsidTr="00E838FD">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8329FA">
            <w:pPr>
              <w:autoSpaceDE w:val="0"/>
              <w:autoSpaceDN w:val="0"/>
              <w:adjustRightInd w:val="0"/>
              <w:spacing w:after="0" w:line="240" w:lineRule="auto"/>
              <w:jc w:val="both"/>
              <w:rPr>
                <w:rFonts w:ascii="Times New Roman" w:hAnsi="Times New Roman" w:cs="Times New Roman"/>
                <w:b/>
                <w:sz w:val="24"/>
                <w:szCs w:val="24"/>
                <w:lang w:val="lv-LV"/>
              </w:rPr>
            </w:pPr>
            <w:r w:rsidRPr="00EB6F6A">
              <w:rPr>
                <w:rFonts w:ascii="Times New Roman" w:hAnsi="Times New Roman" w:cs="Times New Roman"/>
                <w:b/>
                <w:sz w:val="24"/>
                <w:szCs w:val="24"/>
                <w:lang w:val="lv-LV"/>
              </w:rPr>
              <w:t xml:space="preserve">Eiropas Komisijas 2015.gada 9.oktobra īstenošanas lēmums (ES) 2015/1842 </w:t>
            </w:r>
            <w:r w:rsidRPr="00EB6F6A">
              <w:rPr>
                <w:rFonts w:ascii="Times New Roman" w:hAnsi="Times New Roman" w:cs="Times New Roman"/>
                <w:b/>
                <w:i/>
                <w:sz w:val="24"/>
                <w:szCs w:val="24"/>
                <w:lang w:val="lv-LV"/>
              </w:rPr>
              <w:t>par kombinēto brīdinājumu par smēķēšanai paredzēto tabakas izstrādājumu ietekmi uz veselību izvietojuma, dizaina un formas tehniskajām specifikācijām</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vAlign w:val="center"/>
          </w:tcPr>
          <w:p w:rsidR="005E4DC5" w:rsidRPr="00EB6F6A" w:rsidRDefault="005E4DC5" w:rsidP="00E838FD">
            <w:pPr>
              <w:pStyle w:val="NoSpacing"/>
              <w:jc w:val="both"/>
              <w:rPr>
                <w:lang w:val="lv-LV"/>
              </w:rPr>
            </w:pPr>
            <w:r w:rsidRPr="00EB6F6A">
              <w:rPr>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E4DC5" w:rsidRPr="00EB6F6A" w:rsidRDefault="005E4DC5" w:rsidP="00E838FD">
            <w:pPr>
              <w:pStyle w:val="NoSpacing"/>
              <w:jc w:val="both"/>
              <w:rPr>
                <w:lang w:val="lv-LV"/>
              </w:rPr>
            </w:pPr>
            <w:r w:rsidRPr="00EB6F6A">
              <w:rPr>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E4DC5" w:rsidRPr="00EB6F6A" w:rsidRDefault="005E4DC5" w:rsidP="00E838FD">
            <w:pPr>
              <w:pStyle w:val="NoSpacing"/>
              <w:jc w:val="both"/>
              <w:rPr>
                <w:lang w:val="lv-LV"/>
              </w:rPr>
            </w:pPr>
            <w:r w:rsidRPr="00EB6F6A">
              <w:rPr>
                <w:lang w:val="lv-LV"/>
              </w:rPr>
              <w:t>C</w:t>
            </w:r>
          </w:p>
        </w:tc>
        <w:tc>
          <w:tcPr>
            <w:tcW w:w="1168" w:type="pct"/>
            <w:tcBorders>
              <w:top w:val="outset" w:sz="6" w:space="0" w:color="414142"/>
              <w:left w:val="outset" w:sz="6" w:space="0" w:color="414142"/>
              <w:bottom w:val="outset" w:sz="6" w:space="0" w:color="414142"/>
            </w:tcBorders>
            <w:shd w:val="clear" w:color="auto" w:fill="FFFFFF"/>
            <w:vAlign w:val="center"/>
          </w:tcPr>
          <w:p w:rsidR="005E4DC5" w:rsidRPr="00EB6F6A" w:rsidRDefault="005E4DC5" w:rsidP="00E838FD">
            <w:pPr>
              <w:pStyle w:val="NoSpacing"/>
              <w:jc w:val="both"/>
              <w:rPr>
                <w:lang w:val="lv-LV"/>
              </w:rPr>
            </w:pPr>
            <w:r w:rsidRPr="00EB6F6A">
              <w:rPr>
                <w:lang w:val="lv-LV"/>
              </w:rPr>
              <w:t>D</w:t>
            </w:r>
          </w:p>
        </w:tc>
      </w:tr>
      <w:tr w:rsidR="005E4DC5" w:rsidRPr="00FE0001"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Attiecīgā ES tiesību akta panta numurs (uzskaitot katru tiesību akta vienību - pantu, daļu, punktu, 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Projekta vienība, kas pārņem vai ievieš katru šīs tabulas A ailē minēto ES tiesību akta vienību, vai tiesību akts, kur attiecīgā ES tiesību akta vienība 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Informācija par to, vai šīs tabulas A ailē minētās ES tiesību akta vienības tiek pārņemtas vai ieviestas pilnībā vai daļēji.</w:t>
            </w:r>
          </w:p>
          <w:p w:rsidR="005E4DC5" w:rsidRPr="00EB6F6A" w:rsidRDefault="005E4DC5" w:rsidP="00E838FD">
            <w:pPr>
              <w:pStyle w:val="NoSpacing"/>
              <w:jc w:val="both"/>
              <w:rPr>
                <w:lang w:val="lv-LV"/>
              </w:rPr>
            </w:pPr>
            <w:r w:rsidRPr="00EB6F6A">
              <w:rPr>
                <w:lang w:val="lv-LV"/>
              </w:rPr>
              <w:t>Ja attiecīgā ES tiesību akta vienība tiek pārņemta vai ieviesta daļēji, sniedz attiecīgu skaidrojumu, kā arī precīzi norāda, kad un kādā veidā ES tiesību akta vienība tiks pārņemta vai ieviesta pilnībā.</w:t>
            </w:r>
          </w:p>
          <w:p w:rsidR="005E4DC5" w:rsidRPr="00EB6F6A" w:rsidRDefault="005E4DC5" w:rsidP="00E838FD">
            <w:pPr>
              <w:pStyle w:val="NoSpacing"/>
              <w:jc w:val="both"/>
              <w:rPr>
                <w:lang w:val="lv-LV"/>
              </w:rPr>
            </w:pPr>
            <w:r w:rsidRPr="00EB6F6A">
              <w:rPr>
                <w:lang w:val="lv-LV"/>
              </w:rPr>
              <w:lastRenderedPageBreak/>
              <w:t>Norāda institūciju, kas ir atbildīga par šo saistību izpildi pilnībā</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lastRenderedPageBreak/>
              <w:t>Informācija par to, vai šīs tabulas B ailē minētās projekta vienības paredz stingrākas prasības nekā šīs tabulas A ailē minētās ES tiesību akta vienības.</w:t>
            </w:r>
          </w:p>
          <w:p w:rsidR="005E4DC5" w:rsidRPr="00EB6F6A" w:rsidRDefault="005E4DC5" w:rsidP="00E838FD">
            <w:pPr>
              <w:pStyle w:val="NoSpacing"/>
              <w:jc w:val="both"/>
              <w:rPr>
                <w:lang w:val="lv-LV"/>
              </w:rPr>
            </w:pPr>
            <w:r w:rsidRPr="00EB6F6A">
              <w:rPr>
                <w:lang w:val="lv-LV"/>
              </w:rPr>
              <w:t>Ja projekts satur stingrākas prasības nekā attiecīgais ES tiesību akts, norāda pamatojumu un samērīgumu.</w:t>
            </w:r>
          </w:p>
          <w:p w:rsidR="005E4DC5" w:rsidRPr="00EB6F6A" w:rsidRDefault="005E4DC5" w:rsidP="00E838FD">
            <w:pPr>
              <w:pStyle w:val="NoSpacing"/>
              <w:jc w:val="both"/>
              <w:rPr>
                <w:lang w:val="lv-LV"/>
              </w:rPr>
            </w:pPr>
            <w:r w:rsidRPr="00EB6F6A">
              <w:rPr>
                <w:lang w:val="lv-LV"/>
              </w:rPr>
              <w:t xml:space="preserve">Norāda iespējamās alternatīvas (t.sk. alternatīvas, kas </w:t>
            </w:r>
            <w:r w:rsidRPr="00EB6F6A">
              <w:rPr>
                <w:lang w:val="lv-LV"/>
              </w:rPr>
              <w:lastRenderedPageBreak/>
              <w:t>neparedz tiesiskā regulējuma izstrādi) - kādos gadījumos būtu iespējams izvairīties no stingrāku prasību noteikšanas, nekā paredzēts attiecīgajos ES tiesību aktos</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lastRenderedPageBreak/>
              <w:t>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 jo nosaka lēmuma mērķi</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DA7B0F">
            <w:pPr>
              <w:pStyle w:val="NoSpacing"/>
              <w:rPr>
                <w:b/>
                <w:bCs/>
                <w:lang w:val="lv-LV"/>
              </w:rPr>
            </w:pPr>
            <w:r w:rsidRPr="00EB6F6A">
              <w:rPr>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E838FD">
            <w:pPr>
              <w:pStyle w:val="NoSpacing"/>
              <w:jc w:val="both"/>
              <w:rPr>
                <w:lang w:val="lv-LV"/>
              </w:rPr>
            </w:pP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21.punkts, </w:t>
            </w:r>
          </w:p>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22.punkts, </w:t>
            </w:r>
          </w:p>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23.punkts, </w:t>
            </w:r>
          </w:p>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24.punkts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397D36">
            <w:pPr>
              <w:pStyle w:val="NoSpacing"/>
              <w:jc w:val="both"/>
              <w:rPr>
                <w:lang w:val="lv-LV"/>
              </w:rPr>
            </w:pPr>
            <w:r w:rsidRPr="00EB6F6A">
              <w:rPr>
                <w:lang w:val="lv-LV"/>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397D36">
            <w:pPr>
              <w:pStyle w:val="NoSpacing"/>
              <w:jc w:val="both"/>
              <w:rPr>
                <w:lang w:val="lv-LV"/>
              </w:rPr>
            </w:pPr>
            <w:r w:rsidRPr="00EB6F6A">
              <w:rPr>
                <w:lang w:val="lv-LV"/>
              </w:rPr>
              <w:t xml:space="preserve">Netiek noteiktas stingrākas prasības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3.pants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25.punkts</w:t>
            </w:r>
          </w:p>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26.punkts</w:t>
            </w:r>
          </w:p>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27.punkts</w:t>
            </w:r>
          </w:p>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28.punkts</w:t>
            </w:r>
          </w:p>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29.punkts</w:t>
            </w:r>
          </w:p>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30.punkts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397D36">
            <w:pPr>
              <w:pStyle w:val="NoSpacing"/>
              <w:jc w:val="both"/>
              <w:rPr>
                <w:lang w:val="lv-LV"/>
              </w:rPr>
            </w:pPr>
            <w:r w:rsidRPr="00EB6F6A">
              <w:rPr>
                <w:lang w:val="lv-LV"/>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397D36">
            <w:pPr>
              <w:pStyle w:val="NoSpacing"/>
              <w:jc w:val="both"/>
              <w:rPr>
                <w:lang w:val="lv-LV"/>
              </w:rPr>
            </w:pPr>
            <w:r w:rsidRPr="00EB6F6A">
              <w:rPr>
                <w:lang w:val="lv-LV"/>
              </w:rPr>
              <w:t xml:space="preserve">Netiek noteiktas stingrākas prasības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4.pants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31.punkts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397D36">
            <w:pPr>
              <w:pStyle w:val="NoSpacing"/>
              <w:jc w:val="both"/>
              <w:rPr>
                <w:lang w:val="lv-LV"/>
              </w:rPr>
            </w:pPr>
            <w:r w:rsidRPr="00EB6F6A">
              <w:rPr>
                <w:lang w:val="lv-LV"/>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397D36">
            <w:pPr>
              <w:pStyle w:val="NoSpacing"/>
              <w:jc w:val="both"/>
              <w:rPr>
                <w:lang w:val="lv-LV"/>
              </w:rPr>
            </w:pPr>
            <w:r w:rsidRPr="00EB6F6A">
              <w:rPr>
                <w:lang w:val="lv-LV"/>
              </w:rPr>
              <w:t xml:space="preserve">Netiek noteiktas stingrākas prasības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5.pants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397D36">
            <w:pPr>
              <w:pStyle w:val="tv213"/>
              <w:spacing w:before="0" w:beforeAutospacing="0" w:after="0" w:afterAutospacing="0"/>
              <w:jc w:val="both"/>
              <w:rPr>
                <w:lang w:val="lv-LV"/>
              </w:rPr>
            </w:pPr>
            <w:r w:rsidRPr="00EB6F6A">
              <w:rPr>
                <w:lang w:val="lv-LV"/>
              </w:rPr>
              <w:t xml:space="preserve">Vispārējās ES dokumentu prasības, ko nenosaka nacionālajā tiesību aktā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397D36">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397D36">
            <w:pPr>
              <w:spacing w:after="0" w:line="240" w:lineRule="auto"/>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Nav attiecināms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Pielikums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E838FD">
            <w:pPr>
              <w:autoSpaceDE w:val="0"/>
              <w:autoSpaceDN w:val="0"/>
              <w:adjustRightInd w:val="0"/>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4.pielikums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5E4DC5" w:rsidRPr="00EB6F6A" w:rsidRDefault="005E4DC5" w:rsidP="00497A0A">
            <w:pPr>
              <w:pStyle w:val="NoSpacing"/>
              <w:jc w:val="both"/>
              <w:rPr>
                <w:lang w:val="lv-LV"/>
              </w:rPr>
            </w:pPr>
            <w:r w:rsidRPr="00EB6F6A">
              <w:rPr>
                <w:lang w:val="lv-LV"/>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rsidR="005E4DC5" w:rsidRPr="00EB6F6A" w:rsidRDefault="005E4DC5" w:rsidP="00497A0A">
            <w:pPr>
              <w:pStyle w:val="NoSpacing"/>
              <w:jc w:val="both"/>
              <w:rPr>
                <w:lang w:val="lv-LV"/>
              </w:rPr>
            </w:pPr>
            <w:r w:rsidRPr="00EB6F6A">
              <w:rPr>
                <w:lang w:val="lv-LV"/>
              </w:rPr>
              <w:t xml:space="preserve">Netiek noteiktas stingrākas prasības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Kā ir izmantota ES tiesību aktā paredzētā rīcības brīvība dalībvalstij pārņemt vai ieviest noteiktas ES tiesību akta normas?</w:t>
            </w:r>
            <w:r w:rsidRPr="00EB6F6A">
              <w:rPr>
                <w:lang w:val="lv-LV"/>
              </w:rPr>
              <w:br/>
              <w:t>Kādēļ?</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 xml:space="preserve">Nav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Nav</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lastRenderedPageBreak/>
              <w:t>Cita informācija</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E838FD">
            <w:pPr>
              <w:pStyle w:val="NoSpacing"/>
              <w:jc w:val="both"/>
              <w:rPr>
                <w:lang w:val="lv-LV"/>
              </w:rPr>
            </w:pPr>
            <w:r w:rsidRPr="00EB6F6A">
              <w:rPr>
                <w:lang w:val="lv-LV"/>
              </w:rPr>
              <w:t>Nav</w:t>
            </w:r>
          </w:p>
        </w:tc>
      </w:tr>
      <w:tr w:rsidR="005E4DC5" w:rsidRPr="00EB6F6A" w:rsidTr="00D85869">
        <w:tblPrEx>
          <w:shd w:val="clear" w:color="auto" w:fill="auto"/>
          <w:tblLook w:val="00A0"/>
        </w:tblPrEx>
        <w:tc>
          <w:tcPr>
            <w:tcW w:w="5000" w:type="pct"/>
            <w:gridSpan w:val="4"/>
            <w:tcBorders>
              <w:top w:val="outset" w:sz="6" w:space="0" w:color="414142"/>
              <w:bottom w:val="outset" w:sz="6" w:space="0" w:color="414142"/>
            </w:tcBorders>
            <w:shd w:val="clear" w:color="auto" w:fill="FFFFFF"/>
            <w:vAlign w:val="center"/>
          </w:tcPr>
          <w:p w:rsidR="005E4DC5" w:rsidRPr="00EB6F6A" w:rsidRDefault="005E4DC5" w:rsidP="002E538B">
            <w:pPr>
              <w:pStyle w:val="NoSpacing"/>
              <w:jc w:val="both"/>
              <w:rPr>
                <w:b/>
                <w:lang w:val="lv-LV"/>
              </w:rPr>
            </w:pPr>
            <w:r w:rsidRPr="00EB6F6A">
              <w:rPr>
                <w:b/>
                <w:lang w:val="lv-LV"/>
              </w:rPr>
              <w:t>3.tabula</w:t>
            </w:r>
            <w:r w:rsidRPr="00EB6F6A">
              <w:rPr>
                <w:b/>
                <w:lang w:val="lv-LV"/>
              </w:rPr>
              <w:br/>
              <w:t>Ar tiesību akta projektu izpildītās vai uzņemtās saistības, kas izriet no starptautiskajiem tiesību aktiem vai starptautiskas institūcijas vai organizācijas dokumentiem.</w:t>
            </w:r>
            <w:r w:rsidRPr="00EB6F6A">
              <w:rPr>
                <w:b/>
                <w:lang w:val="lv-LV"/>
              </w:rPr>
              <w:br/>
              <w:t>Pasākumi šo saistību izpildei</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vAlign w:val="center"/>
          </w:tcPr>
          <w:p w:rsidR="005E4DC5" w:rsidRPr="00EB6F6A" w:rsidRDefault="005E4DC5" w:rsidP="002E538B">
            <w:pPr>
              <w:pStyle w:val="NoSpacing"/>
              <w:jc w:val="both"/>
              <w:rPr>
                <w:lang w:val="lv-LV"/>
              </w:rPr>
            </w:pP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0709FD">
            <w:pPr>
              <w:pStyle w:val="NoSpacing"/>
              <w:jc w:val="both"/>
              <w:rPr>
                <w:lang w:val="lv-LV"/>
              </w:rPr>
            </w:pPr>
            <w:r w:rsidRPr="00EB6F6A">
              <w:rPr>
                <w:lang w:val="lv-LV"/>
              </w:rPr>
              <w:t>Nav</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2E538B">
            <w:pPr>
              <w:pStyle w:val="NoSpacing"/>
              <w:jc w:val="both"/>
              <w:rPr>
                <w:lang w:val="lv-LV"/>
              </w:rPr>
            </w:pPr>
            <w:r w:rsidRPr="00EB6F6A">
              <w:rPr>
                <w:lang w:val="lv-LV"/>
              </w:rPr>
              <w:t>Vai starptautiskajā dokumentā paredzētās saistības nav pretrunā ar jau esošajām Latvijas Republikas starptautiskajām saistībām</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2E538B">
            <w:pPr>
              <w:pStyle w:val="NoSpacing"/>
              <w:jc w:val="both"/>
              <w:rPr>
                <w:lang w:val="lv-LV"/>
              </w:rPr>
            </w:pPr>
            <w:r w:rsidRPr="00EB6F6A">
              <w:rPr>
                <w:lang w:val="lv-LV"/>
              </w:rPr>
              <w:t xml:space="preserve">Nav </w:t>
            </w:r>
          </w:p>
        </w:tc>
      </w:tr>
      <w:tr w:rsidR="005E4DC5" w:rsidRPr="00EB6F6A" w:rsidTr="005E4DC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5E4DC5" w:rsidRPr="00EB6F6A" w:rsidRDefault="005E4DC5" w:rsidP="002E538B">
            <w:pPr>
              <w:pStyle w:val="NoSpacing"/>
              <w:jc w:val="both"/>
              <w:rPr>
                <w:lang w:val="lv-LV"/>
              </w:rPr>
            </w:pPr>
            <w:r w:rsidRPr="00EB6F6A">
              <w:rPr>
                <w:lang w:val="lv-LV"/>
              </w:rPr>
              <w:t>Cita informācija</w:t>
            </w:r>
          </w:p>
        </w:tc>
        <w:tc>
          <w:tcPr>
            <w:tcW w:w="3492" w:type="pct"/>
            <w:gridSpan w:val="3"/>
            <w:tcBorders>
              <w:top w:val="outset" w:sz="6" w:space="0" w:color="414142"/>
              <w:left w:val="outset" w:sz="6" w:space="0" w:color="414142"/>
              <w:bottom w:val="outset" w:sz="6" w:space="0" w:color="414142"/>
            </w:tcBorders>
            <w:shd w:val="clear" w:color="auto" w:fill="FFFFFF"/>
          </w:tcPr>
          <w:p w:rsidR="005E4DC5" w:rsidRPr="00EB6F6A" w:rsidRDefault="005E4DC5" w:rsidP="002E538B">
            <w:pPr>
              <w:pStyle w:val="NoSpacing"/>
              <w:jc w:val="both"/>
              <w:rPr>
                <w:lang w:val="lv-LV"/>
              </w:rPr>
            </w:pPr>
            <w:r w:rsidRPr="00EB6F6A">
              <w:rPr>
                <w:lang w:val="lv-LV"/>
              </w:rPr>
              <w:t>Nav</w:t>
            </w:r>
          </w:p>
        </w:tc>
      </w:tr>
    </w:tbl>
    <w:p w:rsidR="00E101BB" w:rsidRPr="00EB6F6A" w:rsidRDefault="00E101BB" w:rsidP="00E101BB">
      <w:pPr>
        <w:pStyle w:val="NoSpacing"/>
        <w:jc w:val="both"/>
        <w:rPr>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2126"/>
        <w:gridCol w:w="6549"/>
      </w:tblGrid>
      <w:tr w:rsidR="00E101BB" w:rsidRPr="00FE0001" w:rsidTr="001B3285">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EB6F6A" w:rsidRDefault="00E101BB" w:rsidP="001B3285">
            <w:pPr>
              <w:pStyle w:val="NoSpacing"/>
              <w:jc w:val="both"/>
              <w:rPr>
                <w:lang w:val="lv-LV"/>
              </w:rPr>
            </w:pPr>
            <w:r w:rsidRPr="00EB6F6A">
              <w:rPr>
                <w:lang w:val="lv-LV"/>
              </w:rPr>
              <w:t>VI. Sabiedrības līdzdalība un komunikācijas aktivitātes</w:t>
            </w:r>
          </w:p>
        </w:tc>
      </w:tr>
      <w:tr w:rsidR="00E101BB" w:rsidRPr="00FE0001" w:rsidTr="00A0274E">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C966A8" w:rsidP="00123C55">
            <w:pPr>
              <w:pStyle w:val="NoSpacing"/>
              <w:jc w:val="both"/>
              <w:rPr>
                <w:lang w:val="lv-LV"/>
              </w:rPr>
            </w:pPr>
            <w:r w:rsidRPr="00EB6F6A">
              <w:rPr>
                <w:lang w:val="lv-LV"/>
              </w:rPr>
              <w:t>Informācija Veselības ministrijas mājas lapā par projek</w:t>
            </w:r>
            <w:r w:rsidR="00123C55" w:rsidRPr="00EB6F6A">
              <w:rPr>
                <w:lang w:val="lv-LV"/>
              </w:rPr>
              <w:t>t</w:t>
            </w:r>
            <w:r w:rsidRPr="00EB6F6A">
              <w:rPr>
                <w:lang w:val="lv-LV"/>
              </w:rPr>
              <w:t xml:space="preserve">u. Ieinteresēto pušu iesaiste projekta izstrādē un turpmākajā virzībā apstiprināšanai Ministru kabinetā.  </w:t>
            </w:r>
          </w:p>
        </w:tc>
      </w:tr>
      <w:tr w:rsidR="00E101BB" w:rsidRPr="00FE0001" w:rsidTr="00A0274E">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7B601A" w:rsidRPr="00EB6F6A" w:rsidRDefault="00641CBE" w:rsidP="007B601A">
            <w:pPr>
              <w:spacing w:after="0" w:line="240" w:lineRule="auto"/>
              <w:jc w:val="both"/>
              <w:rPr>
                <w:rFonts w:ascii="Times New Roman" w:hAnsi="Times New Roman" w:cs="Times New Roman"/>
                <w:sz w:val="24"/>
                <w:szCs w:val="24"/>
                <w:lang w:val="lv-LV"/>
              </w:rPr>
            </w:pPr>
            <w:r w:rsidRPr="00EB6F6A">
              <w:rPr>
                <w:rFonts w:ascii="Times New Roman" w:hAnsi="Times New Roman" w:cs="Times New Roman"/>
                <w:sz w:val="24"/>
                <w:szCs w:val="24"/>
                <w:lang w:val="lv-LV"/>
              </w:rPr>
              <w:t xml:space="preserve">Laikā no 2015.gada 23.februāra līdz 24.martam notika </w:t>
            </w:r>
            <w:r w:rsidR="007B601A" w:rsidRPr="00EB6F6A">
              <w:rPr>
                <w:rFonts w:ascii="Times New Roman" w:hAnsi="Times New Roman" w:cs="Times New Roman"/>
                <w:sz w:val="24"/>
                <w:szCs w:val="24"/>
                <w:lang w:val="lv-LV"/>
              </w:rPr>
              <w:t>publiskā apspriešana:</w:t>
            </w:r>
          </w:p>
          <w:p w:rsidR="007B601A" w:rsidRPr="00EB6F6A" w:rsidRDefault="007B601A" w:rsidP="007B601A">
            <w:pPr>
              <w:spacing w:after="0" w:line="240" w:lineRule="auto"/>
              <w:jc w:val="both"/>
              <w:rPr>
                <w:rFonts w:ascii="Times New Roman" w:eastAsia="Times New Roman" w:hAnsi="Times New Roman" w:cs="Times New Roman"/>
                <w:sz w:val="24"/>
                <w:szCs w:val="24"/>
                <w:lang w:val="lv-LV"/>
              </w:rPr>
            </w:pPr>
            <w:r w:rsidRPr="00EB6F6A">
              <w:rPr>
                <w:rFonts w:ascii="Times New Roman" w:hAnsi="Times New Roman" w:cs="Times New Roman"/>
                <w:sz w:val="24"/>
                <w:szCs w:val="24"/>
                <w:lang w:val="lv-LV"/>
              </w:rPr>
              <w:t>- likumprojektam</w:t>
            </w:r>
            <w:r w:rsidRPr="00EB6F6A">
              <w:rPr>
                <w:rFonts w:ascii="Times New Roman" w:eastAsia="Times New Roman" w:hAnsi="Times New Roman" w:cs="Times New Roman"/>
                <w:sz w:val="24"/>
                <w:szCs w:val="24"/>
                <w:lang w:val="lv-LV"/>
              </w:rPr>
              <w:t xml:space="preserve"> „Par tabakas izstrādājumu, augu smēķēšanas produktu un elektronisko nikotīnu saturošo un nikotīnu nesaturošo produktu realizācijas, reklāmas un lietošanas ierobežošanu”;</w:t>
            </w:r>
          </w:p>
          <w:p w:rsidR="007B601A" w:rsidRPr="00EB6F6A" w:rsidRDefault="007B601A" w:rsidP="007B601A">
            <w:pPr>
              <w:spacing w:after="0" w:line="240" w:lineRule="auto"/>
              <w:jc w:val="both"/>
              <w:rPr>
                <w:rFonts w:ascii="Times New Roman" w:eastAsia="Times New Roman" w:hAnsi="Times New Roman" w:cs="Times New Roman"/>
                <w:sz w:val="24"/>
                <w:szCs w:val="24"/>
                <w:lang w:val="lv-LV"/>
              </w:rPr>
            </w:pPr>
            <w:r w:rsidRPr="00EB6F6A">
              <w:rPr>
                <w:rFonts w:ascii="Times New Roman" w:eastAsia="Times New Roman" w:hAnsi="Times New Roman" w:cs="Times New Roman"/>
                <w:sz w:val="24"/>
                <w:szCs w:val="24"/>
                <w:lang w:val="lv-LV"/>
              </w:rPr>
              <w:t>- Ministru kabineta noteikumu projektam “Par brīdinājumu par ietekmi uz veselību noformējumu un novietojumu uz tabakas izstrādājumu un augu smēķēšanas produktu iepakojuma, kā arī uz smēķēšanai paredzēto tabakas izstrādājumu iepakojuma lietojamajiem kombinētajiem brīdinājumiem par ietekmi uz veselību”;</w:t>
            </w:r>
          </w:p>
          <w:p w:rsidR="00E101BB" w:rsidRPr="00EB6F6A" w:rsidRDefault="007B601A" w:rsidP="00B7239F">
            <w:pPr>
              <w:spacing w:after="0" w:line="240" w:lineRule="auto"/>
              <w:jc w:val="both"/>
              <w:rPr>
                <w:rFonts w:ascii="Times New Roman" w:hAnsi="Times New Roman" w:cs="Times New Roman"/>
                <w:sz w:val="24"/>
                <w:szCs w:val="24"/>
                <w:lang w:val="lv-LV"/>
              </w:rPr>
            </w:pPr>
            <w:r w:rsidRPr="00EB6F6A">
              <w:rPr>
                <w:rFonts w:ascii="Times New Roman" w:eastAsia="Times New Roman" w:hAnsi="Times New Roman" w:cs="Times New Roman"/>
                <w:sz w:val="24"/>
                <w:szCs w:val="24"/>
                <w:lang w:val="lv-LV"/>
              </w:rPr>
              <w:t>- Ministru kabineta noteikumu projektam „Par ziņošanu par tabakas izstrādājumu un augu smēķēšanas produktu sastāvdaļām un emisijām un jaunieviestiem tabakas izstrādājumiem</w:t>
            </w:r>
            <w:r w:rsidR="006D28CC" w:rsidRPr="00EB6F6A">
              <w:rPr>
                <w:rFonts w:ascii="Times New Roman" w:eastAsia="Times New Roman" w:hAnsi="Times New Roman" w:cs="Times New Roman"/>
                <w:sz w:val="24"/>
                <w:szCs w:val="24"/>
                <w:lang w:val="lv-LV"/>
              </w:rPr>
              <w:t>”</w:t>
            </w:r>
            <w:r w:rsidR="00641CBE" w:rsidRPr="00EB6F6A">
              <w:rPr>
                <w:rStyle w:val="FootnoteReference"/>
                <w:rFonts w:ascii="Times New Roman" w:hAnsi="Times New Roman" w:cs="Times New Roman"/>
                <w:sz w:val="24"/>
                <w:szCs w:val="24"/>
                <w:lang w:val="lv-LV"/>
              </w:rPr>
              <w:footnoteReference w:id="16"/>
            </w:r>
            <w:r w:rsidR="00641CBE" w:rsidRPr="00EB6F6A">
              <w:rPr>
                <w:rFonts w:ascii="Times New Roman" w:hAnsi="Times New Roman" w:cs="Times New Roman"/>
                <w:sz w:val="24"/>
                <w:szCs w:val="24"/>
                <w:lang w:val="lv-LV"/>
              </w:rPr>
              <w:t xml:space="preserve">. 2015.gada 13.aprīlī </w:t>
            </w:r>
            <w:r w:rsidRPr="00EB6F6A">
              <w:rPr>
                <w:rFonts w:ascii="Times New Roman" w:hAnsi="Times New Roman" w:cs="Times New Roman"/>
                <w:sz w:val="24"/>
                <w:szCs w:val="24"/>
                <w:lang w:val="lv-LV"/>
              </w:rPr>
              <w:t>par publiskās apspriešanas rezultātiem tika informēta un ar likumprojektu iepazīstināt</w:t>
            </w:r>
            <w:r w:rsidR="006D28CC" w:rsidRPr="00EB6F6A">
              <w:rPr>
                <w:rFonts w:ascii="Times New Roman" w:hAnsi="Times New Roman" w:cs="Times New Roman"/>
                <w:sz w:val="24"/>
                <w:szCs w:val="24"/>
                <w:lang w:val="lv-LV"/>
              </w:rPr>
              <w:t>a</w:t>
            </w:r>
            <w:r w:rsidRPr="00EB6F6A">
              <w:rPr>
                <w:rFonts w:ascii="Times New Roman" w:hAnsi="Times New Roman" w:cs="Times New Roman"/>
                <w:sz w:val="24"/>
                <w:szCs w:val="24"/>
                <w:lang w:val="lv-LV"/>
              </w:rPr>
              <w:t xml:space="preserve"> Smēķē</w:t>
            </w:r>
            <w:r w:rsidR="00641CBE" w:rsidRPr="00EB6F6A">
              <w:rPr>
                <w:rFonts w:ascii="Times New Roman" w:hAnsi="Times New Roman" w:cs="Times New Roman"/>
                <w:sz w:val="24"/>
                <w:szCs w:val="24"/>
                <w:lang w:val="lv-LV"/>
              </w:rPr>
              <w:t>šan</w:t>
            </w:r>
            <w:r w:rsidRPr="00EB6F6A">
              <w:rPr>
                <w:rFonts w:ascii="Times New Roman" w:hAnsi="Times New Roman" w:cs="Times New Roman"/>
                <w:sz w:val="24"/>
                <w:szCs w:val="24"/>
                <w:lang w:val="lv-LV"/>
              </w:rPr>
              <w:t xml:space="preserve">as ierobežošanas valsts komisija </w:t>
            </w:r>
            <w:r w:rsidR="00641CBE" w:rsidRPr="00EB6F6A">
              <w:rPr>
                <w:rStyle w:val="FootnoteReference"/>
                <w:rFonts w:ascii="Times New Roman" w:hAnsi="Times New Roman" w:cs="Times New Roman"/>
                <w:sz w:val="24"/>
                <w:szCs w:val="24"/>
                <w:lang w:val="lv-LV"/>
              </w:rPr>
              <w:footnoteReference w:id="17"/>
            </w:r>
            <w:r w:rsidR="00641CBE" w:rsidRPr="00EB6F6A">
              <w:rPr>
                <w:rFonts w:ascii="Times New Roman" w:hAnsi="Times New Roman" w:cs="Times New Roman"/>
                <w:sz w:val="24"/>
                <w:szCs w:val="24"/>
                <w:lang w:val="lv-LV"/>
              </w:rPr>
              <w:t>.</w:t>
            </w:r>
          </w:p>
          <w:p w:rsidR="00067EF1" w:rsidRPr="00EB6F6A" w:rsidRDefault="00067EF1" w:rsidP="00B7239F">
            <w:pPr>
              <w:spacing w:after="0" w:line="240" w:lineRule="auto"/>
              <w:jc w:val="both"/>
              <w:rPr>
                <w:rFonts w:ascii="Times New Roman" w:hAnsi="Times New Roman" w:cs="Times New Roman"/>
                <w:sz w:val="24"/>
                <w:szCs w:val="24"/>
                <w:lang w:val="lv-LV"/>
              </w:rPr>
            </w:pPr>
          </w:p>
          <w:p w:rsidR="00067EF1" w:rsidRPr="00EB6F6A" w:rsidRDefault="00067EF1" w:rsidP="006D28CC">
            <w:pPr>
              <w:spacing w:after="0" w:line="240" w:lineRule="auto"/>
              <w:jc w:val="both"/>
              <w:rPr>
                <w:rFonts w:ascii="Times New Roman" w:eastAsia="Times New Roman" w:hAnsi="Times New Roman" w:cs="Times New Roman"/>
                <w:sz w:val="24"/>
                <w:szCs w:val="24"/>
                <w:lang w:val="lv-LV"/>
              </w:rPr>
            </w:pPr>
            <w:r w:rsidRPr="00EB6F6A">
              <w:rPr>
                <w:rFonts w:ascii="Times New Roman" w:hAnsi="Times New Roman" w:cs="Times New Roman"/>
                <w:sz w:val="24"/>
                <w:szCs w:val="24"/>
                <w:lang w:val="lv-LV"/>
              </w:rPr>
              <w:t>2016.gada 19.janvārī noteikumu projekts nosūtīts izskatīšanai  nacionālā līmeņa organizācijām, kuras piedalījās 2015.gada publiskajā apspriešanā: Tabakas izstrādājumu ražotāju nacionāl</w:t>
            </w:r>
            <w:r w:rsidR="006D28CC" w:rsidRPr="00EB6F6A">
              <w:rPr>
                <w:rFonts w:ascii="Times New Roman" w:hAnsi="Times New Roman" w:cs="Times New Roman"/>
                <w:sz w:val="24"/>
                <w:szCs w:val="24"/>
                <w:lang w:val="lv-LV"/>
              </w:rPr>
              <w:t>ajai</w:t>
            </w:r>
            <w:r w:rsidRPr="00EB6F6A">
              <w:rPr>
                <w:rFonts w:ascii="Times New Roman" w:hAnsi="Times New Roman" w:cs="Times New Roman"/>
                <w:sz w:val="24"/>
                <w:szCs w:val="24"/>
                <w:lang w:val="lv-LV"/>
              </w:rPr>
              <w:t xml:space="preserve"> asociācijai, Beztabakas nozares asociācijai, Latvijas Tirgotāju asociācijai, Latvijas Darba devēju konfederācijai, Latvijas </w:t>
            </w:r>
            <w:r w:rsidRPr="00EB6F6A">
              <w:rPr>
                <w:rFonts w:ascii="Times New Roman" w:hAnsi="Times New Roman" w:cs="Times New Roman"/>
                <w:sz w:val="24"/>
                <w:szCs w:val="24"/>
                <w:lang w:val="lv-LV"/>
              </w:rPr>
              <w:lastRenderedPageBreak/>
              <w:t xml:space="preserve">Tirdzniecības un rūpniecības kamerai un SIA Tabakas Nams Grupa.  </w:t>
            </w:r>
          </w:p>
        </w:tc>
      </w:tr>
      <w:tr w:rsidR="00E101BB" w:rsidRPr="00FE0001" w:rsidTr="00A0274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lastRenderedPageBreak/>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EB6F6A" w:rsidRDefault="00641CBE" w:rsidP="00641CBE">
            <w:pPr>
              <w:pStyle w:val="NoSpacing"/>
              <w:jc w:val="both"/>
              <w:rPr>
                <w:lang w:val="lv-LV"/>
              </w:rPr>
            </w:pPr>
            <w:r w:rsidRPr="00EB6F6A">
              <w:rPr>
                <w:lang w:val="lv-LV"/>
              </w:rPr>
              <w:t>Publiskās apspriešanas rezultāti publicēti Veselības ministrijas mājas lapā 2015.gada 24.aprīlī</w:t>
            </w:r>
            <w:r w:rsidRPr="00EB6F6A">
              <w:rPr>
                <w:rStyle w:val="FootnoteReference"/>
                <w:lang w:val="lv-LV"/>
              </w:rPr>
              <w:footnoteReference w:id="18"/>
            </w:r>
            <w:r w:rsidRPr="00EB6F6A">
              <w:rPr>
                <w:lang w:val="lv-LV"/>
              </w:rPr>
              <w:t>.</w:t>
            </w:r>
          </w:p>
          <w:p w:rsidR="00641CBE" w:rsidRPr="00EB6F6A" w:rsidRDefault="00641CBE" w:rsidP="00B7239F">
            <w:pPr>
              <w:pStyle w:val="NoSpacing"/>
              <w:jc w:val="both"/>
              <w:rPr>
                <w:lang w:val="lv-LV"/>
              </w:rPr>
            </w:pPr>
            <w:r w:rsidRPr="00EB6F6A">
              <w:rPr>
                <w:lang w:val="lv-LV"/>
              </w:rPr>
              <w:t xml:space="preserve">2015.gada 13.aprīlī </w:t>
            </w:r>
            <w:r w:rsidR="00C966A8" w:rsidRPr="00EB6F6A">
              <w:rPr>
                <w:lang w:val="lv-LV"/>
              </w:rPr>
              <w:t>Smēķēšanas ierobežošanas valsts komisijā</w:t>
            </w:r>
            <w:r w:rsidR="00C966A8" w:rsidRPr="00EB6F6A">
              <w:rPr>
                <w:rStyle w:val="FootnoteReference"/>
                <w:lang w:val="lv-LV"/>
              </w:rPr>
              <w:footnoteReference w:id="19"/>
            </w:r>
            <w:r w:rsidR="00B7239F" w:rsidRPr="00EB6F6A">
              <w:rPr>
                <w:lang w:val="lv-LV"/>
              </w:rPr>
              <w:t xml:space="preserve">tiesību aktu projektu virzība konceptuāli atbalstīta. </w:t>
            </w:r>
          </w:p>
        </w:tc>
      </w:tr>
      <w:tr w:rsidR="00E101BB" w:rsidRPr="00EB6F6A" w:rsidTr="00A0274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Cita informācija</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B7239F" w:rsidP="00860C43">
            <w:pPr>
              <w:pStyle w:val="NoSpacing"/>
              <w:jc w:val="both"/>
              <w:rPr>
                <w:lang w:val="lv-LV"/>
              </w:rPr>
            </w:pPr>
            <w:r w:rsidRPr="00EB6F6A">
              <w:rPr>
                <w:lang w:val="lv-LV"/>
              </w:rPr>
              <w:t>Nav</w:t>
            </w:r>
          </w:p>
        </w:tc>
      </w:tr>
    </w:tbl>
    <w:p w:rsidR="00E101BB" w:rsidRPr="00EB6F6A" w:rsidRDefault="00E101BB" w:rsidP="00E101BB">
      <w:pPr>
        <w:pStyle w:val="NoSpacing"/>
        <w:jc w:val="both"/>
        <w:rPr>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3826"/>
        <w:gridCol w:w="4849"/>
      </w:tblGrid>
      <w:tr w:rsidR="00E101BB" w:rsidRPr="00FE0001" w:rsidTr="001B3285">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EB6F6A" w:rsidRDefault="00E101BB" w:rsidP="001B3285">
            <w:pPr>
              <w:pStyle w:val="NoSpacing"/>
              <w:jc w:val="both"/>
              <w:rPr>
                <w:lang w:val="lv-LV"/>
              </w:rPr>
            </w:pPr>
            <w:r w:rsidRPr="00EB6F6A">
              <w:rPr>
                <w:lang w:val="lv-LV"/>
              </w:rPr>
              <w:t>VII. Tiesību akta projekta izpildes nodrošināšana un tās ietekme uz institūcijām</w:t>
            </w:r>
          </w:p>
        </w:tc>
      </w:tr>
      <w:tr w:rsidR="00E101BB" w:rsidRPr="00FE0001" w:rsidTr="006C25D7">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1.</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Projekta izpildē iesaistītās institūcijas</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0F4BFE" w:rsidP="00A96210">
            <w:pPr>
              <w:pStyle w:val="NoSpacing"/>
              <w:jc w:val="both"/>
              <w:rPr>
                <w:lang w:val="lv-LV"/>
              </w:rPr>
            </w:pPr>
            <w:r w:rsidRPr="00EB6F6A">
              <w:rPr>
                <w:lang w:val="lv-LV"/>
              </w:rPr>
              <w:t>Veselības inspekcija</w:t>
            </w:r>
            <w:r w:rsidR="00836287" w:rsidRPr="00EB6F6A">
              <w:rPr>
                <w:lang w:val="lv-LV"/>
              </w:rPr>
              <w:t xml:space="preserve"> </w:t>
            </w:r>
          </w:p>
          <w:p w:rsidR="003B4ED1" w:rsidRPr="00EB6F6A" w:rsidRDefault="003B4ED1" w:rsidP="00A96210">
            <w:pPr>
              <w:pStyle w:val="NoSpacing"/>
              <w:jc w:val="both"/>
              <w:rPr>
                <w:lang w:val="lv-LV"/>
              </w:rPr>
            </w:pPr>
            <w:r w:rsidRPr="00EB6F6A">
              <w:rPr>
                <w:lang w:val="lv-LV"/>
              </w:rPr>
              <w:t xml:space="preserve">Slimību profilakses un kontroles centrs </w:t>
            </w:r>
          </w:p>
        </w:tc>
      </w:tr>
      <w:tr w:rsidR="00E101BB" w:rsidRPr="00FE0001" w:rsidTr="006C25D7">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2.</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Projekta izpildes ietekme uz pārvaldes funkcijām un institucionālo struktūru.</w:t>
            </w:r>
          </w:p>
          <w:p w:rsidR="00E101BB" w:rsidRPr="00EB6F6A" w:rsidRDefault="00E101BB" w:rsidP="001B3285">
            <w:pPr>
              <w:pStyle w:val="NoSpacing"/>
              <w:jc w:val="both"/>
              <w:rPr>
                <w:lang w:val="lv-LV"/>
              </w:rPr>
            </w:pPr>
            <w:r w:rsidRPr="00EB6F6A">
              <w:rPr>
                <w:lang w:val="lv-LV"/>
              </w:rPr>
              <w:t>Jaunu institūciju izveide, esošu institūciju likvidācija vai reorganizācija, to ietekme uz institūcijas cilvēkresursiem</w:t>
            </w:r>
          </w:p>
        </w:tc>
        <w:tc>
          <w:tcPr>
            <w:tcW w:w="2655"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EB6F6A" w:rsidRDefault="00836287" w:rsidP="00836287">
            <w:pPr>
              <w:pStyle w:val="NoSpacing"/>
              <w:jc w:val="both"/>
              <w:rPr>
                <w:lang w:val="lv-LV"/>
              </w:rPr>
            </w:pPr>
            <w:r w:rsidRPr="00EB6F6A">
              <w:rPr>
                <w:lang w:val="lv-LV"/>
              </w:rPr>
              <w:t xml:space="preserve">Jaunu institūciju izveide un esošo institūciju likvidācija </w:t>
            </w:r>
            <w:r w:rsidR="00E101BB" w:rsidRPr="00EB6F6A">
              <w:rPr>
                <w:lang w:val="lv-LV"/>
              </w:rPr>
              <w:t xml:space="preserve"> </w:t>
            </w:r>
            <w:r w:rsidRPr="00EB6F6A">
              <w:rPr>
                <w:lang w:val="lv-LV"/>
              </w:rPr>
              <w:t>nav nepieciešama.</w:t>
            </w:r>
          </w:p>
          <w:p w:rsidR="006509CD" w:rsidRPr="00EB6F6A" w:rsidRDefault="006509CD" w:rsidP="00A96210">
            <w:pPr>
              <w:pStyle w:val="NoSpacing"/>
              <w:jc w:val="both"/>
              <w:rPr>
                <w:lang w:val="lv-LV"/>
              </w:rPr>
            </w:pPr>
          </w:p>
        </w:tc>
      </w:tr>
      <w:tr w:rsidR="00E101BB" w:rsidRPr="00EB6F6A" w:rsidTr="006C25D7">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EB6F6A" w:rsidRDefault="00E101BB" w:rsidP="001B3285">
            <w:pPr>
              <w:pStyle w:val="NoSpacing"/>
              <w:jc w:val="both"/>
              <w:rPr>
                <w:lang w:val="lv-LV"/>
              </w:rPr>
            </w:pPr>
            <w:r w:rsidRPr="00EB6F6A">
              <w:rPr>
                <w:lang w:val="lv-LV"/>
              </w:rPr>
              <w:t>Cita informācija</w:t>
            </w:r>
          </w:p>
        </w:tc>
        <w:tc>
          <w:tcPr>
            <w:tcW w:w="2655"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EB6F6A" w:rsidRDefault="00E101BB" w:rsidP="001B3285">
            <w:pPr>
              <w:pStyle w:val="NoSpacing"/>
              <w:jc w:val="both"/>
              <w:rPr>
                <w:lang w:val="lv-LV"/>
              </w:rPr>
            </w:pPr>
            <w:r w:rsidRPr="00EB6F6A">
              <w:rPr>
                <w:lang w:val="lv-LV"/>
              </w:rPr>
              <w:t>Nav</w:t>
            </w:r>
          </w:p>
        </w:tc>
      </w:tr>
    </w:tbl>
    <w:p w:rsidR="00E101BB" w:rsidRPr="00EB6F6A" w:rsidRDefault="00E101BB" w:rsidP="0002755D">
      <w:pPr>
        <w:pStyle w:val="NoSpacing"/>
        <w:rPr>
          <w:lang w:val="lv-LV"/>
        </w:rPr>
      </w:pPr>
    </w:p>
    <w:p w:rsidR="004B763D" w:rsidRPr="00EB6F6A" w:rsidRDefault="004B763D" w:rsidP="0002755D">
      <w:pPr>
        <w:pStyle w:val="NoSpacing"/>
        <w:rPr>
          <w:bCs/>
          <w:lang w:val="lv-LV"/>
        </w:rPr>
      </w:pPr>
    </w:p>
    <w:p w:rsidR="0002755D" w:rsidRPr="00EB6F6A" w:rsidRDefault="0077438F" w:rsidP="0002755D">
      <w:pPr>
        <w:pStyle w:val="NoSpacing"/>
        <w:rPr>
          <w:sz w:val="28"/>
          <w:szCs w:val="28"/>
          <w:lang w:val="lv-LV"/>
        </w:rPr>
      </w:pPr>
      <w:r w:rsidRPr="00EB6F6A">
        <w:rPr>
          <w:bCs/>
          <w:sz w:val="28"/>
          <w:szCs w:val="28"/>
          <w:lang w:val="lv-LV"/>
        </w:rPr>
        <w:t xml:space="preserve">Veselības ministrs </w:t>
      </w:r>
      <w:r w:rsidR="0002755D" w:rsidRPr="00EB6F6A">
        <w:rPr>
          <w:bCs/>
          <w:sz w:val="28"/>
          <w:szCs w:val="28"/>
          <w:lang w:val="lv-LV"/>
        </w:rPr>
        <w:tab/>
      </w:r>
      <w:r w:rsidR="0002755D" w:rsidRPr="00EB6F6A">
        <w:rPr>
          <w:bCs/>
          <w:sz w:val="28"/>
          <w:szCs w:val="28"/>
          <w:lang w:val="lv-LV"/>
        </w:rPr>
        <w:tab/>
      </w:r>
      <w:r w:rsidR="0002755D" w:rsidRPr="00EB6F6A">
        <w:rPr>
          <w:bCs/>
          <w:sz w:val="28"/>
          <w:szCs w:val="28"/>
          <w:lang w:val="lv-LV"/>
        </w:rPr>
        <w:tab/>
      </w:r>
      <w:r w:rsidR="0002755D" w:rsidRPr="00EB6F6A">
        <w:rPr>
          <w:bCs/>
          <w:sz w:val="28"/>
          <w:szCs w:val="28"/>
          <w:lang w:val="lv-LV"/>
        </w:rPr>
        <w:tab/>
      </w:r>
      <w:r w:rsidR="0002755D" w:rsidRPr="00EB6F6A">
        <w:rPr>
          <w:bCs/>
          <w:sz w:val="28"/>
          <w:szCs w:val="28"/>
          <w:lang w:val="lv-LV"/>
        </w:rPr>
        <w:tab/>
      </w:r>
      <w:r w:rsidR="0002755D" w:rsidRPr="00EB6F6A">
        <w:rPr>
          <w:bCs/>
          <w:sz w:val="28"/>
          <w:szCs w:val="28"/>
          <w:lang w:val="lv-LV"/>
        </w:rPr>
        <w:tab/>
      </w:r>
      <w:r w:rsidR="0002755D" w:rsidRPr="00EB6F6A">
        <w:rPr>
          <w:bCs/>
          <w:sz w:val="28"/>
          <w:szCs w:val="28"/>
          <w:lang w:val="lv-LV"/>
        </w:rPr>
        <w:tab/>
      </w:r>
      <w:r w:rsidR="0002755D" w:rsidRPr="00EB6F6A">
        <w:rPr>
          <w:bCs/>
          <w:sz w:val="28"/>
          <w:szCs w:val="28"/>
          <w:lang w:val="lv-LV"/>
        </w:rPr>
        <w:tab/>
      </w:r>
      <w:r w:rsidR="0002755D" w:rsidRPr="00EB6F6A">
        <w:rPr>
          <w:bCs/>
          <w:sz w:val="28"/>
          <w:szCs w:val="28"/>
          <w:lang w:val="lv-LV"/>
        </w:rPr>
        <w:tab/>
      </w:r>
      <w:r w:rsidRPr="00EB6F6A">
        <w:rPr>
          <w:bCs/>
          <w:sz w:val="28"/>
          <w:szCs w:val="28"/>
          <w:lang w:val="lv-LV"/>
        </w:rPr>
        <w:tab/>
      </w:r>
      <w:r w:rsidRPr="00EB6F6A">
        <w:rPr>
          <w:bCs/>
          <w:sz w:val="28"/>
          <w:szCs w:val="28"/>
          <w:lang w:val="lv-LV"/>
        </w:rPr>
        <w:tab/>
      </w:r>
      <w:r w:rsidRPr="00EB6F6A">
        <w:rPr>
          <w:bCs/>
          <w:sz w:val="28"/>
          <w:szCs w:val="28"/>
          <w:lang w:val="lv-LV"/>
        </w:rPr>
        <w:tab/>
      </w:r>
      <w:r w:rsidRPr="00EB6F6A">
        <w:rPr>
          <w:bCs/>
          <w:sz w:val="28"/>
          <w:szCs w:val="28"/>
          <w:lang w:val="lv-LV"/>
        </w:rPr>
        <w:tab/>
      </w:r>
      <w:r w:rsidRPr="00EB6F6A">
        <w:rPr>
          <w:bCs/>
          <w:sz w:val="28"/>
          <w:szCs w:val="28"/>
          <w:lang w:val="lv-LV"/>
        </w:rPr>
        <w:tab/>
      </w:r>
      <w:r w:rsidRPr="00EB6F6A">
        <w:rPr>
          <w:bCs/>
          <w:sz w:val="28"/>
          <w:szCs w:val="28"/>
          <w:lang w:val="lv-LV"/>
        </w:rPr>
        <w:tab/>
      </w:r>
      <w:r w:rsidRPr="00EB6F6A">
        <w:rPr>
          <w:bCs/>
          <w:sz w:val="28"/>
          <w:szCs w:val="28"/>
          <w:lang w:val="lv-LV"/>
        </w:rPr>
        <w:tab/>
      </w:r>
      <w:r w:rsidRPr="00EB6F6A">
        <w:rPr>
          <w:bCs/>
          <w:sz w:val="28"/>
          <w:szCs w:val="28"/>
          <w:lang w:val="lv-LV"/>
        </w:rPr>
        <w:tab/>
      </w:r>
      <w:r w:rsidRPr="00EB6F6A">
        <w:rPr>
          <w:bCs/>
          <w:sz w:val="28"/>
          <w:szCs w:val="28"/>
          <w:lang w:val="lv-LV"/>
        </w:rPr>
        <w:tab/>
      </w:r>
      <w:r w:rsidRPr="00EB6F6A">
        <w:rPr>
          <w:bCs/>
          <w:sz w:val="28"/>
          <w:szCs w:val="28"/>
          <w:lang w:val="lv-LV"/>
        </w:rPr>
        <w:tab/>
      </w:r>
      <w:r w:rsidRPr="00EB6F6A">
        <w:rPr>
          <w:bCs/>
          <w:sz w:val="28"/>
          <w:szCs w:val="28"/>
          <w:lang w:val="lv-LV"/>
        </w:rPr>
        <w:tab/>
        <w:t>G.Belēvičs</w:t>
      </w:r>
    </w:p>
    <w:p w:rsidR="002B48DC" w:rsidRPr="00EB6F6A" w:rsidRDefault="002B48DC" w:rsidP="002B48DC">
      <w:pPr>
        <w:tabs>
          <w:tab w:val="left" w:pos="2955"/>
        </w:tabs>
        <w:spacing w:after="0" w:line="240" w:lineRule="auto"/>
        <w:jc w:val="both"/>
        <w:rPr>
          <w:rFonts w:ascii="Times New Roman" w:hAnsi="Times New Roman" w:cs="Times New Roman"/>
          <w:sz w:val="28"/>
          <w:szCs w:val="28"/>
          <w:lang w:val="lv-LV"/>
        </w:rPr>
      </w:pPr>
    </w:p>
    <w:p w:rsidR="002B48DC" w:rsidRPr="00EB6F6A" w:rsidRDefault="002B48DC" w:rsidP="002B48DC">
      <w:pPr>
        <w:tabs>
          <w:tab w:val="left" w:pos="2955"/>
        </w:tabs>
        <w:spacing w:after="0" w:line="240" w:lineRule="auto"/>
        <w:jc w:val="both"/>
        <w:rPr>
          <w:rFonts w:ascii="Times New Roman" w:hAnsi="Times New Roman" w:cs="Times New Roman"/>
          <w:sz w:val="28"/>
          <w:szCs w:val="28"/>
          <w:lang w:val="lv-LV"/>
        </w:rPr>
      </w:pPr>
    </w:p>
    <w:p w:rsidR="002B48DC" w:rsidRPr="00EB6F6A" w:rsidRDefault="002B48DC" w:rsidP="002B48DC">
      <w:pPr>
        <w:tabs>
          <w:tab w:val="left" w:pos="2955"/>
        </w:tabs>
        <w:spacing w:after="0" w:line="240" w:lineRule="auto"/>
        <w:jc w:val="both"/>
        <w:rPr>
          <w:rFonts w:ascii="Times New Roman" w:hAnsi="Times New Roman" w:cs="Times New Roman"/>
          <w:sz w:val="28"/>
          <w:szCs w:val="28"/>
          <w:lang w:val="lv-LV"/>
        </w:rPr>
      </w:pPr>
      <w:r w:rsidRPr="00EB6F6A">
        <w:rPr>
          <w:rFonts w:ascii="Times New Roman" w:hAnsi="Times New Roman" w:cs="Times New Roman"/>
          <w:sz w:val="28"/>
          <w:szCs w:val="28"/>
          <w:lang w:val="lv-LV"/>
        </w:rPr>
        <w:t>Vīza: Valsts sekretāre</w:t>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t xml:space="preserve">         </w:t>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C564C" w:rsidRPr="00EB6F6A">
        <w:rPr>
          <w:rFonts w:ascii="Times New Roman" w:hAnsi="Times New Roman" w:cs="Times New Roman"/>
          <w:sz w:val="28"/>
          <w:szCs w:val="28"/>
          <w:lang w:val="lv-LV"/>
        </w:rPr>
        <w:tab/>
      </w:r>
      <w:r w:rsidR="00130D9D" w:rsidRPr="00EB6F6A">
        <w:rPr>
          <w:rFonts w:ascii="Times New Roman" w:hAnsi="Times New Roman" w:cs="Times New Roman"/>
          <w:sz w:val="28"/>
          <w:szCs w:val="28"/>
          <w:lang w:val="lv-LV"/>
        </w:rPr>
        <w:t xml:space="preserve">     S.Zvidriņa</w:t>
      </w:r>
      <w:r w:rsidRPr="00EB6F6A">
        <w:rPr>
          <w:rFonts w:ascii="Times New Roman" w:hAnsi="Times New Roman" w:cs="Times New Roman"/>
          <w:sz w:val="28"/>
          <w:szCs w:val="28"/>
          <w:lang w:val="lv-LV"/>
        </w:rPr>
        <w:t xml:space="preserve"> </w:t>
      </w:r>
    </w:p>
    <w:p w:rsidR="002B48DC" w:rsidRPr="00EB6F6A" w:rsidRDefault="002B48DC" w:rsidP="004112E3">
      <w:pPr>
        <w:pStyle w:val="ListParagraph"/>
        <w:tabs>
          <w:tab w:val="left" w:pos="3735"/>
        </w:tabs>
        <w:ind w:left="0"/>
        <w:jc w:val="both"/>
        <w:rPr>
          <w:lang w:val="lv-LV"/>
        </w:rPr>
      </w:pPr>
    </w:p>
    <w:p w:rsidR="00232C95" w:rsidRPr="00EB6F6A" w:rsidRDefault="00232C95" w:rsidP="004112E3">
      <w:pPr>
        <w:pStyle w:val="ListParagraph"/>
        <w:tabs>
          <w:tab w:val="left" w:pos="3735"/>
        </w:tabs>
        <w:ind w:left="0"/>
        <w:jc w:val="both"/>
        <w:rPr>
          <w:sz w:val="20"/>
          <w:szCs w:val="20"/>
          <w:lang w:val="lv-LV"/>
        </w:rPr>
      </w:pPr>
    </w:p>
    <w:p w:rsidR="002E61CF" w:rsidRPr="00EB6F6A" w:rsidRDefault="002E61CF" w:rsidP="004112E3">
      <w:pPr>
        <w:pStyle w:val="ListParagraph"/>
        <w:tabs>
          <w:tab w:val="left" w:pos="3735"/>
        </w:tabs>
        <w:ind w:left="0"/>
        <w:jc w:val="both"/>
        <w:rPr>
          <w:sz w:val="20"/>
          <w:szCs w:val="20"/>
          <w:lang w:val="lv-LV"/>
        </w:rPr>
      </w:pPr>
    </w:p>
    <w:p w:rsidR="002E61CF" w:rsidRPr="00EB6F6A" w:rsidRDefault="002E61CF" w:rsidP="004112E3">
      <w:pPr>
        <w:pStyle w:val="ListParagraph"/>
        <w:tabs>
          <w:tab w:val="left" w:pos="3735"/>
        </w:tabs>
        <w:ind w:left="0"/>
        <w:jc w:val="both"/>
        <w:rPr>
          <w:sz w:val="20"/>
          <w:szCs w:val="20"/>
          <w:lang w:val="lv-LV"/>
        </w:rPr>
      </w:pPr>
    </w:p>
    <w:p w:rsidR="002E61CF" w:rsidRPr="00EB6F6A" w:rsidRDefault="002E61CF" w:rsidP="004112E3">
      <w:pPr>
        <w:pStyle w:val="ListParagraph"/>
        <w:tabs>
          <w:tab w:val="left" w:pos="3735"/>
        </w:tabs>
        <w:ind w:left="0"/>
        <w:jc w:val="both"/>
        <w:rPr>
          <w:sz w:val="20"/>
          <w:szCs w:val="20"/>
          <w:lang w:val="lv-LV"/>
        </w:rPr>
      </w:pPr>
    </w:p>
    <w:p w:rsidR="002E61CF" w:rsidRPr="00EB6F6A" w:rsidRDefault="002E61CF" w:rsidP="004112E3">
      <w:pPr>
        <w:pStyle w:val="ListParagraph"/>
        <w:tabs>
          <w:tab w:val="left" w:pos="3735"/>
        </w:tabs>
        <w:ind w:left="0"/>
        <w:jc w:val="both"/>
        <w:rPr>
          <w:sz w:val="20"/>
          <w:szCs w:val="20"/>
          <w:lang w:val="lv-LV"/>
        </w:rPr>
      </w:pPr>
    </w:p>
    <w:p w:rsidR="002E61CF" w:rsidRPr="00EB6F6A" w:rsidRDefault="002E61CF" w:rsidP="004112E3">
      <w:pPr>
        <w:pStyle w:val="ListParagraph"/>
        <w:tabs>
          <w:tab w:val="left" w:pos="3735"/>
        </w:tabs>
        <w:ind w:left="0"/>
        <w:jc w:val="both"/>
        <w:rPr>
          <w:sz w:val="20"/>
          <w:szCs w:val="20"/>
          <w:lang w:val="lv-LV"/>
        </w:rPr>
      </w:pPr>
    </w:p>
    <w:p w:rsidR="004112E3" w:rsidRPr="00EB6F6A" w:rsidRDefault="00810D9C" w:rsidP="004112E3">
      <w:pPr>
        <w:pStyle w:val="ListParagraph"/>
        <w:tabs>
          <w:tab w:val="left" w:pos="3735"/>
        </w:tabs>
        <w:ind w:left="0"/>
        <w:jc w:val="both"/>
        <w:rPr>
          <w:sz w:val="20"/>
          <w:szCs w:val="20"/>
          <w:lang w:val="lv-LV"/>
        </w:rPr>
      </w:pPr>
      <w:r>
        <w:rPr>
          <w:sz w:val="20"/>
          <w:szCs w:val="20"/>
          <w:lang w:val="lv-LV"/>
        </w:rPr>
        <w:t>2</w:t>
      </w:r>
      <w:r w:rsidR="00692D79">
        <w:rPr>
          <w:sz w:val="20"/>
          <w:szCs w:val="20"/>
          <w:lang w:val="lv-LV"/>
        </w:rPr>
        <w:t>6</w:t>
      </w:r>
      <w:r w:rsidR="006708AF" w:rsidRPr="00EB6F6A">
        <w:rPr>
          <w:sz w:val="20"/>
          <w:szCs w:val="20"/>
          <w:lang w:val="lv-LV"/>
        </w:rPr>
        <w:t>.04.</w:t>
      </w:r>
      <w:r w:rsidR="005A408B" w:rsidRPr="00EB6F6A">
        <w:rPr>
          <w:sz w:val="20"/>
          <w:szCs w:val="20"/>
          <w:lang w:val="lv-LV"/>
        </w:rPr>
        <w:t>2016</w:t>
      </w:r>
      <w:r w:rsidR="0077438F" w:rsidRPr="00EB6F6A">
        <w:rPr>
          <w:sz w:val="20"/>
          <w:szCs w:val="20"/>
          <w:lang w:val="lv-LV"/>
        </w:rPr>
        <w:t>.</w:t>
      </w:r>
      <w:r w:rsidR="006E52A8" w:rsidRPr="00EB6F6A">
        <w:rPr>
          <w:sz w:val="20"/>
          <w:szCs w:val="20"/>
          <w:lang w:val="lv-LV"/>
        </w:rPr>
        <w:t xml:space="preserve"> </w:t>
      </w:r>
      <w:r w:rsidR="00FE0001">
        <w:rPr>
          <w:sz w:val="20"/>
          <w:szCs w:val="20"/>
          <w:lang w:val="lv-LV"/>
        </w:rPr>
        <w:t>12.14</w:t>
      </w:r>
    </w:p>
    <w:p w:rsidR="004112E3" w:rsidRPr="00EB6F6A" w:rsidRDefault="00692D79" w:rsidP="004112E3">
      <w:pPr>
        <w:pStyle w:val="ListParagraph"/>
        <w:ind w:left="0"/>
        <w:jc w:val="both"/>
        <w:rPr>
          <w:sz w:val="20"/>
          <w:szCs w:val="20"/>
          <w:lang w:val="lv-LV"/>
        </w:rPr>
      </w:pPr>
      <w:r>
        <w:rPr>
          <w:sz w:val="20"/>
          <w:szCs w:val="20"/>
          <w:lang w:val="lv-LV"/>
        </w:rPr>
        <w:t>6957</w:t>
      </w:r>
    </w:p>
    <w:p w:rsidR="00A407D9" w:rsidRPr="00EB6F6A" w:rsidRDefault="0077438F" w:rsidP="00A407D9">
      <w:pPr>
        <w:pStyle w:val="ListParagraph"/>
        <w:ind w:left="0"/>
        <w:jc w:val="both"/>
        <w:rPr>
          <w:sz w:val="20"/>
          <w:szCs w:val="20"/>
          <w:lang w:val="lv-LV"/>
        </w:rPr>
      </w:pPr>
      <w:bookmarkStart w:id="4" w:name="OLE_LINK5"/>
      <w:bookmarkStart w:id="5" w:name="OLE_LINK6"/>
      <w:r w:rsidRPr="00EB6F6A">
        <w:rPr>
          <w:sz w:val="20"/>
          <w:szCs w:val="20"/>
          <w:lang w:val="lv-LV"/>
        </w:rPr>
        <w:t>Krūmiņa</w:t>
      </w:r>
      <w:r w:rsidR="00A407D9" w:rsidRPr="00EB6F6A">
        <w:rPr>
          <w:sz w:val="20"/>
          <w:szCs w:val="20"/>
          <w:lang w:val="lv-LV"/>
        </w:rPr>
        <w:t xml:space="preserve">, </w:t>
      </w:r>
      <w:r w:rsidRPr="00EB6F6A">
        <w:rPr>
          <w:sz w:val="20"/>
          <w:szCs w:val="20"/>
          <w:lang w:val="lv-LV"/>
        </w:rPr>
        <w:t xml:space="preserve">67876077 </w:t>
      </w:r>
    </w:p>
    <w:p w:rsidR="006C25D7" w:rsidRPr="00EB6F6A" w:rsidRDefault="002B1FF6" w:rsidP="00A407D9">
      <w:pPr>
        <w:pStyle w:val="ListParagraph"/>
        <w:ind w:left="0"/>
        <w:jc w:val="both"/>
        <w:rPr>
          <w:sz w:val="20"/>
          <w:szCs w:val="20"/>
          <w:lang w:val="lv-LV"/>
        </w:rPr>
      </w:pPr>
      <w:hyperlink r:id="rId8" w:history="1">
        <w:r w:rsidR="00067EF1" w:rsidRPr="00EB6F6A">
          <w:rPr>
            <w:rStyle w:val="Hyperlink"/>
            <w:color w:val="auto"/>
            <w:sz w:val="20"/>
            <w:szCs w:val="20"/>
            <w:lang w:val="lv-LV"/>
          </w:rPr>
          <w:t>alise.krumina@vm.gov.lv</w:t>
        </w:r>
      </w:hyperlink>
      <w:r w:rsidR="00067EF1" w:rsidRPr="00EB6F6A">
        <w:rPr>
          <w:sz w:val="20"/>
          <w:szCs w:val="20"/>
          <w:lang w:val="lv-LV"/>
        </w:rPr>
        <w:t xml:space="preserve"> </w:t>
      </w:r>
      <w:hyperlink r:id="rId9" w:history="1"/>
      <w:r w:rsidR="0077438F" w:rsidRPr="00EB6F6A">
        <w:rPr>
          <w:sz w:val="20"/>
          <w:szCs w:val="20"/>
          <w:lang w:val="lv-LV"/>
        </w:rPr>
        <w:t xml:space="preserve"> </w:t>
      </w:r>
    </w:p>
    <w:p w:rsidR="00A407D9" w:rsidRPr="00EB6F6A" w:rsidRDefault="0077438F" w:rsidP="00A407D9">
      <w:pPr>
        <w:pStyle w:val="ListParagraph"/>
        <w:ind w:left="0"/>
        <w:jc w:val="both"/>
        <w:rPr>
          <w:sz w:val="20"/>
          <w:szCs w:val="20"/>
          <w:lang w:val="lv-LV"/>
        </w:rPr>
      </w:pPr>
      <w:r w:rsidRPr="00EB6F6A">
        <w:rPr>
          <w:sz w:val="20"/>
          <w:szCs w:val="20"/>
          <w:lang w:val="lv-LV"/>
        </w:rPr>
        <w:t>Jurševica</w:t>
      </w:r>
      <w:r w:rsidR="00A407D9" w:rsidRPr="00EB6F6A">
        <w:rPr>
          <w:sz w:val="20"/>
          <w:szCs w:val="20"/>
          <w:lang w:val="lv-LV"/>
        </w:rPr>
        <w:t xml:space="preserve">, </w:t>
      </w:r>
      <w:r w:rsidRPr="00EB6F6A">
        <w:rPr>
          <w:sz w:val="20"/>
          <w:szCs w:val="20"/>
          <w:lang w:val="lv-LV"/>
        </w:rPr>
        <w:t xml:space="preserve">67876186 </w:t>
      </w:r>
    </w:p>
    <w:p w:rsidR="006F76A8" w:rsidRPr="00EB6F6A" w:rsidRDefault="002B1FF6" w:rsidP="00892B19">
      <w:pPr>
        <w:pStyle w:val="ListParagraph"/>
        <w:ind w:left="0"/>
        <w:jc w:val="both"/>
        <w:rPr>
          <w:sz w:val="20"/>
          <w:szCs w:val="20"/>
          <w:lang w:val="lv-LV"/>
        </w:rPr>
      </w:pPr>
      <w:hyperlink r:id="rId10" w:history="1">
        <w:r w:rsidR="0077438F" w:rsidRPr="00EB6F6A">
          <w:rPr>
            <w:rStyle w:val="Hyperlink"/>
            <w:color w:val="auto"/>
            <w:sz w:val="20"/>
            <w:szCs w:val="20"/>
            <w:lang w:val="lv-LV"/>
          </w:rPr>
          <w:t>anita.jursevica@vm.gov.lv</w:t>
        </w:r>
      </w:hyperlink>
      <w:r w:rsidR="0077438F" w:rsidRPr="00EB6F6A">
        <w:rPr>
          <w:sz w:val="20"/>
          <w:szCs w:val="20"/>
          <w:lang w:val="lv-LV"/>
        </w:rPr>
        <w:t xml:space="preserve"> </w:t>
      </w:r>
    </w:p>
    <w:p w:rsidR="006F76A8" w:rsidRPr="00EB6F6A" w:rsidRDefault="006F76A8" w:rsidP="00892B19">
      <w:pPr>
        <w:pStyle w:val="ListParagraph"/>
        <w:ind w:left="0"/>
        <w:jc w:val="both"/>
        <w:rPr>
          <w:sz w:val="20"/>
          <w:szCs w:val="20"/>
          <w:lang w:val="lv-LV"/>
        </w:rPr>
      </w:pPr>
      <w:r w:rsidRPr="00EB6F6A">
        <w:rPr>
          <w:sz w:val="20"/>
          <w:szCs w:val="20"/>
          <w:lang w:val="lv-LV"/>
        </w:rPr>
        <w:t xml:space="preserve">Skudra, 67876038 </w:t>
      </w:r>
    </w:p>
    <w:p w:rsidR="003D5FA0" w:rsidRPr="00EB6F6A" w:rsidRDefault="002B1FF6" w:rsidP="00892B19">
      <w:pPr>
        <w:pStyle w:val="ListParagraph"/>
        <w:ind w:left="0"/>
        <w:jc w:val="both"/>
        <w:rPr>
          <w:lang w:val="lv-LV"/>
        </w:rPr>
      </w:pPr>
      <w:hyperlink r:id="rId11" w:history="1">
        <w:r w:rsidR="006F76A8" w:rsidRPr="00EB6F6A">
          <w:rPr>
            <w:rStyle w:val="Hyperlink"/>
            <w:color w:val="auto"/>
            <w:sz w:val="20"/>
            <w:szCs w:val="20"/>
            <w:lang w:val="lv-LV"/>
          </w:rPr>
          <w:t>vesma.skudra@vm.gov.lv</w:t>
        </w:r>
      </w:hyperlink>
      <w:r w:rsidR="006F76A8" w:rsidRPr="00EB6F6A">
        <w:rPr>
          <w:lang w:val="lv-LV"/>
        </w:rPr>
        <w:t xml:space="preserve"> </w:t>
      </w:r>
      <w:r w:rsidR="0077438F" w:rsidRPr="00EB6F6A">
        <w:rPr>
          <w:lang w:val="lv-LV"/>
        </w:rPr>
        <w:t xml:space="preserve"> </w:t>
      </w:r>
      <w:bookmarkEnd w:id="4"/>
      <w:bookmarkEnd w:id="5"/>
      <w:r w:rsidR="001337B8" w:rsidRPr="00EB6F6A">
        <w:rPr>
          <w:lang w:val="lv-LV"/>
        </w:rPr>
        <w:tab/>
      </w:r>
    </w:p>
    <w:sectPr w:rsidR="003D5FA0" w:rsidRPr="00EB6F6A" w:rsidSect="00A0274E">
      <w:headerReference w:type="default" r:id="rId12"/>
      <w:footerReference w:type="default" r:id="rId13"/>
      <w:headerReference w:type="first" r:id="rId14"/>
      <w:footerReference w:type="first" r:id="rId15"/>
      <w:pgSz w:w="11906" w:h="16838"/>
      <w:pgMar w:top="1134"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70A" w:rsidRDefault="00D2070A" w:rsidP="00B44DB8">
      <w:pPr>
        <w:spacing w:after="0" w:line="240" w:lineRule="auto"/>
      </w:pPr>
      <w:r>
        <w:separator/>
      </w:r>
    </w:p>
  </w:endnote>
  <w:endnote w:type="continuationSeparator" w:id="0">
    <w:p w:rsidR="00D2070A" w:rsidRDefault="00D2070A" w:rsidP="00B4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9C" w:rsidRPr="00810D9C" w:rsidRDefault="00810D9C" w:rsidP="00810D9C">
    <w:pPr>
      <w:spacing w:after="0" w:line="240" w:lineRule="auto"/>
      <w:jc w:val="both"/>
      <w:rPr>
        <w:rFonts w:ascii="Times New Roman" w:eastAsia="Times New Roman" w:hAnsi="Times New Roman" w:cs="Times New Roman"/>
        <w:bCs/>
        <w:sz w:val="20"/>
        <w:szCs w:val="20"/>
        <w:lang w:val="lv-LV" w:eastAsia="lv-LV"/>
      </w:rPr>
    </w:pPr>
    <w:r w:rsidRPr="00810D9C">
      <w:rPr>
        <w:rFonts w:ascii="Times New Roman" w:hAnsi="Times New Roman" w:cs="Times New Roman"/>
        <w:sz w:val="20"/>
        <w:szCs w:val="20"/>
        <w:lang w:val="lv-LV"/>
      </w:rPr>
      <w:t>VM</w:t>
    </w:r>
    <w:r>
      <w:rPr>
        <w:rFonts w:ascii="Times New Roman" w:hAnsi="Times New Roman" w:cs="Times New Roman"/>
        <w:sz w:val="20"/>
        <w:szCs w:val="20"/>
        <w:lang w:val="lv-LV"/>
      </w:rPr>
      <w:t>a</w:t>
    </w:r>
    <w:r w:rsidRPr="00810D9C">
      <w:rPr>
        <w:rFonts w:ascii="Times New Roman" w:hAnsi="Times New Roman" w:cs="Times New Roman"/>
        <w:sz w:val="20"/>
        <w:szCs w:val="20"/>
        <w:lang w:val="lv-LV"/>
      </w:rPr>
      <w:t>not_</w:t>
    </w:r>
    <w:r>
      <w:rPr>
        <w:rFonts w:ascii="Times New Roman" w:hAnsi="Times New Roman" w:cs="Times New Roman"/>
        <w:sz w:val="20"/>
        <w:szCs w:val="20"/>
        <w:lang w:val="lv-LV"/>
      </w:rPr>
      <w:t>2</w:t>
    </w:r>
    <w:r w:rsidR="00692D79">
      <w:rPr>
        <w:rFonts w:ascii="Times New Roman" w:hAnsi="Times New Roman" w:cs="Times New Roman"/>
        <w:sz w:val="20"/>
        <w:szCs w:val="20"/>
        <w:lang w:val="lv-LV"/>
      </w:rPr>
      <w:t>6</w:t>
    </w:r>
    <w:r w:rsidRPr="00810D9C">
      <w:rPr>
        <w:rFonts w:ascii="Times New Roman" w:hAnsi="Times New Roman" w:cs="Times New Roman"/>
        <w:sz w:val="20"/>
        <w:szCs w:val="20"/>
        <w:lang w:val="lv-LV"/>
      </w:rPr>
      <w:t xml:space="preserve">0416_bridin ; </w:t>
    </w:r>
    <w:bookmarkStart w:id="6" w:name="OLE_LINK10"/>
    <w:bookmarkStart w:id="7" w:name="OLE_LINK11"/>
    <w:r w:rsidRPr="00810D9C">
      <w:rPr>
        <w:rFonts w:ascii="Times New Roman" w:hAnsi="Times New Roman"/>
        <w:sz w:val="20"/>
        <w:szCs w:val="20"/>
        <w:lang w:val="lv-LV"/>
      </w:rPr>
      <w:t>Minist</w:t>
    </w:r>
    <w:r>
      <w:rPr>
        <w:rFonts w:ascii="Times New Roman" w:hAnsi="Times New Roman"/>
        <w:sz w:val="20"/>
        <w:szCs w:val="20"/>
        <w:lang w:val="lv-LV"/>
      </w:rPr>
      <w:t>ru kabineta noteikumu projekta</w:t>
    </w:r>
    <w:r w:rsidRPr="00810D9C">
      <w:rPr>
        <w:rFonts w:ascii="Times New Roman" w:hAnsi="Times New Roman"/>
        <w:sz w:val="20"/>
        <w:szCs w:val="20"/>
        <w:lang w:val="lv-LV"/>
      </w:rPr>
      <w:t xml:space="preserve"> "Brīdinājumu par ietekmi uz veselību noformēšanas un novietošanas prasības un kārtība, kādā ražotājs vai importētājs ziņo par kombinēto brīdinājumu par ietekmi uz veselību izvietošanu" sākotnējās ietekmes novērtējuma ziņojums</w:t>
    </w:r>
    <w:r w:rsidRPr="00810D9C">
      <w:rPr>
        <w:rFonts w:ascii="Times New Roman" w:eastAsia="Times New Roman" w:hAnsi="Times New Roman" w:cs="Times New Roman"/>
        <w:bCs/>
        <w:sz w:val="20"/>
        <w:szCs w:val="20"/>
        <w:lang w:val="lv-LV" w:eastAsia="lv-LV"/>
      </w:rPr>
      <w:t xml:space="preserve"> (anotācija)</w:t>
    </w:r>
    <w:bookmarkEnd w:id="6"/>
    <w:bookmarkEnd w:id="7"/>
  </w:p>
  <w:p w:rsidR="00D2070A" w:rsidRPr="003D5FA0" w:rsidRDefault="00D2070A" w:rsidP="009100DB">
    <w:pPr>
      <w:spacing w:after="0" w:line="240" w:lineRule="auto"/>
      <w:jc w:val="both"/>
      <w:rPr>
        <w:rFonts w:ascii="Times New Roman" w:hAnsi="Times New Roman" w:cs="Times New Roman"/>
        <w:sz w:val="20"/>
        <w:szCs w:val="20"/>
        <w:lang w:val="lv-LV"/>
      </w:rPr>
    </w:pPr>
  </w:p>
  <w:p w:rsidR="00D2070A" w:rsidRPr="003D5FA0" w:rsidRDefault="00D2070A" w:rsidP="009100DB">
    <w:pPr>
      <w:spacing w:after="0" w:line="240" w:lineRule="auto"/>
      <w:jc w:val="both"/>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9C" w:rsidRPr="00810D9C" w:rsidRDefault="00D2070A" w:rsidP="00810D9C">
    <w:pPr>
      <w:spacing w:after="0" w:line="240" w:lineRule="auto"/>
      <w:jc w:val="both"/>
      <w:rPr>
        <w:rFonts w:ascii="Times New Roman" w:eastAsia="Times New Roman" w:hAnsi="Times New Roman" w:cs="Times New Roman"/>
        <w:bCs/>
        <w:sz w:val="20"/>
        <w:szCs w:val="20"/>
        <w:lang w:val="lv-LV" w:eastAsia="lv-LV"/>
      </w:rPr>
    </w:pPr>
    <w:r w:rsidRPr="00810D9C">
      <w:rPr>
        <w:rFonts w:ascii="Times New Roman" w:hAnsi="Times New Roman" w:cs="Times New Roman"/>
        <w:sz w:val="20"/>
        <w:szCs w:val="20"/>
        <w:lang w:val="lv-LV"/>
      </w:rPr>
      <w:t>VM</w:t>
    </w:r>
    <w:r w:rsidR="00810D9C">
      <w:rPr>
        <w:rFonts w:ascii="Times New Roman" w:hAnsi="Times New Roman" w:cs="Times New Roman"/>
        <w:sz w:val="20"/>
        <w:szCs w:val="20"/>
        <w:lang w:val="lv-LV"/>
      </w:rPr>
      <w:t>a</w:t>
    </w:r>
    <w:r w:rsidRPr="00810D9C">
      <w:rPr>
        <w:rFonts w:ascii="Times New Roman" w:hAnsi="Times New Roman" w:cs="Times New Roman"/>
        <w:sz w:val="20"/>
        <w:szCs w:val="20"/>
        <w:lang w:val="lv-LV"/>
      </w:rPr>
      <w:t>not_</w:t>
    </w:r>
    <w:r w:rsidR="00810D9C">
      <w:rPr>
        <w:rFonts w:ascii="Times New Roman" w:hAnsi="Times New Roman" w:cs="Times New Roman"/>
        <w:sz w:val="20"/>
        <w:szCs w:val="20"/>
        <w:lang w:val="lv-LV"/>
      </w:rPr>
      <w:t>2</w:t>
    </w:r>
    <w:r w:rsidR="00692D79">
      <w:rPr>
        <w:rFonts w:ascii="Times New Roman" w:hAnsi="Times New Roman" w:cs="Times New Roman"/>
        <w:sz w:val="20"/>
        <w:szCs w:val="20"/>
        <w:lang w:val="lv-LV"/>
      </w:rPr>
      <w:t>6</w:t>
    </w:r>
    <w:r w:rsidR="002E61CF" w:rsidRPr="00810D9C">
      <w:rPr>
        <w:rFonts w:ascii="Times New Roman" w:hAnsi="Times New Roman" w:cs="Times New Roman"/>
        <w:sz w:val="20"/>
        <w:szCs w:val="20"/>
        <w:lang w:val="lv-LV"/>
      </w:rPr>
      <w:t>04</w:t>
    </w:r>
    <w:r w:rsidRPr="00810D9C">
      <w:rPr>
        <w:rFonts w:ascii="Times New Roman" w:hAnsi="Times New Roman" w:cs="Times New Roman"/>
        <w:sz w:val="20"/>
        <w:szCs w:val="20"/>
        <w:lang w:val="lv-LV"/>
      </w:rPr>
      <w:t xml:space="preserve">16_bridin ; </w:t>
    </w:r>
    <w:r w:rsidR="00810D9C" w:rsidRPr="00810D9C">
      <w:rPr>
        <w:rFonts w:ascii="Times New Roman" w:hAnsi="Times New Roman"/>
        <w:sz w:val="20"/>
        <w:szCs w:val="20"/>
        <w:lang w:val="lv-LV"/>
      </w:rPr>
      <w:t>Minist</w:t>
    </w:r>
    <w:r w:rsidR="00810D9C">
      <w:rPr>
        <w:rFonts w:ascii="Times New Roman" w:hAnsi="Times New Roman"/>
        <w:sz w:val="20"/>
        <w:szCs w:val="20"/>
        <w:lang w:val="lv-LV"/>
      </w:rPr>
      <w:t>ru kabineta noteikumu projekta</w:t>
    </w:r>
    <w:r w:rsidR="00810D9C" w:rsidRPr="00810D9C">
      <w:rPr>
        <w:rFonts w:ascii="Times New Roman" w:hAnsi="Times New Roman"/>
        <w:sz w:val="20"/>
        <w:szCs w:val="20"/>
        <w:lang w:val="lv-LV"/>
      </w:rPr>
      <w:t xml:space="preserve"> "Brīdinājumu par ietekmi uz veselību noformēšanas un novietošanas prasības un kārtība, kādā ražotājs vai importētājs ziņo par kombinēto brīdinājumu par ietekmi uz veselību izvietošanu" sākotnējās ietekmes novērtējuma ziņojums</w:t>
    </w:r>
    <w:r w:rsidR="00810D9C" w:rsidRPr="00810D9C">
      <w:rPr>
        <w:rFonts w:ascii="Times New Roman" w:eastAsia="Times New Roman" w:hAnsi="Times New Roman" w:cs="Times New Roman"/>
        <w:bCs/>
        <w:sz w:val="20"/>
        <w:szCs w:val="20"/>
        <w:lang w:val="lv-LV" w:eastAsia="lv-LV"/>
      </w:rPr>
      <w:t xml:space="preserve"> (anotācija)</w:t>
    </w:r>
  </w:p>
  <w:p w:rsidR="00D2070A" w:rsidRDefault="00D2070A" w:rsidP="009100DB">
    <w:pPr>
      <w:spacing w:after="0" w:line="240" w:lineRule="auto"/>
      <w:jc w:val="both"/>
      <w:rPr>
        <w:rFonts w:ascii="Times New Roman" w:hAnsi="Times New Roman" w:cs="Times New Roman"/>
        <w:sz w:val="20"/>
        <w:szCs w:val="20"/>
        <w:lang w:val="lv-LV"/>
      </w:rPr>
    </w:pPr>
  </w:p>
  <w:p w:rsidR="00D2070A" w:rsidRPr="008A2AB4" w:rsidRDefault="00D2070A" w:rsidP="009100DB">
    <w:pPr>
      <w:spacing w:after="0" w:line="240" w:lineRule="auto"/>
      <w:jc w:val="both"/>
      <w:rPr>
        <w:sz w:val="20"/>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70A" w:rsidRDefault="00D2070A" w:rsidP="00B44DB8">
      <w:pPr>
        <w:spacing w:after="0" w:line="240" w:lineRule="auto"/>
      </w:pPr>
      <w:r>
        <w:separator/>
      </w:r>
    </w:p>
  </w:footnote>
  <w:footnote w:type="continuationSeparator" w:id="0">
    <w:p w:rsidR="00D2070A" w:rsidRDefault="00D2070A" w:rsidP="00B44DB8">
      <w:pPr>
        <w:spacing w:after="0" w:line="240" w:lineRule="auto"/>
      </w:pPr>
      <w:r>
        <w:continuationSeparator/>
      </w:r>
    </w:p>
  </w:footnote>
  <w:footnote w:id="1">
    <w:p w:rsidR="00D2070A" w:rsidRPr="005E4DC5" w:rsidRDefault="00D2070A">
      <w:pPr>
        <w:pStyle w:val="FootnoteText"/>
        <w:rPr>
          <w:lang w:val="lv-LV"/>
        </w:rPr>
      </w:pPr>
      <w:r w:rsidRPr="00A838DA">
        <w:rPr>
          <w:rStyle w:val="FootnoteReference"/>
          <w:rFonts w:ascii="Times New Roman" w:hAnsi="Times New Roman" w:cs="Times New Roman"/>
        </w:rPr>
        <w:footnoteRef/>
      </w:r>
      <w:r w:rsidRPr="00A838DA">
        <w:rPr>
          <w:rFonts w:ascii="Times New Roman" w:hAnsi="Times New Roman" w:cs="Times New Roman"/>
          <w:lang w:val="pt-PT"/>
        </w:rPr>
        <w:t xml:space="preserve"> Izskatīts </w:t>
      </w:r>
      <w:r w:rsidRPr="00A838DA">
        <w:rPr>
          <w:rFonts w:ascii="Times New Roman" w:hAnsi="Times New Roman" w:cs="Times New Roman"/>
          <w:lang w:val="lv-LV"/>
        </w:rPr>
        <w:t xml:space="preserve">2015.gada 8.decembrī Ministru kabinetā (prot.Nr.66, 37.§) </w:t>
      </w:r>
      <w:r w:rsidRPr="005E4DC5">
        <w:rPr>
          <w:rFonts w:ascii="Times New Roman" w:hAnsi="Times New Roman" w:cs="Times New Roman"/>
          <w:lang w:val="lv-LV"/>
        </w:rPr>
        <w:t xml:space="preserve">un 2016.gada </w:t>
      </w:r>
      <w:r w:rsidR="00692D79">
        <w:rPr>
          <w:rFonts w:ascii="Times New Roman" w:hAnsi="Times New Roman" w:cs="Times New Roman"/>
          <w:lang w:val="lv-LV"/>
        </w:rPr>
        <w:t>21</w:t>
      </w:r>
      <w:r w:rsidRPr="005E4DC5">
        <w:rPr>
          <w:rFonts w:ascii="Times New Roman" w:hAnsi="Times New Roman" w:cs="Times New Roman"/>
          <w:lang w:val="lv-LV"/>
        </w:rPr>
        <w:t>.</w:t>
      </w:r>
      <w:r w:rsidR="00692D79">
        <w:rPr>
          <w:rFonts w:ascii="Times New Roman" w:hAnsi="Times New Roman" w:cs="Times New Roman"/>
          <w:lang w:val="lv-LV"/>
        </w:rPr>
        <w:t>aprīlī</w:t>
      </w:r>
      <w:r w:rsidRPr="005E4DC5">
        <w:rPr>
          <w:rFonts w:ascii="Times New Roman" w:hAnsi="Times New Roman" w:cs="Times New Roman"/>
          <w:lang w:val="lv-LV"/>
        </w:rPr>
        <w:t xml:space="preserve">- </w:t>
      </w:r>
      <w:r w:rsidR="00692D79">
        <w:rPr>
          <w:rFonts w:ascii="Times New Roman" w:hAnsi="Times New Roman" w:cs="Times New Roman"/>
          <w:lang w:val="lv-LV"/>
        </w:rPr>
        <w:t>3</w:t>
      </w:r>
      <w:r w:rsidRPr="005E4DC5">
        <w:rPr>
          <w:rFonts w:ascii="Times New Roman" w:hAnsi="Times New Roman" w:cs="Times New Roman"/>
          <w:lang w:val="lv-LV"/>
        </w:rPr>
        <w:t xml:space="preserve">.lasījumā Saeimā </w:t>
      </w:r>
    </w:p>
  </w:footnote>
  <w:footnote w:id="2">
    <w:p w:rsidR="00D2070A" w:rsidRPr="004C2715" w:rsidRDefault="00D2070A" w:rsidP="00410F35">
      <w:pPr>
        <w:pStyle w:val="FootnoteText"/>
        <w:rPr>
          <w:rFonts w:ascii="Times New Roman" w:hAnsi="Times New Roman" w:cs="Times New Roman"/>
          <w:lang w:val="lv-LV"/>
        </w:rPr>
      </w:pPr>
      <w:r w:rsidRPr="004C2715">
        <w:rPr>
          <w:rStyle w:val="FootnoteReference"/>
          <w:rFonts w:ascii="Times New Roman" w:hAnsi="Times New Roman" w:cs="Times New Roman"/>
        </w:rPr>
        <w:footnoteRef/>
      </w:r>
      <w:r w:rsidRPr="004C2715">
        <w:rPr>
          <w:rFonts w:ascii="Times New Roman" w:hAnsi="Times New Roman" w:cs="Times New Roman"/>
          <w:lang w:val="lv-LV"/>
        </w:rPr>
        <w:t xml:space="preserve"> </w:t>
      </w:r>
      <w:hyperlink r:id="rId1" w:history="1">
        <w:r w:rsidRPr="004C2715">
          <w:rPr>
            <w:rStyle w:val="Hyperlink"/>
            <w:rFonts w:ascii="Times New Roman" w:hAnsi="Times New Roman" w:cs="Times New Roman"/>
            <w:lang w:val="lv-LV"/>
          </w:rPr>
          <w:t>http://ec.europa.eu/health/tobacco/docs/tobacco_liability_en.pdf</w:t>
        </w:r>
      </w:hyperlink>
      <w:r w:rsidRPr="004C2715">
        <w:rPr>
          <w:rFonts w:ascii="Times New Roman" w:hAnsi="Times New Roman" w:cs="Times New Roman"/>
          <w:lang w:val="lv-LV"/>
        </w:rPr>
        <w:t xml:space="preserve"> </w:t>
      </w:r>
    </w:p>
  </w:footnote>
  <w:footnote w:id="3">
    <w:p w:rsidR="00D2070A" w:rsidRPr="00BE22D8" w:rsidRDefault="00D2070A" w:rsidP="00410F35">
      <w:pPr>
        <w:pStyle w:val="FootnoteText"/>
        <w:rPr>
          <w:rFonts w:ascii="Times New Roman" w:hAnsi="Times New Roman" w:cs="Times New Roman"/>
          <w:lang w:val="lv-LV"/>
        </w:rPr>
      </w:pPr>
      <w:r w:rsidRPr="00D75B78">
        <w:rPr>
          <w:rStyle w:val="FootnoteReference"/>
          <w:rFonts w:ascii="Times New Roman" w:hAnsi="Times New Roman" w:cs="Times New Roman"/>
        </w:rPr>
        <w:footnoteRef/>
      </w:r>
      <w:r w:rsidRPr="00D75B78">
        <w:rPr>
          <w:rFonts w:ascii="Times New Roman" w:hAnsi="Times New Roman" w:cs="Times New Roman"/>
          <w:lang w:val="lv-LV"/>
        </w:rPr>
        <w:t xml:space="preserve"> </w:t>
      </w:r>
      <w:hyperlink r:id="rId2" w:history="1">
        <w:r w:rsidRPr="00F3561E">
          <w:rPr>
            <w:rStyle w:val="Hyperlink"/>
            <w:rFonts w:ascii="Times New Roman" w:hAnsi="Times New Roman" w:cs="Times New Roman"/>
            <w:lang w:val="lv-LV"/>
          </w:rPr>
          <w:t>http://siteresources.worldbank.org/HEALTHNUTRITIONANDPOPULATION/Resources/281627-1095698140167/TaalEstoniaJune04final.pdf</w:t>
        </w:r>
      </w:hyperlink>
      <w:r>
        <w:rPr>
          <w:rFonts w:ascii="Times New Roman" w:eastAsiaTheme="minorHAnsi" w:hAnsi="Times New Roman" w:cs="Times New Roman"/>
          <w:color w:val="000000"/>
          <w:lang w:val="lv-LV"/>
        </w:rPr>
        <w:t xml:space="preserve"> </w:t>
      </w:r>
    </w:p>
  </w:footnote>
  <w:footnote w:id="4">
    <w:p w:rsidR="00D2070A" w:rsidRPr="00FE21B2" w:rsidRDefault="00D2070A" w:rsidP="00410F35">
      <w:pPr>
        <w:pStyle w:val="FootnoteText"/>
        <w:rPr>
          <w:lang w:val="lv-LV"/>
        </w:rPr>
      </w:pPr>
      <w:r w:rsidRPr="00FE21B2">
        <w:rPr>
          <w:rStyle w:val="FootnoteReference"/>
          <w:rFonts w:ascii="Times New Roman" w:hAnsi="Times New Roman" w:cs="Times New Roman"/>
        </w:rPr>
        <w:footnoteRef/>
      </w:r>
      <w:r w:rsidRPr="00881A38">
        <w:rPr>
          <w:rFonts w:ascii="Times New Roman" w:hAnsi="Times New Roman" w:cs="Times New Roman"/>
          <w:lang w:val="lv-LV"/>
        </w:rPr>
        <w:t xml:space="preserve"> </w:t>
      </w:r>
      <w:r w:rsidRPr="00FE21B2">
        <w:rPr>
          <w:rFonts w:ascii="Times New Roman" w:hAnsi="Times New Roman" w:cs="Times New Roman"/>
          <w:lang w:val="lv-LV"/>
        </w:rPr>
        <w:t xml:space="preserve">Velika, B., </w:t>
      </w:r>
      <w:r>
        <w:rPr>
          <w:rFonts w:ascii="Times New Roman" w:hAnsi="Times New Roman" w:cs="Times New Roman"/>
          <w:lang w:val="lv-LV"/>
        </w:rPr>
        <w:t xml:space="preserve">Grīnberga, D., </w:t>
      </w:r>
      <w:r w:rsidRPr="00FE21B2">
        <w:rPr>
          <w:rFonts w:ascii="Times New Roman" w:hAnsi="Times New Roman" w:cs="Times New Roman"/>
          <w:lang w:val="lv-LV"/>
        </w:rPr>
        <w:t>Pudule, I.</w:t>
      </w:r>
      <w:r>
        <w:rPr>
          <w:rFonts w:ascii="Times New Roman" w:hAnsi="Times New Roman" w:cs="Times New Roman"/>
          <w:lang w:val="lv-LV"/>
        </w:rPr>
        <w:t xml:space="preserve"> Starptautiskais jauniešu smēķēšanas pētījums Latvijā. 2011.gada aptauja Latvijā. Slimību profilakses un kontroles centrs. Rīga, 2012. </w:t>
      </w:r>
    </w:p>
  </w:footnote>
  <w:footnote w:id="5">
    <w:p w:rsidR="00D2070A" w:rsidRPr="000D5F44" w:rsidRDefault="00D2070A" w:rsidP="00410F35">
      <w:pPr>
        <w:pStyle w:val="FootnoteText"/>
        <w:jc w:val="both"/>
        <w:rPr>
          <w:rFonts w:ascii="Times New Roman" w:hAnsi="Times New Roman" w:cs="Times New Roman"/>
          <w:lang w:val="lv-LV"/>
        </w:rPr>
      </w:pPr>
      <w:r w:rsidRPr="006D4E15">
        <w:rPr>
          <w:rStyle w:val="FootnoteReference"/>
          <w:rFonts w:ascii="Times New Roman" w:hAnsi="Times New Roman" w:cs="Times New Roman"/>
        </w:rPr>
        <w:footnoteRef/>
      </w:r>
      <w:r w:rsidRPr="000D5F44">
        <w:rPr>
          <w:rFonts w:ascii="Times New Roman" w:hAnsi="Times New Roman" w:cs="Times New Roman"/>
          <w:lang w:val="lv-LV"/>
        </w:rPr>
        <w:t xml:space="preserve"> Slimību prof</w:t>
      </w:r>
      <w:r>
        <w:rPr>
          <w:rFonts w:ascii="Times New Roman" w:hAnsi="Times New Roman" w:cs="Times New Roman"/>
          <w:lang w:val="lv-LV"/>
        </w:rPr>
        <w:t>i</w:t>
      </w:r>
      <w:r w:rsidRPr="000D5F44">
        <w:rPr>
          <w:rFonts w:ascii="Times New Roman" w:hAnsi="Times New Roman" w:cs="Times New Roman"/>
          <w:lang w:val="lv-LV"/>
        </w:rPr>
        <w:t xml:space="preserve">lakses un kontroles centra dati </w:t>
      </w:r>
    </w:p>
  </w:footnote>
  <w:footnote w:id="6">
    <w:p w:rsidR="00D2070A" w:rsidRPr="000D5F44" w:rsidRDefault="00D2070A" w:rsidP="00410F35">
      <w:pPr>
        <w:pStyle w:val="FootnoteText"/>
        <w:jc w:val="both"/>
        <w:rPr>
          <w:rFonts w:ascii="Times New Roman" w:hAnsi="Times New Roman" w:cs="Times New Roman"/>
          <w:lang w:val="lv-LV"/>
        </w:rPr>
      </w:pPr>
      <w:r w:rsidRPr="00FA112A">
        <w:rPr>
          <w:rStyle w:val="FootnoteReference"/>
          <w:rFonts w:ascii="Times New Roman" w:hAnsi="Times New Roman" w:cs="Times New Roman"/>
        </w:rPr>
        <w:footnoteRef/>
      </w:r>
      <w:r w:rsidRPr="000D5F44">
        <w:rPr>
          <w:rFonts w:ascii="Times New Roman" w:hAnsi="Times New Roman" w:cs="Times New Roman"/>
          <w:lang w:val="lv-LV"/>
        </w:rPr>
        <w:t xml:space="preserve"> Latvijā veiktajos pētījumos, uz kuriem izdarītas atsauces šajā dokumentā, izmantotais nosaukums ir “elektroniskās cigaretes”, nespecificējot, vai tās satur nikotīnu, vai nesatur. </w:t>
      </w:r>
    </w:p>
  </w:footnote>
  <w:footnote w:id="7">
    <w:p w:rsidR="00D2070A" w:rsidRPr="00FA112A" w:rsidRDefault="00D2070A" w:rsidP="00410F35">
      <w:pPr>
        <w:pStyle w:val="FootnoteText"/>
        <w:rPr>
          <w:rFonts w:ascii="Times New Roman" w:hAnsi="Times New Roman" w:cs="Times New Roman"/>
        </w:rPr>
      </w:pPr>
      <w:r w:rsidRPr="00FA112A">
        <w:rPr>
          <w:rStyle w:val="FootnoteReference"/>
          <w:rFonts w:ascii="Times New Roman" w:hAnsi="Times New Roman" w:cs="Times New Roman"/>
        </w:rPr>
        <w:footnoteRef/>
      </w:r>
      <w:r w:rsidRPr="00FA112A">
        <w:rPr>
          <w:rFonts w:ascii="Times New Roman" w:hAnsi="Times New Roman" w:cs="Times New Roman"/>
        </w:rPr>
        <w:t xml:space="preserve"> </w:t>
      </w:r>
      <w:proofErr w:type="spellStart"/>
      <w:proofErr w:type="gramStart"/>
      <w:r w:rsidRPr="00FA112A">
        <w:rPr>
          <w:rFonts w:ascii="Times New Roman" w:hAnsi="Times New Roman" w:cs="Times New Roman"/>
        </w:rPr>
        <w:t>Grana</w:t>
      </w:r>
      <w:proofErr w:type="spellEnd"/>
      <w:r w:rsidRPr="00FA112A">
        <w:rPr>
          <w:rFonts w:ascii="Times New Roman" w:hAnsi="Times New Roman" w:cs="Times New Roman"/>
        </w:rPr>
        <w:t xml:space="preserve">, R., </w:t>
      </w:r>
      <w:proofErr w:type="spellStart"/>
      <w:r w:rsidRPr="00FA112A">
        <w:rPr>
          <w:rFonts w:ascii="Times New Roman" w:hAnsi="Times New Roman" w:cs="Times New Roman"/>
        </w:rPr>
        <w:t>Benowitz</w:t>
      </w:r>
      <w:proofErr w:type="spellEnd"/>
      <w:r w:rsidRPr="00FA112A">
        <w:rPr>
          <w:rFonts w:ascii="Times New Roman" w:hAnsi="Times New Roman" w:cs="Times New Roman"/>
        </w:rPr>
        <w:t xml:space="preserve">, N., </w:t>
      </w:r>
      <w:proofErr w:type="spellStart"/>
      <w:r w:rsidRPr="00FA112A">
        <w:rPr>
          <w:rFonts w:ascii="Times New Roman" w:hAnsi="Times New Roman" w:cs="Times New Roman"/>
        </w:rPr>
        <w:t>Glantz</w:t>
      </w:r>
      <w:proofErr w:type="spellEnd"/>
      <w:r w:rsidRPr="00FA112A">
        <w:rPr>
          <w:rFonts w:ascii="Times New Roman" w:hAnsi="Times New Roman" w:cs="Times New Roman"/>
        </w:rPr>
        <w:t>, A.S. (2013) Background Paper on E-cigarettes.</w:t>
      </w:r>
      <w:proofErr w:type="gramEnd"/>
      <w:r w:rsidRPr="00FA112A">
        <w:rPr>
          <w:rFonts w:ascii="Times New Roman" w:hAnsi="Times New Roman" w:cs="Times New Roman"/>
        </w:rPr>
        <w:t xml:space="preserve"> Center for Tobacco Control Research and Education </w:t>
      </w:r>
    </w:p>
  </w:footnote>
  <w:footnote w:id="8">
    <w:p w:rsidR="00D2070A" w:rsidRPr="00FA112A" w:rsidRDefault="00D2070A" w:rsidP="00410F35">
      <w:pPr>
        <w:pStyle w:val="Default"/>
        <w:rPr>
          <w:bCs/>
          <w:sz w:val="20"/>
          <w:szCs w:val="20"/>
          <w:lang w:val="lv-LV"/>
        </w:rPr>
      </w:pPr>
      <w:r w:rsidRPr="00FA112A">
        <w:rPr>
          <w:rStyle w:val="FootnoteReference"/>
          <w:sz w:val="20"/>
          <w:szCs w:val="20"/>
        </w:rPr>
        <w:footnoteRef/>
      </w:r>
      <w:r w:rsidRPr="00CD5471">
        <w:rPr>
          <w:sz w:val="20"/>
          <w:szCs w:val="20"/>
        </w:rPr>
        <w:t xml:space="preserve"> Pudule, I., Villeruša, A., Grīnberga, D., Velika, B., Taube, M., Behmane, D., Dzērve,V., </w:t>
      </w:r>
    </w:p>
    <w:p w:rsidR="00D2070A" w:rsidRPr="00FA112A" w:rsidRDefault="00D2070A" w:rsidP="00410F35">
      <w:pPr>
        <w:pStyle w:val="FootnoteText"/>
        <w:rPr>
          <w:rFonts w:ascii="Times New Roman" w:hAnsi="Times New Roman" w:cs="Times New Roman"/>
          <w:lang w:val="lv-LV"/>
        </w:rPr>
      </w:pPr>
      <w:proofErr w:type="spellStart"/>
      <w:r w:rsidRPr="00FA112A">
        <w:rPr>
          <w:rFonts w:ascii="Times New Roman" w:hAnsi="Times New Roman" w:cs="Times New Roman"/>
          <w:bCs/>
          <w:color w:val="000000"/>
          <w:lang w:val="lv-LV"/>
        </w:rPr>
        <w:t>Prättälä</w:t>
      </w:r>
      <w:proofErr w:type="spellEnd"/>
      <w:r w:rsidRPr="00FA112A">
        <w:rPr>
          <w:rFonts w:ascii="Times New Roman" w:hAnsi="Times New Roman" w:cs="Times New Roman"/>
          <w:bCs/>
          <w:color w:val="000000"/>
          <w:lang w:val="lv-LV"/>
        </w:rPr>
        <w:t xml:space="preserve">, R. </w:t>
      </w:r>
      <w:r w:rsidRPr="00FA112A">
        <w:rPr>
          <w:rFonts w:ascii="Times New Roman" w:hAnsi="Times New Roman" w:cs="Times New Roman"/>
          <w:lang w:val="lv-LV"/>
        </w:rPr>
        <w:t>Latvijas iedzīvotāju veselību ietekmējošo paradumu pētījums, 2010. Veselības ekonomikas centrs. Rīga, 2011.</w:t>
      </w:r>
    </w:p>
  </w:footnote>
  <w:footnote w:id="9">
    <w:p w:rsidR="00D2070A" w:rsidRPr="00FA112A" w:rsidRDefault="00D2070A" w:rsidP="00410F35">
      <w:pPr>
        <w:pStyle w:val="FootnoteText"/>
        <w:rPr>
          <w:rFonts w:ascii="Times New Roman" w:hAnsi="Times New Roman" w:cs="Times New Roman"/>
          <w:lang w:val="lv-LV"/>
        </w:rPr>
      </w:pPr>
      <w:r w:rsidRPr="00FA112A">
        <w:rPr>
          <w:rStyle w:val="FootnoteReference"/>
          <w:rFonts w:ascii="Times New Roman" w:hAnsi="Times New Roman" w:cs="Times New Roman"/>
        </w:rPr>
        <w:footnoteRef/>
      </w:r>
      <w:r w:rsidRPr="00FA112A">
        <w:rPr>
          <w:rFonts w:ascii="Times New Roman" w:hAnsi="Times New Roman" w:cs="Times New Roman"/>
          <w:lang w:val="lv-LV"/>
        </w:rPr>
        <w:t xml:space="preserve"> Pudule, I., Grīnberga, D., Velika B., Gavare, I., Villeruša, A. Latvijas iedzīvotāju veselību ietekmējošo paradumu pētījums, 2012. Slimību profilakses un kontroles centrs. Rīga, 2013. </w:t>
      </w:r>
    </w:p>
  </w:footnote>
  <w:footnote w:id="10">
    <w:p w:rsidR="00D2070A" w:rsidRPr="00FA112A" w:rsidRDefault="00D2070A" w:rsidP="00410F35">
      <w:pPr>
        <w:pStyle w:val="FootnoteText"/>
        <w:rPr>
          <w:rFonts w:ascii="Times New Roman" w:hAnsi="Times New Roman" w:cs="Times New Roman"/>
          <w:lang w:val="lv-LV"/>
        </w:rPr>
      </w:pPr>
      <w:r w:rsidRPr="00FA112A">
        <w:rPr>
          <w:rStyle w:val="FootnoteReference"/>
          <w:rFonts w:ascii="Times New Roman" w:hAnsi="Times New Roman" w:cs="Times New Roman"/>
        </w:rPr>
        <w:footnoteRef/>
      </w:r>
      <w:r w:rsidRPr="00FA112A">
        <w:rPr>
          <w:rFonts w:ascii="Times New Roman" w:hAnsi="Times New Roman" w:cs="Times New Roman"/>
          <w:lang w:val="lv-LV"/>
        </w:rPr>
        <w:t xml:space="preserve"> Slimību profilakses un kontroles centra dati. </w:t>
      </w:r>
    </w:p>
  </w:footnote>
  <w:footnote w:id="11">
    <w:p w:rsidR="00D2070A" w:rsidRPr="00B4797C" w:rsidRDefault="00D2070A" w:rsidP="00410F35">
      <w:pPr>
        <w:pStyle w:val="FootnoteText"/>
        <w:rPr>
          <w:rFonts w:ascii="Times New Roman" w:hAnsi="Times New Roman" w:cs="Times New Roman"/>
          <w:lang w:val="lv-LV"/>
        </w:rPr>
      </w:pPr>
      <w:r w:rsidRPr="00B4797C">
        <w:rPr>
          <w:rStyle w:val="FootnoteReference"/>
          <w:rFonts w:ascii="Times New Roman" w:hAnsi="Times New Roman" w:cs="Times New Roman"/>
        </w:rPr>
        <w:footnoteRef/>
      </w:r>
      <w:r w:rsidRPr="00B4797C">
        <w:rPr>
          <w:rFonts w:ascii="Times New Roman" w:hAnsi="Times New Roman" w:cs="Times New Roman"/>
          <w:lang w:val="lv-LV"/>
        </w:rPr>
        <w:t xml:space="preserve"> </w:t>
      </w:r>
      <w:hyperlink r:id="rId3" w:history="1">
        <w:r w:rsidRPr="00B5434B">
          <w:rPr>
            <w:rStyle w:val="Hyperlink"/>
            <w:rFonts w:ascii="Times New Roman" w:hAnsi="Times New Roman" w:cs="Times New Roman"/>
            <w:lang w:val="lv-LV"/>
          </w:rPr>
          <w:t>http://ec.europa.eu/public_opinion/archives/ebs/ebs_429_en.pdf</w:t>
        </w:r>
      </w:hyperlink>
      <w:r>
        <w:rPr>
          <w:rFonts w:ascii="Times New Roman" w:hAnsi="Times New Roman" w:cs="Times New Roman"/>
          <w:lang w:val="lv-LV"/>
        </w:rPr>
        <w:t xml:space="preserve"> </w:t>
      </w:r>
      <w:r w:rsidRPr="00B4797C">
        <w:rPr>
          <w:rFonts w:ascii="Times New Roman" w:hAnsi="Times New Roman" w:cs="Times New Roman"/>
          <w:lang w:val="lv-LV"/>
        </w:rPr>
        <w:t xml:space="preserve"> ; </w:t>
      </w:r>
      <w:hyperlink r:id="rId4" w:history="1">
        <w:r w:rsidRPr="00B4797C">
          <w:rPr>
            <w:rStyle w:val="Hyperlink"/>
            <w:rFonts w:ascii="Times New Roman" w:hAnsi="Times New Roman" w:cs="Times New Roman"/>
            <w:lang w:val="lv-LV"/>
          </w:rPr>
          <w:t>http://ec.europa.eu/public_opinion/archives/ebs/ebs_429_fact_lv_en.pdf</w:t>
        </w:r>
      </w:hyperlink>
      <w:r w:rsidRPr="00B4797C">
        <w:rPr>
          <w:rFonts w:ascii="Times New Roman" w:hAnsi="Times New Roman" w:cs="Times New Roman"/>
          <w:lang w:val="lv-LV"/>
        </w:rPr>
        <w:t xml:space="preserve"> </w:t>
      </w:r>
    </w:p>
  </w:footnote>
  <w:footnote w:id="12">
    <w:p w:rsidR="00D2070A" w:rsidRPr="00E8462D" w:rsidRDefault="00D2070A">
      <w:pPr>
        <w:pStyle w:val="FootnoteText"/>
        <w:rPr>
          <w:rFonts w:ascii="Times New Roman" w:hAnsi="Times New Roman" w:cs="Times New Roman"/>
          <w:lang w:val="lv-LV"/>
        </w:rPr>
      </w:pPr>
      <w:r w:rsidRPr="00E8462D">
        <w:rPr>
          <w:rStyle w:val="FootnoteReference"/>
          <w:rFonts w:ascii="Times New Roman" w:hAnsi="Times New Roman" w:cs="Times New Roman"/>
        </w:rPr>
        <w:footnoteRef/>
      </w:r>
      <w:r w:rsidRPr="00E8462D">
        <w:rPr>
          <w:rFonts w:ascii="Times New Roman" w:hAnsi="Times New Roman" w:cs="Times New Roman"/>
          <w:lang w:val="lv-LV"/>
        </w:rPr>
        <w:t xml:space="preserve"> </w:t>
      </w:r>
      <w:hyperlink r:id="rId5" w:history="1">
        <w:r w:rsidRPr="00B167A7">
          <w:rPr>
            <w:rStyle w:val="Hyperlink"/>
            <w:rFonts w:ascii="Times New Roman" w:hAnsi="Times New Roman" w:cs="Times New Roman"/>
            <w:lang w:val="lv-LV"/>
          </w:rPr>
          <w:t>http://likumi.lv/doc.php?id=98236</w:t>
        </w:r>
      </w:hyperlink>
      <w:r>
        <w:rPr>
          <w:rFonts w:ascii="Times New Roman" w:hAnsi="Times New Roman" w:cs="Times New Roman"/>
          <w:lang w:val="lv-LV"/>
        </w:rPr>
        <w:t xml:space="preserve"> </w:t>
      </w:r>
    </w:p>
  </w:footnote>
  <w:footnote w:id="13">
    <w:p w:rsidR="00D2070A" w:rsidRPr="005A4A91" w:rsidRDefault="00D2070A">
      <w:pPr>
        <w:pStyle w:val="FootnoteText"/>
        <w:rPr>
          <w:rFonts w:ascii="Times New Roman" w:hAnsi="Times New Roman" w:cs="Times New Roman"/>
          <w:lang w:val="lv-LV"/>
        </w:rPr>
      </w:pPr>
      <w:r w:rsidRPr="003D3692">
        <w:rPr>
          <w:rStyle w:val="FootnoteReference"/>
          <w:rFonts w:ascii="Times New Roman" w:hAnsi="Times New Roman" w:cs="Times New Roman"/>
        </w:rPr>
        <w:footnoteRef/>
      </w:r>
      <w:r w:rsidRPr="003D3692">
        <w:rPr>
          <w:rFonts w:ascii="Times New Roman" w:hAnsi="Times New Roman" w:cs="Times New Roman"/>
          <w:lang w:val="lv-LV"/>
        </w:rPr>
        <w:t xml:space="preserve"> </w:t>
      </w:r>
      <w:hyperlink r:id="rId6" w:history="1">
        <w:r w:rsidRPr="005A4A91">
          <w:rPr>
            <w:rStyle w:val="Hyperlink"/>
            <w:rFonts w:ascii="Times New Roman" w:hAnsi="Times New Roman" w:cs="Times New Roman"/>
            <w:lang w:val="lv-LV"/>
          </w:rPr>
          <w:t>http://tap.mk.gov.lv/doc/2015_12/VManot_111115_TPD.2143.docx</w:t>
        </w:r>
      </w:hyperlink>
      <w:r w:rsidRPr="005A4A91">
        <w:rPr>
          <w:rFonts w:ascii="Times New Roman" w:hAnsi="Times New Roman" w:cs="Times New Roman"/>
          <w:lang w:val="lv-LV"/>
        </w:rPr>
        <w:t xml:space="preserve"> 30.lpp</w:t>
      </w:r>
    </w:p>
  </w:footnote>
  <w:footnote w:id="14">
    <w:p w:rsidR="00D2070A" w:rsidRPr="005A4A91" w:rsidRDefault="00D2070A">
      <w:pPr>
        <w:pStyle w:val="FootnoteText"/>
        <w:rPr>
          <w:lang w:val="lv-LV"/>
        </w:rPr>
      </w:pPr>
      <w:r w:rsidRPr="005A4A91">
        <w:rPr>
          <w:rStyle w:val="FootnoteReference"/>
          <w:rFonts w:ascii="Times New Roman" w:hAnsi="Times New Roman" w:cs="Times New Roman"/>
        </w:rPr>
        <w:footnoteRef/>
      </w:r>
      <w:r w:rsidRPr="005A4A91">
        <w:rPr>
          <w:rFonts w:ascii="Times New Roman" w:hAnsi="Times New Roman" w:cs="Times New Roman"/>
          <w:lang w:val="lv-LV"/>
        </w:rPr>
        <w:t xml:space="preserve"> </w:t>
      </w:r>
      <w:hyperlink r:id="rId7" w:history="1">
        <w:r w:rsidRPr="00FA337C">
          <w:rPr>
            <w:rStyle w:val="Hyperlink"/>
            <w:rFonts w:ascii="Times New Roman" w:hAnsi="Times New Roman" w:cs="Times New Roman"/>
            <w:lang w:val="lv-LV"/>
          </w:rPr>
          <w:t>https://www.vid.gov.lv/getfile.aspx?sid=4850</w:t>
        </w:r>
      </w:hyperlink>
      <w:r>
        <w:rPr>
          <w:rFonts w:ascii="Times New Roman" w:hAnsi="Times New Roman" w:cs="Times New Roman"/>
          <w:lang w:val="lv-LV"/>
        </w:rPr>
        <w:t xml:space="preserve"> </w:t>
      </w:r>
    </w:p>
  </w:footnote>
  <w:footnote w:id="15">
    <w:p w:rsidR="00D2070A" w:rsidRPr="00CB3CB4" w:rsidRDefault="00D2070A" w:rsidP="006D3C7F">
      <w:pPr>
        <w:pStyle w:val="FootnoteText"/>
        <w:rPr>
          <w:lang w:val="lv-LV"/>
        </w:rPr>
      </w:pPr>
      <w:r>
        <w:rPr>
          <w:rStyle w:val="FootnoteReference"/>
        </w:rPr>
        <w:footnoteRef/>
      </w:r>
      <w:hyperlink r:id="rId8" w:history="1">
        <w:r w:rsidRPr="000F0BB1">
          <w:rPr>
            <w:rStyle w:val="Hyperlink"/>
            <w:rFonts w:ascii="Times New Roman" w:hAnsi="Times New Roman" w:cs="Times New Roman"/>
            <w:lang w:val="lv-LV"/>
          </w:rPr>
          <w:t>http://www.spkc.gov.lv/file_download/2518/LV_iedzivotaju_veselibu_ietekmejoso_paradumu_petijums_2014_II_dala.pdf</w:t>
        </w:r>
      </w:hyperlink>
      <w:r>
        <w:rPr>
          <w:rFonts w:ascii="Times New Roman" w:hAnsi="Times New Roman" w:cs="Times New Roman"/>
          <w:lang w:val="lv-LV"/>
        </w:rPr>
        <w:t xml:space="preserve"> </w:t>
      </w:r>
    </w:p>
  </w:footnote>
  <w:footnote w:id="16">
    <w:p w:rsidR="00D2070A" w:rsidRPr="00173DB8" w:rsidRDefault="00D2070A" w:rsidP="00641CBE">
      <w:pPr>
        <w:pStyle w:val="FootnoteText"/>
        <w:rPr>
          <w:lang w:val="lv-LV"/>
        </w:rPr>
      </w:pPr>
      <w:r w:rsidRPr="00FA112A">
        <w:rPr>
          <w:rStyle w:val="FootnoteReference"/>
          <w:rFonts w:ascii="Times New Roman" w:hAnsi="Times New Roman" w:cs="Times New Roman"/>
        </w:rPr>
        <w:footnoteRef/>
      </w:r>
      <w:hyperlink r:id="rId9" w:history="1">
        <w:r w:rsidRPr="00FA112A">
          <w:rPr>
            <w:rStyle w:val="Hyperlink"/>
            <w:rFonts w:ascii="Times New Roman" w:hAnsi="Times New Roman" w:cs="Times New Roman"/>
            <w:lang w:val="lv-LV"/>
          </w:rPr>
          <w:t>http://www.vm.gov.lv/lv/aktualitates/sabiedribas_lidzdaliba/publiska_apspriesana_likumprojektam_un_ministru_kabineta_not/</w:t>
        </w:r>
      </w:hyperlink>
      <w:r>
        <w:rPr>
          <w:lang w:val="lv-LV"/>
        </w:rPr>
        <w:t xml:space="preserve"> </w:t>
      </w:r>
    </w:p>
  </w:footnote>
  <w:footnote w:id="17">
    <w:p w:rsidR="00D2070A" w:rsidRPr="00173DB8" w:rsidRDefault="00D2070A" w:rsidP="00641CBE">
      <w:pPr>
        <w:pStyle w:val="FootnoteText"/>
        <w:rPr>
          <w:lang w:val="lv-LV"/>
        </w:rPr>
      </w:pPr>
      <w:r>
        <w:rPr>
          <w:rStyle w:val="FootnoteReference"/>
        </w:rPr>
        <w:footnoteRef/>
      </w:r>
      <w:r w:rsidRPr="00173DB8">
        <w:rPr>
          <w:lang w:val="lv-LV"/>
        </w:rPr>
        <w:t xml:space="preserve"> </w:t>
      </w:r>
      <w:hyperlink r:id="rId10" w:history="1">
        <w:r w:rsidRPr="00173DB8">
          <w:rPr>
            <w:rStyle w:val="Hyperlink"/>
            <w:rFonts w:ascii="Times New Roman" w:hAnsi="Times New Roman" w:cs="Times New Roman"/>
            <w:lang w:val="lv-LV"/>
          </w:rPr>
          <w:t>http://www.vm.gov.lv/images/userfiles/Sabiedribas%20lidzdaliba/protokols_nr_1_13_05_2015.pdf</w:t>
        </w:r>
      </w:hyperlink>
      <w:r>
        <w:rPr>
          <w:lang w:val="lv-LV"/>
        </w:rPr>
        <w:t xml:space="preserve"> </w:t>
      </w:r>
    </w:p>
  </w:footnote>
  <w:footnote w:id="18">
    <w:p w:rsidR="00D2070A" w:rsidRPr="00173DB8" w:rsidRDefault="00D2070A" w:rsidP="00641CBE">
      <w:pPr>
        <w:pStyle w:val="FootnoteText"/>
        <w:rPr>
          <w:lang w:val="lv-LV"/>
        </w:rPr>
      </w:pPr>
      <w:r>
        <w:rPr>
          <w:rStyle w:val="FootnoteReference"/>
        </w:rPr>
        <w:footnoteRef/>
      </w:r>
      <w:r w:rsidRPr="00173DB8">
        <w:rPr>
          <w:lang w:val="lv-LV"/>
        </w:rPr>
        <w:t xml:space="preserve"> </w:t>
      </w:r>
      <w:hyperlink r:id="rId11" w:history="1">
        <w:r w:rsidRPr="00173DB8">
          <w:rPr>
            <w:rStyle w:val="Hyperlink"/>
            <w:rFonts w:ascii="Times New Roman" w:hAnsi="Times New Roman" w:cs="Times New Roman"/>
            <w:lang w:val="lv-LV"/>
          </w:rPr>
          <w:t>http://www.vm.gov.lv/images/userfiles/Publiska%20apspriede/vmsabvied_240415_likumpr.pdf</w:t>
        </w:r>
      </w:hyperlink>
      <w:r>
        <w:rPr>
          <w:lang w:val="lv-LV"/>
        </w:rPr>
        <w:t xml:space="preserve"> </w:t>
      </w:r>
    </w:p>
  </w:footnote>
  <w:footnote w:id="19">
    <w:p w:rsidR="00D2070A" w:rsidRPr="00173DB8" w:rsidRDefault="00D2070A" w:rsidP="00C966A8">
      <w:pPr>
        <w:pStyle w:val="FootnoteText"/>
        <w:rPr>
          <w:lang w:val="lv-LV"/>
        </w:rPr>
      </w:pPr>
      <w:r>
        <w:rPr>
          <w:rStyle w:val="FootnoteReference"/>
        </w:rPr>
        <w:footnoteRef/>
      </w:r>
      <w:r w:rsidRPr="00173DB8">
        <w:rPr>
          <w:lang w:val="lv-LV"/>
        </w:rPr>
        <w:t xml:space="preserve"> </w:t>
      </w:r>
      <w:hyperlink r:id="rId12" w:history="1">
        <w:r w:rsidRPr="00173DB8">
          <w:rPr>
            <w:rStyle w:val="Hyperlink"/>
            <w:rFonts w:ascii="Times New Roman" w:hAnsi="Times New Roman" w:cs="Times New Roman"/>
            <w:lang w:val="lv-LV"/>
          </w:rPr>
          <w:t>http://www.vm.gov.lv/images/userfiles/Sabiedribas%20lidzdaliba/protokols_nr_1_13_05_2015.pdf</w:t>
        </w:r>
      </w:hyperlink>
      <w:r>
        <w:rPr>
          <w:lang w:val="lv-LV"/>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8915"/>
      <w:docPartObj>
        <w:docPartGallery w:val="Page Numbers (Top of Page)"/>
        <w:docPartUnique/>
      </w:docPartObj>
    </w:sdtPr>
    <w:sdtEndPr>
      <w:rPr>
        <w:rFonts w:ascii="Times New Roman" w:hAnsi="Times New Roman" w:cs="Times New Roman"/>
        <w:sz w:val="24"/>
        <w:szCs w:val="24"/>
      </w:rPr>
    </w:sdtEndPr>
    <w:sdtContent>
      <w:p w:rsidR="00D2070A" w:rsidRPr="008B54F5" w:rsidRDefault="002B1FF6">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00D2070A"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FE0001">
          <w:rPr>
            <w:rFonts w:ascii="Times New Roman" w:hAnsi="Times New Roman" w:cs="Times New Roman"/>
            <w:noProof/>
            <w:sz w:val="24"/>
            <w:szCs w:val="24"/>
          </w:rPr>
          <w:t>28</w:t>
        </w:r>
        <w:r w:rsidRPr="008B54F5">
          <w:rPr>
            <w:rFonts w:ascii="Times New Roman" w:hAnsi="Times New Roman" w:cs="Times New Roman"/>
            <w:sz w:val="24"/>
            <w:szCs w:val="24"/>
          </w:rPr>
          <w:fldChar w:fldCharType="end"/>
        </w:r>
      </w:p>
    </w:sdtContent>
  </w:sdt>
  <w:p w:rsidR="00D2070A" w:rsidRDefault="00D20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0A" w:rsidRDefault="00D2070A">
    <w:pPr>
      <w:pStyle w:val="Header"/>
      <w:jc w:val="center"/>
    </w:pPr>
  </w:p>
  <w:p w:rsidR="00D2070A" w:rsidRDefault="00D20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0D2"/>
    <w:multiLevelType w:val="hybridMultilevel"/>
    <w:tmpl w:val="A31844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EB905A9"/>
    <w:multiLevelType w:val="multilevel"/>
    <w:tmpl w:val="C5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4DA6"/>
    <w:multiLevelType w:val="multilevel"/>
    <w:tmpl w:val="3ACE4E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91ABA"/>
    <w:multiLevelType w:val="hybridMultilevel"/>
    <w:tmpl w:val="FBD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E423A"/>
    <w:multiLevelType w:val="hybridMultilevel"/>
    <w:tmpl w:val="69B8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50145"/>
    <w:multiLevelType w:val="hybridMultilevel"/>
    <w:tmpl w:val="E91A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5D22CFC"/>
    <w:multiLevelType w:val="hybridMultilevel"/>
    <w:tmpl w:val="096255BC"/>
    <w:lvl w:ilvl="0" w:tplc="17D6B868">
      <w:start w:val="2"/>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nsid w:val="720B5F25"/>
    <w:multiLevelType w:val="hybridMultilevel"/>
    <w:tmpl w:val="F18C1168"/>
    <w:lvl w:ilvl="0" w:tplc="B2F6FF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D730E"/>
    <w:multiLevelType w:val="hybridMultilevel"/>
    <w:tmpl w:val="41B0712E"/>
    <w:lvl w:ilvl="0" w:tplc="4C70C418">
      <w:start w:val="1"/>
      <w:numFmt w:val="decimal"/>
      <w:lvlText w:val="%1)"/>
      <w:lvlJc w:val="left"/>
      <w:pPr>
        <w:ind w:left="810" w:hanging="450"/>
      </w:pPr>
      <w:rPr>
        <w:rFonts w:ascii="Times New Roman" w:hAnsi="Times New Roman" w:cstheme="minorBid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2"/>
  </w:num>
  <w:num w:numId="9">
    <w:abstractNumId w:val="1"/>
  </w:num>
  <w:num w:numId="10">
    <w:abstractNumId w:val="4"/>
  </w:num>
  <w:num w:numId="11">
    <w:abstractNumId w:val="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drawingGridHorizontalSpacing w:val="110"/>
  <w:displayHorizontalDrawingGridEvery w:val="2"/>
  <w:displayVerticalDrawingGridEvery w:val="2"/>
  <w:characterSpacingControl w:val="doNotCompress"/>
  <w:hdrShapeDefaults>
    <o:shapedefaults v:ext="edit" spidmax="189441"/>
  </w:hdrShapeDefaults>
  <w:footnotePr>
    <w:footnote w:id="-1"/>
    <w:footnote w:id="0"/>
  </w:footnotePr>
  <w:endnotePr>
    <w:endnote w:id="-1"/>
    <w:endnote w:id="0"/>
  </w:endnotePr>
  <w:compat>
    <w:useFELayout/>
  </w:compat>
  <w:rsids>
    <w:rsidRoot w:val="00E101BB"/>
    <w:rsid w:val="00000406"/>
    <w:rsid w:val="000005EA"/>
    <w:rsid w:val="000006A0"/>
    <w:rsid w:val="00003B00"/>
    <w:rsid w:val="0000401B"/>
    <w:rsid w:val="00004CC7"/>
    <w:rsid w:val="00005E57"/>
    <w:rsid w:val="0000719D"/>
    <w:rsid w:val="000124F2"/>
    <w:rsid w:val="00012D85"/>
    <w:rsid w:val="000132FE"/>
    <w:rsid w:val="00014407"/>
    <w:rsid w:val="00014978"/>
    <w:rsid w:val="000149C9"/>
    <w:rsid w:val="000159D7"/>
    <w:rsid w:val="00020540"/>
    <w:rsid w:val="00020E21"/>
    <w:rsid w:val="00021576"/>
    <w:rsid w:val="00023E39"/>
    <w:rsid w:val="00026CA9"/>
    <w:rsid w:val="0002755D"/>
    <w:rsid w:val="0002780A"/>
    <w:rsid w:val="000278BE"/>
    <w:rsid w:val="000310A6"/>
    <w:rsid w:val="00031318"/>
    <w:rsid w:val="00031F85"/>
    <w:rsid w:val="0005095D"/>
    <w:rsid w:val="00051392"/>
    <w:rsid w:val="000513B6"/>
    <w:rsid w:val="00052ACB"/>
    <w:rsid w:val="00053919"/>
    <w:rsid w:val="0005462F"/>
    <w:rsid w:val="000551AC"/>
    <w:rsid w:val="00055D4F"/>
    <w:rsid w:val="00057B46"/>
    <w:rsid w:val="00061A9F"/>
    <w:rsid w:val="00063289"/>
    <w:rsid w:val="00064AA8"/>
    <w:rsid w:val="0006543F"/>
    <w:rsid w:val="000673E8"/>
    <w:rsid w:val="00067EF1"/>
    <w:rsid w:val="000700CC"/>
    <w:rsid w:val="0007055F"/>
    <w:rsid w:val="000709FD"/>
    <w:rsid w:val="000711CF"/>
    <w:rsid w:val="00071617"/>
    <w:rsid w:val="000730AD"/>
    <w:rsid w:val="00074D7B"/>
    <w:rsid w:val="0007569F"/>
    <w:rsid w:val="000777C2"/>
    <w:rsid w:val="00077E2A"/>
    <w:rsid w:val="00080947"/>
    <w:rsid w:val="000813A7"/>
    <w:rsid w:val="0008300B"/>
    <w:rsid w:val="00084A47"/>
    <w:rsid w:val="00085593"/>
    <w:rsid w:val="00092CA8"/>
    <w:rsid w:val="000937A3"/>
    <w:rsid w:val="00093A74"/>
    <w:rsid w:val="00094100"/>
    <w:rsid w:val="000949C4"/>
    <w:rsid w:val="0009662C"/>
    <w:rsid w:val="00096A76"/>
    <w:rsid w:val="000A0660"/>
    <w:rsid w:val="000A24C8"/>
    <w:rsid w:val="000A3A97"/>
    <w:rsid w:val="000A3A9A"/>
    <w:rsid w:val="000A5B4D"/>
    <w:rsid w:val="000B108C"/>
    <w:rsid w:val="000B1885"/>
    <w:rsid w:val="000B3547"/>
    <w:rsid w:val="000B38EA"/>
    <w:rsid w:val="000C0A87"/>
    <w:rsid w:val="000C0EA2"/>
    <w:rsid w:val="000C14E8"/>
    <w:rsid w:val="000C1D4A"/>
    <w:rsid w:val="000C3535"/>
    <w:rsid w:val="000C64EB"/>
    <w:rsid w:val="000D2549"/>
    <w:rsid w:val="000D31AD"/>
    <w:rsid w:val="000D3EF4"/>
    <w:rsid w:val="000D49C3"/>
    <w:rsid w:val="000D5F44"/>
    <w:rsid w:val="000E12B9"/>
    <w:rsid w:val="000E14B4"/>
    <w:rsid w:val="000E1A48"/>
    <w:rsid w:val="000E2E38"/>
    <w:rsid w:val="000E3ED5"/>
    <w:rsid w:val="000E43DD"/>
    <w:rsid w:val="000E619E"/>
    <w:rsid w:val="000E65E6"/>
    <w:rsid w:val="000E73B7"/>
    <w:rsid w:val="000E76A5"/>
    <w:rsid w:val="000F27B0"/>
    <w:rsid w:val="000F4BFE"/>
    <w:rsid w:val="0010101B"/>
    <w:rsid w:val="00102874"/>
    <w:rsid w:val="001028EB"/>
    <w:rsid w:val="00103BA0"/>
    <w:rsid w:val="001046AE"/>
    <w:rsid w:val="00104BDE"/>
    <w:rsid w:val="00107416"/>
    <w:rsid w:val="00111159"/>
    <w:rsid w:val="00111282"/>
    <w:rsid w:val="0011237A"/>
    <w:rsid w:val="00112C0A"/>
    <w:rsid w:val="001135CD"/>
    <w:rsid w:val="001136D6"/>
    <w:rsid w:val="00122396"/>
    <w:rsid w:val="00123645"/>
    <w:rsid w:val="0012393F"/>
    <w:rsid w:val="00123C55"/>
    <w:rsid w:val="001276F6"/>
    <w:rsid w:val="001278DF"/>
    <w:rsid w:val="00130116"/>
    <w:rsid w:val="00130D9D"/>
    <w:rsid w:val="001337B8"/>
    <w:rsid w:val="00133BA3"/>
    <w:rsid w:val="00134534"/>
    <w:rsid w:val="00135691"/>
    <w:rsid w:val="00140B3F"/>
    <w:rsid w:val="001416AC"/>
    <w:rsid w:val="001418D6"/>
    <w:rsid w:val="00143BC4"/>
    <w:rsid w:val="0014419E"/>
    <w:rsid w:val="001457BB"/>
    <w:rsid w:val="00147AA4"/>
    <w:rsid w:val="00151E8C"/>
    <w:rsid w:val="00152A67"/>
    <w:rsid w:val="001534BB"/>
    <w:rsid w:val="00153B8E"/>
    <w:rsid w:val="0015484B"/>
    <w:rsid w:val="00156600"/>
    <w:rsid w:val="0016013B"/>
    <w:rsid w:val="00160195"/>
    <w:rsid w:val="00162067"/>
    <w:rsid w:val="00163123"/>
    <w:rsid w:val="00165572"/>
    <w:rsid w:val="0016568C"/>
    <w:rsid w:val="001657F3"/>
    <w:rsid w:val="0016713E"/>
    <w:rsid w:val="00170626"/>
    <w:rsid w:val="00171482"/>
    <w:rsid w:val="001722BF"/>
    <w:rsid w:val="00172FB9"/>
    <w:rsid w:val="0017347C"/>
    <w:rsid w:val="00173DB8"/>
    <w:rsid w:val="001765C9"/>
    <w:rsid w:val="0017734C"/>
    <w:rsid w:val="00182051"/>
    <w:rsid w:val="00182AF1"/>
    <w:rsid w:val="00184DFB"/>
    <w:rsid w:val="00187431"/>
    <w:rsid w:val="00187522"/>
    <w:rsid w:val="001953C8"/>
    <w:rsid w:val="001A1918"/>
    <w:rsid w:val="001A1CA8"/>
    <w:rsid w:val="001A406F"/>
    <w:rsid w:val="001A6CF9"/>
    <w:rsid w:val="001A7A6B"/>
    <w:rsid w:val="001B0FF6"/>
    <w:rsid w:val="001B1EA7"/>
    <w:rsid w:val="001B2504"/>
    <w:rsid w:val="001B3285"/>
    <w:rsid w:val="001B683F"/>
    <w:rsid w:val="001B74B6"/>
    <w:rsid w:val="001B7CC9"/>
    <w:rsid w:val="001C23C0"/>
    <w:rsid w:val="001C270F"/>
    <w:rsid w:val="001C564C"/>
    <w:rsid w:val="001C596B"/>
    <w:rsid w:val="001C7FB9"/>
    <w:rsid w:val="001D12AC"/>
    <w:rsid w:val="001D5245"/>
    <w:rsid w:val="001D616F"/>
    <w:rsid w:val="001D68F4"/>
    <w:rsid w:val="001D6F2B"/>
    <w:rsid w:val="001D706F"/>
    <w:rsid w:val="001E106D"/>
    <w:rsid w:val="001E1C1B"/>
    <w:rsid w:val="001E1DFD"/>
    <w:rsid w:val="001E20CA"/>
    <w:rsid w:val="001E3EE7"/>
    <w:rsid w:val="001E64BD"/>
    <w:rsid w:val="001E7E04"/>
    <w:rsid w:val="001F3610"/>
    <w:rsid w:val="001F3F27"/>
    <w:rsid w:val="001F416B"/>
    <w:rsid w:val="001F487C"/>
    <w:rsid w:val="001F55DE"/>
    <w:rsid w:val="001F5CE7"/>
    <w:rsid w:val="001F5FA8"/>
    <w:rsid w:val="002010B7"/>
    <w:rsid w:val="002017E1"/>
    <w:rsid w:val="00204A68"/>
    <w:rsid w:val="00205E50"/>
    <w:rsid w:val="002068FB"/>
    <w:rsid w:val="0021365B"/>
    <w:rsid w:val="00213B9C"/>
    <w:rsid w:val="00215078"/>
    <w:rsid w:val="00215088"/>
    <w:rsid w:val="002168FC"/>
    <w:rsid w:val="002201AE"/>
    <w:rsid w:val="00222983"/>
    <w:rsid w:val="002229C0"/>
    <w:rsid w:val="00224717"/>
    <w:rsid w:val="00226055"/>
    <w:rsid w:val="00226B72"/>
    <w:rsid w:val="00232C95"/>
    <w:rsid w:val="00234CE1"/>
    <w:rsid w:val="00235988"/>
    <w:rsid w:val="002407B5"/>
    <w:rsid w:val="00240AF2"/>
    <w:rsid w:val="00240DB7"/>
    <w:rsid w:val="0024265A"/>
    <w:rsid w:val="00243F63"/>
    <w:rsid w:val="00244422"/>
    <w:rsid w:val="00245B38"/>
    <w:rsid w:val="00247EA6"/>
    <w:rsid w:val="0025198B"/>
    <w:rsid w:val="00252716"/>
    <w:rsid w:val="00256917"/>
    <w:rsid w:val="00257D96"/>
    <w:rsid w:val="00262A3B"/>
    <w:rsid w:val="00263144"/>
    <w:rsid w:val="00265857"/>
    <w:rsid w:val="00266126"/>
    <w:rsid w:val="0026612D"/>
    <w:rsid w:val="002664B0"/>
    <w:rsid w:val="00266E44"/>
    <w:rsid w:val="002678FB"/>
    <w:rsid w:val="0027009B"/>
    <w:rsid w:val="0027018C"/>
    <w:rsid w:val="00273C4A"/>
    <w:rsid w:val="00273F02"/>
    <w:rsid w:val="00275870"/>
    <w:rsid w:val="00275F41"/>
    <w:rsid w:val="00276981"/>
    <w:rsid w:val="002772A3"/>
    <w:rsid w:val="00277318"/>
    <w:rsid w:val="0028150E"/>
    <w:rsid w:val="0028240F"/>
    <w:rsid w:val="00282F3A"/>
    <w:rsid w:val="0028608B"/>
    <w:rsid w:val="0028626B"/>
    <w:rsid w:val="002863B6"/>
    <w:rsid w:val="00287716"/>
    <w:rsid w:val="002929AA"/>
    <w:rsid w:val="00293DAF"/>
    <w:rsid w:val="002969B8"/>
    <w:rsid w:val="002A00DC"/>
    <w:rsid w:val="002A0702"/>
    <w:rsid w:val="002A3337"/>
    <w:rsid w:val="002A4B4A"/>
    <w:rsid w:val="002A6324"/>
    <w:rsid w:val="002A6B0C"/>
    <w:rsid w:val="002B1DB6"/>
    <w:rsid w:val="002B1FF6"/>
    <w:rsid w:val="002B33E0"/>
    <w:rsid w:val="002B3E19"/>
    <w:rsid w:val="002B48DC"/>
    <w:rsid w:val="002B6059"/>
    <w:rsid w:val="002C12F8"/>
    <w:rsid w:val="002C2339"/>
    <w:rsid w:val="002C28A6"/>
    <w:rsid w:val="002C381A"/>
    <w:rsid w:val="002C506D"/>
    <w:rsid w:val="002C5D0E"/>
    <w:rsid w:val="002C607F"/>
    <w:rsid w:val="002D6268"/>
    <w:rsid w:val="002E1517"/>
    <w:rsid w:val="002E39A9"/>
    <w:rsid w:val="002E44CA"/>
    <w:rsid w:val="002E538B"/>
    <w:rsid w:val="002E61CF"/>
    <w:rsid w:val="002F0BB3"/>
    <w:rsid w:val="002F1CAA"/>
    <w:rsid w:val="002F50B1"/>
    <w:rsid w:val="002F75C7"/>
    <w:rsid w:val="0030161A"/>
    <w:rsid w:val="00304826"/>
    <w:rsid w:val="003048CB"/>
    <w:rsid w:val="0030617A"/>
    <w:rsid w:val="00306E78"/>
    <w:rsid w:val="00310BAD"/>
    <w:rsid w:val="0031240A"/>
    <w:rsid w:val="00314E05"/>
    <w:rsid w:val="00315F1E"/>
    <w:rsid w:val="0032028F"/>
    <w:rsid w:val="00327691"/>
    <w:rsid w:val="003326D2"/>
    <w:rsid w:val="003335AC"/>
    <w:rsid w:val="00335FCD"/>
    <w:rsid w:val="00336B7B"/>
    <w:rsid w:val="0033782A"/>
    <w:rsid w:val="0034104A"/>
    <w:rsid w:val="00341E3C"/>
    <w:rsid w:val="003426DE"/>
    <w:rsid w:val="00343436"/>
    <w:rsid w:val="00343E96"/>
    <w:rsid w:val="00343F8C"/>
    <w:rsid w:val="00344560"/>
    <w:rsid w:val="003446A0"/>
    <w:rsid w:val="00344A03"/>
    <w:rsid w:val="00345516"/>
    <w:rsid w:val="00345C58"/>
    <w:rsid w:val="0034669A"/>
    <w:rsid w:val="00346EAF"/>
    <w:rsid w:val="0034709A"/>
    <w:rsid w:val="0034781D"/>
    <w:rsid w:val="003504CE"/>
    <w:rsid w:val="0035123F"/>
    <w:rsid w:val="00353E77"/>
    <w:rsid w:val="00353F44"/>
    <w:rsid w:val="003550B9"/>
    <w:rsid w:val="00355F82"/>
    <w:rsid w:val="00357F57"/>
    <w:rsid w:val="00360008"/>
    <w:rsid w:val="0036018D"/>
    <w:rsid w:val="003630FE"/>
    <w:rsid w:val="003648C0"/>
    <w:rsid w:val="003654B0"/>
    <w:rsid w:val="0036760F"/>
    <w:rsid w:val="00367B82"/>
    <w:rsid w:val="00367D92"/>
    <w:rsid w:val="00370F5A"/>
    <w:rsid w:val="00371E1B"/>
    <w:rsid w:val="00373767"/>
    <w:rsid w:val="003740BF"/>
    <w:rsid w:val="0037518A"/>
    <w:rsid w:val="003762F2"/>
    <w:rsid w:val="0037657C"/>
    <w:rsid w:val="00380A35"/>
    <w:rsid w:val="00380BAC"/>
    <w:rsid w:val="00382C8C"/>
    <w:rsid w:val="00386CB8"/>
    <w:rsid w:val="003905B1"/>
    <w:rsid w:val="00393719"/>
    <w:rsid w:val="003949DE"/>
    <w:rsid w:val="0039682D"/>
    <w:rsid w:val="00397D36"/>
    <w:rsid w:val="003A118E"/>
    <w:rsid w:val="003A2D56"/>
    <w:rsid w:val="003A3A9F"/>
    <w:rsid w:val="003A3B64"/>
    <w:rsid w:val="003A3C01"/>
    <w:rsid w:val="003A47AC"/>
    <w:rsid w:val="003A5B9E"/>
    <w:rsid w:val="003A746B"/>
    <w:rsid w:val="003B46AD"/>
    <w:rsid w:val="003B47FC"/>
    <w:rsid w:val="003B4ED1"/>
    <w:rsid w:val="003B51BC"/>
    <w:rsid w:val="003B633A"/>
    <w:rsid w:val="003B658D"/>
    <w:rsid w:val="003B715F"/>
    <w:rsid w:val="003B71BC"/>
    <w:rsid w:val="003B7613"/>
    <w:rsid w:val="003B7ADA"/>
    <w:rsid w:val="003B7EDE"/>
    <w:rsid w:val="003C0306"/>
    <w:rsid w:val="003C0349"/>
    <w:rsid w:val="003C26CF"/>
    <w:rsid w:val="003C283F"/>
    <w:rsid w:val="003C308A"/>
    <w:rsid w:val="003C678C"/>
    <w:rsid w:val="003C760F"/>
    <w:rsid w:val="003D0265"/>
    <w:rsid w:val="003D09BE"/>
    <w:rsid w:val="003D33C8"/>
    <w:rsid w:val="003D3692"/>
    <w:rsid w:val="003D46B7"/>
    <w:rsid w:val="003D5019"/>
    <w:rsid w:val="003D52C9"/>
    <w:rsid w:val="003D5544"/>
    <w:rsid w:val="003D5FA0"/>
    <w:rsid w:val="003D71DC"/>
    <w:rsid w:val="003E2CDC"/>
    <w:rsid w:val="003E32BF"/>
    <w:rsid w:val="003E34DD"/>
    <w:rsid w:val="003E3747"/>
    <w:rsid w:val="003E394C"/>
    <w:rsid w:val="003E5684"/>
    <w:rsid w:val="003F4031"/>
    <w:rsid w:val="003F41DD"/>
    <w:rsid w:val="003F55C9"/>
    <w:rsid w:val="003F6609"/>
    <w:rsid w:val="003F69DF"/>
    <w:rsid w:val="003F6C07"/>
    <w:rsid w:val="004011AF"/>
    <w:rsid w:val="0040474E"/>
    <w:rsid w:val="00404A5B"/>
    <w:rsid w:val="00405DA1"/>
    <w:rsid w:val="00410E92"/>
    <w:rsid w:val="00410EFA"/>
    <w:rsid w:val="00410F35"/>
    <w:rsid w:val="004112E3"/>
    <w:rsid w:val="00411369"/>
    <w:rsid w:val="004129BD"/>
    <w:rsid w:val="004147DC"/>
    <w:rsid w:val="00423980"/>
    <w:rsid w:val="00423EE6"/>
    <w:rsid w:val="00423F07"/>
    <w:rsid w:val="00424D37"/>
    <w:rsid w:val="004253FF"/>
    <w:rsid w:val="00426C76"/>
    <w:rsid w:val="0043053C"/>
    <w:rsid w:val="00432B27"/>
    <w:rsid w:val="00434D4D"/>
    <w:rsid w:val="0043543E"/>
    <w:rsid w:val="00436099"/>
    <w:rsid w:val="00437B17"/>
    <w:rsid w:val="004412FE"/>
    <w:rsid w:val="00445056"/>
    <w:rsid w:val="004512C8"/>
    <w:rsid w:val="004547D6"/>
    <w:rsid w:val="004569D8"/>
    <w:rsid w:val="00461320"/>
    <w:rsid w:val="00461DC4"/>
    <w:rsid w:val="00464561"/>
    <w:rsid w:val="00464D5A"/>
    <w:rsid w:val="00467867"/>
    <w:rsid w:val="00467E33"/>
    <w:rsid w:val="004724EC"/>
    <w:rsid w:val="004755B0"/>
    <w:rsid w:val="004765CA"/>
    <w:rsid w:val="004803DD"/>
    <w:rsid w:val="00481B7D"/>
    <w:rsid w:val="00481D0D"/>
    <w:rsid w:val="004837BA"/>
    <w:rsid w:val="00483A13"/>
    <w:rsid w:val="0048515F"/>
    <w:rsid w:val="004869BD"/>
    <w:rsid w:val="00487E7C"/>
    <w:rsid w:val="004901D5"/>
    <w:rsid w:val="00490AFC"/>
    <w:rsid w:val="0049418B"/>
    <w:rsid w:val="00494D06"/>
    <w:rsid w:val="004958F5"/>
    <w:rsid w:val="00497A0A"/>
    <w:rsid w:val="00497B92"/>
    <w:rsid w:val="004A0328"/>
    <w:rsid w:val="004B138B"/>
    <w:rsid w:val="004B2E53"/>
    <w:rsid w:val="004B394B"/>
    <w:rsid w:val="004B3A86"/>
    <w:rsid w:val="004B3B89"/>
    <w:rsid w:val="004B436A"/>
    <w:rsid w:val="004B454B"/>
    <w:rsid w:val="004B6015"/>
    <w:rsid w:val="004B632A"/>
    <w:rsid w:val="004B73AB"/>
    <w:rsid w:val="004B7631"/>
    <w:rsid w:val="004B763D"/>
    <w:rsid w:val="004C2715"/>
    <w:rsid w:val="004C505D"/>
    <w:rsid w:val="004C604A"/>
    <w:rsid w:val="004C61E0"/>
    <w:rsid w:val="004C765B"/>
    <w:rsid w:val="004D10F6"/>
    <w:rsid w:val="004D3E98"/>
    <w:rsid w:val="004D40FA"/>
    <w:rsid w:val="004D7641"/>
    <w:rsid w:val="004E09AB"/>
    <w:rsid w:val="004E0B63"/>
    <w:rsid w:val="004E476B"/>
    <w:rsid w:val="004E5686"/>
    <w:rsid w:val="004E61B1"/>
    <w:rsid w:val="004F0D2A"/>
    <w:rsid w:val="004F526E"/>
    <w:rsid w:val="004F6935"/>
    <w:rsid w:val="004F6EE0"/>
    <w:rsid w:val="004F7D37"/>
    <w:rsid w:val="00500640"/>
    <w:rsid w:val="00505371"/>
    <w:rsid w:val="00507DE6"/>
    <w:rsid w:val="00512221"/>
    <w:rsid w:val="0051547E"/>
    <w:rsid w:val="00517046"/>
    <w:rsid w:val="00521985"/>
    <w:rsid w:val="0052216D"/>
    <w:rsid w:val="005229CD"/>
    <w:rsid w:val="00522A08"/>
    <w:rsid w:val="00524471"/>
    <w:rsid w:val="005251A8"/>
    <w:rsid w:val="00526BC5"/>
    <w:rsid w:val="00532B7F"/>
    <w:rsid w:val="00532F16"/>
    <w:rsid w:val="00536486"/>
    <w:rsid w:val="00537B93"/>
    <w:rsid w:val="00542951"/>
    <w:rsid w:val="0054515C"/>
    <w:rsid w:val="00546F96"/>
    <w:rsid w:val="00551FA3"/>
    <w:rsid w:val="00552680"/>
    <w:rsid w:val="00552F3D"/>
    <w:rsid w:val="00554286"/>
    <w:rsid w:val="00556932"/>
    <w:rsid w:val="00557319"/>
    <w:rsid w:val="00557324"/>
    <w:rsid w:val="00560A7D"/>
    <w:rsid w:val="00563A14"/>
    <w:rsid w:val="005659DE"/>
    <w:rsid w:val="00567129"/>
    <w:rsid w:val="00567E18"/>
    <w:rsid w:val="0057032D"/>
    <w:rsid w:val="00572280"/>
    <w:rsid w:val="00572B92"/>
    <w:rsid w:val="00572E29"/>
    <w:rsid w:val="005742E5"/>
    <w:rsid w:val="00576C30"/>
    <w:rsid w:val="00577368"/>
    <w:rsid w:val="00577BA9"/>
    <w:rsid w:val="005838EB"/>
    <w:rsid w:val="00584130"/>
    <w:rsid w:val="00585FA8"/>
    <w:rsid w:val="00590A17"/>
    <w:rsid w:val="005913BD"/>
    <w:rsid w:val="00591D89"/>
    <w:rsid w:val="00592000"/>
    <w:rsid w:val="00592DCD"/>
    <w:rsid w:val="0059392F"/>
    <w:rsid w:val="0059418C"/>
    <w:rsid w:val="00595B3C"/>
    <w:rsid w:val="005965D7"/>
    <w:rsid w:val="00596853"/>
    <w:rsid w:val="0059758C"/>
    <w:rsid w:val="005A1880"/>
    <w:rsid w:val="005A206E"/>
    <w:rsid w:val="005A408B"/>
    <w:rsid w:val="005A4A91"/>
    <w:rsid w:val="005A61B5"/>
    <w:rsid w:val="005A7ABC"/>
    <w:rsid w:val="005B0350"/>
    <w:rsid w:val="005B5D1A"/>
    <w:rsid w:val="005C0A33"/>
    <w:rsid w:val="005C16A9"/>
    <w:rsid w:val="005C2E03"/>
    <w:rsid w:val="005C6009"/>
    <w:rsid w:val="005C6FF0"/>
    <w:rsid w:val="005C7AA3"/>
    <w:rsid w:val="005D252B"/>
    <w:rsid w:val="005D46C2"/>
    <w:rsid w:val="005D6A48"/>
    <w:rsid w:val="005D7249"/>
    <w:rsid w:val="005D75D1"/>
    <w:rsid w:val="005E1898"/>
    <w:rsid w:val="005E1DDB"/>
    <w:rsid w:val="005E2F92"/>
    <w:rsid w:val="005E3A57"/>
    <w:rsid w:val="005E424C"/>
    <w:rsid w:val="005E4DC5"/>
    <w:rsid w:val="005E6D2F"/>
    <w:rsid w:val="005E7C66"/>
    <w:rsid w:val="005F0BE2"/>
    <w:rsid w:val="005F6AA3"/>
    <w:rsid w:val="005F74A8"/>
    <w:rsid w:val="00603EAC"/>
    <w:rsid w:val="00603F60"/>
    <w:rsid w:val="00606E64"/>
    <w:rsid w:val="00610894"/>
    <w:rsid w:val="00610ED9"/>
    <w:rsid w:val="006165F6"/>
    <w:rsid w:val="00622AEA"/>
    <w:rsid w:val="00624E21"/>
    <w:rsid w:val="00625830"/>
    <w:rsid w:val="00625A6C"/>
    <w:rsid w:val="00627BF3"/>
    <w:rsid w:val="00627F40"/>
    <w:rsid w:val="0063093F"/>
    <w:rsid w:val="00631E07"/>
    <w:rsid w:val="00631FB9"/>
    <w:rsid w:val="00632207"/>
    <w:rsid w:val="00632C0A"/>
    <w:rsid w:val="00633894"/>
    <w:rsid w:val="006338A1"/>
    <w:rsid w:val="00633A1C"/>
    <w:rsid w:val="006347DC"/>
    <w:rsid w:val="00634CD5"/>
    <w:rsid w:val="0063522A"/>
    <w:rsid w:val="00635F53"/>
    <w:rsid w:val="0063645C"/>
    <w:rsid w:val="00637DB3"/>
    <w:rsid w:val="0064104A"/>
    <w:rsid w:val="00641CBE"/>
    <w:rsid w:val="006436A2"/>
    <w:rsid w:val="00643825"/>
    <w:rsid w:val="00646AA3"/>
    <w:rsid w:val="00647138"/>
    <w:rsid w:val="006502B3"/>
    <w:rsid w:val="006508C1"/>
    <w:rsid w:val="006509CD"/>
    <w:rsid w:val="006551F0"/>
    <w:rsid w:val="0065629A"/>
    <w:rsid w:val="00657F95"/>
    <w:rsid w:val="00660093"/>
    <w:rsid w:val="00660604"/>
    <w:rsid w:val="00664A25"/>
    <w:rsid w:val="00664C17"/>
    <w:rsid w:val="006652DE"/>
    <w:rsid w:val="006708AF"/>
    <w:rsid w:val="00672690"/>
    <w:rsid w:val="00672931"/>
    <w:rsid w:val="00673602"/>
    <w:rsid w:val="00673944"/>
    <w:rsid w:val="00673B99"/>
    <w:rsid w:val="00674AA7"/>
    <w:rsid w:val="006758AC"/>
    <w:rsid w:val="00675EFF"/>
    <w:rsid w:val="00676B49"/>
    <w:rsid w:val="00677751"/>
    <w:rsid w:val="00680A3F"/>
    <w:rsid w:val="00680E28"/>
    <w:rsid w:val="006853CC"/>
    <w:rsid w:val="00685742"/>
    <w:rsid w:val="00692D79"/>
    <w:rsid w:val="00697F8D"/>
    <w:rsid w:val="006A16F2"/>
    <w:rsid w:val="006A3B5B"/>
    <w:rsid w:val="006A593C"/>
    <w:rsid w:val="006A6A7F"/>
    <w:rsid w:val="006B0682"/>
    <w:rsid w:val="006B21B6"/>
    <w:rsid w:val="006C1DCB"/>
    <w:rsid w:val="006C25D7"/>
    <w:rsid w:val="006C4C33"/>
    <w:rsid w:val="006C547C"/>
    <w:rsid w:val="006D109B"/>
    <w:rsid w:val="006D28CC"/>
    <w:rsid w:val="006D2E3F"/>
    <w:rsid w:val="006D3C7F"/>
    <w:rsid w:val="006D4E15"/>
    <w:rsid w:val="006D6881"/>
    <w:rsid w:val="006D6E1B"/>
    <w:rsid w:val="006D75EF"/>
    <w:rsid w:val="006E1A4D"/>
    <w:rsid w:val="006E2135"/>
    <w:rsid w:val="006E481F"/>
    <w:rsid w:val="006E52A8"/>
    <w:rsid w:val="006E67DC"/>
    <w:rsid w:val="006E79A9"/>
    <w:rsid w:val="006F0CDA"/>
    <w:rsid w:val="006F1956"/>
    <w:rsid w:val="006F1BFB"/>
    <w:rsid w:val="006F5BF2"/>
    <w:rsid w:val="006F64D6"/>
    <w:rsid w:val="006F76A8"/>
    <w:rsid w:val="006F7745"/>
    <w:rsid w:val="00700A97"/>
    <w:rsid w:val="007029FA"/>
    <w:rsid w:val="00703F74"/>
    <w:rsid w:val="00705EC9"/>
    <w:rsid w:val="007064A7"/>
    <w:rsid w:val="0070795F"/>
    <w:rsid w:val="00710153"/>
    <w:rsid w:val="00710202"/>
    <w:rsid w:val="007116CB"/>
    <w:rsid w:val="00713126"/>
    <w:rsid w:val="00715007"/>
    <w:rsid w:val="007153AC"/>
    <w:rsid w:val="00715831"/>
    <w:rsid w:val="007178C3"/>
    <w:rsid w:val="00717BD7"/>
    <w:rsid w:val="00717D04"/>
    <w:rsid w:val="00721969"/>
    <w:rsid w:val="00722AF1"/>
    <w:rsid w:val="00724D78"/>
    <w:rsid w:val="00731B7A"/>
    <w:rsid w:val="00735447"/>
    <w:rsid w:val="007365FF"/>
    <w:rsid w:val="00742D9A"/>
    <w:rsid w:val="007437AA"/>
    <w:rsid w:val="007438A9"/>
    <w:rsid w:val="00744AE5"/>
    <w:rsid w:val="00745BA5"/>
    <w:rsid w:val="0074666D"/>
    <w:rsid w:val="007475A0"/>
    <w:rsid w:val="00747792"/>
    <w:rsid w:val="0075083E"/>
    <w:rsid w:val="00751389"/>
    <w:rsid w:val="00753267"/>
    <w:rsid w:val="00754600"/>
    <w:rsid w:val="00754CA0"/>
    <w:rsid w:val="00756BC9"/>
    <w:rsid w:val="00757359"/>
    <w:rsid w:val="00757DBB"/>
    <w:rsid w:val="00762AED"/>
    <w:rsid w:val="0076327B"/>
    <w:rsid w:val="00763944"/>
    <w:rsid w:val="00764016"/>
    <w:rsid w:val="0077077C"/>
    <w:rsid w:val="00772140"/>
    <w:rsid w:val="0077438F"/>
    <w:rsid w:val="00774A36"/>
    <w:rsid w:val="00774DB4"/>
    <w:rsid w:val="00774F5F"/>
    <w:rsid w:val="00775E2E"/>
    <w:rsid w:val="00775ED1"/>
    <w:rsid w:val="00776214"/>
    <w:rsid w:val="00777690"/>
    <w:rsid w:val="00783BB5"/>
    <w:rsid w:val="007877FF"/>
    <w:rsid w:val="007904BD"/>
    <w:rsid w:val="007911CC"/>
    <w:rsid w:val="00795275"/>
    <w:rsid w:val="0079537B"/>
    <w:rsid w:val="007A04FE"/>
    <w:rsid w:val="007A09A1"/>
    <w:rsid w:val="007A16B7"/>
    <w:rsid w:val="007A31C1"/>
    <w:rsid w:val="007A4060"/>
    <w:rsid w:val="007A42CE"/>
    <w:rsid w:val="007A4C8C"/>
    <w:rsid w:val="007A4F62"/>
    <w:rsid w:val="007A5310"/>
    <w:rsid w:val="007A5505"/>
    <w:rsid w:val="007B18C6"/>
    <w:rsid w:val="007B2ED0"/>
    <w:rsid w:val="007B4B44"/>
    <w:rsid w:val="007B5273"/>
    <w:rsid w:val="007B53FB"/>
    <w:rsid w:val="007B56B1"/>
    <w:rsid w:val="007B601A"/>
    <w:rsid w:val="007B690F"/>
    <w:rsid w:val="007B75E7"/>
    <w:rsid w:val="007C4854"/>
    <w:rsid w:val="007C4E6D"/>
    <w:rsid w:val="007C683A"/>
    <w:rsid w:val="007D0A53"/>
    <w:rsid w:val="007D11FB"/>
    <w:rsid w:val="007D20A0"/>
    <w:rsid w:val="007D3A94"/>
    <w:rsid w:val="007D4332"/>
    <w:rsid w:val="007D4810"/>
    <w:rsid w:val="007D4D83"/>
    <w:rsid w:val="007E0EFD"/>
    <w:rsid w:val="007E2FF9"/>
    <w:rsid w:val="007E5164"/>
    <w:rsid w:val="007E6B88"/>
    <w:rsid w:val="007E74B7"/>
    <w:rsid w:val="007F0332"/>
    <w:rsid w:val="007F08FE"/>
    <w:rsid w:val="007F10FF"/>
    <w:rsid w:val="007F3D85"/>
    <w:rsid w:val="007F4B5B"/>
    <w:rsid w:val="007F51BB"/>
    <w:rsid w:val="007F7814"/>
    <w:rsid w:val="007F7F3B"/>
    <w:rsid w:val="0080062C"/>
    <w:rsid w:val="00801189"/>
    <w:rsid w:val="00805D5C"/>
    <w:rsid w:val="00806D72"/>
    <w:rsid w:val="00810064"/>
    <w:rsid w:val="00810D9C"/>
    <w:rsid w:val="00811D4E"/>
    <w:rsid w:val="008126B6"/>
    <w:rsid w:val="00813AF1"/>
    <w:rsid w:val="00823EA6"/>
    <w:rsid w:val="00823F03"/>
    <w:rsid w:val="00827735"/>
    <w:rsid w:val="00830E73"/>
    <w:rsid w:val="00831CCD"/>
    <w:rsid w:val="008329FA"/>
    <w:rsid w:val="00834267"/>
    <w:rsid w:val="008351C2"/>
    <w:rsid w:val="00836287"/>
    <w:rsid w:val="00836668"/>
    <w:rsid w:val="00840117"/>
    <w:rsid w:val="00840332"/>
    <w:rsid w:val="00844005"/>
    <w:rsid w:val="008458DD"/>
    <w:rsid w:val="00847F5A"/>
    <w:rsid w:val="00850814"/>
    <w:rsid w:val="00852432"/>
    <w:rsid w:val="00852D64"/>
    <w:rsid w:val="00852DB2"/>
    <w:rsid w:val="008534CA"/>
    <w:rsid w:val="0085355C"/>
    <w:rsid w:val="00854673"/>
    <w:rsid w:val="0085666F"/>
    <w:rsid w:val="00856C7F"/>
    <w:rsid w:val="00860C43"/>
    <w:rsid w:val="00860DCA"/>
    <w:rsid w:val="00861467"/>
    <w:rsid w:val="00862035"/>
    <w:rsid w:val="0086291C"/>
    <w:rsid w:val="00863DA8"/>
    <w:rsid w:val="008653B7"/>
    <w:rsid w:val="00867F72"/>
    <w:rsid w:val="00872795"/>
    <w:rsid w:val="0087318E"/>
    <w:rsid w:val="00873192"/>
    <w:rsid w:val="0087339D"/>
    <w:rsid w:val="0087569B"/>
    <w:rsid w:val="00877990"/>
    <w:rsid w:val="00881A38"/>
    <w:rsid w:val="00881E33"/>
    <w:rsid w:val="00883F6D"/>
    <w:rsid w:val="00884853"/>
    <w:rsid w:val="00885C17"/>
    <w:rsid w:val="0088757C"/>
    <w:rsid w:val="00890B1B"/>
    <w:rsid w:val="00892B19"/>
    <w:rsid w:val="008960A7"/>
    <w:rsid w:val="00896956"/>
    <w:rsid w:val="00897407"/>
    <w:rsid w:val="008A0388"/>
    <w:rsid w:val="008A05E0"/>
    <w:rsid w:val="008A2AB4"/>
    <w:rsid w:val="008A478A"/>
    <w:rsid w:val="008A47E1"/>
    <w:rsid w:val="008A4824"/>
    <w:rsid w:val="008A65B7"/>
    <w:rsid w:val="008A677A"/>
    <w:rsid w:val="008A6932"/>
    <w:rsid w:val="008A762C"/>
    <w:rsid w:val="008B1227"/>
    <w:rsid w:val="008B1704"/>
    <w:rsid w:val="008B54F5"/>
    <w:rsid w:val="008B584B"/>
    <w:rsid w:val="008B7FA9"/>
    <w:rsid w:val="008C0E92"/>
    <w:rsid w:val="008C0F23"/>
    <w:rsid w:val="008C15E6"/>
    <w:rsid w:val="008C2DD7"/>
    <w:rsid w:val="008C3EA3"/>
    <w:rsid w:val="008C50EC"/>
    <w:rsid w:val="008C587F"/>
    <w:rsid w:val="008C6BBE"/>
    <w:rsid w:val="008C7A63"/>
    <w:rsid w:val="008D0621"/>
    <w:rsid w:val="008D39AF"/>
    <w:rsid w:val="008D3A5C"/>
    <w:rsid w:val="008D6185"/>
    <w:rsid w:val="008D6AB0"/>
    <w:rsid w:val="008E61AC"/>
    <w:rsid w:val="008F034C"/>
    <w:rsid w:val="008F0447"/>
    <w:rsid w:val="008F088A"/>
    <w:rsid w:val="008F305A"/>
    <w:rsid w:val="008F480E"/>
    <w:rsid w:val="00900F2F"/>
    <w:rsid w:val="009021CC"/>
    <w:rsid w:val="00903EC5"/>
    <w:rsid w:val="0090606B"/>
    <w:rsid w:val="009068A2"/>
    <w:rsid w:val="009100DB"/>
    <w:rsid w:val="009104A6"/>
    <w:rsid w:val="009106D2"/>
    <w:rsid w:val="0091085E"/>
    <w:rsid w:val="0091337C"/>
    <w:rsid w:val="00914F89"/>
    <w:rsid w:val="00915877"/>
    <w:rsid w:val="009163D0"/>
    <w:rsid w:val="009172CE"/>
    <w:rsid w:val="0091779D"/>
    <w:rsid w:val="00917B79"/>
    <w:rsid w:val="009219D9"/>
    <w:rsid w:val="00923B18"/>
    <w:rsid w:val="00924F85"/>
    <w:rsid w:val="00925FE3"/>
    <w:rsid w:val="009274D3"/>
    <w:rsid w:val="00927AE1"/>
    <w:rsid w:val="00927EB6"/>
    <w:rsid w:val="00930068"/>
    <w:rsid w:val="00930C92"/>
    <w:rsid w:val="0093197F"/>
    <w:rsid w:val="00932629"/>
    <w:rsid w:val="009326F6"/>
    <w:rsid w:val="00933F8A"/>
    <w:rsid w:val="00943159"/>
    <w:rsid w:val="00945F8C"/>
    <w:rsid w:val="00947A17"/>
    <w:rsid w:val="009507C0"/>
    <w:rsid w:val="0095436D"/>
    <w:rsid w:val="00954912"/>
    <w:rsid w:val="0095491C"/>
    <w:rsid w:val="009552F7"/>
    <w:rsid w:val="009568AA"/>
    <w:rsid w:val="009606B5"/>
    <w:rsid w:val="009612CB"/>
    <w:rsid w:val="009618CC"/>
    <w:rsid w:val="00963C12"/>
    <w:rsid w:val="009652A6"/>
    <w:rsid w:val="00966764"/>
    <w:rsid w:val="00966B49"/>
    <w:rsid w:val="00966DD2"/>
    <w:rsid w:val="009678CF"/>
    <w:rsid w:val="00971836"/>
    <w:rsid w:val="009738CF"/>
    <w:rsid w:val="009746B5"/>
    <w:rsid w:val="00974DA7"/>
    <w:rsid w:val="00977DDF"/>
    <w:rsid w:val="00977F50"/>
    <w:rsid w:val="00982298"/>
    <w:rsid w:val="009836B3"/>
    <w:rsid w:val="00985372"/>
    <w:rsid w:val="00985E53"/>
    <w:rsid w:val="009904C7"/>
    <w:rsid w:val="009904D6"/>
    <w:rsid w:val="009921E8"/>
    <w:rsid w:val="00994CF5"/>
    <w:rsid w:val="00994E9B"/>
    <w:rsid w:val="00996E4A"/>
    <w:rsid w:val="009A0510"/>
    <w:rsid w:val="009A18DF"/>
    <w:rsid w:val="009A3CAC"/>
    <w:rsid w:val="009A455E"/>
    <w:rsid w:val="009C0714"/>
    <w:rsid w:val="009C3C0B"/>
    <w:rsid w:val="009C7810"/>
    <w:rsid w:val="009D0140"/>
    <w:rsid w:val="009D131D"/>
    <w:rsid w:val="009D2C11"/>
    <w:rsid w:val="009D4466"/>
    <w:rsid w:val="009D4F15"/>
    <w:rsid w:val="009D507C"/>
    <w:rsid w:val="009D519D"/>
    <w:rsid w:val="009D70FC"/>
    <w:rsid w:val="009D710E"/>
    <w:rsid w:val="009D797F"/>
    <w:rsid w:val="009D7EF8"/>
    <w:rsid w:val="009E0BC4"/>
    <w:rsid w:val="009E53B6"/>
    <w:rsid w:val="009E56F0"/>
    <w:rsid w:val="009E65A8"/>
    <w:rsid w:val="009F08CC"/>
    <w:rsid w:val="009F1A9E"/>
    <w:rsid w:val="009F1BBE"/>
    <w:rsid w:val="009F27CC"/>
    <w:rsid w:val="009F2B02"/>
    <w:rsid w:val="009F43FE"/>
    <w:rsid w:val="009F4417"/>
    <w:rsid w:val="009F4C87"/>
    <w:rsid w:val="009F72BB"/>
    <w:rsid w:val="00A00CE2"/>
    <w:rsid w:val="00A00D57"/>
    <w:rsid w:val="00A01369"/>
    <w:rsid w:val="00A0274E"/>
    <w:rsid w:val="00A03138"/>
    <w:rsid w:val="00A0341D"/>
    <w:rsid w:val="00A0351B"/>
    <w:rsid w:val="00A11056"/>
    <w:rsid w:val="00A11370"/>
    <w:rsid w:val="00A155D0"/>
    <w:rsid w:val="00A20734"/>
    <w:rsid w:val="00A21F16"/>
    <w:rsid w:val="00A23C80"/>
    <w:rsid w:val="00A24790"/>
    <w:rsid w:val="00A25664"/>
    <w:rsid w:val="00A314E4"/>
    <w:rsid w:val="00A31520"/>
    <w:rsid w:val="00A32E53"/>
    <w:rsid w:val="00A407D9"/>
    <w:rsid w:val="00A4122F"/>
    <w:rsid w:val="00A41966"/>
    <w:rsid w:val="00A42958"/>
    <w:rsid w:val="00A44996"/>
    <w:rsid w:val="00A47D8D"/>
    <w:rsid w:val="00A518B9"/>
    <w:rsid w:val="00A519AC"/>
    <w:rsid w:val="00A555F6"/>
    <w:rsid w:val="00A55BF7"/>
    <w:rsid w:val="00A55E5B"/>
    <w:rsid w:val="00A579A4"/>
    <w:rsid w:val="00A6208E"/>
    <w:rsid w:val="00A63E4D"/>
    <w:rsid w:val="00A7154B"/>
    <w:rsid w:val="00A71581"/>
    <w:rsid w:val="00A71CDC"/>
    <w:rsid w:val="00A7384C"/>
    <w:rsid w:val="00A7630E"/>
    <w:rsid w:val="00A76F9E"/>
    <w:rsid w:val="00A838DA"/>
    <w:rsid w:val="00A84E04"/>
    <w:rsid w:val="00A937EE"/>
    <w:rsid w:val="00A94B56"/>
    <w:rsid w:val="00A96210"/>
    <w:rsid w:val="00A96F73"/>
    <w:rsid w:val="00A97858"/>
    <w:rsid w:val="00A97CE9"/>
    <w:rsid w:val="00AA0694"/>
    <w:rsid w:val="00AA2D96"/>
    <w:rsid w:val="00AA3B25"/>
    <w:rsid w:val="00AA455D"/>
    <w:rsid w:val="00AA49C6"/>
    <w:rsid w:val="00AA52D4"/>
    <w:rsid w:val="00AA6522"/>
    <w:rsid w:val="00AA6E28"/>
    <w:rsid w:val="00AA7B36"/>
    <w:rsid w:val="00AB18F3"/>
    <w:rsid w:val="00AB4371"/>
    <w:rsid w:val="00AB4A1B"/>
    <w:rsid w:val="00AB4BE9"/>
    <w:rsid w:val="00AB4E2B"/>
    <w:rsid w:val="00AB56E5"/>
    <w:rsid w:val="00AB7FAE"/>
    <w:rsid w:val="00AC087F"/>
    <w:rsid w:val="00AC31C7"/>
    <w:rsid w:val="00AC3FD4"/>
    <w:rsid w:val="00AC5C1D"/>
    <w:rsid w:val="00AC7EC0"/>
    <w:rsid w:val="00AD18EB"/>
    <w:rsid w:val="00AD1FA1"/>
    <w:rsid w:val="00AD29F0"/>
    <w:rsid w:val="00AD2F1F"/>
    <w:rsid w:val="00AD5951"/>
    <w:rsid w:val="00AD63F1"/>
    <w:rsid w:val="00AD77B1"/>
    <w:rsid w:val="00AE0DE4"/>
    <w:rsid w:val="00AE29E2"/>
    <w:rsid w:val="00AE436C"/>
    <w:rsid w:val="00AE4638"/>
    <w:rsid w:val="00AE505D"/>
    <w:rsid w:val="00AE6E22"/>
    <w:rsid w:val="00AE769C"/>
    <w:rsid w:val="00AF087F"/>
    <w:rsid w:val="00AF282D"/>
    <w:rsid w:val="00AF33DD"/>
    <w:rsid w:val="00AF799E"/>
    <w:rsid w:val="00B000D9"/>
    <w:rsid w:val="00B00C78"/>
    <w:rsid w:val="00B02048"/>
    <w:rsid w:val="00B025AD"/>
    <w:rsid w:val="00B0304F"/>
    <w:rsid w:val="00B04FEE"/>
    <w:rsid w:val="00B06FBD"/>
    <w:rsid w:val="00B12875"/>
    <w:rsid w:val="00B12A6E"/>
    <w:rsid w:val="00B15AFF"/>
    <w:rsid w:val="00B1644F"/>
    <w:rsid w:val="00B173FC"/>
    <w:rsid w:val="00B20414"/>
    <w:rsid w:val="00B2199B"/>
    <w:rsid w:val="00B229DD"/>
    <w:rsid w:val="00B243C0"/>
    <w:rsid w:val="00B250C6"/>
    <w:rsid w:val="00B254DC"/>
    <w:rsid w:val="00B31B1F"/>
    <w:rsid w:val="00B33317"/>
    <w:rsid w:val="00B339DC"/>
    <w:rsid w:val="00B33E45"/>
    <w:rsid w:val="00B37333"/>
    <w:rsid w:val="00B3748D"/>
    <w:rsid w:val="00B400FB"/>
    <w:rsid w:val="00B40EB3"/>
    <w:rsid w:val="00B423E0"/>
    <w:rsid w:val="00B44DB8"/>
    <w:rsid w:val="00B47652"/>
    <w:rsid w:val="00B4797C"/>
    <w:rsid w:val="00B503E6"/>
    <w:rsid w:val="00B50E2B"/>
    <w:rsid w:val="00B517B8"/>
    <w:rsid w:val="00B51D0A"/>
    <w:rsid w:val="00B51F06"/>
    <w:rsid w:val="00B57739"/>
    <w:rsid w:val="00B600D4"/>
    <w:rsid w:val="00B61057"/>
    <w:rsid w:val="00B61994"/>
    <w:rsid w:val="00B63536"/>
    <w:rsid w:val="00B64233"/>
    <w:rsid w:val="00B65090"/>
    <w:rsid w:val="00B6643C"/>
    <w:rsid w:val="00B66B03"/>
    <w:rsid w:val="00B67AE3"/>
    <w:rsid w:val="00B701DA"/>
    <w:rsid w:val="00B7239F"/>
    <w:rsid w:val="00B74389"/>
    <w:rsid w:val="00B75A92"/>
    <w:rsid w:val="00B75C89"/>
    <w:rsid w:val="00B7794E"/>
    <w:rsid w:val="00B8026D"/>
    <w:rsid w:val="00B809FD"/>
    <w:rsid w:val="00B84959"/>
    <w:rsid w:val="00B87DB1"/>
    <w:rsid w:val="00B95C3C"/>
    <w:rsid w:val="00B97714"/>
    <w:rsid w:val="00BA0A4F"/>
    <w:rsid w:val="00BA16A9"/>
    <w:rsid w:val="00BA2D52"/>
    <w:rsid w:val="00BA30E1"/>
    <w:rsid w:val="00BA3B79"/>
    <w:rsid w:val="00BA5962"/>
    <w:rsid w:val="00BA647E"/>
    <w:rsid w:val="00BA67B3"/>
    <w:rsid w:val="00BA6E85"/>
    <w:rsid w:val="00BA70B4"/>
    <w:rsid w:val="00BB1E39"/>
    <w:rsid w:val="00BB25EC"/>
    <w:rsid w:val="00BB3CBA"/>
    <w:rsid w:val="00BB6CF7"/>
    <w:rsid w:val="00BB745C"/>
    <w:rsid w:val="00BB7DEF"/>
    <w:rsid w:val="00BC1CA6"/>
    <w:rsid w:val="00BC247F"/>
    <w:rsid w:val="00BC3B22"/>
    <w:rsid w:val="00BC415A"/>
    <w:rsid w:val="00BC7418"/>
    <w:rsid w:val="00BD1ABF"/>
    <w:rsid w:val="00BD36BB"/>
    <w:rsid w:val="00BD64A8"/>
    <w:rsid w:val="00BD68AA"/>
    <w:rsid w:val="00BE1E2B"/>
    <w:rsid w:val="00BE22D8"/>
    <w:rsid w:val="00BE2DF1"/>
    <w:rsid w:val="00BE3AE6"/>
    <w:rsid w:val="00BE6BAC"/>
    <w:rsid w:val="00BE6E8B"/>
    <w:rsid w:val="00BF14DB"/>
    <w:rsid w:val="00BF33D3"/>
    <w:rsid w:val="00BF364F"/>
    <w:rsid w:val="00BF3D67"/>
    <w:rsid w:val="00BF4C70"/>
    <w:rsid w:val="00BF6CD8"/>
    <w:rsid w:val="00C007E1"/>
    <w:rsid w:val="00C012D2"/>
    <w:rsid w:val="00C01E7D"/>
    <w:rsid w:val="00C020E9"/>
    <w:rsid w:val="00C02797"/>
    <w:rsid w:val="00C02E77"/>
    <w:rsid w:val="00C03438"/>
    <w:rsid w:val="00C04FBF"/>
    <w:rsid w:val="00C058DD"/>
    <w:rsid w:val="00C06443"/>
    <w:rsid w:val="00C071FA"/>
    <w:rsid w:val="00C07B3A"/>
    <w:rsid w:val="00C07CEB"/>
    <w:rsid w:val="00C102FD"/>
    <w:rsid w:val="00C113A0"/>
    <w:rsid w:val="00C11F60"/>
    <w:rsid w:val="00C12658"/>
    <w:rsid w:val="00C17BDE"/>
    <w:rsid w:val="00C20492"/>
    <w:rsid w:val="00C205ED"/>
    <w:rsid w:val="00C23FBC"/>
    <w:rsid w:val="00C24D72"/>
    <w:rsid w:val="00C26A93"/>
    <w:rsid w:val="00C26AC3"/>
    <w:rsid w:val="00C30727"/>
    <w:rsid w:val="00C30F63"/>
    <w:rsid w:val="00C314A7"/>
    <w:rsid w:val="00C31FC0"/>
    <w:rsid w:val="00C32D9E"/>
    <w:rsid w:val="00C36A75"/>
    <w:rsid w:val="00C36DBE"/>
    <w:rsid w:val="00C4035B"/>
    <w:rsid w:val="00C40E4B"/>
    <w:rsid w:val="00C41EFE"/>
    <w:rsid w:val="00C443E8"/>
    <w:rsid w:val="00C44933"/>
    <w:rsid w:val="00C45BED"/>
    <w:rsid w:val="00C505BB"/>
    <w:rsid w:val="00C523EF"/>
    <w:rsid w:val="00C52F15"/>
    <w:rsid w:val="00C53B1D"/>
    <w:rsid w:val="00C53EC7"/>
    <w:rsid w:val="00C54560"/>
    <w:rsid w:val="00C55D50"/>
    <w:rsid w:val="00C57F68"/>
    <w:rsid w:val="00C60DC9"/>
    <w:rsid w:val="00C6271F"/>
    <w:rsid w:val="00C64400"/>
    <w:rsid w:val="00C64C38"/>
    <w:rsid w:val="00C65BA5"/>
    <w:rsid w:val="00C65C7F"/>
    <w:rsid w:val="00C66B17"/>
    <w:rsid w:val="00C66E1C"/>
    <w:rsid w:val="00C66E65"/>
    <w:rsid w:val="00C672BF"/>
    <w:rsid w:val="00C71743"/>
    <w:rsid w:val="00C73D39"/>
    <w:rsid w:val="00C746FB"/>
    <w:rsid w:val="00C755DF"/>
    <w:rsid w:val="00C75CB3"/>
    <w:rsid w:val="00C76905"/>
    <w:rsid w:val="00C77610"/>
    <w:rsid w:val="00C80281"/>
    <w:rsid w:val="00C80717"/>
    <w:rsid w:val="00C83A91"/>
    <w:rsid w:val="00C84628"/>
    <w:rsid w:val="00C859C6"/>
    <w:rsid w:val="00C86B46"/>
    <w:rsid w:val="00C94AA3"/>
    <w:rsid w:val="00C96057"/>
    <w:rsid w:val="00C966A8"/>
    <w:rsid w:val="00C97806"/>
    <w:rsid w:val="00CA16B0"/>
    <w:rsid w:val="00CA2EE8"/>
    <w:rsid w:val="00CA3151"/>
    <w:rsid w:val="00CA45FB"/>
    <w:rsid w:val="00CA5768"/>
    <w:rsid w:val="00CA6E0A"/>
    <w:rsid w:val="00CB0A3D"/>
    <w:rsid w:val="00CB146A"/>
    <w:rsid w:val="00CB1932"/>
    <w:rsid w:val="00CB2B63"/>
    <w:rsid w:val="00CB3CB4"/>
    <w:rsid w:val="00CB4EE8"/>
    <w:rsid w:val="00CB566B"/>
    <w:rsid w:val="00CB56A4"/>
    <w:rsid w:val="00CB64A3"/>
    <w:rsid w:val="00CC07A0"/>
    <w:rsid w:val="00CC42C2"/>
    <w:rsid w:val="00CC4F29"/>
    <w:rsid w:val="00CC5EDB"/>
    <w:rsid w:val="00CC747E"/>
    <w:rsid w:val="00CD074F"/>
    <w:rsid w:val="00CD1308"/>
    <w:rsid w:val="00CD29D1"/>
    <w:rsid w:val="00CD5471"/>
    <w:rsid w:val="00CD565A"/>
    <w:rsid w:val="00CD59D8"/>
    <w:rsid w:val="00CD6541"/>
    <w:rsid w:val="00CD6663"/>
    <w:rsid w:val="00CD6A68"/>
    <w:rsid w:val="00CD6CFE"/>
    <w:rsid w:val="00CD6F44"/>
    <w:rsid w:val="00CE1596"/>
    <w:rsid w:val="00CE218A"/>
    <w:rsid w:val="00CE40BD"/>
    <w:rsid w:val="00CE4B42"/>
    <w:rsid w:val="00CE522B"/>
    <w:rsid w:val="00CE620C"/>
    <w:rsid w:val="00CE6CA3"/>
    <w:rsid w:val="00CF0BD8"/>
    <w:rsid w:val="00CF1106"/>
    <w:rsid w:val="00CF1627"/>
    <w:rsid w:val="00CF233A"/>
    <w:rsid w:val="00CF3108"/>
    <w:rsid w:val="00CF5227"/>
    <w:rsid w:val="00CF5CEB"/>
    <w:rsid w:val="00CF5EF7"/>
    <w:rsid w:val="00CF65B0"/>
    <w:rsid w:val="00CF7A1E"/>
    <w:rsid w:val="00D00245"/>
    <w:rsid w:val="00D01B24"/>
    <w:rsid w:val="00D01C3D"/>
    <w:rsid w:val="00D02DFC"/>
    <w:rsid w:val="00D04048"/>
    <w:rsid w:val="00D040CF"/>
    <w:rsid w:val="00D05AB8"/>
    <w:rsid w:val="00D0792D"/>
    <w:rsid w:val="00D10451"/>
    <w:rsid w:val="00D12F34"/>
    <w:rsid w:val="00D14F58"/>
    <w:rsid w:val="00D15768"/>
    <w:rsid w:val="00D15D65"/>
    <w:rsid w:val="00D15ED3"/>
    <w:rsid w:val="00D2044E"/>
    <w:rsid w:val="00D2070A"/>
    <w:rsid w:val="00D22002"/>
    <w:rsid w:val="00D22B23"/>
    <w:rsid w:val="00D23B11"/>
    <w:rsid w:val="00D23C37"/>
    <w:rsid w:val="00D256C1"/>
    <w:rsid w:val="00D259A9"/>
    <w:rsid w:val="00D274AF"/>
    <w:rsid w:val="00D32E90"/>
    <w:rsid w:val="00D3467E"/>
    <w:rsid w:val="00D360F8"/>
    <w:rsid w:val="00D376B0"/>
    <w:rsid w:val="00D37F05"/>
    <w:rsid w:val="00D412B7"/>
    <w:rsid w:val="00D41DC6"/>
    <w:rsid w:val="00D42671"/>
    <w:rsid w:val="00D4384C"/>
    <w:rsid w:val="00D4443F"/>
    <w:rsid w:val="00D44B79"/>
    <w:rsid w:val="00D45CCA"/>
    <w:rsid w:val="00D46158"/>
    <w:rsid w:val="00D47C75"/>
    <w:rsid w:val="00D52E3C"/>
    <w:rsid w:val="00D52F01"/>
    <w:rsid w:val="00D53AD1"/>
    <w:rsid w:val="00D55385"/>
    <w:rsid w:val="00D55D05"/>
    <w:rsid w:val="00D60265"/>
    <w:rsid w:val="00D60D0C"/>
    <w:rsid w:val="00D61B98"/>
    <w:rsid w:val="00D620D9"/>
    <w:rsid w:val="00D62BDE"/>
    <w:rsid w:val="00D64E82"/>
    <w:rsid w:val="00D65FCD"/>
    <w:rsid w:val="00D66DAB"/>
    <w:rsid w:val="00D716A1"/>
    <w:rsid w:val="00D74C47"/>
    <w:rsid w:val="00D74D19"/>
    <w:rsid w:val="00D75B78"/>
    <w:rsid w:val="00D75FEF"/>
    <w:rsid w:val="00D760AB"/>
    <w:rsid w:val="00D77ABF"/>
    <w:rsid w:val="00D8014D"/>
    <w:rsid w:val="00D8110F"/>
    <w:rsid w:val="00D82361"/>
    <w:rsid w:val="00D8266F"/>
    <w:rsid w:val="00D826BB"/>
    <w:rsid w:val="00D8298B"/>
    <w:rsid w:val="00D85869"/>
    <w:rsid w:val="00D86846"/>
    <w:rsid w:val="00D87FCF"/>
    <w:rsid w:val="00D92083"/>
    <w:rsid w:val="00D928E8"/>
    <w:rsid w:val="00D9306C"/>
    <w:rsid w:val="00D932A6"/>
    <w:rsid w:val="00D93971"/>
    <w:rsid w:val="00D950F7"/>
    <w:rsid w:val="00D967AB"/>
    <w:rsid w:val="00D97DB1"/>
    <w:rsid w:val="00DA30E1"/>
    <w:rsid w:val="00DA40D4"/>
    <w:rsid w:val="00DA6BB6"/>
    <w:rsid w:val="00DA7B0F"/>
    <w:rsid w:val="00DB15AF"/>
    <w:rsid w:val="00DB177F"/>
    <w:rsid w:val="00DB28E2"/>
    <w:rsid w:val="00DB3E89"/>
    <w:rsid w:val="00DB5914"/>
    <w:rsid w:val="00DB5D5F"/>
    <w:rsid w:val="00DC0254"/>
    <w:rsid w:val="00DC11F2"/>
    <w:rsid w:val="00DC467B"/>
    <w:rsid w:val="00DC50A7"/>
    <w:rsid w:val="00DC66D2"/>
    <w:rsid w:val="00DC7040"/>
    <w:rsid w:val="00DC713C"/>
    <w:rsid w:val="00DC7833"/>
    <w:rsid w:val="00DD172C"/>
    <w:rsid w:val="00DD2C48"/>
    <w:rsid w:val="00DD3081"/>
    <w:rsid w:val="00DD33D3"/>
    <w:rsid w:val="00DD4D8C"/>
    <w:rsid w:val="00DE1240"/>
    <w:rsid w:val="00DE3772"/>
    <w:rsid w:val="00DE3FF8"/>
    <w:rsid w:val="00DE5290"/>
    <w:rsid w:val="00DE5F7B"/>
    <w:rsid w:val="00DE625F"/>
    <w:rsid w:val="00DE7F91"/>
    <w:rsid w:val="00DF2781"/>
    <w:rsid w:val="00DF33A0"/>
    <w:rsid w:val="00DF553F"/>
    <w:rsid w:val="00DF6571"/>
    <w:rsid w:val="00DF6E39"/>
    <w:rsid w:val="00DF770F"/>
    <w:rsid w:val="00E03D65"/>
    <w:rsid w:val="00E04A1E"/>
    <w:rsid w:val="00E0610A"/>
    <w:rsid w:val="00E07210"/>
    <w:rsid w:val="00E101BB"/>
    <w:rsid w:val="00E1233D"/>
    <w:rsid w:val="00E133BB"/>
    <w:rsid w:val="00E13EB2"/>
    <w:rsid w:val="00E15B22"/>
    <w:rsid w:val="00E17F1D"/>
    <w:rsid w:val="00E206BA"/>
    <w:rsid w:val="00E2251A"/>
    <w:rsid w:val="00E23E6C"/>
    <w:rsid w:val="00E2454E"/>
    <w:rsid w:val="00E265D6"/>
    <w:rsid w:val="00E30527"/>
    <w:rsid w:val="00E32E22"/>
    <w:rsid w:val="00E34FAC"/>
    <w:rsid w:val="00E35079"/>
    <w:rsid w:val="00E352A2"/>
    <w:rsid w:val="00E35EBD"/>
    <w:rsid w:val="00E370CE"/>
    <w:rsid w:val="00E378E1"/>
    <w:rsid w:val="00E41390"/>
    <w:rsid w:val="00E4314B"/>
    <w:rsid w:val="00E44DA0"/>
    <w:rsid w:val="00E44E14"/>
    <w:rsid w:val="00E46F33"/>
    <w:rsid w:val="00E508AF"/>
    <w:rsid w:val="00E510FA"/>
    <w:rsid w:val="00E5430A"/>
    <w:rsid w:val="00E55522"/>
    <w:rsid w:val="00E60B12"/>
    <w:rsid w:val="00E6338D"/>
    <w:rsid w:val="00E63F0B"/>
    <w:rsid w:val="00E64577"/>
    <w:rsid w:val="00E65309"/>
    <w:rsid w:val="00E65E72"/>
    <w:rsid w:val="00E67B1D"/>
    <w:rsid w:val="00E67B83"/>
    <w:rsid w:val="00E70146"/>
    <w:rsid w:val="00E70894"/>
    <w:rsid w:val="00E736C3"/>
    <w:rsid w:val="00E74EE7"/>
    <w:rsid w:val="00E758B7"/>
    <w:rsid w:val="00E7638F"/>
    <w:rsid w:val="00E76B45"/>
    <w:rsid w:val="00E77271"/>
    <w:rsid w:val="00E774DE"/>
    <w:rsid w:val="00E77ABA"/>
    <w:rsid w:val="00E77FAA"/>
    <w:rsid w:val="00E838FD"/>
    <w:rsid w:val="00E8462D"/>
    <w:rsid w:val="00E850F0"/>
    <w:rsid w:val="00E87CC3"/>
    <w:rsid w:val="00E95935"/>
    <w:rsid w:val="00E96219"/>
    <w:rsid w:val="00EA0961"/>
    <w:rsid w:val="00EA21F6"/>
    <w:rsid w:val="00EA247E"/>
    <w:rsid w:val="00EA32B1"/>
    <w:rsid w:val="00EA3916"/>
    <w:rsid w:val="00EA40BC"/>
    <w:rsid w:val="00EA58D9"/>
    <w:rsid w:val="00EA7839"/>
    <w:rsid w:val="00EB2068"/>
    <w:rsid w:val="00EB333D"/>
    <w:rsid w:val="00EB3CD8"/>
    <w:rsid w:val="00EB3E8C"/>
    <w:rsid w:val="00EB4DF9"/>
    <w:rsid w:val="00EB6190"/>
    <w:rsid w:val="00EB6F6A"/>
    <w:rsid w:val="00EB7245"/>
    <w:rsid w:val="00EC4D7E"/>
    <w:rsid w:val="00EC78FF"/>
    <w:rsid w:val="00ED0AD9"/>
    <w:rsid w:val="00ED180A"/>
    <w:rsid w:val="00ED1DFA"/>
    <w:rsid w:val="00ED5337"/>
    <w:rsid w:val="00EE14E0"/>
    <w:rsid w:val="00EE2B0E"/>
    <w:rsid w:val="00EE2E48"/>
    <w:rsid w:val="00EE403B"/>
    <w:rsid w:val="00EE5553"/>
    <w:rsid w:val="00EE57EB"/>
    <w:rsid w:val="00EE6108"/>
    <w:rsid w:val="00EF03E0"/>
    <w:rsid w:val="00EF06E0"/>
    <w:rsid w:val="00EF16F0"/>
    <w:rsid w:val="00EF2D57"/>
    <w:rsid w:val="00EF6494"/>
    <w:rsid w:val="00EF7913"/>
    <w:rsid w:val="00F007A7"/>
    <w:rsid w:val="00F059AD"/>
    <w:rsid w:val="00F0680E"/>
    <w:rsid w:val="00F1124B"/>
    <w:rsid w:val="00F11D2E"/>
    <w:rsid w:val="00F12B56"/>
    <w:rsid w:val="00F15066"/>
    <w:rsid w:val="00F153DE"/>
    <w:rsid w:val="00F15C51"/>
    <w:rsid w:val="00F2041B"/>
    <w:rsid w:val="00F221F1"/>
    <w:rsid w:val="00F223A7"/>
    <w:rsid w:val="00F2693C"/>
    <w:rsid w:val="00F31609"/>
    <w:rsid w:val="00F3561E"/>
    <w:rsid w:val="00F36A72"/>
    <w:rsid w:val="00F377E5"/>
    <w:rsid w:val="00F40A55"/>
    <w:rsid w:val="00F43D43"/>
    <w:rsid w:val="00F440CC"/>
    <w:rsid w:val="00F444CD"/>
    <w:rsid w:val="00F44C24"/>
    <w:rsid w:val="00F45EC5"/>
    <w:rsid w:val="00F46074"/>
    <w:rsid w:val="00F51A04"/>
    <w:rsid w:val="00F533E5"/>
    <w:rsid w:val="00F549A2"/>
    <w:rsid w:val="00F557A3"/>
    <w:rsid w:val="00F55AAF"/>
    <w:rsid w:val="00F560D9"/>
    <w:rsid w:val="00F57260"/>
    <w:rsid w:val="00F57CFF"/>
    <w:rsid w:val="00F60710"/>
    <w:rsid w:val="00F61B1D"/>
    <w:rsid w:val="00F61B8B"/>
    <w:rsid w:val="00F632B4"/>
    <w:rsid w:val="00F64BDD"/>
    <w:rsid w:val="00F65F63"/>
    <w:rsid w:val="00F6786F"/>
    <w:rsid w:val="00F712C1"/>
    <w:rsid w:val="00F719CB"/>
    <w:rsid w:val="00F71F84"/>
    <w:rsid w:val="00F730DB"/>
    <w:rsid w:val="00F73205"/>
    <w:rsid w:val="00F7657D"/>
    <w:rsid w:val="00F76DA4"/>
    <w:rsid w:val="00F8053F"/>
    <w:rsid w:val="00F8112C"/>
    <w:rsid w:val="00F817EB"/>
    <w:rsid w:val="00F84D59"/>
    <w:rsid w:val="00F87693"/>
    <w:rsid w:val="00F93D69"/>
    <w:rsid w:val="00F94A58"/>
    <w:rsid w:val="00F94CEB"/>
    <w:rsid w:val="00F9776C"/>
    <w:rsid w:val="00FA112A"/>
    <w:rsid w:val="00FA24D4"/>
    <w:rsid w:val="00FA4A3A"/>
    <w:rsid w:val="00FA53F6"/>
    <w:rsid w:val="00FA587A"/>
    <w:rsid w:val="00FB2E91"/>
    <w:rsid w:val="00FB35D9"/>
    <w:rsid w:val="00FB406B"/>
    <w:rsid w:val="00FB4EB6"/>
    <w:rsid w:val="00FB5DC1"/>
    <w:rsid w:val="00FB747B"/>
    <w:rsid w:val="00FB74F0"/>
    <w:rsid w:val="00FC1F81"/>
    <w:rsid w:val="00FC2A21"/>
    <w:rsid w:val="00FC4D7E"/>
    <w:rsid w:val="00FC57E5"/>
    <w:rsid w:val="00FC5E7E"/>
    <w:rsid w:val="00FD14AE"/>
    <w:rsid w:val="00FD2807"/>
    <w:rsid w:val="00FD33BC"/>
    <w:rsid w:val="00FD3DB2"/>
    <w:rsid w:val="00FD4051"/>
    <w:rsid w:val="00FD4209"/>
    <w:rsid w:val="00FD4B33"/>
    <w:rsid w:val="00FD6616"/>
    <w:rsid w:val="00FD7102"/>
    <w:rsid w:val="00FD7707"/>
    <w:rsid w:val="00FD7E86"/>
    <w:rsid w:val="00FE0001"/>
    <w:rsid w:val="00FE1429"/>
    <w:rsid w:val="00FE21B2"/>
    <w:rsid w:val="00FE2661"/>
    <w:rsid w:val="00FE3DAA"/>
    <w:rsid w:val="00FE4729"/>
    <w:rsid w:val="00FE4AEE"/>
    <w:rsid w:val="00FE4EB9"/>
    <w:rsid w:val="00FE75DA"/>
    <w:rsid w:val="00FE79A3"/>
    <w:rsid w:val="00FE7D03"/>
    <w:rsid w:val="00FF17F7"/>
    <w:rsid w:val="00FF1BF5"/>
    <w:rsid w:val="00FF2FFA"/>
    <w:rsid w:val="00FF3DC1"/>
    <w:rsid w:val="00FF5B27"/>
    <w:rsid w:val="00FF77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15"/>
  </w:style>
  <w:style w:type="paragraph" w:styleId="Heading1">
    <w:name w:val="heading 1"/>
    <w:basedOn w:val="Normal"/>
    <w:link w:val="Heading1Char"/>
    <w:uiPriority w:val="99"/>
    <w:qFormat/>
    <w:rsid w:val="00B00C7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FB35D9"/>
    <w:rPr>
      <w:sz w:val="20"/>
      <w:szCs w:val="20"/>
    </w:rPr>
  </w:style>
  <w:style w:type="character" w:styleId="FootnoteReference">
    <w:name w:val="footnote reference"/>
    <w:aliases w:val="Footnote Reference Number,Footnote symbol,ftref"/>
    <w:basedOn w:val="DefaultParagraphFont"/>
    <w:uiPriority w:val="99"/>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fontsize2">
    <w:name w:val="fontsize2"/>
    <w:basedOn w:val="DefaultParagraphFont"/>
    <w:rsid w:val="00182AF1"/>
  </w:style>
  <w:style w:type="paragraph" w:customStyle="1" w:styleId="tv2131">
    <w:name w:val="tv2131"/>
    <w:basedOn w:val="Normal"/>
    <w:uiPriority w:val="99"/>
    <w:rsid w:val="00B06FBD"/>
    <w:pPr>
      <w:spacing w:after="0" w:line="360" w:lineRule="auto"/>
      <w:ind w:firstLine="335"/>
    </w:pPr>
    <w:rPr>
      <w:rFonts w:ascii="Times New Roman" w:eastAsia="SimSun" w:hAnsi="Times New Roman" w:cs="Times New Roman"/>
      <w:color w:val="414142"/>
      <w:lang w:eastAsia="en-US"/>
    </w:rPr>
  </w:style>
  <w:style w:type="character" w:customStyle="1" w:styleId="Heading1Char">
    <w:name w:val="Heading 1 Char"/>
    <w:basedOn w:val="DefaultParagraphFont"/>
    <w:link w:val="Heading1"/>
    <w:uiPriority w:val="99"/>
    <w:rsid w:val="00B00C78"/>
    <w:rPr>
      <w:rFonts w:ascii="Times New Roman" w:eastAsia="Times New Roman" w:hAnsi="Times New Roman" w:cs="Times New Roman"/>
      <w:b/>
      <w:bCs/>
      <w:kern w:val="36"/>
      <w:sz w:val="48"/>
      <w:szCs w:val="48"/>
      <w:lang w:val="lv-LV" w:eastAsia="lv-LV"/>
    </w:rPr>
  </w:style>
  <w:style w:type="paragraph" w:customStyle="1" w:styleId="tvhtml">
    <w:name w:val="tv_html"/>
    <w:basedOn w:val="Normal"/>
    <w:rsid w:val="00E8462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EA247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0">
    <w:name w:val="Body text"/>
    <w:basedOn w:val="Normal"/>
    <w:rsid w:val="00204A68"/>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FB35D9"/>
    <w:rPr>
      <w:sz w:val="20"/>
      <w:szCs w:val="20"/>
    </w:rPr>
  </w:style>
  <w:style w:type="character" w:styleId="FootnoteReference">
    <w:name w:val="footnote reference"/>
    <w:aliases w:val="Footnote Reference Number,Footnote symbol,ftref"/>
    <w:basedOn w:val="DefaultParagraphFont"/>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s>
</file>

<file path=word/webSettings.xml><?xml version="1.0" encoding="utf-8"?>
<w:webSettings xmlns:r="http://schemas.openxmlformats.org/officeDocument/2006/relationships" xmlns:w="http://schemas.openxmlformats.org/wordprocessingml/2006/main">
  <w:divs>
    <w:div w:id="64375047">
      <w:bodyDiv w:val="1"/>
      <w:marLeft w:val="0"/>
      <w:marRight w:val="0"/>
      <w:marTop w:val="0"/>
      <w:marBottom w:val="0"/>
      <w:divBdr>
        <w:top w:val="none" w:sz="0" w:space="0" w:color="auto"/>
        <w:left w:val="none" w:sz="0" w:space="0" w:color="auto"/>
        <w:bottom w:val="none" w:sz="0" w:space="0" w:color="auto"/>
        <w:right w:val="none" w:sz="0" w:space="0" w:color="auto"/>
      </w:divBdr>
    </w:div>
    <w:div w:id="73599802">
      <w:bodyDiv w:val="1"/>
      <w:marLeft w:val="0"/>
      <w:marRight w:val="0"/>
      <w:marTop w:val="0"/>
      <w:marBottom w:val="0"/>
      <w:divBdr>
        <w:top w:val="none" w:sz="0" w:space="0" w:color="auto"/>
        <w:left w:val="none" w:sz="0" w:space="0" w:color="auto"/>
        <w:bottom w:val="none" w:sz="0" w:space="0" w:color="auto"/>
        <w:right w:val="none" w:sz="0" w:space="0" w:color="auto"/>
      </w:divBdr>
      <w:divsChild>
        <w:div w:id="930627584">
          <w:marLeft w:val="0"/>
          <w:marRight w:val="0"/>
          <w:marTop w:val="480"/>
          <w:marBottom w:val="240"/>
          <w:divBdr>
            <w:top w:val="none" w:sz="0" w:space="0" w:color="auto"/>
            <w:left w:val="none" w:sz="0" w:space="0" w:color="auto"/>
            <w:bottom w:val="none" w:sz="0" w:space="0" w:color="auto"/>
            <w:right w:val="none" w:sz="0" w:space="0" w:color="auto"/>
          </w:divBdr>
        </w:div>
        <w:div w:id="1274560213">
          <w:marLeft w:val="0"/>
          <w:marRight w:val="0"/>
          <w:marTop w:val="0"/>
          <w:marBottom w:val="567"/>
          <w:divBdr>
            <w:top w:val="none" w:sz="0" w:space="0" w:color="auto"/>
            <w:left w:val="none" w:sz="0" w:space="0" w:color="auto"/>
            <w:bottom w:val="none" w:sz="0" w:space="0" w:color="auto"/>
            <w:right w:val="none" w:sz="0" w:space="0" w:color="auto"/>
          </w:divBdr>
        </w:div>
      </w:divsChild>
    </w:div>
    <w:div w:id="355153787">
      <w:bodyDiv w:val="1"/>
      <w:marLeft w:val="0"/>
      <w:marRight w:val="0"/>
      <w:marTop w:val="0"/>
      <w:marBottom w:val="0"/>
      <w:divBdr>
        <w:top w:val="none" w:sz="0" w:space="0" w:color="auto"/>
        <w:left w:val="none" w:sz="0" w:space="0" w:color="auto"/>
        <w:bottom w:val="none" w:sz="0" w:space="0" w:color="auto"/>
        <w:right w:val="none" w:sz="0" w:space="0" w:color="auto"/>
      </w:divBdr>
    </w:div>
    <w:div w:id="425926942">
      <w:bodyDiv w:val="1"/>
      <w:marLeft w:val="0"/>
      <w:marRight w:val="0"/>
      <w:marTop w:val="0"/>
      <w:marBottom w:val="0"/>
      <w:divBdr>
        <w:top w:val="none" w:sz="0" w:space="0" w:color="auto"/>
        <w:left w:val="none" w:sz="0" w:space="0" w:color="auto"/>
        <w:bottom w:val="none" w:sz="0" w:space="0" w:color="auto"/>
        <w:right w:val="none" w:sz="0" w:space="0" w:color="auto"/>
      </w:divBdr>
      <w:divsChild>
        <w:div w:id="1110206186">
          <w:marLeft w:val="0"/>
          <w:marRight w:val="0"/>
          <w:marTop w:val="480"/>
          <w:marBottom w:val="240"/>
          <w:divBdr>
            <w:top w:val="none" w:sz="0" w:space="0" w:color="auto"/>
            <w:left w:val="none" w:sz="0" w:space="0" w:color="auto"/>
            <w:bottom w:val="none" w:sz="0" w:space="0" w:color="auto"/>
            <w:right w:val="none" w:sz="0" w:space="0" w:color="auto"/>
          </w:divBdr>
        </w:div>
        <w:div w:id="1145732142">
          <w:marLeft w:val="0"/>
          <w:marRight w:val="0"/>
          <w:marTop w:val="0"/>
          <w:marBottom w:val="567"/>
          <w:divBdr>
            <w:top w:val="none" w:sz="0" w:space="0" w:color="auto"/>
            <w:left w:val="none" w:sz="0" w:space="0" w:color="auto"/>
            <w:bottom w:val="none" w:sz="0" w:space="0" w:color="auto"/>
            <w:right w:val="none" w:sz="0" w:space="0" w:color="auto"/>
          </w:divBdr>
        </w:div>
      </w:divsChild>
    </w:div>
    <w:div w:id="553977714">
      <w:bodyDiv w:val="1"/>
      <w:marLeft w:val="0"/>
      <w:marRight w:val="0"/>
      <w:marTop w:val="0"/>
      <w:marBottom w:val="0"/>
      <w:divBdr>
        <w:top w:val="none" w:sz="0" w:space="0" w:color="auto"/>
        <w:left w:val="none" w:sz="0" w:space="0" w:color="auto"/>
        <w:bottom w:val="none" w:sz="0" w:space="0" w:color="auto"/>
        <w:right w:val="none" w:sz="0" w:space="0" w:color="auto"/>
      </w:divBdr>
    </w:div>
    <w:div w:id="584531909">
      <w:bodyDiv w:val="1"/>
      <w:marLeft w:val="0"/>
      <w:marRight w:val="0"/>
      <w:marTop w:val="0"/>
      <w:marBottom w:val="0"/>
      <w:divBdr>
        <w:top w:val="none" w:sz="0" w:space="0" w:color="auto"/>
        <w:left w:val="none" w:sz="0" w:space="0" w:color="auto"/>
        <w:bottom w:val="none" w:sz="0" w:space="0" w:color="auto"/>
        <w:right w:val="none" w:sz="0" w:space="0" w:color="auto"/>
      </w:divBdr>
    </w:div>
    <w:div w:id="811874522">
      <w:bodyDiv w:val="1"/>
      <w:marLeft w:val="0"/>
      <w:marRight w:val="0"/>
      <w:marTop w:val="0"/>
      <w:marBottom w:val="0"/>
      <w:divBdr>
        <w:top w:val="none" w:sz="0" w:space="0" w:color="auto"/>
        <w:left w:val="none" w:sz="0" w:space="0" w:color="auto"/>
        <w:bottom w:val="none" w:sz="0" w:space="0" w:color="auto"/>
        <w:right w:val="none" w:sz="0" w:space="0" w:color="auto"/>
      </w:divBdr>
      <w:divsChild>
        <w:div w:id="1938246336">
          <w:marLeft w:val="0"/>
          <w:marRight w:val="0"/>
          <w:marTop w:val="480"/>
          <w:marBottom w:val="240"/>
          <w:divBdr>
            <w:top w:val="none" w:sz="0" w:space="0" w:color="auto"/>
            <w:left w:val="none" w:sz="0" w:space="0" w:color="auto"/>
            <w:bottom w:val="none" w:sz="0" w:space="0" w:color="auto"/>
            <w:right w:val="none" w:sz="0" w:space="0" w:color="auto"/>
          </w:divBdr>
        </w:div>
        <w:div w:id="883834856">
          <w:marLeft w:val="0"/>
          <w:marRight w:val="0"/>
          <w:marTop w:val="0"/>
          <w:marBottom w:val="567"/>
          <w:divBdr>
            <w:top w:val="none" w:sz="0" w:space="0" w:color="auto"/>
            <w:left w:val="none" w:sz="0" w:space="0" w:color="auto"/>
            <w:bottom w:val="none" w:sz="0" w:space="0" w:color="auto"/>
            <w:right w:val="none" w:sz="0" w:space="0" w:color="auto"/>
          </w:divBdr>
        </w:div>
      </w:divsChild>
    </w:div>
    <w:div w:id="853568094">
      <w:bodyDiv w:val="1"/>
      <w:marLeft w:val="0"/>
      <w:marRight w:val="0"/>
      <w:marTop w:val="0"/>
      <w:marBottom w:val="0"/>
      <w:divBdr>
        <w:top w:val="none" w:sz="0" w:space="0" w:color="auto"/>
        <w:left w:val="none" w:sz="0" w:space="0" w:color="auto"/>
        <w:bottom w:val="none" w:sz="0" w:space="0" w:color="auto"/>
        <w:right w:val="none" w:sz="0" w:space="0" w:color="auto"/>
      </w:divBdr>
    </w:div>
    <w:div w:id="1091705725">
      <w:bodyDiv w:val="1"/>
      <w:marLeft w:val="0"/>
      <w:marRight w:val="0"/>
      <w:marTop w:val="0"/>
      <w:marBottom w:val="0"/>
      <w:divBdr>
        <w:top w:val="none" w:sz="0" w:space="0" w:color="auto"/>
        <w:left w:val="none" w:sz="0" w:space="0" w:color="auto"/>
        <w:bottom w:val="none" w:sz="0" w:space="0" w:color="auto"/>
        <w:right w:val="none" w:sz="0" w:space="0" w:color="auto"/>
      </w:divBdr>
    </w:div>
    <w:div w:id="1139224741">
      <w:bodyDiv w:val="1"/>
      <w:marLeft w:val="0"/>
      <w:marRight w:val="0"/>
      <w:marTop w:val="0"/>
      <w:marBottom w:val="0"/>
      <w:divBdr>
        <w:top w:val="none" w:sz="0" w:space="0" w:color="auto"/>
        <w:left w:val="none" w:sz="0" w:space="0" w:color="auto"/>
        <w:bottom w:val="none" w:sz="0" w:space="0" w:color="auto"/>
        <w:right w:val="none" w:sz="0" w:space="0" w:color="auto"/>
      </w:divBdr>
    </w:div>
    <w:div w:id="1202091317">
      <w:bodyDiv w:val="1"/>
      <w:marLeft w:val="0"/>
      <w:marRight w:val="0"/>
      <w:marTop w:val="0"/>
      <w:marBottom w:val="0"/>
      <w:divBdr>
        <w:top w:val="none" w:sz="0" w:space="0" w:color="auto"/>
        <w:left w:val="none" w:sz="0" w:space="0" w:color="auto"/>
        <w:bottom w:val="none" w:sz="0" w:space="0" w:color="auto"/>
        <w:right w:val="none" w:sz="0" w:space="0" w:color="auto"/>
      </w:divBdr>
    </w:div>
    <w:div w:id="1220703491">
      <w:bodyDiv w:val="1"/>
      <w:marLeft w:val="0"/>
      <w:marRight w:val="0"/>
      <w:marTop w:val="0"/>
      <w:marBottom w:val="0"/>
      <w:divBdr>
        <w:top w:val="none" w:sz="0" w:space="0" w:color="auto"/>
        <w:left w:val="none" w:sz="0" w:space="0" w:color="auto"/>
        <w:bottom w:val="none" w:sz="0" w:space="0" w:color="auto"/>
        <w:right w:val="none" w:sz="0" w:space="0" w:color="auto"/>
      </w:divBdr>
    </w:div>
    <w:div w:id="1233127221">
      <w:bodyDiv w:val="1"/>
      <w:marLeft w:val="0"/>
      <w:marRight w:val="0"/>
      <w:marTop w:val="0"/>
      <w:marBottom w:val="0"/>
      <w:divBdr>
        <w:top w:val="none" w:sz="0" w:space="0" w:color="auto"/>
        <w:left w:val="none" w:sz="0" w:space="0" w:color="auto"/>
        <w:bottom w:val="none" w:sz="0" w:space="0" w:color="auto"/>
        <w:right w:val="none" w:sz="0" w:space="0" w:color="auto"/>
      </w:divBdr>
    </w:div>
    <w:div w:id="1272518759">
      <w:bodyDiv w:val="1"/>
      <w:marLeft w:val="0"/>
      <w:marRight w:val="0"/>
      <w:marTop w:val="0"/>
      <w:marBottom w:val="0"/>
      <w:divBdr>
        <w:top w:val="none" w:sz="0" w:space="0" w:color="auto"/>
        <w:left w:val="none" w:sz="0" w:space="0" w:color="auto"/>
        <w:bottom w:val="none" w:sz="0" w:space="0" w:color="auto"/>
        <w:right w:val="none" w:sz="0" w:space="0" w:color="auto"/>
      </w:divBdr>
      <w:divsChild>
        <w:div w:id="1112359903">
          <w:marLeft w:val="0"/>
          <w:marRight w:val="0"/>
          <w:marTop w:val="480"/>
          <w:marBottom w:val="240"/>
          <w:divBdr>
            <w:top w:val="none" w:sz="0" w:space="0" w:color="auto"/>
            <w:left w:val="none" w:sz="0" w:space="0" w:color="auto"/>
            <w:bottom w:val="none" w:sz="0" w:space="0" w:color="auto"/>
            <w:right w:val="none" w:sz="0" w:space="0" w:color="auto"/>
          </w:divBdr>
        </w:div>
        <w:div w:id="1322730389">
          <w:marLeft w:val="0"/>
          <w:marRight w:val="0"/>
          <w:marTop w:val="0"/>
          <w:marBottom w:val="567"/>
          <w:divBdr>
            <w:top w:val="none" w:sz="0" w:space="0" w:color="auto"/>
            <w:left w:val="none" w:sz="0" w:space="0" w:color="auto"/>
            <w:bottom w:val="none" w:sz="0" w:space="0" w:color="auto"/>
            <w:right w:val="none" w:sz="0" w:space="0" w:color="auto"/>
          </w:divBdr>
        </w:div>
      </w:divsChild>
    </w:div>
    <w:div w:id="1493175620">
      <w:bodyDiv w:val="1"/>
      <w:marLeft w:val="0"/>
      <w:marRight w:val="0"/>
      <w:marTop w:val="0"/>
      <w:marBottom w:val="0"/>
      <w:divBdr>
        <w:top w:val="none" w:sz="0" w:space="0" w:color="auto"/>
        <w:left w:val="none" w:sz="0" w:space="0" w:color="auto"/>
        <w:bottom w:val="none" w:sz="0" w:space="0" w:color="auto"/>
        <w:right w:val="none" w:sz="0" w:space="0" w:color="auto"/>
      </w:divBdr>
      <w:divsChild>
        <w:div w:id="184363767">
          <w:marLeft w:val="0"/>
          <w:marRight w:val="0"/>
          <w:marTop w:val="480"/>
          <w:marBottom w:val="240"/>
          <w:divBdr>
            <w:top w:val="none" w:sz="0" w:space="0" w:color="auto"/>
            <w:left w:val="none" w:sz="0" w:space="0" w:color="auto"/>
            <w:bottom w:val="none" w:sz="0" w:space="0" w:color="auto"/>
            <w:right w:val="none" w:sz="0" w:space="0" w:color="auto"/>
          </w:divBdr>
        </w:div>
        <w:div w:id="1262955342">
          <w:marLeft w:val="0"/>
          <w:marRight w:val="0"/>
          <w:marTop w:val="0"/>
          <w:marBottom w:val="567"/>
          <w:divBdr>
            <w:top w:val="none" w:sz="0" w:space="0" w:color="auto"/>
            <w:left w:val="none" w:sz="0" w:space="0" w:color="auto"/>
            <w:bottom w:val="none" w:sz="0" w:space="0" w:color="auto"/>
            <w:right w:val="none" w:sz="0" w:space="0" w:color="auto"/>
          </w:divBdr>
        </w:div>
      </w:divsChild>
    </w:div>
    <w:div w:id="1515605007">
      <w:bodyDiv w:val="1"/>
      <w:marLeft w:val="0"/>
      <w:marRight w:val="0"/>
      <w:marTop w:val="0"/>
      <w:marBottom w:val="0"/>
      <w:divBdr>
        <w:top w:val="none" w:sz="0" w:space="0" w:color="auto"/>
        <w:left w:val="none" w:sz="0" w:space="0" w:color="auto"/>
        <w:bottom w:val="none" w:sz="0" w:space="0" w:color="auto"/>
        <w:right w:val="none" w:sz="0" w:space="0" w:color="auto"/>
      </w:divBdr>
    </w:div>
    <w:div w:id="1718234466">
      <w:bodyDiv w:val="1"/>
      <w:marLeft w:val="0"/>
      <w:marRight w:val="0"/>
      <w:marTop w:val="0"/>
      <w:marBottom w:val="0"/>
      <w:divBdr>
        <w:top w:val="none" w:sz="0" w:space="0" w:color="auto"/>
        <w:left w:val="none" w:sz="0" w:space="0" w:color="auto"/>
        <w:bottom w:val="none" w:sz="0" w:space="0" w:color="auto"/>
        <w:right w:val="none" w:sz="0" w:space="0" w:color="auto"/>
      </w:divBdr>
    </w:div>
    <w:div w:id="18821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e.krumina@v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ma.skudra@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ita.jursevica@vm.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spkc.gov.lv/file_download/2518/LV_iedzivotaju_veselibu_ietekmejoso_paradumu_petijums_2014_II_dala.pdf" TargetMode="External"/><Relationship Id="rId3" Type="http://schemas.openxmlformats.org/officeDocument/2006/relationships/hyperlink" Target="http://ec.europa.eu/public_opinion/archives/ebs/ebs_429_en.pdf" TargetMode="External"/><Relationship Id="rId7" Type="http://schemas.openxmlformats.org/officeDocument/2006/relationships/hyperlink" Target="https://www.vid.gov.lv/getfile.aspx?sid=4850" TargetMode="External"/><Relationship Id="rId12" Type="http://schemas.openxmlformats.org/officeDocument/2006/relationships/hyperlink" Target="http://www.vm.gov.lv/images/userfiles/Sabiedribas%20lidzdaliba/protokols_nr_1_13_05_2015.pdf" TargetMode="External"/><Relationship Id="rId2" Type="http://schemas.openxmlformats.org/officeDocument/2006/relationships/hyperlink" Target="http://siteresources.worldbank.org/HEALTHNUTRITIONANDPOPULATION/Resources/281627-1095698140167/TaalEstoniaJune04final.pdf" TargetMode="External"/><Relationship Id="rId1" Type="http://schemas.openxmlformats.org/officeDocument/2006/relationships/hyperlink" Target="http://ec.europa.eu/health/tobacco/docs/tobacco_liability_en.pdf" TargetMode="External"/><Relationship Id="rId6" Type="http://schemas.openxmlformats.org/officeDocument/2006/relationships/hyperlink" Target="http://tap.mk.gov.lv/doc/2015_12/VManot_111115_TPD.2143.docx" TargetMode="External"/><Relationship Id="rId11" Type="http://schemas.openxmlformats.org/officeDocument/2006/relationships/hyperlink" Target="http://www.vm.gov.lv/images/userfiles/Publiska%20apspriede/vmsabvied_240415_likumpr.pdf" TargetMode="External"/><Relationship Id="rId5" Type="http://schemas.openxmlformats.org/officeDocument/2006/relationships/hyperlink" Target="http://likumi.lv/doc.php?id=98236" TargetMode="External"/><Relationship Id="rId10" Type="http://schemas.openxmlformats.org/officeDocument/2006/relationships/hyperlink" Target="http://www.vm.gov.lv/images/userfiles/Sabiedribas%20lidzdaliba/protokols_nr_1_13_05_2015.pdf" TargetMode="External"/><Relationship Id="rId4" Type="http://schemas.openxmlformats.org/officeDocument/2006/relationships/hyperlink" Target="http://ec.europa.eu/public_opinion/archives/ebs/ebs_429_fact_lv_en.pdf" TargetMode="External"/><Relationship Id="rId9" Type="http://schemas.openxmlformats.org/officeDocument/2006/relationships/hyperlink" Target="http://www.vm.gov.lv/lv/aktualitates/sabiedribas_lidzdaliba/publiska_apspriesana_likumprojektam_un_ministru_kabineta_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6DEDA-E70C-46A5-A962-44BF1934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34371</Words>
  <Characters>19593</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Ministru kabineta noteikumu projekta "Brīdinājumu par ietekmi uz veselību noformēšanas un novietošanas prasības un kārtība, kādā ražotājs vai importētājs ziņo par kombinēto brīdinājumu par ietekmi uz veselību izvietošanu" sākotnējās ietekmes novērtējuma z</vt:lpstr>
    </vt:vector>
  </TitlesOfParts>
  <Company>Veselības ministrija</Company>
  <LinksUpToDate>false</LinksUpToDate>
  <CharactersWithSpaces>53857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"Brīdinājumu par ietekmi uz veselību noformēšanas un novietošanas prasības un kārtība, kādā ražotājs vai importētājs ziņo par kombinēto brīdinājumu par ietekmi uz veselību izvietošanu" sākotnējās ietekmes novērtējuma ziņojums (anotācija)</dc:title>
  <dc:subject>anotācija</dc:subject>
  <dc:creator>Alise Krūmiņa;Anita Jurševica;Vēsma Skudra</dc:creator>
  <dc:description>A.Krūmiņa, 67876077; _x000d_
alise.krumina@vm.gov.lv _x000d_
A.Jurševica, 67876186; _x000d_
anita.jursevica@vm.gov.lv  _x000d_
V.Skudra, 6787038;_x000d_
vesma.skudra@vm.gov.lv</dc:description>
  <cp:lastModifiedBy>akrumina</cp:lastModifiedBy>
  <cp:revision>5</cp:revision>
  <cp:lastPrinted>2016-03-01T08:18:00Z</cp:lastPrinted>
  <dcterms:created xsi:type="dcterms:W3CDTF">2016-04-26T09:04:00Z</dcterms:created>
  <dcterms:modified xsi:type="dcterms:W3CDTF">2016-04-26T09:14:00Z</dcterms:modified>
</cp:coreProperties>
</file>