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0" w:rsidRDefault="00577DEF" w:rsidP="0060034D">
      <w:pPr>
        <w:pStyle w:val="Bezatstarpm"/>
        <w:ind w:firstLine="72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0034D">
        <w:rPr>
          <w:rFonts w:ascii="Times New Roman" w:hAnsi="Times New Roman"/>
          <w:b/>
          <w:sz w:val="24"/>
          <w:szCs w:val="24"/>
          <w:lang w:eastAsia="lv-LV"/>
        </w:rPr>
        <w:t>Mini</w:t>
      </w:r>
      <w:r w:rsidR="009A28DC" w:rsidRPr="0060034D">
        <w:rPr>
          <w:rFonts w:ascii="Times New Roman" w:hAnsi="Times New Roman"/>
          <w:b/>
          <w:sz w:val="24"/>
          <w:szCs w:val="24"/>
          <w:lang w:eastAsia="lv-LV"/>
        </w:rPr>
        <w:t>stru kabineta noteikumu projekta</w:t>
      </w:r>
      <w:r w:rsidR="00607341" w:rsidRPr="0060034D">
        <w:rPr>
          <w:rFonts w:ascii="Times New Roman" w:hAnsi="Times New Roman"/>
          <w:b/>
          <w:sz w:val="24"/>
          <w:szCs w:val="24"/>
          <w:lang w:eastAsia="lv-LV"/>
        </w:rPr>
        <w:t xml:space="preserve"> „Grozījums</w:t>
      </w:r>
      <w:r w:rsidRPr="0060034D">
        <w:rPr>
          <w:rFonts w:ascii="Times New Roman" w:hAnsi="Times New Roman"/>
          <w:b/>
          <w:sz w:val="24"/>
          <w:szCs w:val="24"/>
          <w:lang w:eastAsia="lv-LV"/>
        </w:rPr>
        <w:t xml:space="preserve"> Ministru kabineta 2012. gada 10. jūlija noteikumos Nr. 493 "Valsts augu aizsardzības dienesta maksas pakalpojumu cenr</w:t>
      </w:r>
      <w:r w:rsidR="002C5CEA" w:rsidRPr="0060034D">
        <w:rPr>
          <w:rFonts w:ascii="Times New Roman" w:hAnsi="Times New Roman"/>
          <w:b/>
          <w:sz w:val="24"/>
          <w:szCs w:val="24"/>
          <w:lang w:eastAsia="lv-LV"/>
        </w:rPr>
        <w:t>ādis"”</w:t>
      </w:r>
      <w:r w:rsidRPr="0060034D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="00120D10" w:rsidRPr="0060034D">
        <w:rPr>
          <w:rFonts w:ascii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p w:rsidR="0060034D" w:rsidRPr="0060034D" w:rsidRDefault="0060034D" w:rsidP="0060034D">
      <w:pPr>
        <w:pStyle w:val="Bezatstarpm"/>
        <w:ind w:firstLine="72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20"/>
        <w:gridCol w:w="1478"/>
        <w:gridCol w:w="7258"/>
      </w:tblGrid>
      <w:tr w:rsidR="00120D10" w:rsidRPr="002C5CEA" w:rsidTr="001510C8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20D10" w:rsidRPr="002C5CEA" w:rsidTr="001510C8">
        <w:trPr>
          <w:trHeight w:val="40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C76B18">
            <w:pPr>
              <w:spacing w:after="0" w:line="312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2C5CEA" w:rsidRDefault="00577DEF" w:rsidP="0074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Likuma par budžetu un finanšu vadību 5. panta devītā daļa</w:t>
            </w:r>
          </w:p>
        </w:tc>
      </w:tr>
      <w:tr w:rsidR="00120D10" w:rsidRPr="002C5CEA" w:rsidTr="001510C8">
        <w:trPr>
          <w:trHeight w:val="46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2C5CEA" w:rsidRDefault="00577DEF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2C5CEA">
              <w:rPr>
                <w:rFonts w:ascii="Times New Roman" w:hAnsi="Times New Roman"/>
                <w:sz w:val="24"/>
              </w:rPr>
              <w:t xml:space="preserve">Ministru kabineta 2012. gada 10. jūlija noteikumu Nr. 493 "Valsts augu aizsardzības dienesta maksas pakalpojumu cenrādis"” 2.pielikuma 112.punktā ir noteikts </w:t>
            </w:r>
            <w:r w:rsidRPr="00937D76">
              <w:rPr>
                <w:rFonts w:ascii="Times New Roman" w:hAnsi="Times New Roman"/>
                <w:sz w:val="24"/>
              </w:rPr>
              <w:t>maksa</w:t>
            </w:r>
            <w:r w:rsidR="009A28DC" w:rsidRPr="00937D76">
              <w:rPr>
                <w:rFonts w:ascii="Times New Roman" w:hAnsi="Times New Roman"/>
                <w:sz w:val="24"/>
              </w:rPr>
              <w:t>s</w:t>
            </w:r>
            <w:r w:rsidRPr="00937D76">
              <w:rPr>
                <w:rFonts w:ascii="Times New Roman" w:hAnsi="Times New Roman"/>
                <w:sz w:val="24"/>
              </w:rPr>
              <w:t xml:space="preserve"> pakalpojums par novērtējuma sagatavošanu lēmuma pieņemšanai par paziņota mēslošanas līdzekļa vai substrāta iekļaušanu Mēslošanas līdzekļu reģistra atzīto mēslošanas līdzekļu un substrātu sarakstā. Tā kā </w:t>
            </w:r>
            <w:r w:rsidR="00604B78">
              <w:rPr>
                <w:rFonts w:ascii="Times New Roman" w:hAnsi="Times New Roman"/>
                <w:sz w:val="24"/>
              </w:rPr>
              <w:t>jāizdara</w:t>
            </w:r>
            <w:r w:rsidRPr="00937D76">
              <w:rPr>
                <w:rFonts w:ascii="Times New Roman" w:hAnsi="Times New Roman"/>
                <w:sz w:val="24"/>
              </w:rPr>
              <w:t xml:space="preserve"> grozījumi Ministru kabineta 2015.gada 1.sept</w:t>
            </w:r>
            <w:r w:rsidR="00D750A3" w:rsidRPr="00937D76">
              <w:rPr>
                <w:rFonts w:ascii="Times New Roman" w:hAnsi="Times New Roman"/>
                <w:sz w:val="24"/>
              </w:rPr>
              <w:t>em</w:t>
            </w:r>
            <w:r w:rsidRPr="00937D76">
              <w:rPr>
                <w:rFonts w:ascii="Times New Roman" w:hAnsi="Times New Roman"/>
                <w:sz w:val="24"/>
              </w:rPr>
              <w:t xml:space="preserve">bra noteikumos Nr.506 “Mēslošanas līdzekļu un substrātu identifikācijas, kvalitātes atbilstības novērtēšanas un tirdzniecības </w:t>
            </w:r>
            <w:r w:rsidR="009A28DC" w:rsidRPr="00937D76">
              <w:rPr>
                <w:rFonts w:ascii="Times New Roman" w:hAnsi="Times New Roman"/>
                <w:sz w:val="24"/>
              </w:rPr>
              <w:t>noteikumi”</w:t>
            </w:r>
            <w:r w:rsidR="00604B78">
              <w:rPr>
                <w:rFonts w:ascii="Times New Roman" w:hAnsi="Times New Roman"/>
                <w:sz w:val="24"/>
              </w:rPr>
              <w:t>,</w:t>
            </w:r>
            <w:r w:rsidR="009A28DC" w:rsidRPr="00937D76">
              <w:rPr>
                <w:rFonts w:ascii="Times New Roman" w:hAnsi="Times New Roman"/>
                <w:sz w:val="24"/>
              </w:rPr>
              <w:t xml:space="preserve"> </w:t>
            </w:r>
            <w:r w:rsidR="00D750A3" w:rsidRPr="00937D76">
              <w:rPr>
                <w:rFonts w:ascii="Times New Roman" w:hAnsi="Times New Roman"/>
                <w:sz w:val="24"/>
              </w:rPr>
              <w:t xml:space="preserve">vienkāršojot savstarpējās atzīšanas procedūru un </w:t>
            </w:r>
            <w:r w:rsidR="009A28DC" w:rsidRPr="00937D76">
              <w:rPr>
                <w:rFonts w:ascii="Times New Roman" w:hAnsi="Times New Roman"/>
                <w:sz w:val="24"/>
              </w:rPr>
              <w:t xml:space="preserve">nosakot, ka persona </w:t>
            </w:r>
            <w:r w:rsidRPr="00937D76">
              <w:rPr>
                <w:rFonts w:ascii="Times New Roman" w:hAnsi="Times New Roman"/>
                <w:sz w:val="24"/>
              </w:rPr>
              <w:t>ir atbildīga par iesniegto dokumentu atbilstību</w:t>
            </w:r>
            <w:r w:rsidR="00D750A3" w:rsidRPr="00937D76">
              <w:rPr>
                <w:rFonts w:ascii="Times New Roman" w:hAnsi="Times New Roman"/>
                <w:sz w:val="24"/>
              </w:rPr>
              <w:t xml:space="preserve">, samazināsies </w:t>
            </w:r>
            <w:r w:rsidRPr="00937D76">
              <w:rPr>
                <w:rFonts w:ascii="Times New Roman" w:hAnsi="Times New Roman"/>
                <w:sz w:val="24"/>
              </w:rPr>
              <w:t xml:space="preserve">Valsts augu aizsardzības dienesta </w:t>
            </w:r>
            <w:r w:rsidR="00D750A3" w:rsidRPr="00937D76">
              <w:rPr>
                <w:rFonts w:ascii="Times New Roman" w:hAnsi="Times New Roman"/>
                <w:sz w:val="24"/>
              </w:rPr>
              <w:t>darba apjoms</w:t>
            </w:r>
            <w:r w:rsidR="00D36932" w:rsidRPr="00937D76">
              <w:rPr>
                <w:rFonts w:ascii="Times New Roman" w:hAnsi="Times New Roman"/>
                <w:sz w:val="24"/>
              </w:rPr>
              <w:t xml:space="preserve"> dokumentu izskatīšanas un lēmuma pieņemšanas procesā</w:t>
            </w:r>
            <w:r w:rsidR="00604B78">
              <w:rPr>
                <w:rFonts w:ascii="Times New Roman" w:hAnsi="Times New Roman"/>
                <w:sz w:val="24"/>
              </w:rPr>
              <w:t>, tāpēc</w:t>
            </w:r>
            <w:r w:rsidR="00D750A3" w:rsidRPr="00937D76">
              <w:rPr>
                <w:rFonts w:ascii="Times New Roman" w:hAnsi="Times New Roman"/>
                <w:sz w:val="24"/>
              </w:rPr>
              <w:t xml:space="preserve"> par šo pakalpojumu maksa netiks iekasēta.</w:t>
            </w:r>
            <w:r w:rsidR="00D750A3">
              <w:rPr>
                <w:rFonts w:ascii="Times New Roman" w:hAnsi="Times New Roman"/>
                <w:sz w:val="24"/>
              </w:rPr>
              <w:t xml:space="preserve"> </w:t>
            </w:r>
          </w:p>
          <w:p w:rsidR="00577DEF" w:rsidRPr="002C5CEA" w:rsidRDefault="00577DEF" w:rsidP="00937D7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Noteikuma projekta mērķis ir </w:t>
            </w:r>
            <w:r w:rsidR="009A28DC" w:rsidRPr="0093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svītrot</w:t>
            </w:r>
            <w:r w:rsidR="009A2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maksas pakalpojumu par novērtējuma sagatavošanu lēmuma pieņemšanai par paziņota mēslošanas līdzekļa vai substrāta iekļaušanu Mēslošanas līdzekļu reģistra atzīto mēslošanas </w:t>
            </w:r>
            <w:r w:rsid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līdzekļu un substrātu sarakstā.</w:t>
            </w:r>
          </w:p>
        </w:tc>
      </w:tr>
      <w:tr w:rsidR="00120D10" w:rsidRPr="002C5CEA" w:rsidTr="001510C8">
        <w:trPr>
          <w:trHeight w:val="46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B1EFF" w:rsidRPr="002C5CEA" w:rsidRDefault="00577DEF" w:rsidP="0050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120D10" w:rsidRPr="002C5CEA" w:rsidTr="001510C8"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7C6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4"/>
        <w:gridCol w:w="2122"/>
        <w:gridCol w:w="371"/>
        <w:gridCol w:w="906"/>
        <w:gridCol w:w="1420"/>
        <w:gridCol w:w="1419"/>
        <w:gridCol w:w="1274"/>
        <w:gridCol w:w="1271"/>
      </w:tblGrid>
      <w:tr w:rsidR="00120D10" w:rsidRPr="002C5CEA" w:rsidTr="00F95B2C">
        <w:trPr>
          <w:trHeight w:val="555"/>
        </w:trPr>
        <w:tc>
          <w:tcPr>
            <w:tcW w:w="5000" w:type="pct"/>
            <w:gridSpan w:val="8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60034D" w:rsidRDefault="00120D10" w:rsidP="0060034D">
            <w:pPr>
              <w:pStyle w:val="Bezatstarpm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II. Tiesību akta projekta ietekme uz sabiedrību, </w:t>
            </w:r>
          </w:p>
          <w:p w:rsidR="00120D10" w:rsidRPr="0060034D" w:rsidRDefault="00120D10" w:rsidP="0060034D">
            <w:pPr>
              <w:pStyle w:val="Bezatstarpm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tautsaimniecības attīstību un</w:t>
            </w:r>
            <w:r w:rsidR="0060034D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120D10" w:rsidRPr="002C5CEA" w:rsidTr="006601AC">
        <w:trPr>
          <w:trHeight w:val="46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2C5CEA" w:rsidRDefault="00577DEF" w:rsidP="0057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Dati par substrāta ražotājiem, iepakotājiem un ievedējiem, kā arī par mēslošanas līdzekļiem un substrātiem, k</w:t>
            </w:r>
            <w:r w:rsidR="00604B78">
              <w:rPr>
                <w:rFonts w:ascii="Times New Roman" w:hAnsi="Times New Roman"/>
                <w:sz w:val="24"/>
                <w:szCs w:val="24"/>
              </w:rPr>
              <w:t>as</w:t>
            </w:r>
            <w:r w:rsidRPr="002C5CEA">
              <w:rPr>
                <w:rFonts w:ascii="Times New Roman" w:hAnsi="Times New Roman"/>
                <w:sz w:val="24"/>
                <w:szCs w:val="24"/>
              </w:rPr>
              <w:t xml:space="preserve"> atzīti citā dalībvalstī, nav pieejami.</w:t>
            </w:r>
          </w:p>
        </w:tc>
      </w:tr>
      <w:tr w:rsidR="00120D10" w:rsidRPr="002C5CEA" w:rsidTr="006601AC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345AA" w:rsidRPr="002C5CEA" w:rsidRDefault="00577DEF" w:rsidP="006345AA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7464F9" w:rsidRPr="002C5CEA" w:rsidRDefault="007464F9" w:rsidP="00577D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D10" w:rsidRPr="002C5CEA" w:rsidTr="006601AC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20D10" w:rsidRPr="002C5CEA" w:rsidTr="006601AC">
        <w:trPr>
          <w:trHeight w:val="34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9A627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AE568E" w:rsidRPr="002C5CEA" w:rsidTr="006601AC">
        <w:trPr>
          <w:trHeight w:val="34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2C5CEA" w:rsidRDefault="00AE568E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2C5CEA" w:rsidRDefault="00AE568E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AE568E" w:rsidRPr="002C5CEA" w:rsidRDefault="00AE568E" w:rsidP="009A627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F0A62" w:rsidRPr="002C5CEA" w:rsidTr="00F95B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034D" w:rsidRDefault="007F0A62" w:rsidP="006003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III. Tiesību akta projekta ietekme uz valsts </w:t>
            </w:r>
          </w:p>
          <w:p w:rsidR="007F0A62" w:rsidRPr="002C5CEA" w:rsidRDefault="007F0A62" w:rsidP="0060034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budžetu un pašvaldību budžetiem</w:t>
            </w:r>
          </w:p>
        </w:tc>
      </w:tr>
      <w:tr w:rsidR="007F0A62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Rādītāji</w:t>
            </w:r>
          </w:p>
        </w:tc>
        <w:tc>
          <w:tcPr>
            <w:tcW w:w="1441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6184" w:rsidRPr="002C5C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C5CEA">
              <w:rPr>
                <w:rFonts w:ascii="Times New Roman" w:hAnsi="Times New Roman"/>
                <w:b/>
                <w:sz w:val="24"/>
                <w:szCs w:val="24"/>
              </w:rPr>
              <w:t>. gads</w:t>
            </w: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1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Turpmākie trīs gadi (euro)</w:t>
            </w:r>
          </w:p>
        </w:tc>
      </w:tr>
      <w:tr w:rsidR="00F92F70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41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146184"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146184"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146184"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F92F70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F92F70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AE568E" w:rsidRPr="002C5CEA" w:rsidTr="00786906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2C5CEA" w:rsidRDefault="00AE568E" w:rsidP="00AE5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</w:tr>
      <w:tr w:rsidR="00AE568E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2C5CEA" w:rsidRDefault="00AE568E" w:rsidP="00AE5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</w:tr>
      <w:tr w:rsidR="00AE568E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2C5CEA" w:rsidRDefault="00AE568E" w:rsidP="00AE5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E568E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2C5CEA" w:rsidRDefault="00AE568E" w:rsidP="00AE5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E568E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2C5CEA" w:rsidRDefault="00AE568E" w:rsidP="00AE5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</w:tr>
      <w:tr w:rsidR="00AE568E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2C5CEA" w:rsidRDefault="00AE568E" w:rsidP="00AE5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568E" w:rsidRPr="004A0A3A" w:rsidRDefault="00AE568E" w:rsidP="00AE5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E568E" w:rsidRPr="004A0A3A" w:rsidRDefault="00AE568E" w:rsidP="00AE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color w:val="000000"/>
                <w:sz w:val="24"/>
                <w:szCs w:val="24"/>
              </w:rPr>
              <w:t>-711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8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8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0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B4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86906" w:rsidRPr="002C5CEA" w:rsidTr="00931F64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6. Detalizēts ieņēmumu un izdevumu aprēķins (ja nepieciešams, detalizētu ieņēmumu un izdevumu aprēķinu var pievienot </w:t>
            </w: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anotācijas pielikumā):</w:t>
            </w:r>
          </w:p>
        </w:tc>
        <w:tc>
          <w:tcPr>
            <w:tcW w:w="3559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31F64" w:rsidRPr="00C64F8F" w:rsidRDefault="00786906" w:rsidP="00931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2015.gada 30.decembrī stājās spēkā grozījumi </w:t>
            </w:r>
            <w:r w:rsidR="00996449" w:rsidRPr="004A0A3A">
              <w:rPr>
                <w:rFonts w:ascii="Times New Roman" w:hAnsi="Times New Roman"/>
                <w:sz w:val="24"/>
                <w:szCs w:val="24"/>
              </w:rPr>
              <w:t xml:space="preserve">2012. gada 10. jūlija noteikumos Nr. 493 "Valsts augu aizsardzības dienesta maksas pakalpojumu </w:t>
            </w:r>
            <w:r w:rsidR="00996449" w:rsidRPr="00C64F8F">
              <w:rPr>
                <w:rFonts w:ascii="Times New Roman" w:hAnsi="Times New Roman"/>
                <w:sz w:val="24"/>
                <w:szCs w:val="24"/>
              </w:rPr>
              <w:t>cenrādis"</w:t>
            </w:r>
            <w:r w:rsidR="00931F64" w:rsidRPr="00C64F8F">
              <w:rPr>
                <w:rFonts w:ascii="Times New Roman" w:hAnsi="Times New Roman"/>
                <w:sz w:val="24"/>
                <w:szCs w:val="24"/>
              </w:rPr>
              <w:t xml:space="preserve">, iekļaujot jaunu maksas pakalpojumu izcenojumu </w:t>
            </w:r>
            <w:r w:rsidR="00C64F8F">
              <w:rPr>
                <w:rFonts w:ascii="Times New Roman" w:hAnsi="Times New Roman"/>
                <w:sz w:val="24"/>
                <w:szCs w:val="24"/>
              </w:rPr>
              <w:t>–</w:t>
            </w:r>
            <w:r w:rsidR="00931F64" w:rsidRPr="00C6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F64" w:rsidRPr="00CF372A">
              <w:rPr>
                <w:rFonts w:ascii="Times New Roman" w:hAnsi="Times New Roman"/>
                <w:sz w:val="24"/>
                <w:szCs w:val="24"/>
              </w:rPr>
              <w:t>novērtējuma sagatavošan</w:t>
            </w:r>
            <w:r w:rsidR="00C64F8F">
              <w:rPr>
                <w:rFonts w:ascii="Times New Roman" w:hAnsi="Times New Roman"/>
                <w:sz w:val="24"/>
                <w:szCs w:val="24"/>
              </w:rPr>
              <w:t>u</w:t>
            </w:r>
            <w:r w:rsidR="00931F64" w:rsidRPr="00CF372A">
              <w:rPr>
                <w:rFonts w:ascii="Times New Roman" w:hAnsi="Times New Roman"/>
                <w:sz w:val="24"/>
                <w:szCs w:val="24"/>
              </w:rPr>
              <w:t>, lai pieņemtu lēmumu par paziņotu mēslošanas līdzekļu un substrātu iekļaušanu sarakstā</w:t>
            </w:r>
            <w:r w:rsidR="00996449" w:rsidRPr="00C64F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6906" w:rsidRPr="004A0A3A" w:rsidRDefault="00786906" w:rsidP="00931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Plānotie ieņēmumi par </w:t>
            </w:r>
            <w:r w:rsidR="00996449" w:rsidRPr="004A0A3A">
              <w:rPr>
                <w:rFonts w:ascii="Times New Roman" w:hAnsi="Times New Roman"/>
                <w:sz w:val="24"/>
                <w:szCs w:val="24"/>
              </w:rPr>
              <w:t xml:space="preserve">jauno </w:t>
            </w:r>
            <w:r w:rsidRPr="004A0A3A">
              <w:rPr>
                <w:rFonts w:ascii="Times New Roman" w:hAnsi="Times New Roman"/>
                <w:sz w:val="24"/>
                <w:szCs w:val="24"/>
              </w:rPr>
              <w:t>maksas pakalpojumu</w:t>
            </w:r>
            <w:r w:rsidR="00996449" w:rsidRPr="004A0A3A">
              <w:rPr>
                <w:rFonts w:ascii="Times New Roman" w:hAnsi="Times New Roman"/>
                <w:sz w:val="24"/>
                <w:szCs w:val="24"/>
              </w:rPr>
              <w:t xml:space="preserve"> bija plānoti šādā apmērā:</w:t>
            </w:r>
          </w:p>
          <w:p w:rsidR="00786906" w:rsidRPr="004A0A3A" w:rsidRDefault="00786906" w:rsidP="000A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3A">
              <w:rPr>
                <w:rFonts w:ascii="Times New Roman" w:hAnsi="Times New Roman"/>
                <w:sz w:val="24"/>
                <w:szCs w:val="24"/>
              </w:rPr>
              <w:t>2016.gadā plānots, ka tiks sagatavoti 10 novērtējumi</w:t>
            </w:r>
            <w:r w:rsidR="00C64F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0A3A">
              <w:rPr>
                <w:rFonts w:ascii="Times New Roman" w:hAnsi="Times New Roman"/>
                <w:sz w:val="24"/>
                <w:szCs w:val="24"/>
              </w:rPr>
              <w:t xml:space="preserve">71,14 </w:t>
            </w:r>
            <w:r w:rsidRPr="004A0A3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64F8F">
              <w:rPr>
                <w:rFonts w:ascii="Times New Roman" w:hAnsi="Times New Roman"/>
                <w:sz w:val="24"/>
                <w:szCs w:val="24"/>
              </w:rPr>
              <w:t> </w:t>
            </w:r>
            <w:r w:rsidRPr="004A0A3A">
              <w:rPr>
                <w:rFonts w:ascii="Times New Roman" w:hAnsi="Times New Roman"/>
                <w:sz w:val="24"/>
                <w:szCs w:val="24"/>
              </w:rPr>
              <w:t>*</w:t>
            </w:r>
            <w:r w:rsidR="00C64F8F">
              <w:rPr>
                <w:rFonts w:ascii="Times New Roman" w:hAnsi="Times New Roman"/>
                <w:sz w:val="24"/>
                <w:szCs w:val="24"/>
              </w:rPr>
              <w:t> </w:t>
            </w:r>
            <w:r w:rsidRPr="004A0A3A">
              <w:rPr>
                <w:rFonts w:ascii="Times New Roman" w:hAnsi="Times New Roman"/>
                <w:sz w:val="24"/>
                <w:szCs w:val="24"/>
              </w:rPr>
              <w:t>10 novērtējumi = 711,40</w:t>
            </w:r>
            <w:r w:rsidRPr="004A0A3A">
              <w:rPr>
                <w:rFonts w:ascii="Times New Roman" w:hAnsi="Times New Roman"/>
                <w:i/>
                <w:sz w:val="24"/>
                <w:szCs w:val="24"/>
              </w:rPr>
              <w:t xml:space="preserve"> euro;</w:t>
            </w:r>
          </w:p>
          <w:p w:rsidR="00786906" w:rsidRPr="00CF372A" w:rsidRDefault="00786906" w:rsidP="00931F64">
            <w:pPr>
              <w:spacing w:after="0" w:line="240" w:lineRule="auto"/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CF372A">
              <w:rPr>
                <w:rFonts w:ascii="Times New Roman" w:hAnsi="Times New Roman"/>
                <w:sz w:val="24"/>
                <w:szCs w:val="24"/>
              </w:rPr>
              <w:t>2017.gadā plānots, ka tiks sagatavoti 30 novērtējumi</w:t>
            </w:r>
            <w:r w:rsidR="00C64F8F" w:rsidRPr="00CF37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 xml:space="preserve">71,14 </w:t>
            </w:r>
            <w:r w:rsidRPr="00CF372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 xml:space="preserve"> * 30 novērtējumi = 2134,20</w:t>
            </w:r>
            <w:r w:rsidRPr="00CF372A">
              <w:rPr>
                <w:rFonts w:ascii="Times New Roman" w:hAnsi="Times New Roman"/>
                <w:i/>
                <w:sz w:val="24"/>
                <w:szCs w:val="24"/>
              </w:rPr>
              <w:t xml:space="preserve"> euro;</w:t>
            </w:r>
          </w:p>
          <w:p w:rsidR="00786906" w:rsidRPr="00CF372A" w:rsidRDefault="00786906" w:rsidP="00931F64">
            <w:pPr>
              <w:spacing w:after="0" w:line="240" w:lineRule="auto"/>
              <w:ind w:firstLine="301"/>
              <w:rPr>
                <w:rFonts w:ascii="Times New Roman" w:hAnsi="Times New Roman"/>
                <w:i/>
                <w:sz w:val="24"/>
                <w:szCs w:val="24"/>
              </w:rPr>
            </w:pPr>
            <w:r w:rsidRPr="00CF372A">
              <w:rPr>
                <w:rFonts w:ascii="Times New Roman" w:hAnsi="Times New Roman"/>
                <w:sz w:val="24"/>
                <w:szCs w:val="24"/>
              </w:rPr>
              <w:t>2018.gadā plānots, ka tiks sagatavoti 30 novērtējumi</w:t>
            </w:r>
            <w:r w:rsidR="00C64F8F" w:rsidRPr="00CF37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 xml:space="preserve">71,14 </w:t>
            </w:r>
            <w:r w:rsidRPr="00CF372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 xml:space="preserve"> * 30 novērtējumi = 2134,20</w:t>
            </w:r>
            <w:r w:rsidRPr="00CF372A">
              <w:rPr>
                <w:rFonts w:ascii="Times New Roman" w:hAnsi="Times New Roman"/>
                <w:i/>
                <w:sz w:val="24"/>
                <w:szCs w:val="24"/>
              </w:rPr>
              <w:t xml:space="preserve"> euro.</w:t>
            </w:r>
          </w:p>
          <w:p w:rsidR="00A52E88" w:rsidRPr="00CF372A" w:rsidRDefault="00A52E88" w:rsidP="00A52E88">
            <w:pPr>
              <w:spacing w:after="0" w:line="240" w:lineRule="auto"/>
              <w:ind w:firstLine="301"/>
              <w:rPr>
                <w:rFonts w:ascii="Times New Roman" w:hAnsi="Times New Roman"/>
                <w:i/>
                <w:sz w:val="24"/>
                <w:szCs w:val="24"/>
              </w:rPr>
            </w:pPr>
            <w:r w:rsidRPr="00CF372A">
              <w:rPr>
                <w:rFonts w:ascii="Times New Roman" w:hAnsi="Times New Roman"/>
                <w:i/>
                <w:sz w:val="24"/>
                <w:szCs w:val="24"/>
              </w:rPr>
              <w:t xml:space="preserve">2019.gadā, ka tiks 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>sagatavoti 30 novērtējumi</w:t>
            </w:r>
            <w:r w:rsidR="00C64F8F" w:rsidRPr="00CF37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 xml:space="preserve">71,14 </w:t>
            </w:r>
            <w:r w:rsidRPr="00CF372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 xml:space="preserve"> * 30 novērtējumi = 2134,20</w:t>
            </w:r>
            <w:r w:rsidRPr="00CF372A">
              <w:rPr>
                <w:rFonts w:ascii="Times New Roman" w:hAnsi="Times New Roman"/>
                <w:i/>
                <w:sz w:val="24"/>
                <w:szCs w:val="24"/>
              </w:rPr>
              <w:t xml:space="preserve"> euro.</w:t>
            </w:r>
          </w:p>
          <w:p w:rsidR="00786906" w:rsidRPr="004A0A3A" w:rsidRDefault="00786906" w:rsidP="00CF3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F372A">
              <w:rPr>
                <w:rFonts w:ascii="Times New Roman" w:hAnsi="Times New Roman"/>
                <w:sz w:val="24"/>
                <w:szCs w:val="24"/>
              </w:rPr>
              <w:t xml:space="preserve">Prognozes </w:t>
            </w:r>
            <w:r w:rsidR="00931F64" w:rsidRPr="00CF372A">
              <w:rPr>
                <w:rFonts w:ascii="Times New Roman" w:hAnsi="Times New Roman"/>
                <w:sz w:val="24"/>
                <w:szCs w:val="24"/>
              </w:rPr>
              <w:t xml:space="preserve">tika 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 xml:space="preserve">veidotas, ņemot vērā Valsts augu aizsardzības dienestam pieejamo informāciju par </w:t>
            </w:r>
            <w:r w:rsidRPr="00C64F8F">
              <w:rPr>
                <w:rStyle w:val="Komentraatsauce"/>
                <w:rFonts w:ascii="Times New Roman" w:hAnsi="Times New Roman"/>
                <w:sz w:val="24"/>
                <w:szCs w:val="24"/>
              </w:rPr>
              <w:t>m</w:t>
            </w:r>
            <w:r w:rsidRPr="00CF372A">
              <w:rPr>
                <w:rFonts w:ascii="Times New Roman" w:hAnsi="Times New Roman"/>
                <w:bCs/>
                <w:sz w:val="24"/>
                <w:szCs w:val="24"/>
              </w:rPr>
              <w:t xml:space="preserve">ēslošanas līdzekļu un substrātu ražotāju un ievedēju </w:t>
            </w:r>
            <w:r w:rsidRPr="00CF372A">
              <w:rPr>
                <w:rFonts w:ascii="Times New Roman" w:hAnsi="Times New Roman"/>
                <w:sz w:val="24"/>
                <w:szCs w:val="24"/>
              </w:rPr>
              <w:t>ieinteresētību tirgot Latvijā paziņotu mēslošanas līdzekli vai substrātu.</w:t>
            </w: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3559" w:type="pct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559" w:type="pct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86906" w:rsidRPr="000B4B84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86906" w:rsidRPr="002C5CEA" w:rsidTr="006601A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2C5CEA" w:rsidRDefault="00786906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55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6906" w:rsidRPr="004A0A3A" w:rsidRDefault="00C64F8F" w:rsidP="00CF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Ievērojot</w:t>
            </w:r>
            <w:r w:rsidR="00931F64" w:rsidRPr="004A0A3A">
              <w:rPr>
                <w:rFonts w:ascii="Times New Roman" w:hAnsi="Times New Roman"/>
                <w:sz w:val="24"/>
                <w:szCs w:val="24"/>
              </w:rPr>
              <w:t xml:space="preserve"> precizēto </w:t>
            </w:r>
            <w:r w:rsidR="00931F64" w:rsidRPr="00C64F8F">
              <w:rPr>
                <w:rFonts w:ascii="Times New Roman" w:hAnsi="Times New Roman"/>
                <w:sz w:val="24"/>
                <w:szCs w:val="24"/>
              </w:rPr>
              <w:t xml:space="preserve">un atviegloto Mēslošanas līdzekļa un substrāta paziņošanas kārtību, Valsts augu aizsardzības dienests </w:t>
            </w:r>
            <w:r w:rsidR="00931F64" w:rsidRPr="00CF372A">
              <w:rPr>
                <w:rFonts w:ascii="Times New Roman" w:hAnsi="Times New Roman"/>
                <w:sz w:val="24"/>
                <w:szCs w:val="24"/>
              </w:rPr>
              <w:t>novērtējuma sagatavošan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="00931F64" w:rsidRPr="00CF372A">
              <w:rPr>
                <w:rFonts w:ascii="Times New Roman" w:hAnsi="Times New Roman"/>
                <w:sz w:val="24"/>
                <w:szCs w:val="24"/>
              </w:rPr>
              <w:t>, lai pieņemtu lēmumu par paziņotu mēslošanas līdzekļu un substrātu iekļaušanu sarakstā</w:t>
            </w:r>
            <w:r w:rsidR="00A52E88" w:rsidRPr="00CF372A">
              <w:rPr>
                <w:rFonts w:ascii="Times New Roman" w:hAnsi="Times New Roman"/>
                <w:sz w:val="24"/>
                <w:szCs w:val="24"/>
              </w:rPr>
              <w:t>,</w:t>
            </w:r>
            <w:r w:rsidR="00931F64" w:rsidRPr="00C6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izmantos</w:t>
            </w:r>
            <w:r w:rsidR="00931F64" w:rsidRPr="00C64F8F">
              <w:rPr>
                <w:rFonts w:ascii="Times New Roman" w:hAnsi="Times New Roman"/>
                <w:sz w:val="24"/>
                <w:szCs w:val="24"/>
              </w:rPr>
              <w:t xml:space="preserve"> piešķirt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="00931F64" w:rsidRPr="00C64F8F">
              <w:rPr>
                <w:rFonts w:ascii="Times New Roman" w:hAnsi="Times New Roman"/>
                <w:sz w:val="24"/>
                <w:szCs w:val="24"/>
              </w:rPr>
              <w:t xml:space="preserve"> valsts budžeta līdzekļ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 w:rsidR="000A7347" w:rsidRPr="00C6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E88" w:rsidRPr="00C64F8F">
              <w:rPr>
                <w:rFonts w:ascii="Times New Roman" w:hAnsi="Times New Roman"/>
                <w:sz w:val="24"/>
                <w:szCs w:val="24"/>
              </w:rPr>
              <w:t>no valsts budžeta programmas 27.00.00. „Augu veselība un augu aprites uzraudzība”</w:t>
            </w:r>
            <w:r w:rsidR="00931F64" w:rsidRPr="00C64F8F">
              <w:rPr>
                <w:rFonts w:ascii="Times New Roman" w:hAnsi="Times New Roman"/>
                <w:sz w:val="24"/>
                <w:szCs w:val="24"/>
              </w:rPr>
              <w:t>, nepiemērojot maksas pakalpojumu par novērtējuma sagatavošanu.</w:t>
            </w:r>
          </w:p>
        </w:tc>
      </w:tr>
    </w:tbl>
    <w:p w:rsidR="00F95B2C" w:rsidRPr="002C5CEA" w:rsidRDefault="00F95B2C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352"/>
        <w:gridCol w:w="6435"/>
      </w:tblGrid>
      <w:tr w:rsidR="00120D10" w:rsidRPr="002C5CEA" w:rsidTr="001510C8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60034D" w:rsidRDefault="00120D10" w:rsidP="0060034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IV. Tiesību akta projekta ietekme uz spēkā </w:t>
            </w:r>
          </w:p>
          <w:p w:rsidR="00120D10" w:rsidRPr="002C5CEA" w:rsidRDefault="00120D10" w:rsidP="0060034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esošo tiesību normu sistēmu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C5CEA" w:rsidRPr="002C5CEA" w:rsidRDefault="002C5CEA" w:rsidP="002C5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Jāsagatavo grozījumi Ministru kabineta 2015.gada 1</w:t>
            </w:r>
            <w:r w:rsidRPr="00937D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.sept</w:t>
            </w:r>
            <w:r w:rsidR="00D750A3" w:rsidRPr="00937D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em</w:t>
            </w:r>
            <w:r w:rsidRPr="00937D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bra</w:t>
            </w:r>
            <w:r w:rsidRPr="002C5C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noteikumos Nr.506 “Mēslošanas līdzekļu un substrātu identifikācijas, kvalitātes atbilstības novērtēšanas un tirdzniecības noteikumi”</w:t>
            </w:r>
            <w:r w:rsidR="00604B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, ar </w:t>
            </w:r>
            <w:r w:rsidR="00C64F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t</w:t>
            </w:r>
            <w:r w:rsidR="00604B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iem </w:t>
            </w:r>
            <w:r w:rsidR="006073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vienkāršo</w:t>
            </w:r>
            <w:r w:rsidR="00C64F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jot</w:t>
            </w:r>
            <w:r w:rsidR="00607341" w:rsidRPr="006073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savst</w:t>
            </w:r>
            <w:r w:rsidR="006073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arpējās atzīšanas procedūru un </w:t>
            </w:r>
            <w:r w:rsidR="00604B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no</w:t>
            </w:r>
            <w:r w:rsidR="00C64F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sakot</w:t>
            </w:r>
            <w:r w:rsidR="00607341" w:rsidRPr="006073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, ka persona ir atbildīga par i</w:t>
            </w:r>
            <w:r w:rsidR="006073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esniegto dokumentu atbilstību.</w:t>
            </w:r>
          </w:p>
          <w:p w:rsidR="00B93BE8" w:rsidRDefault="002C5CEA" w:rsidP="00B77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Projekt</w:t>
            </w:r>
            <w:r w:rsidR="00B772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s </w:t>
            </w:r>
            <w:r w:rsidR="00B77202" w:rsidRPr="00B93B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Valsts sekretāru sanāksmēs izsludināts 2016. gada 18.</w:t>
            </w:r>
            <w:r w:rsidR="00C64F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B77202" w:rsidRPr="00B93B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februārī protokola Nr. 7 19. § (VSS-136</w:t>
            </w:r>
            <w:r w:rsidR="00B93B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).</w:t>
            </w:r>
          </w:p>
          <w:p w:rsidR="00055679" w:rsidRPr="002C5CEA" w:rsidRDefault="00055679" w:rsidP="00B77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93B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Noteikumu projektam jāstājas spēkā vienlai</w:t>
            </w:r>
            <w:r w:rsidR="00C64F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kus</w:t>
            </w:r>
            <w:r w:rsidRPr="00B93B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ar grozījumiem</w:t>
            </w:r>
            <w:r w:rsidRPr="00B93BE8">
              <w:t xml:space="preserve"> </w:t>
            </w:r>
            <w:r w:rsidRPr="00B93B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Ministru kabineta 2015.gada 1.septembra noteikumos Nr.506 “Mēslošanas līdzekļu un substrātu identifikācijas, kvalitātes atbilstības novērtēšanas un tirdzniecības noteikumi”.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2C5C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ministrija</w:t>
            </w:r>
            <w:r w:rsidR="00B337F1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23356B">
            <w:pPr>
              <w:spacing w:after="0"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981"/>
        <w:gridCol w:w="5806"/>
      </w:tblGrid>
      <w:tr w:rsidR="00120D10" w:rsidRPr="002C5CEA" w:rsidTr="001510C8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60034D" w:rsidRDefault="00120D10" w:rsidP="0060034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VI. Sabiedrības līdzdalība un </w:t>
            </w:r>
          </w:p>
          <w:p w:rsidR="00120D10" w:rsidRPr="002C5CEA" w:rsidRDefault="00120D10" w:rsidP="0060034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komunikācijas aktivitātes</w:t>
            </w:r>
          </w:p>
        </w:tc>
      </w:tr>
      <w:tr w:rsidR="00120D10" w:rsidRPr="002C5CEA" w:rsidTr="001510C8">
        <w:trPr>
          <w:trHeight w:val="54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Pr="002F7822" w:rsidRDefault="002F7822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t xml:space="preserve"> </w:t>
            </w: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Projekts tika ievietots Zemkopības ministrijas tīmekļa vietnē.</w:t>
            </w:r>
          </w:p>
        </w:tc>
      </w:tr>
      <w:tr w:rsidR="00120D10" w:rsidRPr="002C5CEA" w:rsidTr="001510C8">
        <w:trPr>
          <w:trHeight w:val="60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33BC8" w:rsidRPr="002F7822" w:rsidRDefault="002C5CEA" w:rsidP="00233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22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120D10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A20A8" w:rsidRPr="002A602D" w:rsidRDefault="00BA20A8" w:rsidP="00E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02D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="007B6FC4" w:rsidRPr="002A602D">
              <w:rPr>
                <w:rFonts w:ascii="Times New Roman" w:hAnsi="Times New Roman"/>
                <w:sz w:val="24"/>
                <w:szCs w:val="24"/>
              </w:rPr>
              <w:t xml:space="preserve">ievietošanas tīmekļa vietnē </w:t>
            </w:r>
            <w:r w:rsidR="00E42D95" w:rsidRPr="002A602D">
              <w:rPr>
                <w:rFonts w:ascii="Times New Roman" w:hAnsi="Times New Roman"/>
                <w:sz w:val="24"/>
                <w:szCs w:val="24"/>
              </w:rPr>
              <w:t xml:space="preserve">priekšlikumi un komentāri </w:t>
            </w:r>
            <w:r w:rsidR="007B6FC4" w:rsidRPr="002A602D">
              <w:rPr>
                <w:rFonts w:ascii="Times New Roman" w:hAnsi="Times New Roman"/>
                <w:sz w:val="24"/>
                <w:szCs w:val="24"/>
              </w:rPr>
              <w:t>netika</w:t>
            </w:r>
            <w:r w:rsidRPr="002A602D">
              <w:rPr>
                <w:rFonts w:ascii="Times New Roman" w:hAnsi="Times New Roman"/>
                <w:sz w:val="24"/>
                <w:szCs w:val="24"/>
              </w:rPr>
              <w:t xml:space="preserve"> saņemti</w:t>
            </w:r>
            <w:r w:rsidR="00E42D95" w:rsidRPr="002A602D">
              <w:rPr>
                <w:rFonts w:ascii="Times New Roman" w:hAnsi="Times New Roman"/>
                <w:sz w:val="24"/>
                <w:szCs w:val="24"/>
              </w:rPr>
              <w:t>.</w:t>
            </w:r>
            <w:r w:rsidRPr="002A6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D10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F7822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F7822" w:rsidRDefault="00120D10" w:rsidP="009266D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F7822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3136"/>
        <w:gridCol w:w="5651"/>
      </w:tblGrid>
      <w:tr w:rsidR="00120D10" w:rsidRPr="002C5CEA" w:rsidTr="001510C8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60034D" w:rsidRDefault="00120D10" w:rsidP="0060034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VII. Tiesību akta projekta izpildes nodrošināšana </w:t>
            </w:r>
          </w:p>
          <w:p w:rsidR="00120D10" w:rsidRPr="002C5CEA" w:rsidRDefault="00120D10" w:rsidP="0060034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un tās ietekme uz institūcijām</w:t>
            </w:r>
          </w:p>
        </w:tc>
      </w:tr>
      <w:tr w:rsidR="00120D10" w:rsidRPr="002C5CEA" w:rsidTr="001510C8">
        <w:trPr>
          <w:trHeight w:val="42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Pr="002C5CEA" w:rsidRDefault="00120D1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51253C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alsts augu aizsardzības dienests</w:t>
            </w:r>
          </w:p>
          <w:p w:rsidR="00B35EB3" w:rsidRPr="002C5CEA" w:rsidRDefault="00B35EB3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:rsidTr="001510C8">
        <w:trPr>
          <w:trHeight w:val="45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:rsidR="00120D10" w:rsidRPr="002C5CEA" w:rsidRDefault="00120D10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Nav paredzēta jaunu institūciju izveide, esošu institūciju likvidācija vai reorganizācija, </w:t>
            </w:r>
            <w:r w:rsidR="00B337F1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 arī </w:t>
            </w: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to ietekme uz institūcijas cilvēkresursiem</w:t>
            </w:r>
            <w:r w:rsidR="00B337F1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B35EB3" w:rsidRPr="002C5CEA" w:rsidRDefault="00B35EB3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B35EB3" w:rsidRPr="002C5CEA" w:rsidRDefault="00B35EB3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Jaunas institūcijas veidošana nav paredzēta, un esošo iestāžu funkcijas nemainās.</w:t>
            </w:r>
          </w:p>
          <w:p w:rsidR="00B35EB3" w:rsidRPr="002C5CEA" w:rsidRDefault="00B35EB3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:rsidTr="001510C8">
        <w:trPr>
          <w:trHeight w:val="39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3A25E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7B6FC4" w:rsidRDefault="00BA20A8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034D" w:rsidRDefault="007B6FC4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02D">
        <w:rPr>
          <w:rFonts w:ascii="Times New Roman" w:hAnsi="Times New Roman"/>
          <w:sz w:val="24"/>
          <w:szCs w:val="24"/>
        </w:rPr>
        <w:t>V sadaļa – projekts šīs jomas neskar.</w:t>
      </w: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B84" w:rsidRDefault="000B4B84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D10" w:rsidRDefault="001C6846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CEA">
        <w:rPr>
          <w:rFonts w:ascii="Times New Roman" w:hAnsi="Times New Roman"/>
          <w:sz w:val="24"/>
          <w:szCs w:val="24"/>
        </w:rPr>
        <w:t>Zemkopības ministr</w:t>
      </w:r>
      <w:r w:rsidR="00450499" w:rsidRPr="002C5CEA">
        <w:rPr>
          <w:rFonts w:ascii="Times New Roman" w:hAnsi="Times New Roman"/>
          <w:sz w:val="24"/>
          <w:szCs w:val="24"/>
        </w:rPr>
        <w:t>s</w:t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60034D">
        <w:rPr>
          <w:rFonts w:ascii="Times New Roman" w:hAnsi="Times New Roman"/>
          <w:sz w:val="24"/>
          <w:szCs w:val="24"/>
        </w:rPr>
        <w:tab/>
      </w:r>
      <w:r w:rsidR="0060034D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 xml:space="preserve"> J.Dūklavs</w:t>
      </w:r>
      <w:r w:rsidRPr="002C5CEA">
        <w:rPr>
          <w:rFonts w:ascii="Times New Roman" w:hAnsi="Times New Roman"/>
          <w:sz w:val="24"/>
          <w:szCs w:val="24"/>
        </w:rPr>
        <w:t xml:space="preserve"> </w:t>
      </w: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4D" w:rsidRDefault="0060034D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B84" w:rsidRDefault="000B4B84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B84" w:rsidRDefault="000B4B84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B84" w:rsidRPr="002C5CEA" w:rsidRDefault="000B4B84" w:rsidP="0060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B84" w:rsidRDefault="000B4B84" w:rsidP="00CA743F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31.03.2016. 16:36</w:t>
      </w:r>
    </w:p>
    <w:p w:rsidR="000B4B84" w:rsidRDefault="000B4B84" w:rsidP="00CA743F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888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C76B18" w:rsidRPr="002C5CEA" w:rsidRDefault="00C76B18" w:rsidP="00CA743F">
      <w:pPr>
        <w:pStyle w:val="Bezatstarpm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C5CEA">
        <w:rPr>
          <w:rFonts w:ascii="Times New Roman" w:hAnsi="Times New Roman"/>
          <w:sz w:val="20"/>
          <w:szCs w:val="20"/>
        </w:rPr>
        <w:t>A.Mitre</w:t>
      </w:r>
    </w:p>
    <w:p w:rsidR="00120D10" w:rsidRPr="0060034D" w:rsidRDefault="00120D10" w:rsidP="00F95B2C">
      <w:pPr>
        <w:pStyle w:val="Bezatstarpm"/>
        <w:rPr>
          <w:rFonts w:ascii="Times New Roman" w:hAnsi="Times New Roman"/>
          <w:sz w:val="20"/>
          <w:szCs w:val="20"/>
        </w:rPr>
      </w:pPr>
      <w:r w:rsidRPr="002C5CEA">
        <w:rPr>
          <w:rFonts w:ascii="Times New Roman" w:hAnsi="Times New Roman"/>
          <w:sz w:val="20"/>
          <w:szCs w:val="20"/>
        </w:rPr>
        <w:t>6</w:t>
      </w:r>
      <w:r w:rsidR="00C76B18" w:rsidRPr="002C5CEA">
        <w:rPr>
          <w:rFonts w:ascii="Times New Roman" w:hAnsi="Times New Roman"/>
          <w:sz w:val="20"/>
          <w:szCs w:val="20"/>
        </w:rPr>
        <w:t>7878703</w:t>
      </w:r>
      <w:r w:rsidRPr="002C5CEA">
        <w:rPr>
          <w:rFonts w:ascii="Times New Roman" w:hAnsi="Times New Roman"/>
          <w:sz w:val="20"/>
          <w:szCs w:val="20"/>
        </w:rPr>
        <w:t>,</w:t>
      </w:r>
      <w:r w:rsidR="00C76B18" w:rsidRPr="002C5CEA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AF085B" w:rsidRPr="002C5CEA">
          <w:rPr>
            <w:rStyle w:val="Hipersaite"/>
            <w:rFonts w:ascii="Times New Roman" w:hAnsi="Times New Roman"/>
            <w:sz w:val="20"/>
            <w:szCs w:val="20"/>
          </w:rPr>
          <w:t>Aiga.Mitre@zm.gov.lv</w:t>
        </w:r>
      </w:hyperlink>
      <w:hyperlink r:id="rId9" w:history="1"/>
    </w:p>
    <w:sectPr w:rsidR="00120D10" w:rsidRPr="0060034D" w:rsidSect="0060034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EB" w:rsidRDefault="003443EB" w:rsidP="001E3B9F">
      <w:pPr>
        <w:spacing w:after="0" w:line="240" w:lineRule="auto"/>
      </w:pPr>
      <w:r>
        <w:separator/>
      </w:r>
    </w:p>
  </w:endnote>
  <w:endnote w:type="continuationSeparator" w:id="0">
    <w:p w:rsidR="003443EB" w:rsidRDefault="003443EB" w:rsidP="001E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Default="00830D94" w:rsidP="00B97B7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0B4B84" w:rsidRDefault="000B4B84" w:rsidP="000B4B8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ZMAnot</w:t>
    </w:r>
    <w:r w:rsidRPr="00D43C60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300316_493;Noteikumu projekts “</w:t>
    </w:r>
    <w:r w:rsidRPr="002C5CEA">
      <w:rPr>
        <w:rFonts w:ascii="Times New Roman" w:hAnsi="Times New Roman"/>
        <w:sz w:val="20"/>
        <w:szCs w:val="20"/>
      </w:rPr>
      <w:t>Grozījum</w:t>
    </w:r>
    <w:r>
      <w:rPr>
        <w:rFonts w:ascii="Times New Roman" w:hAnsi="Times New Roman"/>
        <w:sz w:val="20"/>
        <w:szCs w:val="20"/>
      </w:rPr>
      <w:t>s</w:t>
    </w:r>
    <w:r w:rsidRPr="002C5CEA">
      <w:rPr>
        <w:rFonts w:ascii="Times New Roman" w:hAnsi="Times New Roman"/>
        <w:sz w:val="20"/>
        <w:szCs w:val="20"/>
      </w:rPr>
      <w:t xml:space="preserve"> Ministru kabineta 2012. gada 10. jūlija noteikumos Nr. 493 "Valsts augu aizsardzības dienes</w:t>
    </w:r>
    <w:r>
      <w:rPr>
        <w:rFonts w:ascii="Times New Roman" w:hAnsi="Times New Roman"/>
        <w:sz w:val="20"/>
        <w:szCs w:val="20"/>
      </w:rPr>
      <w:t>ta maksas pakalpojumu cenrādis"”</w:t>
    </w:r>
    <w:r w:rsidRPr="002C5CEA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60034D" w:rsidRDefault="00830D94" w:rsidP="0060034D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ZMAnot</w:t>
    </w:r>
    <w:r w:rsidRPr="00D43C60">
      <w:rPr>
        <w:rFonts w:ascii="Times New Roman" w:hAnsi="Times New Roman"/>
        <w:sz w:val="20"/>
        <w:szCs w:val="20"/>
      </w:rPr>
      <w:t>_</w:t>
    </w:r>
    <w:r w:rsidR="002A602D">
      <w:rPr>
        <w:rFonts w:ascii="Times New Roman" w:hAnsi="Times New Roman"/>
        <w:sz w:val="20"/>
        <w:szCs w:val="20"/>
      </w:rPr>
      <w:t>30</w:t>
    </w:r>
    <w:r w:rsidR="0060034D">
      <w:rPr>
        <w:rFonts w:ascii="Times New Roman" w:hAnsi="Times New Roman"/>
        <w:sz w:val="20"/>
        <w:szCs w:val="20"/>
      </w:rPr>
      <w:t>0</w:t>
    </w:r>
    <w:r w:rsidR="00BD5508">
      <w:rPr>
        <w:rFonts w:ascii="Times New Roman" w:hAnsi="Times New Roman"/>
        <w:sz w:val="20"/>
        <w:szCs w:val="20"/>
      </w:rPr>
      <w:t>3</w:t>
    </w:r>
    <w:r w:rsidR="0060034D">
      <w:rPr>
        <w:rFonts w:ascii="Times New Roman" w:hAnsi="Times New Roman"/>
        <w:sz w:val="20"/>
        <w:szCs w:val="20"/>
      </w:rPr>
      <w:t>16_</w:t>
    </w:r>
    <w:r w:rsidR="000B4B84">
      <w:rPr>
        <w:rFonts w:ascii="Times New Roman" w:hAnsi="Times New Roman"/>
        <w:sz w:val="20"/>
        <w:szCs w:val="20"/>
      </w:rPr>
      <w:t>493</w:t>
    </w:r>
    <w:r w:rsidR="0060034D">
      <w:rPr>
        <w:rFonts w:ascii="Times New Roman" w:hAnsi="Times New Roman"/>
        <w:sz w:val="20"/>
        <w:szCs w:val="20"/>
      </w:rPr>
      <w:t>;</w:t>
    </w:r>
    <w:r w:rsidR="002C5CEA">
      <w:rPr>
        <w:rFonts w:ascii="Times New Roman" w:hAnsi="Times New Roman"/>
        <w:sz w:val="20"/>
        <w:szCs w:val="20"/>
      </w:rPr>
      <w:t>Noteikumu projekts “</w:t>
    </w:r>
    <w:r w:rsidR="002C5CEA" w:rsidRPr="002C5CEA">
      <w:rPr>
        <w:rFonts w:ascii="Times New Roman" w:hAnsi="Times New Roman"/>
        <w:sz w:val="20"/>
        <w:szCs w:val="20"/>
      </w:rPr>
      <w:t>Grozījum</w:t>
    </w:r>
    <w:r w:rsidR="004F784B">
      <w:rPr>
        <w:rFonts w:ascii="Times New Roman" w:hAnsi="Times New Roman"/>
        <w:sz w:val="20"/>
        <w:szCs w:val="20"/>
      </w:rPr>
      <w:t>s</w:t>
    </w:r>
    <w:r w:rsidR="002C5CEA" w:rsidRPr="002C5CEA">
      <w:rPr>
        <w:rFonts w:ascii="Times New Roman" w:hAnsi="Times New Roman"/>
        <w:sz w:val="20"/>
        <w:szCs w:val="20"/>
      </w:rPr>
      <w:t xml:space="preserve"> Ministru kabineta 2012. gada 10. jūlija noteikumos Nr. 493 "Valsts augu aizsardzības dienes</w:t>
    </w:r>
    <w:r w:rsidR="002C5CEA">
      <w:rPr>
        <w:rFonts w:ascii="Times New Roman" w:hAnsi="Times New Roman"/>
        <w:sz w:val="20"/>
        <w:szCs w:val="20"/>
      </w:rPr>
      <w:t>ta maksas pakalpojumu cenrādis"”</w:t>
    </w:r>
    <w:r w:rsidR="002C5CEA" w:rsidRPr="002C5CEA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EB" w:rsidRDefault="003443EB" w:rsidP="001E3B9F">
      <w:pPr>
        <w:spacing w:after="0" w:line="240" w:lineRule="auto"/>
      </w:pPr>
      <w:r>
        <w:separator/>
      </w:r>
    </w:p>
  </w:footnote>
  <w:footnote w:type="continuationSeparator" w:id="0">
    <w:p w:rsidR="003443EB" w:rsidRDefault="003443EB" w:rsidP="001E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Default="00830D94" w:rsidP="007502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8D48AC" w:rsidRDefault="00830D94" w:rsidP="008D48AC">
    <w:pPr>
      <w:pStyle w:val="Galvene"/>
      <w:framePr w:wrap="around" w:vAnchor="text" w:hAnchor="page" w:x="5926" w:y="41"/>
      <w:rPr>
        <w:rStyle w:val="Lappusesnumurs"/>
        <w:rFonts w:ascii="Times New Roman" w:hAnsi="Times New Roman"/>
        <w:sz w:val="24"/>
        <w:szCs w:val="24"/>
      </w:rPr>
    </w:pPr>
    <w:r w:rsidRPr="008D48AC">
      <w:rPr>
        <w:rStyle w:val="Lappusesnumurs"/>
        <w:rFonts w:ascii="Times New Roman" w:hAnsi="Times New Roman"/>
        <w:sz w:val="24"/>
        <w:szCs w:val="24"/>
      </w:rPr>
      <w:fldChar w:fldCharType="begin"/>
    </w:r>
    <w:r w:rsidRPr="008D48AC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8D48AC">
      <w:rPr>
        <w:rStyle w:val="Lappusesnumurs"/>
        <w:rFonts w:ascii="Times New Roman" w:hAnsi="Times New Roman"/>
        <w:sz w:val="24"/>
        <w:szCs w:val="24"/>
      </w:rPr>
      <w:fldChar w:fldCharType="separate"/>
    </w:r>
    <w:r w:rsidR="000B4B84">
      <w:rPr>
        <w:rStyle w:val="Lappusesnumurs"/>
        <w:rFonts w:ascii="Times New Roman" w:hAnsi="Times New Roman"/>
        <w:noProof/>
        <w:sz w:val="24"/>
        <w:szCs w:val="24"/>
      </w:rPr>
      <w:t>4</w:t>
    </w:r>
    <w:r w:rsidRPr="008D48AC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830D94" w:rsidRPr="008D48AC" w:rsidRDefault="00830D94" w:rsidP="00C92D20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2CA"/>
    <w:multiLevelType w:val="hybridMultilevel"/>
    <w:tmpl w:val="7A92C37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487"/>
    <w:multiLevelType w:val="hybridMultilevel"/>
    <w:tmpl w:val="755CE0BE"/>
    <w:lvl w:ilvl="0" w:tplc="A83EE67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0B"/>
    <w:multiLevelType w:val="hybridMultilevel"/>
    <w:tmpl w:val="113C7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BF8"/>
    <w:multiLevelType w:val="hybridMultilevel"/>
    <w:tmpl w:val="9DBA5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2BF"/>
    <w:multiLevelType w:val="multilevel"/>
    <w:tmpl w:val="FAD8B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3338BF"/>
    <w:multiLevelType w:val="hybridMultilevel"/>
    <w:tmpl w:val="FC04C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A91"/>
    <w:multiLevelType w:val="multilevel"/>
    <w:tmpl w:val="16DA3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D0289E"/>
    <w:multiLevelType w:val="hybridMultilevel"/>
    <w:tmpl w:val="BED46172"/>
    <w:lvl w:ilvl="0" w:tplc="E480B01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4008"/>
    <w:multiLevelType w:val="hybridMultilevel"/>
    <w:tmpl w:val="4DC86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3E16"/>
    <w:multiLevelType w:val="hybridMultilevel"/>
    <w:tmpl w:val="410A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23DC"/>
    <w:multiLevelType w:val="hybridMultilevel"/>
    <w:tmpl w:val="CD2A5B50"/>
    <w:lvl w:ilvl="0" w:tplc="97367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F1563"/>
    <w:multiLevelType w:val="hybridMultilevel"/>
    <w:tmpl w:val="81088F24"/>
    <w:lvl w:ilvl="0" w:tplc="402411A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0421F"/>
    <w:multiLevelType w:val="hybridMultilevel"/>
    <w:tmpl w:val="3C0646FE"/>
    <w:lvl w:ilvl="0" w:tplc="CB0E76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96BB7"/>
    <w:multiLevelType w:val="hybridMultilevel"/>
    <w:tmpl w:val="27FAF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70E9"/>
    <w:multiLevelType w:val="hybridMultilevel"/>
    <w:tmpl w:val="FD28A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5F0"/>
    <w:multiLevelType w:val="hybridMultilevel"/>
    <w:tmpl w:val="5484D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2471B"/>
    <w:multiLevelType w:val="hybridMultilevel"/>
    <w:tmpl w:val="49524918"/>
    <w:lvl w:ilvl="0" w:tplc="9F5C0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A013F5F"/>
    <w:multiLevelType w:val="hybridMultilevel"/>
    <w:tmpl w:val="CCA0AB58"/>
    <w:lvl w:ilvl="0" w:tplc="6856084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723F9"/>
    <w:multiLevelType w:val="hybridMultilevel"/>
    <w:tmpl w:val="9B4ADE1E"/>
    <w:lvl w:ilvl="0" w:tplc="2F04F23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53C1"/>
    <w:multiLevelType w:val="hybridMultilevel"/>
    <w:tmpl w:val="BE985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5"/>
  </w:num>
  <w:num w:numId="5">
    <w:abstractNumId w:val="11"/>
  </w:num>
  <w:num w:numId="6">
    <w:abstractNumId w:val="20"/>
  </w:num>
  <w:num w:numId="7">
    <w:abstractNumId w:val="0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19"/>
  </w:num>
  <w:num w:numId="13">
    <w:abstractNumId w:val="10"/>
  </w:num>
  <w:num w:numId="14">
    <w:abstractNumId w:val="12"/>
  </w:num>
  <w:num w:numId="15">
    <w:abstractNumId w:val="9"/>
  </w:num>
  <w:num w:numId="16">
    <w:abstractNumId w:val="18"/>
  </w:num>
  <w:num w:numId="17">
    <w:abstractNumId w:val="2"/>
  </w:num>
  <w:num w:numId="18">
    <w:abstractNumId w:val="13"/>
  </w:num>
  <w:num w:numId="19">
    <w:abstractNumId w:val="3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2"/>
    <w:rsid w:val="000020D1"/>
    <w:rsid w:val="00006BE8"/>
    <w:rsid w:val="00011F70"/>
    <w:rsid w:val="00020F17"/>
    <w:rsid w:val="000218B8"/>
    <w:rsid w:val="00022ED8"/>
    <w:rsid w:val="00027D94"/>
    <w:rsid w:val="000453A9"/>
    <w:rsid w:val="000507EE"/>
    <w:rsid w:val="0005147F"/>
    <w:rsid w:val="00052073"/>
    <w:rsid w:val="00055679"/>
    <w:rsid w:val="00055DDD"/>
    <w:rsid w:val="000717DA"/>
    <w:rsid w:val="00073BC7"/>
    <w:rsid w:val="00090276"/>
    <w:rsid w:val="00090FC5"/>
    <w:rsid w:val="00091B8A"/>
    <w:rsid w:val="000955FC"/>
    <w:rsid w:val="000A24B1"/>
    <w:rsid w:val="000A3621"/>
    <w:rsid w:val="000A5770"/>
    <w:rsid w:val="000A5ECE"/>
    <w:rsid w:val="000A6EF6"/>
    <w:rsid w:val="000A7347"/>
    <w:rsid w:val="000B0E56"/>
    <w:rsid w:val="000B3402"/>
    <w:rsid w:val="000B4B84"/>
    <w:rsid w:val="000B63D4"/>
    <w:rsid w:val="000C41D5"/>
    <w:rsid w:val="000C4528"/>
    <w:rsid w:val="000C7EC9"/>
    <w:rsid w:val="000D414B"/>
    <w:rsid w:val="000D6C60"/>
    <w:rsid w:val="000E2D08"/>
    <w:rsid w:val="000E3171"/>
    <w:rsid w:val="000E5B2F"/>
    <w:rsid w:val="000E7679"/>
    <w:rsid w:val="000F74E3"/>
    <w:rsid w:val="00100BCD"/>
    <w:rsid w:val="001018C4"/>
    <w:rsid w:val="00102269"/>
    <w:rsid w:val="00105B63"/>
    <w:rsid w:val="00106D0E"/>
    <w:rsid w:val="00107BB0"/>
    <w:rsid w:val="00110000"/>
    <w:rsid w:val="00112FBE"/>
    <w:rsid w:val="00120D10"/>
    <w:rsid w:val="00122E99"/>
    <w:rsid w:val="00130F3D"/>
    <w:rsid w:val="00137627"/>
    <w:rsid w:val="00140C6F"/>
    <w:rsid w:val="00141CFE"/>
    <w:rsid w:val="00142E8A"/>
    <w:rsid w:val="00143E55"/>
    <w:rsid w:val="001455C4"/>
    <w:rsid w:val="00146184"/>
    <w:rsid w:val="00146274"/>
    <w:rsid w:val="00147574"/>
    <w:rsid w:val="001510C8"/>
    <w:rsid w:val="00157D0B"/>
    <w:rsid w:val="0017007E"/>
    <w:rsid w:val="00171100"/>
    <w:rsid w:val="001822F1"/>
    <w:rsid w:val="0019143B"/>
    <w:rsid w:val="00193199"/>
    <w:rsid w:val="001936A7"/>
    <w:rsid w:val="001A348A"/>
    <w:rsid w:val="001B710A"/>
    <w:rsid w:val="001C2C28"/>
    <w:rsid w:val="001C4E5B"/>
    <w:rsid w:val="001C5340"/>
    <w:rsid w:val="001C57A8"/>
    <w:rsid w:val="001C6846"/>
    <w:rsid w:val="001C7FE2"/>
    <w:rsid w:val="001D1532"/>
    <w:rsid w:val="001D5B68"/>
    <w:rsid w:val="001D5BC1"/>
    <w:rsid w:val="001D683F"/>
    <w:rsid w:val="001E3B9F"/>
    <w:rsid w:val="001E5D77"/>
    <w:rsid w:val="001E7F6A"/>
    <w:rsid w:val="001F0DE2"/>
    <w:rsid w:val="001F7D7C"/>
    <w:rsid w:val="00203340"/>
    <w:rsid w:val="002067C0"/>
    <w:rsid w:val="00207A01"/>
    <w:rsid w:val="00214BE3"/>
    <w:rsid w:val="00214DC0"/>
    <w:rsid w:val="002264A8"/>
    <w:rsid w:val="00227277"/>
    <w:rsid w:val="002318B0"/>
    <w:rsid w:val="002334BA"/>
    <w:rsid w:val="0023356B"/>
    <w:rsid w:val="00233BC8"/>
    <w:rsid w:val="002447FD"/>
    <w:rsid w:val="002515BC"/>
    <w:rsid w:val="0025210E"/>
    <w:rsid w:val="00255A05"/>
    <w:rsid w:val="002563B9"/>
    <w:rsid w:val="00256AB6"/>
    <w:rsid w:val="00256FC2"/>
    <w:rsid w:val="00267914"/>
    <w:rsid w:val="002766EB"/>
    <w:rsid w:val="002832D3"/>
    <w:rsid w:val="0028372B"/>
    <w:rsid w:val="00285609"/>
    <w:rsid w:val="00296D0D"/>
    <w:rsid w:val="00297352"/>
    <w:rsid w:val="002A0701"/>
    <w:rsid w:val="002A23CE"/>
    <w:rsid w:val="002A4DD4"/>
    <w:rsid w:val="002A602D"/>
    <w:rsid w:val="002B047F"/>
    <w:rsid w:val="002B0713"/>
    <w:rsid w:val="002B16FC"/>
    <w:rsid w:val="002B6590"/>
    <w:rsid w:val="002C357B"/>
    <w:rsid w:val="002C4A0F"/>
    <w:rsid w:val="002C5738"/>
    <w:rsid w:val="002C5CEA"/>
    <w:rsid w:val="002E19F7"/>
    <w:rsid w:val="002E45AD"/>
    <w:rsid w:val="002E498A"/>
    <w:rsid w:val="002E762D"/>
    <w:rsid w:val="002F1F73"/>
    <w:rsid w:val="002F397A"/>
    <w:rsid w:val="002F3EAC"/>
    <w:rsid w:val="002F6D42"/>
    <w:rsid w:val="002F7822"/>
    <w:rsid w:val="00302732"/>
    <w:rsid w:val="0030374F"/>
    <w:rsid w:val="00311FE8"/>
    <w:rsid w:val="00312AE8"/>
    <w:rsid w:val="00314474"/>
    <w:rsid w:val="003175BB"/>
    <w:rsid w:val="00317762"/>
    <w:rsid w:val="0031782A"/>
    <w:rsid w:val="00322115"/>
    <w:rsid w:val="0032294E"/>
    <w:rsid w:val="003310AA"/>
    <w:rsid w:val="003346E9"/>
    <w:rsid w:val="003355B3"/>
    <w:rsid w:val="00336DC7"/>
    <w:rsid w:val="0033739F"/>
    <w:rsid w:val="00341072"/>
    <w:rsid w:val="003412BE"/>
    <w:rsid w:val="00341C33"/>
    <w:rsid w:val="003443EB"/>
    <w:rsid w:val="003502ED"/>
    <w:rsid w:val="00352A34"/>
    <w:rsid w:val="00353718"/>
    <w:rsid w:val="003569C3"/>
    <w:rsid w:val="00366D43"/>
    <w:rsid w:val="00366F35"/>
    <w:rsid w:val="00372A33"/>
    <w:rsid w:val="00375AD0"/>
    <w:rsid w:val="003767B6"/>
    <w:rsid w:val="00377415"/>
    <w:rsid w:val="00377C20"/>
    <w:rsid w:val="00380133"/>
    <w:rsid w:val="0038118D"/>
    <w:rsid w:val="00390056"/>
    <w:rsid w:val="00393E99"/>
    <w:rsid w:val="003A0104"/>
    <w:rsid w:val="003A25E9"/>
    <w:rsid w:val="003A29E9"/>
    <w:rsid w:val="003A7270"/>
    <w:rsid w:val="003B354B"/>
    <w:rsid w:val="003B4678"/>
    <w:rsid w:val="003C05A6"/>
    <w:rsid w:val="003C306F"/>
    <w:rsid w:val="003C7C44"/>
    <w:rsid w:val="003D2DD3"/>
    <w:rsid w:val="003D379C"/>
    <w:rsid w:val="003E46C2"/>
    <w:rsid w:val="003F2176"/>
    <w:rsid w:val="00402432"/>
    <w:rsid w:val="00402505"/>
    <w:rsid w:val="00405343"/>
    <w:rsid w:val="00407D00"/>
    <w:rsid w:val="00413878"/>
    <w:rsid w:val="00415DEA"/>
    <w:rsid w:val="004165A9"/>
    <w:rsid w:val="00421325"/>
    <w:rsid w:val="004222EE"/>
    <w:rsid w:val="00425514"/>
    <w:rsid w:val="00436035"/>
    <w:rsid w:val="004370CC"/>
    <w:rsid w:val="0043743D"/>
    <w:rsid w:val="0044257F"/>
    <w:rsid w:val="00450499"/>
    <w:rsid w:val="004610FA"/>
    <w:rsid w:val="00462190"/>
    <w:rsid w:val="00462402"/>
    <w:rsid w:val="00463BCB"/>
    <w:rsid w:val="004705E6"/>
    <w:rsid w:val="00472155"/>
    <w:rsid w:val="00472CF1"/>
    <w:rsid w:val="00477C53"/>
    <w:rsid w:val="00480F0E"/>
    <w:rsid w:val="00481534"/>
    <w:rsid w:val="004820F1"/>
    <w:rsid w:val="00486E18"/>
    <w:rsid w:val="00487C13"/>
    <w:rsid w:val="00491934"/>
    <w:rsid w:val="0049639B"/>
    <w:rsid w:val="004A0A3A"/>
    <w:rsid w:val="004A5D5C"/>
    <w:rsid w:val="004A6538"/>
    <w:rsid w:val="004B2BB6"/>
    <w:rsid w:val="004B5F97"/>
    <w:rsid w:val="004B6A9F"/>
    <w:rsid w:val="004C1173"/>
    <w:rsid w:val="004C38AE"/>
    <w:rsid w:val="004C4FBD"/>
    <w:rsid w:val="004C505C"/>
    <w:rsid w:val="004C74ED"/>
    <w:rsid w:val="004C78AE"/>
    <w:rsid w:val="004C7C1B"/>
    <w:rsid w:val="004D4CA5"/>
    <w:rsid w:val="004D753B"/>
    <w:rsid w:val="004E039C"/>
    <w:rsid w:val="004E04B4"/>
    <w:rsid w:val="004E08C0"/>
    <w:rsid w:val="004E2C34"/>
    <w:rsid w:val="004E302B"/>
    <w:rsid w:val="004E3B4F"/>
    <w:rsid w:val="004E4DB3"/>
    <w:rsid w:val="004F451C"/>
    <w:rsid w:val="004F784B"/>
    <w:rsid w:val="00501F9E"/>
    <w:rsid w:val="00506B78"/>
    <w:rsid w:val="00506D73"/>
    <w:rsid w:val="00507FD6"/>
    <w:rsid w:val="0051253C"/>
    <w:rsid w:val="00513EEC"/>
    <w:rsid w:val="00522253"/>
    <w:rsid w:val="005268CB"/>
    <w:rsid w:val="005323FC"/>
    <w:rsid w:val="00540754"/>
    <w:rsid w:val="0054102A"/>
    <w:rsid w:val="00541C61"/>
    <w:rsid w:val="00542EB3"/>
    <w:rsid w:val="00552EBC"/>
    <w:rsid w:val="00553513"/>
    <w:rsid w:val="0055407A"/>
    <w:rsid w:val="0055779B"/>
    <w:rsid w:val="00570A4E"/>
    <w:rsid w:val="00571B74"/>
    <w:rsid w:val="005727FD"/>
    <w:rsid w:val="00575726"/>
    <w:rsid w:val="00577DEF"/>
    <w:rsid w:val="00584384"/>
    <w:rsid w:val="00591106"/>
    <w:rsid w:val="00594FA1"/>
    <w:rsid w:val="00596C61"/>
    <w:rsid w:val="00597D35"/>
    <w:rsid w:val="005B233C"/>
    <w:rsid w:val="005C2BAA"/>
    <w:rsid w:val="005D3366"/>
    <w:rsid w:val="005D4F26"/>
    <w:rsid w:val="005D63FE"/>
    <w:rsid w:val="005E068C"/>
    <w:rsid w:val="005E46EF"/>
    <w:rsid w:val="005E60B6"/>
    <w:rsid w:val="005E75FD"/>
    <w:rsid w:val="005E7C64"/>
    <w:rsid w:val="005F19B3"/>
    <w:rsid w:val="005F1BA0"/>
    <w:rsid w:val="005F4AF2"/>
    <w:rsid w:val="005F4B10"/>
    <w:rsid w:val="0060034D"/>
    <w:rsid w:val="00600B2F"/>
    <w:rsid w:val="00603AAA"/>
    <w:rsid w:val="00604B78"/>
    <w:rsid w:val="00604EF6"/>
    <w:rsid w:val="00607341"/>
    <w:rsid w:val="0061382C"/>
    <w:rsid w:val="006250C5"/>
    <w:rsid w:val="006345AA"/>
    <w:rsid w:val="006361D1"/>
    <w:rsid w:val="00637008"/>
    <w:rsid w:val="006438D4"/>
    <w:rsid w:val="006553E8"/>
    <w:rsid w:val="006601AC"/>
    <w:rsid w:val="006610CA"/>
    <w:rsid w:val="00664925"/>
    <w:rsid w:val="00667351"/>
    <w:rsid w:val="00675D9B"/>
    <w:rsid w:val="00676B84"/>
    <w:rsid w:val="006773D8"/>
    <w:rsid w:val="0067781E"/>
    <w:rsid w:val="0068013B"/>
    <w:rsid w:val="00685FDB"/>
    <w:rsid w:val="00695C51"/>
    <w:rsid w:val="006A231E"/>
    <w:rsid w:val="006A3000"/>
    <w:rsid w:val="006A4FF4"/>
    <w:rsid w:val="006B1EFF"/>
    <w:rsid w:val="006B75CD"/>
    <w:rsid w:val="006C0595"/>
    <w:rsid w:val="006C2F03"/>
    <w:rsid w:val="006C52C3"/>
    <w:rsid w:val="006D32B4"/>
    <w:rsid w:val="006D3FF7"/>
    <w:rsid w:val="006E3AFD"/>
    <w:rsid w:val="006F2FBC"/>
    <w:rsid w:val="006F738D"/>
    <w:rsid w:val="00701806"/>
    <w:rsid w:val="00703D47"/>
    <w:rsid w:val="00706575"/>
    <w:rsid w:val="00706B2D"/>
    <w:rsid w:val="0071480A"/>
    <w:rsid w:val="007254D2"/>
    <w:rsid w:val="00734445"/>
    <w:rsid w:val="0074004B"/>
    <w:rsid w:val="007464F9"/>
    <w:rsid w:val="0074746C"/>
    <w:rsid w:val="00747642"/>
    <w:rsid w:val="0075029C"/>
    <w:rsid w:val="00751885"/>
    <w:rsid w:val="0075365E"/>
    <w:rsid w:val="00754051"/>
    <w:rsid w:val="007601CE"/>
    <w:rsid w:val="00760A52"/>
    <w:rsid w:val="0076234E"/>
    <w:rsid w:val="00765CFB"/>
    <w:rsid w:val="0076752A"/>
    <w:rsid w:val="0077610D"/>
    <w:rsid w:val="00780722"/>
    <w:rsid w:val="00781281"/>
    <w:rsid w:val="00784725"/>
    <w:rsid w:val="00786906"/>
    <w:rsid w:val="0079432A"/>
    <w:rsid w:val="007946F9"/>
    <w:rsid w:val="0079758F"/>
    <w:rsid w:val="007A4B5A"/>
    <w:rsid w:val="007A61F0"/>
    <w:rsid w:val="007B3431"/>
    <w:rsid w:val="007B3EFF"/>
    <w:rsid w:val="007B493B"/>
    <w:rsid w:val="007B607D"/>
    <w:rsid w:val="007B6FC4"/>
    <w:rsid w:val="007C0FE5"/>
    <w:rsid w:val="007C388C"/>
    <w:rsid w:val="007C3B9E"/>
    <w:rsid w:val="007C69EB"/>
    <w:rsid w:val="007D095E"/>
    <w:rsid w:val="007D0BFC"/>
    <w:rsid w:val="007D13E2"/>
    <w:rsid w:val="007E2E6F"/>
    <w:rsid w:val="007E746A"/>
    <w:rsid w:val="007F0A62"/>
    <w:rsid w:val="008045B9"/>
    <w:rsid w:val="0080544D"/>
    <w:rsid w:val="00807DF0"/>
    <w:rsid w:val="00813892"/>
    <w:rsid w:val="008203FE"/>
    <w:rsid w:val="00824487"/>
    <w:rsid w:val="008251D0"/>
    <w:rsid w:val="008256E6"/>
    <w:rsid w:val="008279B5"/>
    <w:rsid w:val="00830D94"/>
    <w:rsid w:val="008403A7"/>
    <w:rsid w:val="008403C3"/>
    <w:rsid w:val="008419F4"/>
    <w:rsid w:val="00841C5B"/>
    <w:rsid w:val="00844E37"/>
    <w:rsid w:val="00851F89"/>
    <w:rsid w:val="00864351"/>
    <w:rsid w:val="00865D2B"/>
    <w:rsid w:val="008A71F5"/>
    <w:rsid w:val="008B091B"/>
    <w:rsid w:val="008B1707"/>
    <w:rsid w:val="008B2272"/>
    <w:rsid w:val="008B2991"/>
    <w:rsid w:val="008B453C"/>
    <w:rsid w:val="008B6C3C"/>
    <w:rsid w:val="008B79BA"/>
    <w:rsid w:val="008C4A1F"/>
    <w:rsid w:val="008C6682"/>
    <w:rsid w:val="008C73A4"/>
    <w:rsid w:val="008D2723"/>
    <w:rsid w:val="008D2E68"/>
    <w:rsid w:val="008D30D0"/>
    <w:rsid w:val="008D48AC"/>
    <w:rsid w:val="008D5991"/>
    <w:rsid w:val="008D5A23"/>
    <w:rsid w:val="008D7A3F"/>
    <w:rsid w:val="008E106F"/>
    <w:rsid w:val="008E150C"/>
    <w:rsid w:val="008E4DA6"/>
    <w:rsid w:val="008E5EA3"/>
    <w:rsid w:val="008E6F4C"/>
    <w:rsid w:val="008F2FEC"/>
    <w:rsid w:val="008F67E9"/>
    <w:rsid w:val="009073AF"/>
    <w:rsid w:val="0091270A"/>
    <w:rsid w:val="00925108"/>
    <w:rsid w:val="00926117"/>
    <w:rsid w:val="009266D4"/>
    <w:rsid w:val="00927E67"/>
    <w:rsid w:val="009300D1"/>
    <w:rsid w:val="00931F64"/>
    <w:rsid w:val="0093434F"/>
    <w:rsid w:val="00937D76"/>
    <w:rsid w:val="0094055B"/>
    <w:rsid w:val="009431BE"/>
    <w:rsid w:val="00945988"/>
    <w:rsid w:val="0095089F"/>
    <w:rsid w:val="009522EF"/>
    <w:rsid w:val="00952CE4"/>
    <w:rsid w:val="009542D9"/>
    <w:rsid w:val="00954400"/>
    <w:rsid w:val="009573BD"/>
    <w:rsid w:val="009606C0"/>
    <w:rsid w:val="009618F3"/>
    <w:rsid w:val="00963CD1"/>
    <w:rsid w:val="00964E12"/>
    <w:rsid w:val="009654D1"/>
    <w:rsid w:val="00970EC7"/>
    <w:rsid w:val="00975F5F"/>
    <w:rsid w:val="009807C9"/>
    <w:rsid w:val="0098118C"/>
    <w:rsid w:val="00982F84"/>
    <w:rsid w:val="0098492E"/>
    <w:rsid w:val="00984C98"/>
    <w:rsid w:val="00993CA3"/>
    <w:rsid w:val="009960EC"/>
    <w:rsid w:val="00996449"/>
    <w:rsid w:val="00996C02"/>
    <w:rsid w:val="009A28DC"/>
    <w:rsid w:val="009A5CED"/>
    <w:rsid w:val="009A627C"/>
    <w:rsid w:val="009B4D93"/>
    <w:rsid w:val="009B60F4"/>
    <w:rsid w:val="009C04A8"/>
    <w:rsid w:val="009C0DA9"/>
    <w:rsid w:val="009C19A9"/>
    <w:rsid w:val="009C6CDE"/>
    <w:rsid w:val="009D0BD0"/>
    <w:rsid w:val="009D2278"/>
    <w:rsid w:val="009D35F0"/>
    <w:rsid w:val="009D76C1"/>
    <w:rsid w:val="009E2C11"/>
    <w:rsid w:val="009F14B1"/>
    <w:rsid w:val="00A0717E"/>
    <w:rsid w:val="00A14044"/>
    <w:rsid w:val="00A1598E"/>
    <w:rsid w:val="00A16826"/>
    <w:rsid w:val="00A22E19"/>
    <w:rsid w:val="00A33FC2"/>
    <w:rsid w:val="00A3420B"/>
    <w:rsid w:val="00A42129"/>
    <w:rsid w:val="00A4226F"/>
    <w:rsid w:val="00A47424"/>
    <w:rsid w:val="00A50325"/>
    <w:rsid w:val="00A52E88"/>
    <w:rsid w:val="00A5310E"/>
    <w:rsid w:val="00A601F1"/>
    <w:rsid w:val="00A705D5"/>
    <w:rsid w:val="00A74CA1"/>
    <w:rsid w:val="00A76A2F"/>
    <w:rsid w:val="00A82B6F"/>
    <w:rsid w:val="00A935F0"/>
    <w:rsid w:val="00AA6AB0"/>
    <w:rsid w:val="00AA7661"/>
    <w:rsid w:val="00AB2EF9"/>
    <w:rsid w:val="00AC229C"/>
    <w:rsid w:val="00AC39E4"/>
    <w:rsid w:val="00AC47D0"/>
    <w:rsid w:val="00AD30D0"/>
    <w:rsid w:val="00AD5771"/>
    <w:rsid w:val="00AD7524"/>
    <w:rsid w:val="00AE4B78"/>
    <w:rsid w:val="00AE568E"/>
    <w:rsid w:val="00AE6F7D"/>
    <w:rsid w:val="00AE7E2C"/>
    <w:rsid w:val="00AF085B"/>
    <w:rsid w:val="00AF1009"/>
    <w:rsid w:val="00AF48CA"/>
    <w:rsid w:val="00AF6458"/>
    <w:rsid w:val="00B001E5"/>
    <w:rsid w:val="00B1555F"/>
    <w:rsid w:val="00B224E6"/>
    <w:rsid w:val="00B2304B"/>
    <w:rsid w:val="00B27AA1"/>
    <w:rsid w:val="00B27CD9"/>
    <w:rsid w:val="00B30146"/>
    <w:rsid w:val="00B337F1"/>
    <w:rsid w:val="00B35EB3"/>
    <w:rsid w:val="00B41AB9"/>
    <w:rsid w:val="00B442BE"/>
    <w:rsid w:val="00B45D3F"/>
    <w:rsid w:val="00B46207"/>
    <w:rsid w:val="00B46A6D"/>
    <w:rsid w:val="00B55791"/>
    <w:rsid w:val="00B64218"/>
    <w:rsid w:val="00B77202"/>
    <w:rsid w:val="00B809E5"/>
    <w:rsid w:val="00B828CD"/>
    <w:rsid w:val="00B82D11"/>
    <w:rsid w:val="00B93495"/>
    <w:rsid w:val="00B93BE8"/>
    <w:rsid w:val="00B94B0B"/>
    <w:rsid w:val="00B97B7A"/>
    <w:rsid w:val="00BA11EB"/>
    <w:rsid w:val="00BA20A8"/>
    <w:rsid w:val="00BA3489"/>
    <w:rsid w:val="00BC10CC"/>
    <w:rsid w:val="00BC6968"/>
    <w:rsid w:val="00BC6AE9"/>
    <w:rsid w:val="00BD2B64"/>
    <w:rsid w:val="00BD5508"/>
    <w:rsid w:val="00BF2CA8"/>
    <w:rsid w:val="00C000A3"/>
    <w:rsid w:val="00C033BA"/>
    <w:rsid w:val="00C069ED"/>
    <w:rsid w:val="00C06EF2"/>
    <w:rsid w:val="00C0750F"/>
    <w:rsid w:val="00C11F13"/>
    <w:rsid w:val="00C15ACC"/>
    <w:rsid w:val="00C17577"/>
    <w:rsid w:val="00C17E75"/>
    <w:rsid w:val="00C20AC0"/>
    <w:rsid w:val="00C21687"/>
    <w:rsid w:val="00C3506D"/>
    <w:rsid w:val="00C42D29"/>
    <w:rsid w:val="00C605D6"/>
    <w:rsid w:val="00C64F8F"/>
    <w:rsid w:val="00C66835"/>
    <w:rsid w:val="00C72791"/>
    <w:rsid w:val="00C73D95"/>
    <w:rsid w:val="00C73DF2"/>
    <w:rsid w:val="00C751FC"/>
    <w:rsid w:val="00C76327"/>
    <w:rsid w:val="00C76B18"/>
    <w:rsid w:val="00C7707C"/>
    <w:rsid w:val="00C77508"/>
    <w:rsid w:val="00C8007E"/>
    <w:rsid w:val="00C821B3"/>
    <w:rsid w:val="00C827A4"/>
    <w:rsid w:val="00C8347D"/>
    <w:rsid w:val="00C84A04"/>
    <w:rsid w:val="00C8582E"/>
    <w:rsid w:val="00C924CA"/>
    <w:rsid w:val="00C92D20"/>
    <w:rsid w:val="00CA3CD2"/>
    <w:rsid w:val="00CA743F"/>
    <w:rsid w:val="00CB36CA"/>
    <w:rsid w:val="00CB7418"/>
    <w:rsid w:val="00CC12E5"/>
    <w:rsid w:val="00CC2F75"/>
    <w:rsid w:val="00CC34A7"/>
    <w:rsid w:val="00CC571A"/>
    <w:rsid w:val="00CC617A"/>
    <w:rsid w:val="00CD0D1C"/>
    <w:rsid w:val="00CD1A37"/>
    <w:rsid w:val="00CD2A8F"/>
    <w:rsid w:val="00CE7798"/>
    <w:rsid w:val="00CF15AD"/>
    <w:rsid w:val="00CF372A"/>
    <w:rsid w:val="00CF3CB8"/>
    <w:rsid w:val="00CF62FE"/>
    <w:rsid w:val="00CF6B78"/>
    <w:rsid w:val="00CF6C01"/>
    <w:rsid w:val="00D0099E"/>
    <w:rsid w:val="00D026D7"/>
    <w:rsid w:val="00D11AC8"/>
    <w:rsid w:val="00D14416"/>
    <w:rsid w:val="00D15601"/>
    <w:rsid w:val="00D1699C"/>
    <w:rsid w:val="00D21EAB"/>
    <w:rsid w:val="00D237CD"/>
    <w:rsid w:val="00D260E4"/>
    <w:rsid w:val="00D26454"/>
    <w:rsid w:val="00D36932"/>
    <w:rsid w:val="00D60DF1"/>
    <w:rsid w:val="00D62110"/>
    <w:rsid w:val="00D65CC7"/>
    <w:rsid w:val="00D66BEC"/>
    <w:rsid w:val="00D67854"/>
    <w:rsid w:val="00D731E5"/>
    <w:rsid w:val="00D750A3"/>
    <w:rsid w:val="00D826C1"/>
    <w:rsid w:val="00D86844"/>
    <w:rsid w:val="00D87BE0"/>
    <w:rsid w:val="00D90DDB"/>
    <w:rsid w:val="00D91438"/>
    <w:rsid w:val="00D924B0"/>
    <w:rsid w:val="00DA2237"/>
    <w:rsid w:val="00DA47E9"/>
    <w:rsid w:val="00DB20C3"/>
    <w:rsid w:val="00DB65B4"/>
    <w:rsid w:val="00DB6B36"/>
    <w:rsid w:val="00DC2863"/>
    <w:rsid w:val="00DC3F41"/>
    <w:rsid w:val="00DC43ED"/>
    <w:rsid w:val="00DD190B"/>
    <w:rsid w:val="00DE0189"/>
    <w:rsid w:val="00DE024E"/>
    <w:rsid w:val="00DE1EF9"/>
    <w:rsid w:val="00DE27CF"/>
    <w:rsid w:val="00DE6033"/>
    <w:rsid w:val="00DF67EB"/>
    <w:rsid w:val="00E00DBA"/>
    <w:rsid w:val="00E01326"/>
    <w:rsid w:val="00E10BBB"/>
    <w:rsid w:val="00E12991"/>
    <w:rsid w:val="00E213B3"/>
    <w:rsid w:val="00E25D8C"/>
    <w:rsid w:val="00E26AE4"/>
    <w:rsid w:val="00E30F3E"/>
    <w:rsid w:val="00E31227"/>
    <w:rsid w:val="00E364DC"/>
    <w:rsid w:val="00E378F4"/>
    <w:rsid w:val="00E37F74"/>
    <w:rsid w:val="00E42D95"/>
    <w:rsid w:val="00E50996"/>
    <w:rsid w:val="00E60DDF"/>
    <w:rsid w:val="00E613DE"/>
    <w:rsid w:val="00E64B41"/>
    <w:rsid w:val="00E6525A"/>
    <w:rsid w:val="00E66029"/>
    <w:rsid w:val="00E72B7A"/>
    <w:rsid w:val="00E7376D"/>
    <w:rsid w:val="00E80DA7"/>
    <w:rsid w:val="00E81822"/>
    <w:rsid w:val="00E81BE9"/>
    <w:rsid w:val="00E855E5"/>
    <w:rsid w:val="00E9591E"/>
    <w:rsid w:val="00EA5766"/>
    <w:rsid w:val="00EB3389"/>
    <w:rsid w:val="00EB4776"/>
    <w:rsid w:val="00EB4A7D"/>
    <w:rsid w:val="00EC0AE3"/>
    <w:rsid w:val="00EC7A78"/>
    <w:rsid w:val="00ED0924"/>
    <w:rsid w:val="00ED2AAA"/>
    <w:rsid w:val="00ED3966"/>
    <w:rsid w:val="00ED60AA"/>
    <w:rsid w:val="00EE0467"/>
    <w:rsid w:val="00EE0497"/>
    <w:rsid w:val="00EE15D4"/>
    <w:rsid w:val="00EE6004"/>
    <w:rsid w:val="00EE7373"/>
    <w:rsid w:val="00EF109C"/>
    <w:rsid w:val="00EF3C2D"/>
    <w:rsid w:val="00EF3F8A"/>
    <w:rsid w:val="00EF53ED"/>
    <w:rsid w:val="00F0244A"/>
    <w:rsid w:val="00F043A6"/>
    <w:rsid w:val="00F17202"/>
    <w:rsid w:val="00F2334D"/>
    <w:rsid w:val="00F259A0"/>
    <w:rsid w:val="00F265CA"/>
    <w:rsid w:val="00F31AEE"/>
    <w:rsid w:val="00F338BC"/>
    <w:rsid w:val="00F349E7"/>
    <w:rsid w:val="00F36244"/>
    <w:rsid w:val="00F47CAB"/>
    <w:rsid w:val="00F5363D"/>
    <w:rsid w:val="00F54BF8"/>
    <w:rsid w:val="00F624AB"/>
    <w:rsid w:val="00F62BD4"/>
    <w:rsid w:val="00F63CF6"/>
    <w:rsid w:val="00F63FDF"/>
    <w:rsid w:val="00F66FC2"/>
    <w:rsid w:val="00F6717A"/>
    <w:rsid w:val="00F674B8"/>
    <w:rsid w:val="00F72690"/>
    <w:rsid w:val="00F74960"/>
    <w:rsid w:val="00F75DFD"/>
    <w:rsid w:val="00F75EEB"/>
    <w:rsid w:val="00F808E3"/>
    <w:rsid w:val="00F83379"/>
    <w:rsid w:val="00F84A6D"/>
    <w:rsid w:val="00F911DD"/>
    <w:rsid w:val="00F91921"/>
    <w:rsid w:val="00F92F70"/>
    <w:rsid w:val="00F95B2C"/>
    <w:rsid w:val="00F97491"/>
    <w:rsid w:val="00F97506"/>
    <w:rsid w:val="00F97933"/>
    <w:rsid w:val="00FB3515"/>
    <w:rsid w:val="00FC61AC"/>
    <w:rsid w:val="00FC68D9"/>
    <w:rsid w:val="00FD69E8"/>
    <w:rsid w:val="00FD7747"/>
    <w:rsid w:val="00FE21F7"/>
    <w:rsid w:val="00FE4B5A"/>
    <w:rsid w:val="00FE60E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06755A-D98F-4ABE-9989-E072A24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5911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91106"/>
    <w:rPr>
      <w:rFonts w:ascii="Times New Roman" w:eastAsia="Times New Roman" w:hAnsi="Times New Roman"/>
      <w:sz w:val="28"/>
      <w:szCs w:val="24"/>
      <w:lang w:val="en-GB" w:eastAsia="en-US"/>
    </w:rPr>
  </w:style>
  <w:style w:type="paragraph" w:styleId="Paraststmeklis">
    <w:name w:val="Normal (Web)"/>
    <w:basedOn w:val="Parasts"/>
    <w:rsid w:val="007F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uiPriority w:val="99"/>
    <w:rsid w:val="00233BC8"/>
    <w:rPr>
      <w:rFonts w:cs="Times New Roman"/>
    </w:rPr>
  </w:style>
  <w:style w:type="character" w:customStyle="1" w:styleId="in">
    <w:name w:val="in"/>
    <w:uiPriority w:val="99"/>
    <w:rsid w:val="00233BC8"/>
    <w:rPr>
      <w:rFonts w:cs="Times New Roman"/>
    </w:rPr>
  </w:style>
  <w:style w:type="paragraph" w:customStyle="1" w:styleId="Parasts1">
    <w:name w:val="Parasts1"/>
    <w:uiPriority w:val="99"/>
    <w:rsid w:val="00011F70"/>
    <w:rPr>
      <w:rFonts w:ascii="Times New Roman" w:eastAsia="Times New Roman" w:hAnsi="Times New Roman"/>
      <w:sz w:val="24"/>
      <w:szCs w:val="24"/>
    </w:rPr>
  </w:style>
  <w:style w:type="character" w:customStyle="1" w:styleId="t35">
    <w:name w:val="t35"/>
    <w:rsid w:val="00C0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2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7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06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Mitre@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748B-195F-4404-9CEB-714F28AF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932</Words>
  <Characters>6385</Characters>
  <Application>Microsoft Office Word</Application>
  <DocSecurity>0</DocSecurity>
  <Lines>425</Lines>
  <Paragraphs>182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</vt:lpstr>
      <vt:lpstr>Likumprojekta</vt:lpstr>
    </vt:vector>
  </TitlesOfParts>
  <Company>Finanšu ministrija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</dc:title>
  <dc:creator>Ilze Magone</dc:creator>
  <cp:lastModifiedBy>Sanita Žagare</cp:lastModifiedBy>
  <cp:revision>10</cp:revision>
  <cp:lastPrinted>2015-11-16T14:41:00Z</cp:lastPrinted>
  <dcterms:created xsi:type="dcterms:W3CDTF">2016-03-29T10:20:00Z</dcterms:created>
  <dcterms:modified xsi:type="dcterms:W3CDTF">2016-03-31T13:36:00Z</dcterms:modified>
</cp:coreProperties>
</file>