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D6" w:rsidRPr="00451A29" w:rsidRDefault="002D6FDA" w:rsidP="008D5EB7">
      <w:pPr>
        <w:spacing w:after="0" w:line="240" w:lineRule="auto"/>
        <w:jc w:val="center"/>
        <w:outlineLvl w:val="0"/>
        <w:rPr>
          <w:rFonts w:ascii="Times New Roman" w:hAnsi="Times New Roman"/>
          <w:b/>
          <w:color w:val="000000" w:themeColor="text1"/>
        </w:rPr>
      </w:pPr>
      <w:r>
        <w:rPr>
          <w:rFonts w:ascii="Times New Roman" w:hAnsi="Times New Roman"/>
          <w:b/>
          <w:color w:val="000000" w:themeColor="text1"/>
          <w:sz w:val="24"/>
          <w:szCs w:val="24"/>
        </w:rPr>
        <w:t xml:space="preserve">Noteikumu projekta </w:t>
      </w:r>
      <w:r w:rsidR="00A67D40" w:rsidRPr="00451A29">
        <w:rPr>
          <w:rFonts w:ascii="Times New Roman" w:hAnsi="Times New Roman"/>
          <w:b/>
          <w:color w:val="000000" w:themeColor="text1"/>
          <w:sz w:val="24"/>
          <w:szCs w:val="24"/>
        </w:rPr>
        <w:t>„</w:t>
      </w:r>
      <w:r w:rsidRPr="002D6FDA">
        <w:rPr>
          <w:rFonts w:ascii="Times New Roman" w:hAnsi="Times New Roman"/>
          <w:b/>
          <w:color w:val="000000" w:themeColor="text1"/>
          <w:sz w:val="24"/>
          <w:szCs w:val="24"/>
        </w:rPr>
        <w:t>Grozījumi Ministru kabineta 2010.gada 8.jūnija noteikumos Nr.519 "Noteikumi par publisko iepirkumu līgumcenu robežām"</w:t>
      </w:r>
      <w:r w:rsidR="004B2C66">
        <w:rPr>
          <w:rFonts w:ascii="Times New Roman" w:hAnsi="Times New Roman"/>
          <w:b/>
          <w:color w:val="000000" w:themeColor="text1"/>
          <w:sz w:val="24"/>
          <w:szCs w:val="24"/>
        </w:rPr>
        <w:t>”</w:t>
      </w:r>
      <w:r w:rsidR="00A67D40" w:rsidRPr="00451A29">
        <w:rPr>
          <w:rFonts w:ascii="Times New Roman" w:hAnsi="Times New Roman"/>
          <w:b/>
          <w:color w:val="000000" w:themeColor="text1"/>
          <w:sz w:val="24"/>
          <w:szCs w:val="24"/>
        </w:rPr>
        <w:t xml:space="preserve"> </w:t>
      </w:r>
      <w:r w:rsidR="00A67D40" w:rsidRPr="00451A29">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9"/>
        <w:gridCol w:w="2693"/>
        <w:gridCol w:w="6743"/>
      </w:tblGrid>
      <w:tr w:rsidR="0024569C" w:rsidRPr="00451A29" w:rsidTr="00AC5899">
        <w:tc>
          <w:tcPr>
            <w:tcW w:w="9725" w:type="dxa"/>
            <w:gridSpan w:val="3"/>
            <w:vAlign w:val="center"/>
          </w:tcPr>
          <w:p w:rsidR="00CE44D6" w:rsidRPr="00451A29" w:rsidRDefault="00CE44D6" w:rsidP="008D5EB7">
            <w:pPr>
              <w:pStyle w:val="naisnod"/>
              <w:spacing w:before="0" w:after="0"/>
              <w:rPr>
                <w:color w:val="000000" w:themeColor="text1"/>
              </w:rPr>
            </w:pPr>
            <w:r w:rsidRPr="00451A29">
              <w:rPr>
                <w:color w:val="000000" w:themeColor="text1"/>
              </w:rPr>
              <w:t>I. Tiesību akta projekta izstrādes nepieciešamība</w:t>
            </w:r>
          </w:p>
        </w:tc>
      </w:tr>
      <w:tr w:rsidR="0024569C" w:rsidRPr="00451A29" w:rsidTr="00297EE3">
        <w:trPr>
          <w:trHeight w:val="630"/>
        </w:trPr>
        <w:tc>
          <w:tcPr>
            <w:tcW w:w="289" w:type="dxa"/>
          </w:tcPr>
          <w:p w:rsidR="00CE44D6" w:rsidRPr="00451A29" w:rsidRDefault="00CE44D6" w:rsidP="008D5EB7">
            <w:pPr>
              <w:pStyle w:val="naiskr"/>
              <w:spacing w:before="0" w:after="0"/>
              <w:rPr>
                <w:color w:val="000000" w:themeColor="text1"/>
              </w:rPr>
            </w:pPr>
            <w:r w:rsidRPr="00451A29">
              <w:rPr>
                <w:color w:val="000000" w:themeColor="text1"/>
              </w:rPr>
              <w:t>1.</w:t>
            </w:r>
          </w:p>
        </w:tc>
        <w:tc>
          <w:tcPr>
            <w:tcW w:w="2693" w:type="dxa"/>
          </w:tcPr>
          <w:p w:rsidR="007D441E" w:rsidRDefault="00CE44D6" w:rsidP="008D5EB7">
            <w:pPr>
              <w:pStyle w:val="naiskr"/>
              <w:spacing w:before="0" w:after="0"/>
              <w:ind w:hanging="10"/>
              <w:rPr>
                <w:color w:val="000000" w:themeColor="text1"/>
              </w:rPr>
            </w:pPr>
            <w:r w:rsidRPr="00451A29">
              <w:rPr>
                <w:color w:val="000000" w:themeColor="text1"/>
              </w:rPr>
              <w:t>Pamatojums</w:t>
            </w:r>
          </w:p>
          <w:p w:rsidR="007D441E" w:rsidRPr="007D441E" w:rsidRDefault="007D441E" w:rsidP="007D441E">
            <w:pPr>
              <w:rPr>
                <w:lang w:eastAsia="lv-LV"/>
              </w:rPr>
            </w:pPr>
          </w:p>
          <w:p w:rsidR="007D441E" w:rsidRPr="007D441E" w:rsidRDefault="007D441E" w:rsidP="007D441E">
            <w:pPr>
              <w:rPr>
                <w:lang w:eastAsia="lv-LV"/>
              </w:rPr>
            </w:pPr>
            <w:bookmarkStart w:id="0" w:name="_GoBack"/>
            <w:bookmarkEnd w:id="0"/>
          </w:p>
          <w:p w:rsidR="007D441E" w:rsidRPr="007D441E" w:rsidRDefault="007D441E" w:rsidP="007D441E">
            <w:pPr>
              <w:rPr>
                <w:lang w:eastAsia="lv-LV"/>
              </w:rPr>
            </w:pPr>
          </w:p>
          <w:p w:rsidR="007D441E" w:rsidRPr="007D441E" w:rsidRDefault="007D441E" w:rsidP="007D441E">
            <w:pPr>
              <w:rPr>
                <w:lang w:eastAsia="lv-LV"/>
              </w:rPr>
            </w:pPr>
          </w:p>
          <w:p w:rsidR="007D441E" w:rsidRPr="007D441E" w:rsidRDefault="007D441E" w:rsidP="007D441E">
            <w:pPr>
              <w:rPr>
                <w:lang w:eastAsia="lv-LV"/>
              </w:rPr>
            </w:pPr>
          </w:p>
          <w:p w:rsidR="007D441E" w:rsidRPr="007D441E" w:rsidRDefault="007D441E" w:rsidP="007D441E">
            <w:pPr>
              <w:rPr>
                <w:lang w:eastAsia="lv-LV"/>
              </w:rPr>
            </w:pPr>
          </w:p>
          <w:p w:rsidR="007D441E" w:rsidRPr="007D441E" w:rsidRDefault="007D441E" w:rsidP="007D441E">
            <w:pPr>
              <w:rPr>
                <w:lang w:eastAsia="lv-LV"/>
              </w:rPr>
            </w:pPr>
          </w:p>
          <w:p w:rsidR="007D441E" w:rsidRPr="007D441E" w:rsidRDefault="007D441E" w:rsidP="00B0005D">
            <w:pPr>
              <w:jc w:val="center"/>
              <w:rPr>
                <w:lang w:eastAsia="lv-LV"/>
              </w:rPr>
            </w:pPr>
          </w:p>
          <w:p w:rsidR="007D441E" w:rsidRDefault="007D441E" w:rsidP="007D441E">
            <w:pPr>
              <w:rPr>
                <w:lang w:eastAsia="lv-LV"/>
              </w:rPr>
            </w:pPr>
          </w:p>
          <w:p w:rsidR="00CE44D6" w:rsidRPr="007D441E" w:rsidRDefault="00CE44D6" w:rsidP="007D441E">
            <w:pPr>
              <w:rPr>
                <w:lang w:eastAsia="lv-LV"/>
              </w:rPr>
            </w:pPr>
          </w:p>
        </w:tc>
        <w:tc>
          <w:tcPr>
            <w:tcW w:w="6743" w:type="dxa"/>
          </w:tcPr>
          <w:p w:rsidR="002355F9" w:rsidRPr="00451A29" w:rsidRDefault="002D6FDA" w:rsidP="008D5EB7">
            <w:pPr>
              <w:pStyle w:val="naiskr"/>
              <w:snapToGrid w:val="0"/>
              <w:spacing w:before="0" w:after="0"/>
              <w:ind w:right="45"/>
              <w:jc w:val="both"/>
              <w:rPr>
                <w:bCs/>
                <w:color w:val="2A2A2A"/>
              </w:rPr>
            </w:pPr>
            <w:r w:rsidRPr="002D6FDA">
              <w:rPr>
                <w:color w:val="000000"/>
              </w:rPr>
              <w:t xml:space="preserve">Noteikumu projekta „Grozījumi Ministru kabineta 2010.gada 8.jūnija noteikumos Nr.519 "Noteikumi par publisko iepirkumu līgumcenu robežām" </w:t>
            </w:r>
            <w:r w:rsidR="002F7FF3">
              <w:rPr>
                <w:color w:val="000000"/>
              </w:rPr>
              <w:t xml:space="preserve">(turpmāk – Noteikumu projekts) </w:t>
            </w:r>
            <w:r w:rsidR="002355F9" w:rsidRPr="00451A29">
              <w:rPr>
                <w:bCs/>
                <w:color w:val="2A2A2A"/>
              </w:rPr>
              <w:t>nepieciešamību nosaka:</w:t>
            </w:r>
          </w:p>
          <w:p w:rsidR="00693458" w:rsidRPr="002D6FDA" w:rsidRDefault="00693458" w:rsidP="00693458">
            <w:pPr>
              <w:pStyle w:val="doc-ti"/>
              <w:spacing w:before="0" w:after="0"/>
              <w:ind w:left="142"/>
              <w:jc w:val="both"/>
              <w:rPr>
                <w:b w:val="0"/>
                <w:color w:val="2A2A2A"/>
                <w:sz w:val="24"/>
                <w:szCs w:val="24"/>
              </w:rPr>
            </w:pPr>
            <w:r w:rsidRPr="00693458">
              <w:rPr>
                <w:b w:val="0"/>
                <w:bCs w:val="0"/>
                <w:color w:val="2A2A2A"/>
                <w:sz w:val="24"/>
                <w:szCs w:val="24"/>
              </w:rPr>
              <w:t>1)</w:t>
            </w:r>
            <w:r>
              <w:rPr>
                <w:b w:val="0"/>
                <w:color w:val="2A2A2A"/>
                <w:sz w:val="24"/>
                <w:szCs w:val="24"/>
              </w:rPr>
              <w:t xml:space="preserve"> </w:t>
            </w:r>
            <w:r w:rsidR="002355F9" w:rsidRPr="00451A29">
              <w:rPr>
                <w:b w:val="0"/>
                <w:color w:val="2A2A2A"/>
                <w:sz w:val="24"/>
                <w:szCs w:val="24"/>
              </w:rPr>
              <w:t xml:space="preserve">Eiropas Parlamenta un Padomes 2012. gada 25. oktobra Direktīvas 2012/27/ES par energoefektivitāti, ar ko groza Direktīvas 2009/125/EK un 2010/30/ES un atceļ Direktīvas 2004/8/EK un 2006/32/EK (turpmāk - Direktīva 2012/27/ES) </w:t>
            </w:r>
            <w:r w:rsidR="002D6FDA" w:rsidRPr="002D6FDA">
              <w:rPr>
                <w:b w:val="0"/>
                <w:color w:val="2A2A2A"/>
                <w:sz w:val="24"/>
                <w:szCs w:val="24"/>
              </w:rPr>
              <w:t>6</w:t>
            </w:r>
            <w:r w:rsidR="002355F9" w:rsidRPr="002D6FDA">
              <w:rPr>
                <w:b w:val="0"/>
                <w:color w:val="2A2A2A"/>
                <w:sz w:val="24"/>
                <w:szCs w:val="24"/>
              </w:rPr>
              <w:t>. </w:t>
            </w:r>
            <w:r w:rsidR="002D6FDA" w:rsidRPr="002D6FDA">
              <w:rPr>
                <w:b w:val="0"/>
                <w:color w:val="2A2A2A"/>
                <w:sz w:val="24"/>
                <w:szCs w:val="24"/>
              </w:rPr>
              <w:t>panta</w:t>
            </w:r>
            <w:r w:rsidR="00B22FA8">
              <w:rPr>
                <w:b w:val="0"/>
                <w:color w:val="2A2A2A"/>
                <w:sz w:val="24"/>
                <w:szCs w:val="24"/>
              </w:rPr>
              <w:t xml:space="preserve"> </w:t>
            </w:r>
            <w:r w:rsidR="002D6FDA">
              <w:rPr>
                <w:color w:val="2A2A2A"/>
                <w:sz w:val="24"/>
                <w:szCs w:val="24"/>
              </w:rPr>
              <w:t xml:space="preserve"> </w:t>
            </w:r>
            <w:r w:rsidR="002D6FDA">
              <w:t xml:space="preserve"> </w:t>
            </w:r>
            <w:r w:rsidR="00B22FA8">
              <w:rPr>
                <w:b w:val="0"/>
                <w:sz w:val="24"/>
                <w:szCs w:val="24"/>
              </w:rPr>
              <w:t xml:space="preserve">pirmā punkta otrās daļas </w:t>
            </w:r>
            <w:r w:rsidR="002D6FDA" w:rsidRPr="002D6FDA">
              <w:rPr>
                <w:b w:val="0"/>
                <w:color w:val="2A2A2A"/>
                <w:sz w:val="24"/>
                <w:szCs w:val="24"/>
              </w:rPr>
              <w:t>prasības attiecībā uz valsts veikt</w:t>
            </w:r>
            <w:r w:rsidR="00B22FA8">
              <w:rPr>
                <w:b w:val="0"/>
                <w:color w:val="2A2A2A"/>
                <w:sz w:val="24"/>
                <w:szCs w:val="24"/>
              </w:rPr>
              <w:t>o</w:t>
            </w:r>
            <w:r w:rsidR="002D6FDA" w:rsidRPr="002D6FDA">
              <w:rPr>
                <w:b w:val="0"/>
                <w:color w:val="2A2A2A"/>
                <w:sz w:val="24"/>
                <w:szCs w:val="24"/>
              </w:rPr>
              <w:t xml:space="preserve"> </w:t>
            </w:r>
            <w:r w:rsidR="002D6FDA">
              <w:rPr>
                <w:b w:val="0"/>
                <w:color w:val="2A2A2A"/>
                <w:sz w:val="24"/>
                <w:szCs w:val="24"/>
              </w:rPr>
              <w:t xml:space="preserve">ēku </w:t>
            </w:r>
            <w:r w:rsidR="002D6FDA" w:rsidRPr="002D6FDA">
              <w:rPr>
                <w:b w:val="0"/>
                <w:color w:val="2A2A2A"/>
                <w:sz w:val="24"/>
                <w:szCs w:val="24"/>
              </w:rPr>
              <w:t>preču</w:t>
            </w:r>
            <w:r w:rsidR="002D6FDA">
              <w:rPr>
                <w:b w:val="0"/>
                <w:color w:val="2A2A2A"/>
                <w:sz w:val="24"/>
                <w:szCs w:val="24"/>
              </w:rPr>
              <w:t xml:space="preserve">, </w:t>
            </w:r>
            <w:r w:rsidR="002D6FDA" w:rsidRPr="002D6FDA">
              <w:rPr>
                <w:b w:val="0"/>
                <w:color w:val="2A2A2A"/>
                <w:sz w:val="24"/>
                <w:szCs w:val="24"/>
              </w:rPr>
              <w:t xml:space="preserve">pakalpojumu  </w:t>
            </w:r>
            <w:r w:rsidR="002D6FDA">
              <w:rPr>
                <w:b w:val="0"/>
                <w:color w:val="2A2A2A"/>
                <w:sz w:val="24"/>
                <w:szCs w:val="24"/>
              </w:rPr>
              <w:t xml:space="preserve">un ēku </w:t>
            </w:r>
            <w:r w:rsidR="002D6FDA" w:rsidRPr="002D6FDA">
              <w:rPr>
                <w:b w:val="0"/>
                <w:color w:val="2A2A2A"/>
                <w:sz w:val="24"/>
                <w:szCs w:val="24"/>
              </w:rPr>
              <w:t>iepirkum</w:t>
            </w:r>
            <w:r w:rsidR="00B22FA8">
              <w:rPr>
                <w:b w:val="0"/>
                <w:color w:val="2A2A2A"/>
                <w:sz w:val="24"/>
                <w:szCs w:val="24"/>
              </w:rPr>
              <w:t>u līgumcenu robežvērtībām</w:t>
            </w:r>
            <w:r w:rsidR="002D6FDA" w:rsidRPr="002D6FDA">
              <w:rPr>
                <w:b w:val="0"/>
                <w:color w:val="2A2A2A"/>
                <w:sz w:val="24"/>
                <w:szCs w:val="24"/>
              </w:rPr>
              <w:t>.</w:t>
            </w:r>
          </w:p>
          <w:p w:rsidR="002F7FF3" w:rsidRDefault="00693458" w:rsidP="002F7FF3">
            <w:pPr>
              <w:pStyle w:val="doc-ti"/>
              <w:spacing w:after="0"/>
              <w:ind w:left="142"/>
              <w:jc w:val="both"/>
              <w:rPr>
                <w:b w:val="0"/>
                <w:color w:val="2A2A2A"/>
                <w:sz w:val="24"/>
                <w:szCs w:val="24"/>
              </w:rPr>
            </w:pPr>
            <w:r>
              <w:rPr>
                <w:b w:val="0"/>
                <w:color w:val="2A2A2A"/>
                <w:sz w:val="24"/>
                <w:szCs w:val="24"/>
              </w:rPr>
              <w:t xml:space="preserve">2) </w:t>
            </w:r>
            <w:r w:rsidR="002F7FF3">
              <w:rPr>
                <w:b w:val="0"/>
                <w:color w:val="2A2A2A"/>
                <w:sz w:val="24"/>
                <w:szCs w:val="24"/>
              </w:rPr>
              <w:t xml:space="preserve">Publisko iepirkumu likums, kura </w:t>
            </w:r>
            <w:r w:rsidR="002F7FF3">
              <w:t xml:space="preserve"> </w:t>
            </w:r>
            <w:r w:rsidR="002F7FF3" w:rsidRPr="002F7FF3">
              <w:rPr>
                <w:b w:val="0"/>
                <w:color w:val="2A2A2A"/>
                <w:sz w:val="24"/>
                <w:szCs w:val="24"/>
              </w:rPr>
              <w:t>46.</w:t>
            </w:r>
            <w:r w:rsidR="002F7FF3" w:rsidRPr="002F7FF3">
              <w:rPr>
                <w:b w:val="0"/>
                <w:color w:val="2A2A2A"/>
                <w:sz w:val="24"/>
                <w:szCs w:val="24"/>
                <w:vertAlign w:val="superscript"/>
              </w:rPr>
              <w:t xml:space="preserve">2 </w:t>
            </w:r>
            <w:r w:rsidR="002F7FF3" w:rsidRPr="002F7FF3">
              <w:rPr>
                <w:b w:val="0"/>
                <w:color w:val="2A2A2A"/>
                <w:sz w:val="24"/>
                <w:szCs w:val="24"/>
              </w:rPr>
              <w:t>pants</w:t>
            </w:r>
            <w:r w:rsidR="002F7FF3">
              <w:rPr>
                <w:b w:val="0"/>
                <w:color w:val="2A2A2A"/>
                <w:sz w:val="24"/>
                <w:szCs w:val="24"/>
              </w:rPr>
              <w:t xml:space="preserve"> nosaka, ka, r</w:t>
            </w:r>
            <w:r w:rsidR="002F7FF3" w:rsidRPr="002F7FF3">
              <w:rPr>
                <w:b w:val="0"/>
                <w:color w:val="2A2A2A"/>
                <w:sz w:val="24"/>
                <w:szCs w:val="24"/>
              </w:rPr>
              <w:t xml:space="preserve">īkojot preču vai pakalpojumu iepirkumus, kuru paredzamā līgumcena ir vienāda ar šā likuma 10.pantā minēto Ministru kabineta noteikto līgumcenu robežu vai lielāka, tiešās pārvaldes iestādes iegādājas tikai tādas preces un pakalpojumus, kam ir augsts energoefektivitātes līmenis. </w:t>
            </w:r>
          </w:p>
          <w:p w:rsidR="00633E76" w:rsidRPr="00693458" w:rsidRDefault="002F7FF3" w:rsidP="002F7FF3">
            <w:pPr>
              <w:pStyle w:val="doc-ti"/>
              <w:spacing w:after="0"/>
              <w:ind w:left="142"/>
              <w:jc w:val="both"/>
              <w:rPr>
                <w:b w:val="0"/>
                <w:color w:val="2A2A2A"/>
                <w:sz w:val="24"/>
                <w:szCs w:val="24"/>
              </w:rPr>
            </w:pPr>
            <w:r>
              <w:rPr>
                <w:b w:val="0"/>
                <w:color w:val="2A2A2A"/>
                <w:sz w:val="24"/>
                <w:szCs w:val="24"/>
              </w:rPr>
              <w:t xml:space="preserve">3) </w:t>
            </w:r>
            <w:r w:rsidR="00633E76" w:rsidRPr="00693458">
              <w:rPr>
                <w:b w:val="0"/>
                <w:color w:val="2A2A2A"/>
                <w:sz w:val="24"/>
                <w:szCs w:val="24"/>
              </w:rPr>
              <w:t xml:space="preserve">Ministru kabineta 2013. gada 2. decembra rīkojuma Nr.587 (prot. Nr.63 52.§) </w:t>
            </w:r>
            <w:bookmarkStart w:id="1" w:name="OLE_LINK9"/>
            <w:bookmarkStart w:id="2" w:name="OLE_LINK10"/>
            <w:bookmarkStart w:id="3" w:name="OLE_LINK1"/>
            <w:r w:rsidR="00633E76" w:rsidRPr="00693458">
              <w:rPr>
                <w:b w:val="0"/>
                <w:color w:val="2A2A2A"/>
                <w:sz w:val="24"/>
                <w:szCs w:val="24"/>
              </w:rPr>
              <w:t>„Par Koncepciju par Eiropas Parlamenta un Padomes 2012. gada 25. oktobra Direktīvas 2012/27/ES par energoefektivitāti, ar ko groza Direktīvas 2009/125/EK un 2010/30/ES un atceļ Direktīvas 2004/8/EK un 2006/32/EK, prasību pārņemšanu normatīvajos aktos</w:t>
            </w:r>
            <w:bookmarkEnd w:id="1"/>
            <w:bookmarkEnd w:id="2"/>
            <w:bookmarkEnd w:id="3"/>
            <w:r w:rsidR="00633E76" w:rsidRPr="00693458">
              <w:rPr>
                <w:b w:val="0"/>
                <w:color w:val="2A2A2A"/>
                <w:sz w:val="24"/>
                <w:szCs w:val="24"/>
              </w:rPr>
              <w:t xml:space="preserve">” </w:t>
            </w:r>
            <w:r w:rsidR="00B22FA8">
              <w:t xml:space="preserve"> </w:t>
            </w:r>
            <w:r w:rsidR="00B22FA8" w:rsidRPr="00B22FA8">
              <w:rPr>
                <w:b w:val="0"/>
                <w:color w:val="2A2A2A"/>
                <w:sz w:val="24"/>
                <w:szCs w:val="24"/>
              </w:rPr>
              <w:t>5.</w:t>
            </w:r>
            <w:r w:rsidR="00B22FA8">
              <w:rPr>
                <w:b w:val="0"/>
                <w:color w:val="2A2A2A"/>
                <w:sz w:val="24"/>
                <w:szCs w:val="24"/>
              </w:rPr>
              <w:t>punkts: „</w:t>
            </w:r>
            <w:r w:rsidR="00B22FA8" w:rsidRPr="00B22FA8">
              <w:rPr>
                <w:b w:val="0"/>
                <w:color w:val="2A2A2A"/>
                <w:sz w:val="24"/>
                <w:szCs w:val="24"/>
              </w:rPr>
              <w:t>Ekonomikas ministrijai sadarbībā ar Finanšu ministriju, Vides aizsardzības un reģionālās attīstības ministriju un Iepirkumu uzraudzības biroju izstrādāt un ekonomikas ministram līdz 2014.gada 10.februārim iesniegt noteiktā kārtībā Ministru kabinetā normatīvo aktu grozījumus publiskā iepirkuma jomā, lai nodrošinātu, ka centrālās valdības iestādes iegādājas tikai augsti energoefektīvus ražojumus, pakalpojumus un ēkas.</w:t>
            </w:r>
            <w:r w:rsidR="00B22FA8">
              <w:rPr>
                <w:b w:val="0"/>
                <w:color w:val="2A2A2A"/>
                <w:sz w:val="24"/>
                <w:szCs w:val="24"/>
              </w:rPr>
              <w:t xml:space="preserve">” </w:t>
            </w:r>
          </w:p>
        </w:tc>
      </w:tr>
      <w:tr w:rsidR="0024569C" w:rsidRPr="00451A29" w:rsidTr="00297EE3">
        <w:trPr>
          <w:trHeight w:val="416"/>
        </w:trPr>
        <w:tc>
          <w:tcPr>
            <w:tcW w:w="289" w:type="dxa"/>
          </w:tcPr>
          <w:p w:rsidR="00CE44D6" w:rsidRPr="00451A29" w:rsidRDefault="00CE44D6" w:rsidP="008D5EB7">
            <w:pPr>
              <w:pStyle w:val="naiskr"/>
              <w:spacing w:before="0" w:after="0"/>
              <w:rPr>
                <w:color w:val="000000" w:themeColor="text1"/>
              </w:rPr>
            </w:pPr>
            <w:r w:rsidRPr="00451A29">
              <w:rPr>
                <w:color w:val="000000" w:themeColor="text1"/>
              </w:rPr>
              <w:t>2.</w:t>
            </w:r>
          </w:p>
        </w:tc>
        <w:tc>
          <w:tcPr>
            <w:tcW w:w="2693" w:type="dxa"/>
          </w:tcPr>
          <w:p w:rsidR="00CE44D6" w:rsidRPr="00451A29" w:rsidRDefault="000D7502" w:rsidP="008D5EB7">
            <w:pPr>
              <w:pStyle w:val="naiskr"/>
              <w:tabs>
                <w:tab w:val="left" w:pos="170"/>
              </w:tabs>
              <w:spacing w:before="0" w:after="0"/>
              <w:rPr>
                <w:color w:val="000000" w:themeColor="text1"/>
              </w:rPr>
            </w:pPr>
            <w:r w:rsidRPr="00451A29">
              <w:t>Pašreizējā situācija un problēmas, kuru risināšanai tiesību akta projekts izstrādāts, tiesiskā regulējuma mērķis un būtība</w:t>
            </w:r>
          </w:p>
        </w:tc>
        <w:tc>
          <w:tcPr>
            <w:tcW w:w="6743" w:type="dxa"/>
          </w:tcPr>
          <w:p w:rsidR="002F7FF3" w:rsidRPr="00D15959" w:rsidRDefault="00B715E1" w:rsidP="002F7FF3">
            <w:pPr>
              <w:pStyle w:val="naiskr"/>
              <w:spacing w:before="0" w:after="0"/>
              <w:ind w:right="164"/>
              <w:jc w:val="both"/>
              <w:rPr>
                <w:bCs/>
                <w:color w:val="2A2A2A"/>
              </w:rPr>
            </w:pPr>
            <w:r w:rsidRPr="00B715E1">
              <w:rPr>
                <w:bCs/>
                <w:color w:val="2A2A2A"/>
              </w:rPr>
              <w:t xml:space="preserve">Direktīvas 2012/27/ES 6.pants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w:t>
            </w:r>
            <w:r w:rsidR="002F7FF3">
              <w:rPr>
                <w:bCs/>
                <w:color w:val="2A2A2A"/>
              </w:rPr>
              <w:t>M</w:t>
            </w:r>
            <w:r w:rsidRPr="00B715E1">
              <w:rPr>
                <w:bCs/>
                <w:color w:val="2A2A2A"/>
              </w:rPr>
              <w:t xml:space="preserve">inētie pienākumi </w:t>
            </w:r>
            <w:r>
              <w:rPr>
                <w:bCs/>
                <w:color w:val="2A2A2A"/>
              </w:rPr>
              <w:t>attiecībā uz precēm un pakalpojumiem ir noteikti Publisko iepirkumu likumā</w:t>
            </w:r>
            <w:r w:rsidR="002F7FF3">
              <w:rPr>
                <w:bCs/>
                <w:color w:val="2A2A2A"/>
              </w:rPr>
              <w:t xml:space="preserve">. </w:t>
            </w:r>
          </w:p>
          <w:p w:rsidR="00B715E1" w:rsidRDefault="00B715E1" w:rsidP="00B715E1">
            <w:pPr>
              <w:pStyle w:val="naiskr"/>
              <w:spacing w:before="0" w:after="0"/>
              <w:ind w:right="164"/>
              <w:jc w:val="both"/>
              <w:rPr>
                <w:bCs/>
                <w:color w:val="2A2A2A"/>
              </w:rPr>
            </w:pPr>
          </w:p>
          <w:p w:rsidR="00B715E1" w:rsidRPr="00451A29" w:rsidRDefault="00B715E1" w:rsidP="00891760">
            <w:pPr>
              <w:pStyle w:val="naiskr"/>
              <w:spacing w:before="0" w:after="0"/>
              <w:ind w:right="164"/>
              <w:jc w:val="both"/>
              <w:rPr>
                <w:bCs/>
                <w:color w:val="2A2A2A"/>
              </w:rPr>
            </w:pPr>
            <w:r>
              <w:rPr>
                <w:bCs/>
                <w:color w:val="2A2A2A"/>
              </w:rPr>
              <w:t xml:space="preserve">Noteikumu projekta </w:t>
            </w:r>
            <w:r w:rsidR="00B22FA8" w:rsidRPr="00B22FA8">
              <w:rPr>
                <w:bCs/>
                <w:color w:val="2A2A2A"/>
              </w:rPr>
              <w:t xml:space="preserve">mērķis ir </w:t>
            </w:r>
            <w:r w:rsidR="002F7FF3">
              <w:rPr>
                <w:bCs/>
                <w:color w:val="2A2A2A"/>
              </w:rPr>
              <w:t xml:space="preserve">noteikt Publisko iepirkumu likuma </w:t>
            </w:r>
            <w:r w:rsidR="002F7FF3" w:rsidRPr="002F7FF3">
              <w:rPr>
                <w:color w:val="2A2A2A"/>
              </w:rPr>
              <w:t>46.</w:t>
            </w:r>
            <w:r w:rsidR="002F7FF3" w:rsidRPr="002F7FF3">
              <w:rPr>
                <w:color w:val="2A2A2A"/>
                <w:vertAlign w:val="superscript"/>
              </w:rPr>
              <w:t xml:space="preserve">2 </w:t>
            </w:r>
            <w:r w:rsidR="002F7FF3" w:rsidRPr="002F7FF3">
              <w:rPr>
                <w:color w:val="2A2A2A"/>
              </w:rPr>
              <w:t>pant</w:t>
            </w:r>
            <w:r w:rsidR="002F7FF3">
              <w:rPr>
                <w:color w:val="2A2A2A"/>
              </w:rPr>
              <w:t>ā minētajiem iepirkumiem</w:t>
            </w:r>
            <w:r w:rsidR="002F7FF3">
              <w:rPr>
                <w:bCs/>
                <w:color w:val="2A2A2A"/>
              </w:rPr>
              <w:t xml:space="preserve"> līgumcenu robežas</w:t>
            </w:r>
            <w:r w:rsidR="00891760">
              <w:rPr>
                <w:bCs/>
                <w:color w:val="2A2A2A"/>
              </w:rPr>
              <w:t>, kas atbilst</w:t>
            </w:r>
            <w:r w:rsidR="00B22FA8" w:rsidRPr="00B22FA8">
              <w:rPr>
                <w:bCs/>
                <w:color w:val="2A2A2A"/>
              </w:rPr>
              <w:t xml:space="preserve">  Direktīvas 2012/27/ES 6.panta  prasības attiecībā uz valsts veikt</w:t>
            </w:r>
            <w:r w:rsidR="00B22FA8">
              <w:rPr>
                <w:bCs/>
                <w:color w:val="2A2A2A"/>
              </w:rPr>
              <w:t xml:space="preserve">o </w:t>
            </w:r>
            <w:r w:rsidR="00B22FA8" w:rsidRPr="00B22FA8">
              <w:rPr>
                <w:bCs/>
                <w:color w:val="2A2A2A"/>
              </w:rPr>
              <w:t>preču</w:t>
            </w:r>
            <w:r w:rsidR="00891760">
              <w:rPr>
                <w:bCs/>
                <w:color w:val="2A2A2A"/>
              </w:rPr>
              <w:t xml:space="preserve"> un </w:t>
            </w:r>
            <w:r w:rsidR="00B22FA8" w:rsidRPr="00B22FA8">
              <w:rPr>
                <w:bCs/>
                <w:color w:val="2A2A2A"/>
              </w:rPr>
              <w:t>pakalpojumu iepirkumu līgum</w:t>
            </w:r>
            <w:r w:rsidR="00B22FA8">
              <w:rPr>
                <w:bCs/>
                <w:color w:val="2A2A2A"/>
              </w:rPr>
              <w:t>cenu</w:t>
            </w:r>
            <w:r w:rsidR="00B22FA8" w:rsidRPr="00B22FA8">
              <w:rPr>
                <w:bCs/>
                <w:color w:val="2A2A2A"/>
              </w:rPr>
              <w:t xml:space="preserve"> robežvērtībām. </w:t>
            </w:r>
          </w:p>
        </w:tc>
      </w:tr>
      <w:tr w:rsidR="0024569C" w:rsidRPr="00451A29" w:rsidTr="00297EE3">
        <w:trPr>
          <w:trHeight w:val="554"/>
        </w:trPr>
        <w:tc>
          <w:tcPr>
            <w:tcW w:w="289" w:type="dxa"/>
          </w:tcPr>
          <w:p w:rsidR="00CE44D6" w:rsidRPr="00451A29" w:rsidRDefault="00CE44D6" w:rsidP="008D5EB7">
            <w:pPr>
              <w:pStyle w:val="naiskr"/>
              <w:spacing w:before="0" w:after="0"/>
              <w:rPr>
                <w:color w:val="000000" w:themeColor="text1"/>
              </w:rPr>
            </w:pPr>
            <w:r w:rsidRPr="00451A29">
              <w:rPr>
                <w:color w:val="000000" w:themeColor="text1"/>
              </w:rPr>
              <w:lastRenderedPageBreak/>
              <w:t>3.</w:t>
            </w:r>
          </w:p>
        </w:tc>
        <w:tc>
          <w:tcPr>
            <w:tcW w:w="2693" w:type="dxa"/>
          </w:tcPr>
          <w:p w:rsidR="00CE44D6" w:rsidRPr="00451A29" w:rsidRDefault="000D7502" w:rsidP="008D5EB7">
            <w:pPr>
              <w:pStyle w:val="naiskr"/>
              <w:spacing w:before="0" w:after="0"/>
              <w:rPr>
                <w:color w:val="000000" w:themeColor="text1"/>
              </w:rPr>
            </w:pPr>
            <w:r w:rsidRPr="00451A29">
              <w:t>Projekta izstrādē iesaistītās institūcijas</w:t>
            </w:r>
          </w:p>
        </w:tc>
        <w:tc>
          <w:tcPr>
            <w:tcW w:w="6743" w:type="dxa"/>
          </w:tcPr>
          <w:p w:rsidR="00FB27B5" w:rsidRPr="00451A29" w:rsidRDefault="003D40E6" w:rsidP="008D5EB7">
            <w:pPr>
              <w:pStyle w:val="FootnoteText"/>
              <w:jc w:val="both"/>
              <w:rPr>
                <w:sz w:val="24"/>
                <w:szCs w:val="24"/>
              </w:rPr>
            </w:pPr>
            <w:r w:rsidRPr="00451A29">
              <w:rPr>
                <w:bCs/>
                <w:color w:val="000000" w:themeColor="text1"/>
                <w:sz w:val="24"/>
                <w:szCs w:val="24"/>
              </w:rPr>
              <w:t>Nav attiecināms.</w:t>
            </w:r>
          </w:p>
        </w:tc>
      </w:tr>
      <w:tr w:rsidR="0024569C" w:rsidRPr="00451A29" w:rsidTr="00297EE3">
        <w:trPr>
          <w:trHeight w:val="1734"/>
        </w:trPr>
        <w:tc>
          <w:tcPr>
            <w:tcW w:w="289" w:type="dxa"/>
          </w:tcPr>
          <w:p w:rsidR="00CE44D6" w:rsidRPr="00451A29" w:rsidRDefault="00CE44D6" w:rsidP="008D5EB7">
            <w:pPr>
              <w:pStyle w:val="naiskr"/>
              <w:spacing w:before="0" w:after="0"/>
              <w:rPr>
                <w:color w:val="000000" w:themeColor="text1"/>
              </w:rPr>
            </w:pPr>
            <w:r w:rsidRPr="00451A29">
              <w:rPr>
                <w:color w:val="000000" w:themeColor="text1"/>
              </w:rPr>
              <w:t>4.</w:t>
            </w:r>
          </w:p>
        </w:tc>
        <w:tc>
          <w:tcPr>
            <w:tcW w:w="2693" w:type="dxa"/>
          </w:tcPr>
          <w:p w:rsidR="00CE44D6" w:rsidRPr="00451A29" w:rsidRDefault="000D7502" w:rsidP="008D5EB7">
            <w:pPr>
              <w:pStyle w:val="naiskr"/>
              <w:spacing w:before="0" w:after="0"/>
              <w:rPr>
                <w:color w:val="000000" w:themeColor="text1"/>
              </w:rPr>
            </w:pPr>
            <w:r w:rsidRPr="00451A29">
              <w:t>Cita informācija</w:t>
            </w:r>
          </w:p>
        </w:tc>
        <w:tc>
          <w:tcPr>
            <w:tcW w:w="6743" w:type="dxa"/>
          </w:tcPr>
          <w:p w:rsidR="006C23BB" w:rsidRPr="00451A29" w:rsidRDefault="00B715E1" w:rsidP="008D5EB7">
            <w:pPr>
              <w:pStyle w:val="naislab"/>
              <w:spacing w:before="0" w:after="0"/>
              <w:jc w:val="both"/>
            </w:pPr>
            <w:r>
              <w:t>Nav.</w:t>
            </w:r>
          </w:p>
        </w:tc>
      </w:tr>
    </w:tbl>
    <w:p w:rsidR="002F76E7" w:rsidRPr="00451A29" w:rsidRDefault="002F76E7" w:rsidP="008D5EB7">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24569C" w:rsidRPr="00451A29" w:rsidTr="00AC5899">
        <w:tc>
          <w:tcPr>
            <w:tcW w:w="9725" w:type="dxa"/>
            <w:gridSpan w:val="3"/>
            <w:vAlign w:val="center"/>
          </w:tcPr>
          <w:p w:rsidR="00CE44D6" w:rsidRPr="00451A29" w:rsidRDefault="00CE44D6" w:rsidP="008D5EB7">
            <w:pPr>
              <w:pStyle w:val="naisnod"/>
              <w:spacing w:before="0" w:after="0"/>
              <w:rPr>
                <w:color w:val="000000" w:themeColor="text1"/>
              </w:rPr>
            </w:pPr>
            <w:r w:rsidRPr="00451A29">
              <w:rPr>
                <w:color w:val="000000" w:themeColor="text1"/>
              </w:rPr>
              <w:t>II. Tiesību akta projekta ietekme uz sabiedrību</w:t>
            </w:r>
            <w:r w:rsidR="003D40E6" w:rsidRPr="00451A29">
              <w:rPr>
                <w:color w:val="000000" w:themeColor="text1"/>
              </w:rPr>
              <w:t>, tautsaimniecības attīstību un administratīvo slogu</w:t>
            </w:r>
          </w:p>
        </w:tc>
      </w:tr>
      <w:tr w:rsidR="0024569C" w:rsidRPr="00451A29" w:rsidTr="004E4A8D">
        <w:trPr>
          <w:trHeight w:val="281"/>
        </w:trPr>
        <w:tc>
          <w:tcPr>
            <w:tcW w:w="550" w:type="dxa"/>
          </w:tcPr>
          <w:p w:rsidR="00CE44D6" w:rsidRPr="00451A29" w:rsidRDefault="00CE44D6" w:rsidP="008D5EB7">
            <w:pPr>
              <w:pStyle w:val="naiskr"/>
              <w:spacing w:before="0" w:after="0"/>
              <w:rPr>
                <w:color w:val="000000" w:themeColor="text1"/>
              </w:rPr>
            </w:pPr>
            <w:r w:rsidRPr="00451A29">
              <w:rPr>
                <w:color w:val="000000" w:themeColor="text1"/>
              </w:rPr>
              <w:t>1.</w:t>
            </w:r>
          </w:p>
        </w:tc>
        <w:tc>
          <w:tcPr>
            <w:tcW w:w="3708" w:type="dxa"/>
          </w:tcPr>
          <w:p w:rsidR="00CE44D6" w:rsidRPr="00451A29" w:rsidRDefault="00921A28" w:rsidP="008D5EB7">
            <w:pPr>
              <w:pStyle w:val="naiskr"/>
              <w:spacing w:before="0" w:after="0"/>
              <w:ind w:hanging="10"/>
              <w:rPr>
                <w:color w:val="000000" w:themeColor="text1"/>
              </w:rPr>
            </w:pPr>
            <w:r w:rsidRPr="00451A29">
              <w:t>Sabiedrības mērķgrupas, kuras tiesiskais regulējums ietekmē vai varētu ietekmēt</w:t>
            </w:r>
          </w:p>
        </w:tc>
        <w:tc>
          <w:tcPr>
            <w:tcW w:w="5467" w:type="dxa"/>
          </w:tcPr>
          <w:p w:rsidR="00D358F5" w:rsidRPr="00451A29" w:rsidRDefault="00891760" w:rsidP="00891760">
            <w:pPr>
              <w:pStyle w:val="Default"/>
              <w:jc w:val="both"/>
              <w:rPr>
                <w:rFonts w:ascii="Times New Roman" w:hAnsi="Times New Roman" w:cs="Times New Roman"/>
                <w:bCs/>
                <w:color w:val="000000" w:themeColor="text1"/>
              </w:rPr>
            </w:pPr>
            <w:r>
              <w:rPr>
                <w:rFonts w:ascii="Times New Roman" w:hAnsi="Times New Roman" w:cs="Times New Roman"/>
                <w:bCs/>
                <w:color w:val="000000" w:themeColor="text1"/>
              </w:rPr>
              <w:t>Valsts t</w:t>
            </w:r>
            <w:r w:rsidR="00B715E1" w:rsidRPr="00B715E1">
              <w:rPr>
                <w:rFonts w:ascii="Times New Roman" w:hAnsi="Times New Roman" w:cs="Times New Roman"/>
                <w:bCs/>
                <w:color w:val="000000" w:themeColor="text1"/>
              </w:rPr>
              <w:t xml:space="preserve">iešās pārvaldes iestādes. </w:t>
            </w:r>
          </w:p>
        </w:tc>
      </w:tr>
      <w:tr w:rsidR="0024569C" w:rsidRPr="00451A29" w:rsidTr="00826828">
        <w:trPr>
          <w:trHeight w:val="472"/>
        </w:trPr>
        <w:tc>
          <w:tcPr>
            <w:tcW w:w="550" w:type="dxa"/>
          </w:tcPr>
          <w:p w:rsidR="00CE44D6" w:rsidRPr="00451A29" w:rsidRDefault="00CE44D6" w:rsidP="008D5EB7">
            <w:pPr>
              <w:pStyle w:val="naiskr"/>
              <w:spacing w:before="0" w:after="0"/>
              <w:rPr>
                <w:color w:val="000000" w:themeColor="text1"/>
              </w:rPr>
            </w:pPr>
            <w:r w:rsidRPr="00451A29">
              <w:rPr>
                <w:color w:val="000000" w:themeColor="text1"/>
              </w:rPr>
              <w:t>2.</w:t>
            </w:r>
          </w:p>
        </w:tc>
        <w:tc>
          <w:tcPr>
            <w:tcW w:w="3708" w:type="dxa"/>
          </w:tcPr>
          <w:p w:rsidR="00CE44D6" w:rsidRPr="00451A29" w:rsidRDefault="00921A28" w:rsidP="008D5EB7">
            <w:pPr>
              <w:pStyle w:val="naiskr"/>
              <w:tabs>
                <w:tab w:val="left" w:pos="170"/>
              </w:tabs>
              <w:spacing w:before="0" w:after="0"/>
            </w:pPr>
            <w:r w:rsidRPr="00451A29">
              <w:t>Tiesiskā regulējuma ietekme uz tautsaimniecību un administratīvo slogu</w:t>
            </w:r>
          </w:p>
        </w:tc>
        <w:tc>
          <w:tcPr>
            <w:tcW w:w="5467" w:type="dxa"/>
          </w:tcPr>
          <w:p w:rsidR="00B700A9" w:rsidRPr="00451A29" w:rsidRDefault="00297EE3" w:rsidP="008D5EB7">
            <w:pPr>
              <w:spacing w:after="0" w:line="240" w:lineRule="auto"/>
              <w:jc w:val="both"/>
              <w:rPr>
                <w:rFonts w:ascii="Times New Roman" w:hAnsi="Times New Roman"/>
                <w:color w:val="000000" w:themeColor="text1"/>
                <w:sz w:val="24"/>
                <w:szCs w:val="24"/>
              </w:rPr>
            </w:pPr>
            <w:r w:rsidRPr="00451A29">
              <w:rPr>
                <w:rFonts w:ascii="Times New Roman" w:eastAsia="Times New Roman" w:hAnsi="Times New Roman"/>
                <w:sz w:val="24"/>
                <w:szCs w:val="24"/>
                <w:lang w:eastAsia="lv-LV"/>
              </w:rPr>
              <w:t>Projekts šo jomu neskar.</w:t>
            </w:r>
          </w:p>
        </w:tc>
      </w:tr>
      <w:tr w:rsidR="0024569C" w:rsidRPr="00451A29" w:rsidTr="00917B24">
        <w:trPr>
          <w:trHeight w:val="481"/>
        </w:trPr>
        <w:tc>
          <w:tcPr>
            <w:tcW w:w="550" w:type="dxa"/>
          </w:tcPr>
          <w:p w:rsidR="00CE44D6" w:rsidRPr="00451A29" w:rsidRDefault="00CE44D6" w:rsidP="008D5EB7">
            <w:pPr>
              <w:pStyle w:val="naiskr"/>
              <w:spacing w:before="0" w:after="0"/>
              <w:rPr>
                <w:color w:val="000000" w:themeColor="text1"/>
              </w:rPr>
            </w:pPr>
            <w:r w:rsidRPr="00451A29">
              <w:rPr>
                <w:color w:val="000000" w:themeColor="text1"/>
              </w:rPr>
              <w:t>3.</w:t>
            </w:r>
          </w:p>
        </w:tc>
        <w:tc>
          <w:tcPr>
            <w:tcW w:w="3708" w:type="dxa"/>
          </w:tcPr>
          <w:p w:rsidR="00CE44D6" w:rsidRPr="00451A29" w:rsidRDefault="00921A28" w:rsidP="008D5EB7">
            <w:pPr>
              <w:spacing w:after="0" w:line="240" w:lineRule="auto"/>
              <w:rPr>
                <w:rFonts w:ascii="Times New Roman" w:eastAsia="Times New Roman" w:hAnsi="Times New Roman"/>
                <w:sz w:val="24"/>
                <w:szCs w:val="24"/>
                <w:lang w:eastAsia="lv-LV"/>
              </w:rPr>
            </w:pPr>
            <w:r w:rsidRPr="00451A29">
              <w:rPr>
                <w:rFonts w:ascii="Times New Roman" w:eastAsia="Times New Roman" w:hAnsi="Times New Roman"/>
                <w:sz w:val="24"/>
                <w:szCs w:val="24"/>
                <w:lang w:eastAsia="lv-LV"/>
              </w:rPr>
              <w:t>Administratīvo izmaksu monetārs novērtējums</w:t>
            </w:r>
          </w:p>
        </w:tc>
        <w:tc>
          <w:tcPr>
            <w:tcW w:w="5467" w:type="dxa"/>
          </w:tcPr>
          <w:p w:rsidR="000F6BCB" w:rsidRPr="00451A29" w:rsidRDefault="00297EE3" w:rsidP="008D5EB7">
            <w:pPr>
              <w:spacing w:after="0" w:line="240" w:lineRule="auto"/>
              <w:jc w:val="both"/>
              <w:rPr>
                <w:rFonts w:ascii="Times New Roman" w:hAnsi="Times New Roman"/>
                <w:color w:val="000000" w:themeColor="text1"/>
                <w:sz w:val="24"/>
                <w:szCs w:val="24"/>
              </w:rPr>
            </w:pPr>
            <w:r w:rsidRPr="00451A29">
              <w:rPr>
                <w:rFonts w:ascii="Times New Roman" w:eastAsia="Times New Roman" w:hAnsi="Times New Roman"/>
                <w:sz w:val="24"/>
                <w:szCs w:val="24"/>
                <w:lang w:eastAsia="lv-LV"/>
              </w:rPr>
              <w:t>Projekts šo jomu neskar.</w:t>
            </w:r>
          </w:p>
        </w:tc>
      </w:tr>
      <w:tr w:rsidR="0024569C" w:rsidRPr="00451A29" w:rsidTr="00826828">
        <w:trPr>
          <w:trHeight w:val="274"/>
        </w:trPr>
        <w:tc>
          <w:tcPr>
            <w:tcW w:w="550" w:type="dxa"/>
          </w:tcPr>
          <w:p w:rsidR="00CE44D6" w:rsidRPr="00451A29" w:rsidRDefault="00CE44D6" w:rsidP="008D5EB7">
            <w:pPr>
              <w:pStyle w:val="naiskr"/>
              <w:spacing w:before="0" w:after="0"/>
              <w:rPr>
                <w:color w:val="000000" w:themeColor="text1"/>
              </w:rPr>
            </w:pPr>
            <w:r w:rsidRPr="00451A29">
              <w:rPr>
                <w:color w:val="000000" w:themeColor="text1"/>
              </w:rPr>
              <w:t>4.</w:t>
            </w:r>
          </w:p>
        </w:tc>
        <w:tc>
          <w:tcPr>
            <w:tcW w:w="3708" w:type="dxa"/>
          </w:tcPr>
          <w:p w:rsidR="00CE44D6" w:rsidRPr="00451A29" w:rsidRDefault="00921A28" w:rsidP="008D5EB7">
            <w:pPr>
              <w:spacing w:after="0" w:line="240" w:lineRule="auto"/>
              <w:rPr>
                <w:rFonts w:ascii="Times New Roman" w:eastAsia="Times New Roman" w:hAnsi="Times New Roman"/>
                <w:sz w:val="24"/>
                <w:szCs w:val="24"/>
                <w:lang w:eastAsia="lv-LV"/>
              </w:rPr>
            </w:pPr>
            <w:r w:rsidRPr="00451A29">
              <w:rPr>
                <w:rFonts w:ascii="Times New Roman" w:eastAsia="Times New Roman" w:hAnsi="Times New Roman"/>
                <w:sz w:val="24"/>
                <w:szCs w:val="24"/>
                <w:lang w:eastAsia="lv-LV"/>
              </w:rPr>
              <w:t>Cita informācija</w:t>
            </w:r>
          </w:p>
        </w:tc>
        <w:tc>
          <w:tcPr>
            <w:tcW w:w="5467" w:type="dxa"/>
          </w:tcPr>
          <w:p w:rsidR="006067E8" w:rsidRPr="00451A29" w:rsidRDefault="007833E1" w:rsidP="008D5EB7">
            <w:pPr>
              <w:spacing w:after="0" w:line="240" w:lineRule="auto"/>
              <w:jc w:val="both"/>
              <w:rPr>
                <w:rFonts w:ascii="Times New Roman" w:eastAsia="Times New Roman" w:hAnsi="Times New Roman"/>
                <w:color w:val="000000" w:themeColor="text1"/>
                <w:sz w:val="24"/>
                <w:szCs w:val="24"/>
                <w:lang w:eastAsia="lv-LV"/>
              </w:rPr>
            </w:pPr>
            <w:r w:rsidRPr="00451A29">
              <w:rPr>
                <w:rFonts w:ascii="Times New Roman" w:eastAsia="Times New Roman" w:hAnsi="Times New Roman"/>
                <w:color w:val="000000" w:themeColor="text1"/>
                <w:sz w:val="24"/>
                <w:szCs w:val="24"/>
                <w:lang w:eastAsia="lv-LV"/>
              </w:rPr>
              <w:t>Nav</w:t>
            </w:r>
            <w:r w:rsidR="00EF7424" w:rsidRPr="00451A29">
              <w:rPr>
                <w:rFonts w:ascii="Times New Roman" w:eastAsia="Times New Roman" w:hAnsi="Times New Roman"/>
                <w:color w:val="000000" w:themeColor="text1"/>
                <w:sz w:val="24"/>
                <w:szCs w:val="24"/>
                <w:lang w:eastAsia="lv-LV"/>
              </w:rPr>
              <w:t>.</w:t>
            </w:r>
          </w:p>
        </w:tc>
      </w:tr>
    </w:tbl>
    <w:p w:rsidR="00AD4F27" w:rsidRPr="00451A29" w:rsidRDefault="00AD4F27" w:rsidP="008D5EB7">
      <w:pPr>
        <w:spacing w:after="0" w:line="240" w:lineRule="auto"/>
        <w:rPr>
          <w:rFonts w:ascii="Times New Roman" w:eastAsia="Times New Roman" w:hAnsi="Times New Roman"/>
          <w:color w:val="000000" w:themeColor="text1"/>
          <w:sz w:val="24"/>
          <w:szCs w:val="24"/>
          <w:lang w:eastAsia="lv-LV"/>
        </w:rPr>
      </w:pPr>
    </w:p>
    <w:tbl>
      <w:tblPr>
        <w:tblW w:w="5279" w:type="pct"/>
        <w:tblInd w:w="-254"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641"/>
      </w:tblGrid>
      <w:tr w:rsidR="0024569C" w:rsidRPr="00451A29" w:rsidTr="00297EE3">
        <w:trPr>
          <w:trHeight w:val="285"/>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4F796C" w:rsidRPr="00451A29" w:rsidRDefault="004F796C" w:rsidP="008D5EB7">
            <w:pPr>
              <w:spacing w:after="0" w:line="240" w:lineRule="auto"/>
              <w:jc w:val="center"/>
              <w:rPr>
                <w:rFonts w:ascii="Times New Roman" w:eastAsia="Times New Roman" w:hAnsi="Times New Roman"/>
                <w:color w:val="000000" w:themeColor="text1"/>
                <w:sz w:val="24"/>
                <w:szCs w:val="24"/>
                <w:lang w:eastAsia="lv-LV"/>
              </w:rPr>
            </w:pPr>
            <w:r w:rsidRPr="00451A29">
              <w:rPr>
                <w:rFonts w:ascii="Times New Roman" w:eastAsia="Times New Roman" w:hAnsi="Times New Roman"/>
                <w:b/>
                <w:bCs/>
                <w:color w:val="000000" w:themeColor="text1"/>
                <w:sz w:val="24"/>
                <w:szCs w:val="24"/>
                <w:bdr w:val="none" w:sz="0" w:space="0" w:color="auto" w:frame="1"/>
                <w:lang w:eastAsia="lv-LV"/>
              </w:rPr>
              <w:t>III. Tiesību akta projekta ietekme uz valsts budžetu un pašvaldību budžetiem</w:t>
            </w:r>
          </w:p>
        </w:tc>
      </w:tr>
      <w:tr w:rsidR="00297EE3" w:rsidRPr="00451A29" w:rsidTr="00DE4509">
        <w:trPr>
          <w:trHeight w:val="270"/>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297EE3" w:rsidRPr="00451A29" w:rsidRDefault="00297EE3" w:rsidP="008D5EB7">
            <w:pPr>
              <w:spacing w:after="0" w:line="240" w:lineRule="auto"/>
              <w:jc w:val="both"/>
              <w:rPr>
                <w:rFonts w:ascii="Times New Roman" w:eastAsia="Times New Roman" w:hAnsi="Times New Roman"/>
                <w:b/>
                <w:bCs/>
                <w:color w:val="000000" w:themeColor="text1"/>
                <w:sz w:val="24"/>
                <w:szCs w:val="24"/>
                <w:bdr w:val="none" w:sz="0" w:space="0" w:color="auto" w:frame="1"/>
                <w:lang w:eastAsia="lv-LV"/>
              </w:rPr>
            </w:pPr>
            <w:r w:rsidRPr="00451A29">
              <w:rPr>
                <w:rFonts w:ascii="Times New Roman" w:eastAsia="Times New Roman" w:hAnsi="Times New Roman"/>
                <w:sz w:val="24"/>
                <w:szCs w:val="24"/>
                <w:lang w:eastAsia="lv-LV"/>
              </w:rPr>
              <w:t>Projekts šo jomu neskar.</w:t>
            </w:r>
          </w:p>
        </w:tc>
      </w:tr>
    </w:tbl>
    <w:p w:rsidR="00136BD5" w:rsidRPr="00451A29" w:rsidRDefault="00136BD5" w:rsidP="008D5EB7">
      <w:pPr>
        <w:spacing w:after="0" w:line="240" w:lineRule="auto"/>
        <w:rPr>
          <w:rFonts w:ascii="Times New Roman" w:eastAsia="Times New Roman" w:hAnsi="Times New Roman"/>
          <w:color w:val="000000" w:themeColor="text1"/>
          <w:sz w:val="24"/>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1"/>
      </w:tblGrid>
      <w:tr w:rsidR="003D40E6" w:rsidRPr="00451A29" w:rsidTr="00F41BD5">
        <w:tc>
          <w:tcPr>
            <w:tcW w:w="5000" w:type="pct"/>
            <w:tcBorders>
              <w:top w:val="single" w:sz="6" w:space="0" w:color="auto"/>
              <w:left w:val="single" w:sz="6" w:space="0" w:color="auto"/>
              <w:bottom w:val="single" w:sz="6" w:space="0" w:color="auto"/>
              <w:right w:val="single" w:sz="6" w:space="0" w:color="auto"/>
            </w:tcBorders>
          </w:tcPr>
          <w:p w:rsidR="003D40E6" w:rsidRPr="00451A29" w:rsidRDefault="003D40E6" w:rsidP="008D5EB7">
            <w:pPr>
              <w:spacing w:after="0" w:line="240" w:lineRule="auto"/>
              <w:jc w:val="center"/>
              <w:rPr>
                <w:rFonts w:ascii="Times New Roman" w:eastAsia="Times New Roman" w:hAnsi="Times New Roman"/>
                <w:b/>
                <w:bCs/>
                <w:color w:val="000000" w:themeColor="text1"/>
                <w:sz w:val="24"/>
                <w:szCs w:val="24"/>
                <w:bdr w:val="none" w:sz="0" w:space="0" w:color="auto" w:frame="1"/>
                <w:lang w:eastAsia="lv-LV"/>
              </w:rPr>
            </w:pPr>
            <w:r w:rsidRPr="00451A29">
              <w:rPr>
                <w:rFonts w:ascii="Times New Roman" w:eastAsia="Times New Roman" w:hAnsi="Times New Roman"/>
                <w:b/>
                <w:bCs/>
                <w:color w:val="000000" w:themeColor="text1"/>
                <w:sz w:val="24"/>
                <w:szCs w:val="24"/>
                <w:bdr w:val="none" w:sz="0" w:space="0" w:color="auto" w:frame="1"/>
                <w:lang w:eastAsia="lv-LV"/>
              </w:rPr>
              <w:t>IV. Tiesību akta projekta ietekme uz spēkā esošo tiesību normu sistēmu</w:t>
            </w:r>
          </w:p>
        </w:tc>
      </w:tr>
      <w:tr w:rsidR="00CB42C2" w:rsidRPr="00451A29" w:rsidTr="00CB42C2">
        <w:tc>
          <w:tcPr>
            <w:tcW w:w="5000" w:type="pct"/>
            <w:tcBorders>
              <w:top w:val="outset" w:sz="6" w:space="0" w:color="000000"/>
              <w:left w:val="outset" w:sz="6" w:space="0" w:color="000000"/>
              <w:bottom w:val="outset" w:sz="6" w:space="0" w:color="000000"/>
              <w:right w:val="outset" w:sz="6" w:space="0" w:color="000000"/>
            </w:tcBorders>
            <w:hideMark/>
          </w:tcPr>
          <w:p w:rsidR="00CB42C2" w:rsidRPr="00451A29" w:rsidRDefault="00891760" w:rsidP="002C08D5">
            <w:pPr>
              <w:spacing w:after="0" w:line="240" w:lineRule="auto"/>
              <w:jc w:val="both"/>
              <w:rPr>
                <w:rFonts w:ascii="Times New Roman" w:hAnsi="Times New Roman"/>
                <w:bCs/>
                <w:color w:val="000000" w:themeColor="text1"/>
                <w:sz w:val="24"/>
                <w:szCs w:val="24"/>
              </w:rPr>
            </w:pPr>
            <w:r w:rsidRPr="00451A29">
              <w:rPr>
                <w:rFonts w:ascii="Times New Roman" w:eastAsia="Times New Roman" w:hAnsi="Times New Roman"/>
                <w:sz w:val="24"/>
                <w:szCs w:val="24"/>
                <w:lang w:eastAsia="lv-LV"/>
              </w:rPr>
              <w:t>Projekts šo jomu neskar.</w:t>
            </w:r>
          </w:p>
        </w:tc>
      </w:tr>
    </w:tbl>
    <w:p w:rsidR="003D40E6" w:rsidRDefault="003D40E6" w:rsidP="008D5EB7">
      <w:pPr>
        <w:spacing w:after="0" w:line="240" w:lineRule="auto"/>
        <w:rPr>
          <w:rFonts w:ascii="Times New Roman" w:eastAsia="Times New Roman" w:hAnsi="Times New Roman"/>
          <w:color w:val="000000" w:themeColor="text1"/>
          <w:sz w:val="24"/>
          <w:szCs w:val="24"/>
          <w:lang w:eastAsia="lv-LV"/>
        </w:rPr>
      </w:pPr>
    </w:p>
    <w:p w:rsidR="00891760" w:rsidRDefault="00891760" w:rsidP="008D5EB7">
      <w:pPr>
        <w:spacing w:after="0" w:line="240" w:lineRule="auto"/>
        <w:rPr>
          <w:rFonts w:ascii="Times New Roman" w:eastAsia="Times New Roman" w:hAnsi="Times New Roman"/>
          <w:color w:val="000000" w:themeColor="text1"/>
          <w:sz w:val="24"/>
          <w:szCs w:val="24"/>
          <w:lang w:eastAsia="lv-LV"/>
        </w:rPr>
      </w:pPr>
    </w:p>
    <w:p w:rsidR="00891760" w:rsidRPr="00891760" w:rsidRDefault="00891760" w:rsidP="00891760">
      <w:pPr>
        <w:spacing w:after="0" w:line="240" w:lineRule="auto"/>
        <w:rPr>
          <w:rFonts w:ascii="Times New Roman" w:eastAsia="Times New Roman" w:hAnsi="Times New Roman"/>
          <w:sz w:val="24"/>
          <w:szCs w:val="24"/>
          <w:lang w:eastAsia="lv-LV"/>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27"/>
        <w:gridCol w:w="2109"/>
        <w:gridCol w:w="7105"/>
      </w:tblGrid>
      <w:tr w:rsidR="00891760" w:rsidRPr="00891760" w:rsidTr="00891760">
        <w:tc>
          <w:tcPr>
            <w:tcW w:w="5000" w:type="pct"/>
            <w:gridSpan w:val="3"/>
            <w:tcBorders>
              <w:top w:val="single" w:sz="6" w:space="0" w:color="auto"/>
              <w:left w:val="single" w:sz="6" w:space="0" w:color="auto"/>
              <w:bottom w:val="single" w:sz="6" w:space="0" w:color="auto"/>
              <w:right w:val="single" w:sz="6" w:space="0" w:color="auto"/>
            </w:tcBorders>
          </w:tcPr>
          <w:p w:rsidR="00891760" w:rsidRPr="00891760" w:rsidRDefault="00891760" w:rsidP="00891760">
            <w:pPr>
              <w:spacing w:after="0" w:line="240" w:lineRule="auto"/>
              <w:jc w:val="center"/>
              <w:rPr>
                <w:rFonts w:ascii="Times New Roman" w:eastAsia="Times New Roman" w:hAnsi="Times New Roman"/>
                <w:b/>
                <w:bCs/>
                <w:sz w:val="24"/>
                <w:szCs w:val="24"/>
                <w:lang w:eastAsia="lv-LV"/>
              </w:rPr>
            </w:pPr>
            <w:r w:rsidRPr="00891760">
              <w:rPr>
                <w:rFonts w:ascii="Times New Roman" w:eastAsia="Times New Roman" w:hAnsi="Times New Roman"/>
                <w:b/>
                <w:bCs/>
                <w:sz w:val="24"/>
                <w:szCs w:val="24"/>
                <w:lang w:eastAsia="lv-LV"/>
              </w:rPr>
              <w:t>V. Tiesību akta projekta atbilstība Latvijas Republikas starptautiskajām saistībām</w:t>
            </w:r>
          </w:p>
        </w:tc>
      </w:tr>
      <w:tr w:rsidR="00891760" w:rsidRPr="00891760"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Pr="00891760" w:rsidRDefault="00891760" w:rsidP="00891760">
            <w:pPr>
              <w:spacing w:after="0" w:line="240" w:lineRule="auto"/>
              <w:jc w:val="both"/>
              <w:rPr>
                <w:rFonts w:ascii="Times New Roman" w:eastAsia="Times New Roman" w:hAnsi="Times New Roman"/>
                <w:b/>
                <w:bCs/>
                <w:sz w:val="24"/>
                <w:szCs w:val="24"/>
                <w:lang w:eastAsia="lv-LV"/>
              </w:rPr>
            </w:pPr>
            <w:r w:rsidRPr="00891760">
              <w:rPr>
                <w:rFonts w:ascii="Times New Roman" w:eastAsia="Times New Roman" w:hAnsi="Times New Roman"/>
                <w:bCs/>
                <w:sz w:val="24"/>
                <w:szCs w:val="24"/>
                <w:lang w:eastAsia="lv-LV"/>
              </w:rPr>
              <w:t xml:space="preserve">Ministru kabineta noteikumu projekta nepieciešamību nosaka </w:t>
            </w:r>
            <w:r w:rsidRPr="00891760">
              <w:rPr>
                <w:rFonts w:ascii="Times New Roman" w:eastAsia="Times New Roman" w:hAnsi="Times New Roman"/>
                <w:bCs/>
                <w:color w:val="000000"/>
                <w:sz w:val="24"/>
                <w:szCs w:val="24"/>
                <w:lang w:eastAsia="lv-LV"/>
              </w:rPr>
              <w:t>Direktīvas 2012/27/ES 6. panta   pirmā punkta otrās daļas prasības attiecībā uz valsts veikto ēku preču, pakalpojumu  un ēku iepirkumu līgumcenu robežvērtībām. Normatīvajiem un administratīvajiem aktiem, kas vajadzīgi, lai izpildītu Direktīvas 2012/27/ES prasības, bija jāstājas spēkā līdz 2014. gada 5. jūnijam.</w:t>
            </w:r>
          </w:p>
        </w:tc>
      </w:tr>
      <w:tr w:rsidR="00891760" w:rsidRPr="00891760"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hAnsi="Times New Roman"/>
                <w:bCs/>
                <w:color w:val="000000"/>
                <w:sz w:val="24"/>
                <w:szCs w:val="24"/>
              </w:rPr>
              <w:t>Nav attiecināms.</w:t>
            </w:r>
          </w:p>
        </w:tc>
      </w:tr>
      <w:tr w:rsidR="00891760" w:rsidRPr="00891760" w:rsidTr="00891760">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891760" w:rsidRDefault="00891760" w:rsidP="00891760">
            <w:pPr>
              <w:spacing w:after="0" w:line="240" w:lineRule="auto"/>
              <w:rPr>
                <w:rFonts w:ascii="Times New Roman" w:eastAsia="Times New Roman" w:hAnsi="Times New Roman"/>
                <w:sz w:val="24"/>
                <w:szCs w:val="24"/>
                <w:lang w:eastAsia="lv-LV"/>
              </w:rPr>
            </w:pPr>
            <w:r w:rsidRPr="00891760">
              <w:rPr>
                <w:rFonts w:ascii="Times New Roman" w:eastAsia="Times New Roman" w:hAnsi="Times New Roman"/>
                <w:sz w:val="24"/>
                <w:szCs w:val="24"/>
                <w:lang w:eastAsia="lv-LV"/>
              </w:rPr>
              <w:t>Nav</w:t>
            </w:r>
          </w:p>
        </w:tc>
      </w:tr>
    </w:tbl>
    <w:p w:rsidR="00891760" w:rsidRPr="00891760" w:rsidRDefault="00891760" w:rsidP="00891760">
      <w:pPr>
        <w:spacing w:after="0" w:line="240" w:lineRule="auto"/>
        <w:rPr>
          <w:rFonts w:ascii="Times New Roman" w:eastAsia="Times New Roman" w:hAnsi="Times New Roman"/>
          <w:sz w:val="24"/>
          <w:szCs w:val="24"/>
          <w:lang w:eastAsia="lv-LV"/>
        </w:rPr>
      </w:pPr>
    </w:p>
    <w:p w:rsidR="00891760" w:rsidRDefault="00891760" w:rsidP="008D5EB7">
      <w:pPr>
        <w:spacing w:after="0" w:line="240" w:lineRule="auto"/>
        <w:rPr>
          <w:rFonts w:ascii="Times New Roman" w:eastAsia="Times New Roman" w:hAnsi="Times New Roman"/>
          <w:color w:val="000000" w:themeColor="text1"/>
          <w:sz w:val="24"/>
          <w:szCs w:val="24"/>
          <w:lang w:eastAsia="lv-LV"/>
        </w:rPr>
      </w:pPr>
    </w:p>
    <w:p w:rsidR="00891760" w:rsidRDefault="00891760" w:rsidP="008D5EB7">
      <w:pPr>
        <w:spacing w:after="0" w:line="240" w:lineRule="auto"/>
        <w:rPr>
          <w:rFonts w:ascii="Times New Roman" w:eastAsia="Times New Roman" w:hAnsi="Times New Roman"/>
          <w:color w:val="000000" w:themeColor="text1"/>
          <w:sz w:val="24"/>
          <w:szCs w:val="24"/>
          <w:lang w:eastAsia="lv-LV"/>
        </w:rPr>
      </w:pPr>
    </w:p>
    <w:p w:rsidR="00891760" w:rsidRDefault="00891760" w:rsidP="008D5EB7">
      <w:pPr>
        <w:spacing w:after="0" w:line="240" w:lineRule="auto"/>
        <w:rPr>
          <w:rFonts w:ascii="Times New Roman" w:eastAsia="Times New Roman" w:hAnsi="Times New Roman"/>
          <w:color w:val="000000" w:themeColor="text1"/>
          <w:sz w:val="24"/>
          <w:szCs w:val="24"/>
          <w:lang w:eastAsia="lv-LV"/>
        </w:rPr>
      </w:pPr>
    </w:p>
    <w:tbl>
      <w:tblPr>
        <w:tblStyle w:val="TableGrid2"/>
        <w:tblW w:w="5320" w:type="pct"/>
        <w:tblInd w:w="-289" w:type="dxa"/>
        <w:tblLayout w:type="fixed"/>
        <w:tblLook w:val="04A0" w:firstRow="1" w:lastRow="0" w:firstColumn="1" w:lastColumn="0" w:noHBand="0" w:noVBand="1"/>
      </w:tblPr>
      <w:tblGrid>
        <w:gridCol w:w="1676"/>
        <w:gridCol w:w="1411"/>
        <w:gridCol w:w="4986"/>
        <w:gridCol w:w="1808"/>
      </w:tblGrid>
      <w:tr w:rsidR="00891760" w:rsidRPr="00891760" w:rsidTr="00891760">
        <w:tc>
          <w:tcPr>
            <w:tcW w:w="5000" w:type="pct"/>
            <w:gridSpan w:val="4"/>
          </w:tcPr>
          <w:p w:rsidR="00891760" w:rsidRPr="00891760" w:rsidRDefault="00891760" w:rsidP="00891760">
            <w:pPr>
              <w:spacing w:after="0" w:line="240" w:lineRule="auto"/>
              <w:jc w:val="center"/>
              <w:rPr>
                <w:rFonts w:eastAsia="Times New Roman"/>
                <w:lang w:eastAsia="lv-LV"/>
              </w:rPr>
            </w:pPr>
            <w:r w:rsidRPr="00891760">
              <w:rPr>
                <w:rFonts w:eastAsia="Times New Roman"/>
                <w:b/>
                <w:bCs/>
                <w:lang w:eastAsia="lv-LV"/>
              </w:rPr>
              <w:t>1. tabula</w:t>
            </w:r>
            <w:r w:rsidRPr="00891760">
              <w:rPr>
                <w:rFonts w:eastAsia="Times New Roman"/>
                <w:b/>
                <w:bCs/>
                <w:lang w:eastAsia="lv-LV"/>
              </w:rPr>
              <w:br/>
              <w:t>Tiesību akta projekta atbilstība ES tiesību aktiem</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Attiecīgā ES tiesību akta datums, numurs un nosaukums</w:t>
            </w:r>
          </w:p>
        </w:tc>
        <w:tc>
          <w:tcPr>
            <w:tcW w:w="4152" w:type="pct"/>
            <w:gridSpan w:val="3"/>
          </w:tcPr>
          <w:p w:rsidR="00891760" w:rsidRPr="00891760" w:rsidRDefault="00891760" w:rsidP="00891760">
            <w:pPr>
              <w:spacing w:after="0" w:line="240" w:lineRule="auto"/>
              <w:rPr>
                <w:rFonts w:eastAsia="Times New Roman"/>
                <w:lang w:eastAsia="lv-LV"/>
              </w:rPr>
            </w:pPr>
            <w:r w:rsidRPr="00891760">
              <w:t>Eiropas Parlamenta un Padomes 2012. gada 25. oktobra Direktīva 2012/27/ES par energoefektivitāti, ar ko groza Direktīvas 2009/125/EK un 2010/30/ES un atceļ Direktīvas 2004/8/EK un 2006/32/EK</w:t>
            </w:r>
          </w:p>
        </w:tc>
      </w:tr>
      <w:tr w:rsidR="00891760" w:rsidRPr="00891760" w:rsidTr="00891760">
        <w:tc>
          <w:tcPr>
            <w:tcW w:w="848" w:type="pct"/>
            <w:hideMark/>
          </w:tcPr>
          <w:p w:rsidR="00891760" w:rsidRPr="00891760" w:rsidRDefault="00891760" w:rsidP="00891760">
            <w:pPr>
              <w:spacing w:after="0" w:line="240" w:lineRule="auto"/>
              <w:jc w:val="center"/>
              <w:rPr>
                <w:rFonts w:eastAsia="Times New Roman"/>
                <w:lang w:eastAsia="lv-LV"/>
              </w:rPr>
            </w:pPr>
            <w:r w:rsidRPr="00891760">
              <w:rPr>
                <w:rFonts w:eastAsia="Times New Roman"/>
                <w:lang w:eastAsia="lv-LV"/>
              </w:rPr>
              <w:t>A</w:t>
            </w:r>
          </w:p>
        </w:tc>
        <w:tc>
          <w:tcPr>
            <w:tcW w:w="714" w:type="pct"/>
            <w:hideMark/>
          </w:tcPr>
          <w:p w:rsidR="00891760" w:rsidRPr="00891760" w:rsidRDefault="00891760" w:rsidP="00891760">
            <w:pPr>
              <w:spacing w:after="0" w:line="240" w:lineRule="auto"/>
              <w:jc w:val="center"/>
              <w:rPr>
                <w:rFonts w:eastAsia="Times New Roman"/>
                <w:lang w:eastAsia="lv-LV"/>
              </w:rPr>
            </w:pPr>
            <w:r w:rsidRPr="00891760">
              <w:rPr>
                <w:rFonts w:eastAsia="Times New Roman"/>
                <w:lang w:eastAsia="lv-LV"/>
              </w:rPr>
              <w:t>B</w:t>
            </w:r>
          </w:p>
        </w:tc>
        <w:tc>
          <w:tcPr>
            <w:tcW w:w="2523" w:type="pct"/>
            <w:hideMark/>
          </w:tcPr>
          <w:p w:rsidR="00891760" w:rsidRPr="00891760" w:rsidRDefault="00891760" w:rsidP="00891760">
            <w:pPr>
              <w:spacing w:after="0" w:line="240" w:lineRule="auto"/>
              <w:jc w:val="center"/>
              <w:rPr>
                <w:rFonts w:eastAsia="Times New Roman"/>
                <w:lang w:eastAsia="lv-LV"/>
              </w:rPr>
            </w:pPr>
            <w:r w:rsidRPr="00891760">
              <w:rPr>
                <w:rFonts w:eastAsia="Times New Roman"/>
                <w:lang w:eastAsia="lv-LV"/>
              </w:rPr>
              <w:t>C</w:t>
            </w:r>
          </w:p>
        </w:tc>
        <w:tc>
          <w:tcPr>
            <w:tcW w:w="915" w:type="pct"/>
            <w:hideMark/>
          </w:tcPr>
          <w:p w:rsidR="00891760" w:rsidRPr="00891760" w:rsidRDefault="00891760" w:rsidP="00891760">
            <w:pPr>
              <w:spacing w:after="0" w:line="240" w:lineRule="auto"/>
              <w:jc w:val="center"/>
              <w:rPr>
                <w:rFonts w:eastAsia="Times New Roman"/>
                <w:lang w:eastAsia="lv-LV"/>
              </w:rPr>
            </w:pPr>
            <w:r w:rsidRPr="00891760">
              <w:rPr>
                <w:rFonts w:eastAsia="Times New Roman"/>
                <w:lang w:eastAsia="lv-LV"/>
              </w:rPr>
              <w:t>D</w:t>
            </w:r>
          </w:p>
        </w:tc>
      </w:tr>
      <w:tr w:rsidR="00891760" w:rsidRPr="00891760" w:rsidTr="00891760">
        <w:tc>
          <w:tcPr>
            <w:tcW w:w="848" w:type="pct"/>
          </w:tcPr>
          <w:p w:rsidR="00891760" w:rsidRPr="00891760" w:rsidRDefault="00891760" w:rsidP="00891760">
            <w:pPr>
              <w:spacing w:after="0" w:line="240" w:lineRule="auto"/>
            </w:pPr>
            <w:r w:rsidRPr="00891760">
              <w:t xml:space="preserve">Attiecīgā ES tiesību akta panta numurs (uzskaitot katru tiesību akta </w:t>
            </w:r>
            <w:r w:rsidRPr="00891760">
              <w:br/>
              <w:t>vienību – pantu, daļu, punktu, apakšpunktu)</w:t>
            </w:r>
          </w:p>
        </w:tc>
        <w:tc>
          <w:tcPr>
            <w:tcW w:w="714" w:type="pct"/>
          </w:tcPr>
          <w:p w:rsidR="00891760" w:rsidRPr="00891760" w:rsidRDefault="00891760" w:rsidP="00891760">
            <w:pPr>
              <w:spacing w:after="0" w:line="240" w:lineRule="auto"/>
              <w:rPr>
                <w:rFonts w:eastAsia="Times New Roman"/>
                <w:lang w:eastAsia="lv-LV"/>
              </w:rPr>
            </w:pPr>
            <w:r w:rsidRPr="00891760">
              <w:t>Projekta vienība, kas pārņem vai ievieš katru šīs tabulas A ailē minēto ES tiesību akta vienību</w:t>
            </w:r>
          </w:p>
        </w:tc>
        <w:tc>
          <w:tcPr>
            <w:tcW w:w="2523"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Informācija par to, vai šīs tabulas A ailē minētās ES tiesību akta vienības tiek pārņemtas vai ieviestas pilnībā vai daļēji.</w:t>
            </w:r>
          </w:p>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lang w:eastAsia="lv-LV"/>
              </w:rPr>
            </w:pPr>
            <w:r w:rsidRPr="00891760">
              <w:rPr>
                <w:rFonts w:eastAsia="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b/>
                <w:lang w:eastAsia="lv-LV"/>
              </w:rPr>
            </w:pPr>
            <w:r w:rsidRPr="00891760">
              <w:t>Norāda institūciju, kas ir atbildīga par šo saistību izpildi pilnībā</w:t>
            </w:r>
          </w:p>
        </w:tc>
        <w:tc>
          <w:tcPr>
            <w:tcW w:w="915"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Informācija par to, vai šīs tabulas B ailē minētās projekta vienības paredz stingrākas prasības nekā šīs tabulas A ailē minētās ES tiesību akta vienības.</w:t>
            </w:r>
          </w:p>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891760">
                <w:rPr>
                  <w:rFonts w:eastAsia="Times New Roman"/>
                  <w:lang w:eastAsia="lv-LV"/>
                </w:rPr>
                <w:t>akts</w:t>
              </w:r>
            </w:smartTag>
            <w:r w:rsidRPr="00891760">
              <w:rPr>
                <w:rFonts w:eastAsia="Times New Roman"/>
                <w:lang w:eastAsia="lv-LV"/>
              </w:rPr>
              <w:t>, – norāda pamatojumu un samērīgumu.</w:t>
            </w:r>
          </w:p>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lang w:eastAsia="lv-LV"/>
              </w:rPr>
            </w:pPr>
            <w:r w:rsidRPr="00891760">
              <w:t>Norāda iespējamās alternatīvas (t.sk. alternatīvas, kas neparedz tiesiskā regulējuma izstrādi) – kādos gadījumos būtu iespējams izvairīties no stingrāku prasību noteikšanas, nekā paredzēts attiecīgajos ES tiesību aktos</w:t>
            </w:r>
          </w:p>
        </w:tc>
      </w:tr>
      <w:tr w:rsidR="00891760" w:rsidRPr="00891760" w:rsidTr="00891760">
        <w:tc>
          <w:tcPr>
            <w:tcW w:w="848" w:type="pct"/>
            <w:hideMark/>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 punkts</w:t>
            </w:r>
          </w:p>
        </w:tc>
        <w:tc>
          <w:tcPr>
            <w:tcW w:w="714" w:type="pct"/>
            <w:hideMark/>
          </w:tcPr>
          <w:p w:rsidR="00891760" w:rsidRPr="00891760" w:rsidRDefault="00891760" w:rsidP="00891760">
            <w:pPr>
              <w:spacing w:after="0" w:line="240" w:lineRule="auto"/>
              <w:rPr>
                <w:rFonts w:eastAsia="Times New Roman"/>
                <w:lang w:eastAsia="lv-LV"/>
              </w:rPr>
            </w:pPr>
          </w:p>
        </w:tc>
        <w:tc>
          <w:tcPr>
            <w:tcW w:w="2523" w:type="pct"/>
            <w:hideMark/>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Energoefektivitātes likuma 1. panta pirmās daļas 2. punkts.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 panta pirmās daļas 12. punkts.</w:t>
            </w:r>
          </w:p>
          <w:p w:rsidR="00891760" w:rsidRPr="00891760" w:rsidRDefault="00891760" w:rsidP="00891760">
            <w:pPr>
              <w:spacing w:after="0" w:line="240" w:lineRule="auto"/>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 panta pirmās daļas 3. punkts.</w:t>
            </w:r>
          </w:p>
          <w:p w:rsidR="00891760" w:rsidRPr="00891760" w:rsidRDefault="00891760" w:rsidP="00891760">
            <w:pPr>
              <w:spacing w:after="0" w:line="240" w:lineRule="auto"/>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2. panta 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Pārņemts pilnībā</w:t>
            </w:r>
          </w:p>
          <w:p w:rsidR="00891760" w:rsidRPr="00891760" w:rsidRDefault="00891760" w:rsidP="00891760">
            <w:pPr>
              <w:spacing w:after="0" w:line="240" w:lineRule="auto"/>
            </w:pPr>
            <w:r w:rsidRPr="00891760">
              <w:lastRenderedPageBreak/>
              <w:t>Enerģētikas likuma 1.pants pirmās daļas 4. punkts.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2. panta 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pPr>
            <w:r w:rsidRPr="00891760">
              <w:t>Energoefektivitātes likuma 1. pants pirmās daļas 7.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pPr>
            <w:r w:rsidRPr="00891760">
              <w:t>Energoefektivitātes likuma 1. pants pirmās daļas 5.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pPr>
            <w:r w:rsidRPr="00891760">
              <w:t>Energoefektivitātes likuma 14. pants pirmā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8.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Publisko iepirkumu likuma 1. panta 10.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Valsts pārvaldes iekārtas likuma 1. panta 5.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10.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Ministru kabineta noteikumu Nr. 348 „Ēkas energoefektivitātes aprēķina metode” 2. punkta 2.9. apakšpunkts.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 panta pirmās daļas 9. punkts.</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Standartizācijas likuma 12. panta trešā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Standartizācijas likuma 12. panta pirmā un otrā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 panta pirmās daļas 1. punkts.</w:t>
            </w:r>
          </w:p>
          <w:p w:rsidR="00891760" w:rsidRPr="00891760" w:rsidRDefault="00891760" w:rsidP="00891760">
            <w:pPr>
              <w:spacing w:after="0" w:line="240" w:lineRule="auto"/>
              <w:rPr>
                <w:rFonts w:eastAsia="Times New Roman"/>
                <w:b/>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15. punkts</w:t>
            </w:r>
          </w:p>
          <w:p w:rsidR="00891760" w:rsidRPr="00891760" w:rsidRDefault="00891760" w:rsidP="00891760">
            <w:pPr>
              <w:spacing w:after="0" w:line="240" w:lineRule="auto"/>
              <w:rPr>
                <w:rFonts w:eastAsia="Times New Roman"/>
                <w:highlight w:val="red"/>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 xml:space="preserve">Pārņemts pilnībā </w:t>
            </w:r>
          </w:p>
          <w:p w:rsidR="00891760" w:rsidRPr="00891760" w:rsidRDefault="00891760" w:rsidP="00891760">
            <w:pPr>
              <w:spacing w:after="0" w:line="240" w:lineRule="auto"/>
            </w:pPr>
            <w:r w:rsidRPr="00891760">
              <w:t>Eiropas Savienības struktūrfondu vadības likuma 7. pants.</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2. panta </w:t>
            </w:r>
            <w:r w:rsidRPr="00891760">
              <w:rPr>
                <w:rFonts w:eastAsia="Times New Roman"/>
                <w:lang w:eastAsia="lv-LV"/>
              </w:rPr>
              <w:lastRenderedPageBreak/>
              <w:t>16.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Pārņemts pilnībā</w:t>
            </w:r>
          </w:p>
          <w:p w:rsidR="00891760" w:rsidRPr="00891760" w:rsidRDefault="00891760" w:rsidP="00891760">
            <w:pPr>
              <w:spacing w:after="0" w:line="240" w:lineRule="auto"/>
            </w:pPr>
            <w:r w:rsidRPr="00891760">
              <w:t>Energoefektivitātes likuma 8. panta pirmā daļa.</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2. panta 17.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Pārņemts pilnībā</w:t>
            </w:r>
          </w:p>
          <w:p w:rsidR="00891760" w:rsidRPr="00891760" w:rsidRDefault="00891760" w:rsidP="00891760">
            <w:pPr>
              <w:spacing w:after="0" w:line="240" w:lineRule="auto"/>
            </w:pPr>
            <w:r w:rsidRPr="00891760">
              <w:t>Ekonomikas ministrijas nolikums.</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18.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pPr>
            <w:r w:rsidRPr="00891760">
              <w:t>Energoefektivitātes likuma 1. panta pirmās 11. punkts.</w:t>
            </w:r>
          </w:p>
          <w:p w:rsidR="00891760" w:rsidRPr="00891760" w:rsidRDefault="00891760" w:rsidP="00891760">
            <w:pPr>
              <w:spacing w:after="0" w:line="240" w:lineRule="auto"/>
              <w:rPr>
                <w:rFonts w:eastAsia="Times New Roman"/>
                <w:b/>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19.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Pārņemts pilnībā</w:t>
            </w:r>
          </w:p>
          <w:p w:rsidR="00891760" w:rsidRPr="00891760" w:rsidRDefault="00891760" w:rsidP="00891760">
            <w:pPr>
              <w:spacing w:after="0" w:line="240" w:lineRule="auto"/>
            </w:pPr>
            <w:r w:rsidRPr="00891760">
              <w:t>Energoefektivitātes likuma 1.panta pirmās daļas 6.punkts.</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20.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Enerģētikas likuma 1. panta 45.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Enerģētikas likuma 1. panta 45.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 panta pirmās daļas 10.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Enerģētikas likuma 1. panta 18.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t>Energoefektivitātes likuma 14. panta pirmā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
                <w:lang w:eastAsia="lv-LV"/>
              </w:rPr>
              <w:t xml:space="preserve"> </w:t>
            </w:r>
            <w:r w:rsidRPr="00891760">
              <w:t>Energoefektivitātes likuma 1. panta pirmās daļas 8.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26.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Definīcija „mazie un vidējie uzņēmumi” pārņemta ar Eiropas Komisijas Regulas (EK) Nr. 651/2014 (2014. gada 17. jūnijs),</w:t>
            </w:r>
            <w:r w:rsidRPr="00891760">
              <w:rPr>
                <w:rFonts w:eastAsia="Times New Roman"/>
                <w:lang w:eastAsia="lv-LV"/>
              </w:rPr>
              <w:t xml:space="preserve"> </w:t>
            </w:r>
            <w:r w:rsidRPr="00891760">
              <w:t>ar ko noteiktas atbalsta kategorijas atzīt par saderīgām ar iekšējo tirgu, piemērojot Līguma 107. un 108. pantu (vispārējā grupu atbrīvojuma regula), 1. pielikumu</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27.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Energoefektivitātes likuma 14. panta otrā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lastRenderedPageBreak/>
              <w:t>2. panta 28.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 xml:space="preserve">Energoefektivitātes likuma 1. panta pirmās daļas </w:t>
            </w:r>
            <w:r w:rsidRPr="00891760">
              <w:lastRenderedPageBreak/>
              <w:t>13. punkts.</w:t>
            </w:r>
          </w:p>
        </w:tc>
        <w:tc>
          <w:tcPr>
            <w:tcW w:w="915" w:type="pct"/>
          </w:tcPr>
          <w:p w:rsidR="00891760" w:rsidRPr="00891760" w:rsidRDefault="00891760" w:rsidP="00891760">
            <w:pPr>
              <w:spacing w:after="0" w:line="240" w:lineRule="auto"/>
            </w:pPr>
            <w:r w:rsidRPr="00891760">
              <w:rPr>
                <w:spacing w:val="-2"/>
              </w:rPr>
              <w:lastRenderedPageBreak/>
              <w:t xml:space="preserve">Neparedz stingrākas </w:t>
            </w:r>
            <w:r w:rsidRPr="00891760">
              <w:rPr>
                <w:spacing w:val="-2"/>
              </w:rPr>
              <w:lastRenderedPageBreak/>
              <w:t>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2. panta 29.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t xml:space="preserve">Enerģētikas likuma 1. panta 13., 15., 43. un 45. </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30.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Enerģētikas likuma 1. panta 22</w:t>
            </w:r>
            <w:r w:rsidRPr="00891760">
              <w:rPr>
                <w:rFonts w:eastAsia="Times New Roman"/>
                <w:vertAlign w:val="superscript"/>
                <w:lang w:eastAsia="lv-LV"/>
              </w:rPr>
              <w:t>3</w:t>
            </w:r>
            <w:r w:rsidRPr="00891760">
              <w:rPr>
                <w:rFonts w:eastAsia="Times New Roman"/>
                <w:lang w:eastAsia="lv-LV"/>
              </w:rPr>
              <w:t>.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31.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t xml:space="preserve">Tā kā pētījumā “Augstas efektivitātes koģenerācijas un efektīvas centralizētās siltumapgādes un dzesēšanas izmantošanas potenciāla visaptverošs </w:t>
            </w:r>
            <w:proofErr w:type="spellStart"/>
            <w:r w:rsidRPr="00891760">
              <w:t>invērtējums</w:t>
            </w:r>
            <w:proofErr w:type="spellEnd"/>
            <w:r w:rsidRPr="00891760">
              <w:t xml:space="preserve"> un izmaksu un ieguvumu analīze atbilstoši Direktīvas 2012/27/ES prasībām” netika konstatēts augstas efektivitātes koģenerācijas un efektīvas centralizētās siltumapgādes potenciāls, tad šī Direktīvas 2012/27/ES norma nav jāpārņem.</w:t>
            </w:r>
            <w:r w:rsidRPr="00891760">
              <w:rPr>
                <w:vertAlign w:val="superscript"/>
              </w:rPr>
              <w:footnoteReference w:id="1"/>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32.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bCs/>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 xml:space="preserve">Ministru kabineta </w:t>
            </w:r>
            <w:r w:rsidRPr="00891760">
              <w:rPr>
                <w:rFonts w:eastAsia="Times New Roman"/>
                <w:lang w:eastAsia="lv-LV"/>
              </w:rPr>
              <w:t>2009. gada 10. marta</w:t>
            </w:r>
            <w:r w:rsidRPr="00891760">
              <w:rPr>
                <w:rFonts w:eastAsia="Times New Roman"/>
                <w:bCs/>
                <w:lang w:eastAsia="lv-LV"/>
              </w:rPr>
              <w:t xml:space="preserve"> noteikumu Nr. 221</w:t>
            </w:r>
            <w:r w:rsidRPr="00891760">
              <w:rPr>
                <w:rFonts w:eastAsia="Times New Roman"/>
                <w:lang w:eastAsia="lv-LV"/>
              </w:rPr>
              <w:t xml:space="preserve"> „Noteikumi par elektroenerģijas ražošanu un cenu noteikšanu, ražojot elektroenerģiju koģenerācijā” 2.3. apakšpunkts.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33.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 xml:space="preserve">Ministru kabineta </w:t>
            </w:r>
            <w:r w:rsidRPr="00891760">
              <w:rPr>
                <w:rFonts w:eastAsia="Times New Roman"/>
                <w:lang w:eastAsia="lv-LV"/>
              </w:rPr>
              <w:t xml:space="preserve">2009. gada 10. marta </w:t>
            </w:r>
            <w:r w:rsidRPr="00891760">
              <w:rPr>
                <w:rFonts w:eastAsia="Times New Roman"/>
                <w:bCs/>
                <w:lang w:eastAsia="lv-LV"/>
              </w:rPr>
              <w:t>noteikumu Nr. 221</w:t>
            </w:r>
            <w:r w:rsidRPr="00891760">
              <w:rPr>
                <w:rFonts w:eastAsia="Times New Roman"/>
                <w:lang w:eastAsia="lv-LV"/>
              </w:rPr>
              <w:t xml:space="preserve"> „Noteikumi par elektroenerģijas ražošanu un cenu noteikšanu, ražojot elektroenerģiju koģenerācijā</w:t>
            </w:r>
            <w:r w:rsidRPr="00891760">
              <w:rPr>
                <w:rFonts w:eastAsia="Times New Roman"/>
                <w:bCs/>
                <w:lang w:eastAsia="lv-LV"/>
              </w:rPr>
              <w:t>” 29.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34.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b/>
                <w:lang w:eastAsia="lv-LV"/>
              </w:rPr>
            </w:pPr>
            <w:r w:rsidRPr="00891760">
              <w:rPr>
                <w:rFonts w:eastAsia="Times New Roman"/>
                <w:bCs/>
                <w:lang w:eastAsia="lv-LV"/>
              </w:rPr>
              <w:t xml:space="preserve">Ministru kabineta </w:t>
            </w:r>
            <w:r w:rsidRPr="00891760">
              <w:rPr>
                <w:rFonts w:eastAsia="Times New Roman"/>
                <w:lang w:eastAsia="lv-LV"/>
              </w:rPr>
              <w:t xml:space="preserve">2009. gada 10. marta </w:t>
            </w:r>
            <w:r w:rsidRPr="00891760">
              <w:rPr>
                <w:rFonts w:eastAsia="Times New Roman"/>
                <w:bCs/>
                <w:lang w:eastAsia="lv-LV"/>
              </w:rPr>
              <w:t>noteikumu Nr. 221</w:t>
            </w:r>
            <w:r w:rsidRPr="00891760">
              <w:rPr>
                <w:rFonts w:eastAsia="Times New Roman"/>
                <w:lang w:eastAsia="lv-LV"/>
              </w:rPr>
              <w:t xml:space="preserve"> „Noteikumi par elektroenerģijas ražošanu un cenu noteikšanu, ražojot elektroenerģiju koģenerācijā” 6.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 xml:space="preserve">Ministru kabineta </w:t>
            </w:r>
            <w:r w:rsidRPr="00891760">
              <w:rPr>
                <w:rFonts w:eastAsia="Times New Roman"/>
                <w:lang w:eastAsia="lv-LV"/>
              </w:rPr>
              <w:t xml:space="preserve">2009. gada 10. marta </w:t>
            </w:r>
            <w:r w:rsidRPr="00891760">
              <w:rPr>
                <w:rFonts w:eastAsia="Times New Roman"/>
                <w:bCs/>
                <w:lang w:eastAsia="lv-LV"/>
              </w:rPr>
              <w:t>noteikumu Nr. 221</w:t>
            </w:r>
            <w:r w:rsidRPr="00891760">
              <w:rPr>
                <w:rFonts w:eastAsia="Times New Roman"/>
                <w:lang w:eastAsia="lv-LV"/>
              </w:rPr>
              <w:t xml:space="preserve"> „Noteikumi par elektroenerģijas ražošanu un cenu noteikšanu, ražojot elektroenerģiju koģenerācijā” 29.1. apakšpunkts.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 xml:space="preserve">Ministru kabineta </w:t>
            </w:r>
            <w:r w:rsidRPr="00891760">
              <w:rPr>
                <w:rFonts w:eastAsia="Times New Roman"/>
                <w:lang w:eastAsia="lv-LV"/>
              </w:rPr>
              <w:t>2009. gada 10. marta</w:t>
            </w:r>
            <w:r w:rsidRPr="00891760">
              <w:rPr>
                <w:rFonts w:eastAsia="Times New Roman"/>
                <w:bCs/>
                <w:lang w:eastAsia="lv-LV"/>
              </w:rPr>
              <w:t xml:space="preserve"> noteikumu Nr. 221</w:t>
            </w:r>
            <w:r w:rsidRPr="00891760">
              <w:rPr>
                <w:rFonts w:eastAsia="Times New Roman"/>
                <w:lang w:eastAsia="lv-LV"/>
              </w:rPr>
              <w:t xml:space="preserve"> „Noteikumi par elektroenerģijas ražošanu un cenu noteikšanu, ražojot elektroenerģiju koģenerācijā” 29.3. apakšpunkts. </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37.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 xml:space="preserve">Ministru kabineta </w:t>
            </w:r>
            <w:r w:rsidRPr="00891760">
              <w:rPr>
                <w:rFonts w:eastAsia="Times New Roman"/>
                <w:lang w:eastAsia="lv-LV"/>
              </w:rPr>
              <w:t>2009. gada 10. marta</w:t>
            </w:r>
            <w:r w:rsidRPr="00891760">
              <w:rPr>
                <w:rFonts w:eastAsia="Times New Roman"/>
                <w:bCs/>
                <w:lang w:eastAsia="lv-LV"/>
              </w:rPr>
              <w:t xml:space="preserve"> noteikumu Nr. 221</w:t>
            </w:r>
            <w:r w:rsidRPr="00891760">
              <w:rPr>
                <w:rFonts w:eastAsia="Times New Roman"/>
                <w:lang w:eastAsia="lv-LV"/>
              </w:rPr>
              <w:t xml:space="preserve"> „Noteikumi par elektroenerģijas ražošanu un cenu noteikšanu, ražojot elektroenerģiju koģenerācijā” 2.2. apakšpunkts.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2. panta 38.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lastRenderedPageBreak/>
              <w:t xml:space="preserve">Ministru kabineta noteikumu </w:t>
            </w:r>
            <w:r w:rsidRPr="00891760">
              <w:rPr>
                <w:rFonts w:eastAsia="Times New Roman"/>
                <w:lang w:eastAsia="lv-LV"/>
              </w:rPr>
              <w:t>2009. gada 10. marta</w:t>
            </w:r>
            <w:r w:rsidRPr="00891760">
              <w:rPr>
                <w:rFonts w:eastAsia="Times New Roman"/>
                <w:bCs/>
                <w:lang w:eastAsia="lv-LV"/>
              </w:rPr>
              <w:t xml:space="preserve"> Nr. 221</w:t>
            </w:r>
            <w:r w:rsidRPr="00891760">
              <w:rPr>
                <w:rFonts w:eastAsia="Times New Roman"/>
                <w:lang w:eastAsia="lv-LV"/>
              </w:rPr>
              <w:t xml:space="preserve"> „Noteikumi par elektroenerģijas ražošanu un cenu noteikšanu, ražojot elektroenerģiju koģenerācijā” 2.5. apakšpunkts.</w:t>
            </w:r>
          </w:p>
        </w:tc>
        <w:tc>
          <w:tcPr>
            <w:tcW w:w="915" w:type="pct"/>
          </w:tcPr>
          <w:p w:rsidR="00891760" w:rsidRPr="00891760" w:rsidRDefault="00891760" w:rsidP="00891760">
            <w:pPr>
              <w:spacing w:after="0" w:line="240" w:lineRule="auto"/>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2. panta 39.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Pārņemts pilnībā</w:t>
            </w:r>
          </w:p>
          <w:p w:rsidR="00891760" w:rsidRPr="00891760" w:rsidRDefault="00891760" w:rsidP="00891760">
            <w:pPr>
              <w:spacing w:after="0" w:line="240" w:lineRule="auto"/>
              <w:rPr>
                <w:rFonts w:eastAsia="Times New Roman"/>
                <w:bCs/>
                <w:lang w:eastAsia="lv-LV"/>
              </w:rPr>
            </w:pPr>
            <w:r w:rsidRPr="00891760">
              <w:rPr>
                <w:rFonts w:eastAsia="Times New Roman"/>
                <w:bCs/>
                <w:lang w:eastAsia="lv-LV"/>
              </w:rPr>
              <w:t>Enerģētikas likuma 9</w:t>
            </w:r>
            <w:r w:rsidRPr="00891760">
              <w:rPr>
                <w:rFonts w:eastAsia="Times New Roman"/>
                <w:bCs/>
                <w:vertAlign w:val="superscript"/>
                <w:lang w:eastAsia="lv-LV"/>
              </w:rPr>
              <w:t>1</w:t>
            </w:r>
            <w:r w:rsidRPr="00891760">
              <w:rPr>
                <w:rFonts w:eastAsia="Times New Roman"/>
                <w:bCs/>
                <w:lang w:eastAsia="lv-LV"/>
              </w:rPr>
              <w:t>. panta sestā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40.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bCs/>
                <w:lang w:eastAsia="lv-LV"/>
              </w:rPr>
              <w:t>Ministru kabineta noteikumu Nr. 240 „</w:t>
            </w:r>
            <w:r w:rsidRPr="00891760">
              <w:t>Vispārīgie teritorijas plānošanas, izmantošanas un apbūves noteikumi” 116.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Pārņemts pilnībā</w:t>
            </w:r>
          </w:p>
          <w:p w:rsidR="00891760" w:rsidRPr="00891760" w:rsidRDefault="00891760" w:rsidP="00891760">
            <w:pPr>
              <w:spacing w:after="0" w:line="240" w:lineRule="auto"/>
              <w:rPr>
                <w:rFonts w:eastAsia="Times New Roman"/>
                <w:color w:val="000000"/>
                <w:lang w:eastAsia="lv-LV"/>
              </w:rPr>
            </w:pPr>
            <w:r w:rsidRPr="00891760">
              <w:rPr>
                <w:color w:val="000000"/>
              </w:rPr>
              <w:t xml:space="preserve">Prasības </w:t>
            </w:r>
            <w:r w:rsidRPr="00891760">
              <w:rPr>
                <w:rFonts w:eastAsia="Times New Roman"/>
                <w:color w:val="000000"/>
                <w:lang w:eastAsia="lv-LV"/>
              </w:rPr>
              <w:t>pārņemtas ar:</w:t>
            </w:r>
          </w:p>
          <w:p w:rsidR="00891760" w:rsidRPr="00891760" w:rsidRDefault="00891760" w:rsidP="00891760">
            <w:pPr>
              <w:spacing w:after="0"/>
              <w:rPr>
                <w:color w:val="000000"/>
              </w:rPr>
            </w:pPr>
            <w:r w:rsidRPr="00891760">
              <w:rPr>
                <w:rFonts w:eastAsia="Times New Roman"/>
                <w:color w:val="000000"/>
              </w:rPr>
              <w:t>1) Enerģētikas likuma 1.panta 4.</w:t>
            </w:r>
            <w:r w:rsidRPr="00891760">
              <w:rPr>
                <w:rFonts w:eastAsia="Times New Roman"/>
                <w:color w:val="000000"/>
                <w:vertAlign w:val="superscript"/>
              </w:rPr>
              <w:t xml:space="preserve">1 </w:t>
            </w:r>
            <w:r w:rsidRPr="00891760">
              <w:rPr>
                <w:rFonts w:eastAsia="Times New Roman"/>
                <w:color w:val="000000"/>
              </w:rPr>
              <w:t>, 4.</w:t>
            </w:r>
            <w:r w:rsidRPr="00891760">
              <w:rPr>
                <w:rFonts w:eastAsia="Times New Roman"/>
                <w:color w:val="000000"/>
                <w:vertAlign w:val="superscript"/>
              </w:rPr>
              <w:t xml:space="preserve">2 </w:t>
            </w:r>
            <w:r w:rsidRPr="00891760">
              <w:rPr>
                <w:color w:val="000000"/>
              </w:rPr>
              <w:t>punktiem;</w:t>
            </w:r>
          </w:p>
          <w:p w:rsidR="00891760" w:rsidRPr="00891760" w:rsidRDefault="00891760" w:rsidP="00891760">
            <w:pPr>
              <w:spacing w:after="0"/>
              <w:rPr>
                <w:color w:val="000000"/>
              </w:rPr>
            </w:pPr>
            <w:r w:rsidRPr="00891760">
              <w:rPr>
                <w:color w:val="000000"/>
              </w:rPr>
              <w:t>2)</w:t>
            </w:r>
            <w:r w:rsidRPr="00891760">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42.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Pārņemts pilnībā</w:t>
            </w:r>
          </w:p>
          <w:p w:rsidR="00891760" w:rsidRPr="00891760" w:rsidRDefault="00891760" w:rsidP="00891760">
            <w:pPr>
              <w:spacing w:after="0" w:line="240" w:lineRule="auto"/>
              <w:rPr>
                <w:rFonts w:eastAsia="Times New Roman"/>
                <w:color w:val="000000"/>
                <w:lang w:eastAsia="lv-LV"/>
              </w:rPr>
            </w:pPr>
            <w:r w:rsidRPr="00891760">
              <w:rPr>
                <w:color w:val="000000"/>
              </w:rPr>
              <w:t xml:space="preserve">Prasības </w:t>
            </w:r>
            <w:r w:rsidRPr="00891760">
              <w:rPr>
                <w:rFonts w:eastAsia="Times New Roman"/>
                <w:color w:val="000000"/>
                <w:lang w:eastAsia="lv-LV"/>
              </w:rPr>
              <w:t>pārņemtas ar:</w:t>
            </w:r>
          </w:p>
          <w:p w:rsidR="00891760" w:rsidRPr="00891760" w:rsidRDefault="00891760" w:rsidP="00891760">
            <w:pPr>
              <w:spacing w:after="0" w:line="240" w:lineRule="auto"/>
              <w:rPr>
                <w:color w:val="000000"/>
              </w:rPr>
            </w:pPr>
            <w:r w:rsidRPr="00891760">
              <w:rPr>
                <w:rFonts w:eastAsia="Times New Roman"/>
                <w:color w:val="000000"/>
              </w:rPr>
              <w:t>1) Enerģētikas likuma 1. panta 4.</w:t>
            </w:r>
            <w:r w:rsidRPr="00891760">
              <w:rPr>
                <w:rFonts w:eastAsia="Times New Roman"/>
                <w:color w:val="000000"/>
                <w:vertAlign w:val="superscript"/>
              </w:rPr>
              <w:t xml:space="preserve">1 </w:t>
            </w:r>
            <w:r w:rsidRPr="00891760">
              <w:rPr>
                <w:rFonts w:eastAsia="Times New Roman"/>
                <w:color w:val="000000"/>
              </w:rPr>
              <w:t>, 4.</w:t>
            </w:r>
            <w:r w:rsidRPr="00891760">
              <w:rPr>
                <w:rFonts w:eastAsia="Times New Roman"/>
                <w:color w:val="000000"/>
                <w:vertAlign w:val="superscript"/>
              </w:rPr>
              <w:t xml:space="preserve">2 </w:t>
            </w:r>
            <w:r w:rsidRPr="00891760">
              <w:rPr>
                <w:color w:val="000000"/>
              </w:rPr>
              <w:t>,22.</w:t>
            </w:r>
            <w:r w:rsidRPr="00891760">
              <w:rPr>
                <w:color w:val="000000"/>
                <w:vertAlign w:val="superscript"/>
              </w:rPr>
              <w:t xml:space="preserve">1 </w:t>
            </w:r>
            <w:r w:rsidRPr="00891760">
              <w:rPr>
                <w:color w:val="000000"/>
              </w:rPr>
              <w:t>un 22.</w:t>
            </w:r>
            <w:r w:rsidRPr="00891760">
              <w:rPr>
                <w:color w:val="000000"/>
                <w:vertAlign w:val="superscript"/>
              </w:rPr>
              <w:t xml:space="preserve">2 </w:t>
            </w:r>
            <w:r w:rsidRPr="00891760">
              <w:rPr>
                <w:color w:val="000000"/>
              </w:rPr>
              <w:t>punktiem;</w:t>
            </w:r>
          </w:p>
          <w:p w:rsidR="00891760" w:rsidRPr="00891760" w:rsidRDefault="00891760" w:rsidP="00891760">
            <w:pPr>
              <w:spacing w:after="0" w:line="240" w:lineRule="auto"/>
              <w:rPr>
                <w:color w:val="000000"/>
              </w:rPr>
            </w:pPr>
            <w:r w:rsidRPr="00891760">
              <w:rPr>
                <w:color w:val="000000"/>
              </w:rPr>
              <w:t>2)</w:t>
            </w:r>
            <w:r w:rsidRPr="00891760">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43.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Pārņemts pilnībā</w:t>
            </w:r>
          </w:p>
          <w:p w:rsidR="00891760" w:rsidRPr="00891760" w:rsidRDefault="00891760" w:rsidP="00891760">
            <w:pPr>
              <w:spacing w:after="0" w:line="240" w:lineRule="auto"/>
              <w:rPr>
                <w:rFonts w:eastAsia="Times New Roman"/>
                <w:color w:val="000000"/>
                <w:lang w:eastAsia="lv-LV"/>
              </w:rPr>
            </w:pPr>
            <w:r w:rsidRPr="00891760">
              <w:rPr>
                <w:color w:val="000000"/>
              </w:rPr>
              <w:t xml:space="preserve">Prasības </w:t>
            </w:r>
            <w:r w:rsidRPr="00891760">
              <w:rPr>
                <w:rFonts w:eastAsia="Times New Roman"/>
                <w:color w:val="000000"/>
                <w:lang w:eastAsia="lv-LV"/>
              </w:rPr>
              <w:t>pārņemtas ar:</w:t>
            </w:r>
          </w:p>
          <w:p w:rsidR="00891760" w:rsidRPr="00891760" w:rsidRDefault="00891760" w:rsidP="00891760">
            <w:pPr>
              <w:spacing w:after="0" w:line="240" w:lineRule="auto"/>
              <w:rPr>
                <w:color w:val="000000"/>
              </w:rPr>
            </w:pPr>
            <w:r w:rsidRPr="00891760">
              <w:rPr>
                <w:rFonts w:eastAsia="Times New Roman"/>
                <w:color w:val="000000"/>
              </w:rPr>
              <w:t xml:space="preserve">1) Enerģētikas likuma 1. panta </w:t>
            </w:r>
            <w:r w:rsidRPr="00891760">
              <w:rPr>
                <w:color w:val="000000"/>
              </w:rPr>
              <w:t>22.</w:t>
            </w:r>
            <w:r w:rsidRPr="00891760">
              <w:rPr>
                <w:color w:val="000000"/>
                <w:vertAlign w:val="superscript"/>
              </w:rPr>
              <w:t xml:space="preserve">1 </w:t>
            </w:r>
            <w:r w:rsidRPr="00891760">
              <w:rPr>
                <w:color w:val="000000"/>
              </w:rPr>
              <w:t>un 22.</w:t>
            </w:r>
            <w:r w:rsidRPr="00891760">
              <w:rPr>
                <w:color w:val="000000"/>
                <w:vertAlign w:val="superscript"/>
              </w:rPr>
              <w:t xml:space="preserve">2 </w:t>
            </w:r>
            <w:r w:rsidRPr="00891760">
              <w:rPr>
                <w:color w:val="000000"/>
              </w:rPr>
              <w:t>punktiem;</w:t>
            </w:r>
          </w:p>
          <w:p w:rsidR="00891760" w:rsidRPr="00891760" w:rsidRDefault="00891760" w:rsidP="00891760">
            <w:pPr>
              <w:spacing w:after="0" w:line="240" w:lineRule="auto"/>
              <w:rPr>
                <w:rFonts w:eastAsia="Times New Roman"/>
                <w:b/>
                <w:lang w:eastAsia="lv-LV"/>
              </w:rPr>
            </w:pPr>
            <w:r w:rsidRPr="00891760">
              <w:rPr>
                <w:color w:val="000000"/>
              </w:rPr>
              <w:t>2)</w:t>
            </w:r>
            <w:r w:rsidRPr="00891760">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jāpārņem.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 panta 45.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lang w:eastAsia="lv-LV"/>
              </w:rPr>
            </w:pPr>
            <w:r w:rsidRPr="00891760">
              <w:rPr>
                <w:rFonts w:eastAsia="Times New Roman"/>
                <w:b/>
                <w:bCs/>
                <w:lang w:eastAsia="lv-LV"/>
              </w:rPr>
              <w:t>Nav pārņemts</w:t>
            </w:r>
          </w:p>
          <w:p w:rsidR="00891760" w:rsidRPr="00891760" w:rsidRDefault="00891760" w:rsidP="00891760">
            <w:pPr>
              <w:spacing w:after="0" w:line="240" w:lineRule="auto"/>
              <w:rPr>
                <w:rFonts w:eastAsia="Times New Roman"/>
                <w:bCs/>
                <w:lang w:eastAsia="lv-LV"/>
              </w:rPr>
            </w:pPr>
            <w:r w:rsidRPr="00891760">
              <w:rPr>
                <w:rFonts w:eastAsia="Times New Roman"/>
                <w:bCs/>
                <w:lang w:eastAsia="lv-LV"/>
              </w:rPr>
              <w:t xml:space="preserve">Prasības tiks pārņemtas ar </w:t>
            </w:r>
          </w:p>
          <w:p w:rsidR="00891760" w:rsidRPr="00891760" w:rsidRDefault="00891760" w:rsidP="00891760">
            <w:pPr>
              <w:spacing w:after="0" w:line="240" w:lineRule="auto"/>
              <w:rPr>
                <w:rFonts w:eastAsia="Times New Roman"/>
                <w:bCs/>
                <w:lang w:eastAsia="lv-LV"/>
              </w:rPr>
            </w:pPr>
            <w:r w:rsidRPr="00891760">
              <w:rPr>
                <w:rFonts w:eastAsia="Times New Roman"/>
                <w:bCs/>
                <w:lang w:eastAsia="lv-LV"/>
              </w:rPr>
              <w:t>likumprojektu „Grozījumi Elektroenerģijas tirgus likumā”.</w:t>
            </w:r>
          </w:p>
          <w:p w:rsidR="00891760" w:rsidRPr="00891760" w:rsidRDefault="00891760" w:rsidP="00891760">
            <w:pPr>
              <w:spacing w:after="0" w:line="240" w:lineRule="auto"/>
              <w:rPr>
                <w:rFonts w:eastAsia="Times New Roman"/>
                <w:b/>
                <w:bCs/>
                <w:lang w:eastAsia="lv-LV"/>
              </w:rPr>
            </w:pPr>
            <w:r w:rsidRPr="00891760">
              <w:rPr>
                <w:rFonts w:eastAsia="Times New Roman"/>
                <w:bCs/>
                <w:lang w:eastAsia="lv-LV"/>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3. panta 1.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 xml:space="preserve">Paziņots Eiropas Komisijai 2013. gada 2. maijā iesniedzot Latvijas otro Progresa ziņojumu par Latvijas Nacionālās reformu programmas „Eiropa 2020” stratēģijas īstenošanu. Ziņojums papildināts 2013. gada 21. jūnijā atbilstoši </w:t>
            </w:r>
            <w:r w:rsidRPr="00891760">
              <w:rPr>
                <w:i/>
                <w:color w:val="000000"/>
              </w:rPr>
              <w:t>EU Pilot lietas Nr.505/13/ENER prasībām.</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3.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nesatur dalībvalstij saistošus pienākumus un tāpēc to nav nepieciešams pārņemt.</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3.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color w:val="000000"/>
              </w:rPr>
            </w:pPr>
            <w:r w:rsidRPr="00891760">
              <w:rPr>
                <w:color w:val="000000"/>
              </w:rPr>
              <w:t>Norma nesatur dalībvalstij saistošus pienākumus un tāpēc to nav nepieciešams pārņemt.</w:t>
            </w:r>
          </w:p>
        </w:tc>
        <w:tc>
          <w:tcPr>
            <w:tcW w:w="915" w:type="pct"/>
          </w:tcPr>
          <w:p w:rsidR="00891760" w:rsidRPr="00891760" w:rsidRDefault="00891760" w:rsidP="00891760">
            <w:pPr>
              <w:spacing w:after="0" w:line="240" w:lineRule="auto"/>
              <w:rPr>
                <w:spacing w:val="-2"/>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4. pants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bCs/>
                <w:color w:val="000000"/>
                <w:lang w:eastAsia="lv-LV"/>
              </w:rPr>
            </w:pPr>
            <w:r w:rsidRPr="00891760">
              <w:rPr>
                <w:rFonts w:eastAsia="Times New Roman"/>
                <w:b/>
                <w:bCs/>
                <w:color w:val="000000"/>
                <w:lang w:eastAsia="lv-LV"/>
              </w:rPr>
              <w:t>Pārņemts pilnībā</w:t>
            </w:r>
          </w:p>
          <w:p w:rsidR="00891760" w:rsidRPr="00891760" w:rsidRDefault="00891760" w:rsidP="00891760">
            <w:pPr>
              <w:spacing w:after="0" w:line="240" w:lineRule="auto"/>
              <w:rPr>
                <w:rFonts w:eastAsia="Times New Roman"/>
                <w:color w:val="000000"/>
                <w:lang w:eastAsia="lv-LV"/>
              </w:rPr>
            </w:pPr>
            <w:r w:rsidRPr="00891760">
              <w:rPr>
                <w:rFonts w:eastAsia="Times New Roman"/>
                <w:bCs/>
                <w:color w:val="000000"/>
                <w:lang w:eastAsia="lv-LV"/>
              </w:rPr>
              <w:t xml:space="preserve">Prasība pārņemta ar Ministru kabineta </w:t>
            </w:r>
            <w:r w:rsidRPr="00891760">
              <w:rPr>
                <w:rFonts w:eastAsia="Times New Roman"/>
                <w:color w:val="000000"/>
                <w:lang w:eastAsia="lv-LV"/>
              </w:rPr>
              <w:t xml:space="preserve">2013. gada 2. decembra </w:t>
            </w:r>
            <w:r w:rsidRPr="00891760">
              <w:rPr>
                <w:rFonts w:eastAsia="Times New Roman"/>
                <w:bCs/>
                <w:color w:val="000000"/>
                <w:lang w:eastAsia="lv-LV"/>
              </w:rPr>
              <w:t>rīkojumu Nr. 587 (</w:t>
            </w:r>
            <w:r w:rsidRPr="00891760">
              <w:rPr>
                <w:rFonts w:eastAsia="Times New Roman"/>
                <w:color w:val="000000"/>
                <w:lang w:eastAsia="lv-LV"/>
              </w:rPr>
              <w:t xml:space="preserve">prot. Nr. 63 52.§) </w:t>
            </w:r>
            <w:r w:rsidRPr="00891760">
              <w:rPr>
                <w:rFonts w:eastAsia="Times New Roman"/>
                <w:bCs/>
                <w:color w:val="000000"/>
                <w:lang w:eastAsia="lv-LV"/>
              </w:rPr>
              <w:t>Par Koncepciju par Eiropas Parlamenta un Padomes 2012. gada 25. oktobra Direktīvas 2012/27/ES par energoefektivitāti prasību pārņemšanu normatīvajos aktos.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5.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ind w:left="-43" w:right="100"/>
              <w:jc w:val="both"/>
              <w:rPr>
                <w:b/>
                <w:color w:val="000000"/>
              </w:rPr>
            </w:pPr>
            <w:r w:rsidRPr="00891760">
              <w:rPr>
                <w:b/>
                <w:color w:val="000000"/>
              </w:rPr>
              <w:t>Pārņemts pilnībā</w:t>
            </w:r>
          </w:p>
          <w:p w:rsidR="00891760" w:rsidRPr="00891760" w:rsidRDefault="00891760" w:rsidP="00891760">
            <w:pPr>
              <w:spacing w:after="0" w:line="240" w:lineRule="auto"/>
              <w:ind w:left="-43" w:right="100"/>
              <w:jc w:val="both"/>
              <w:rPr>
                <w:rFonts w:eastAsia="Times New Roman"/>
                <w:lang w:eastAsia="lv-LV"/>
              </w:rPr>
            </w:pPr>
            <w:r w:rsidRPr="00891760">
              <w:rPr>
                <w:color w:val="000000"/>
              </w:rPr>
              <w:t>Pārņemts ar Darbības programmu “Izaugsme un nodarbinātība”</w:t>
            </w:r>
            <w:r w:rsidRPr="00891760">
              <w:rPr>
                <w:color w:val="000000"/>
                <w:vertAlign w:val="superscript"/>
              </w:rPr>
              <w:footnoteReference w:id="2"/>
            </w:r>
            <w:r w:rsidRPr="00891760">
              <w:rPr>
                <w:color w:val="000000"/>
              </w:rPr>
              <w:t>, kas pieņemta atbilstoši Eiropas Savienības struktūrfondu un Kohēzijas fonda 2014.-2020. gada plānošanas perioda vadības likumam</w:t>
            </w:r>
            <w:r w:rsidRPr="00891760">
              <w:rPr>
                <w:color w:val="000000"/>
                <w:vertAlign w:val="superscript"/>
              </w:rPr>
              <w:footnoteReference w:id="3"/>
            </w:r>
            <w:r w:rsidRPr="00891760">
              <w:rPr>
                <w:color w:val="000000"/>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5. panta 2.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ind w:right="100"/>
              <w:jc w:val="both"/>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color w:val="000000"/>
              </w:rPr>
              <w:t>Prasības tika piemērotas, sastādot Valsts institūciju īpašumā, valdījumā un lietošanā esošās ēkas ar kopējo platību virs 500 m</w:t>
            </w:r>
            <w:r w:rsidRPr="00891760">
              <w:rPr>
                <w:color w:val="000000"/>
                <w:vertAlign w:val="superscript"/>
              </w:rPr>
              <w:t>2</w:t>
            </w:r>
            <w:r w:rsidRPr="00891760">
              <w:rPr>
                <w:color w:val="000000"/>
              </w:rPr>
              <w:t xml:space="preserve"> uz 31.12.2013. saskaņā ar Eiropas Parlamenta un Padomes Direktīvas 2012/27/ES par energoefektivitāti 5. panta 5. punktu (sagatavota pēc valsts institūciju sniegtās informācijas).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5. panta 3.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jc w:val="both"/>
              <w:rPr>
                <w:rFonts w:eastAsia="Times New Roman"/>
                <w:lang w:eastAsia="lv-LV"/>
              </w:rPr>
            </w:pPr>
            <w:r w:rsidRPr="00891760">
              <w:rPr>
                <w:color w:val="000000"/>
              </w:rPr>
              <w:t xml:space="preserve"> Prasības pārņemtas ar ikgadējo ziņojumu</w:t>
            </w:r>
            <w:r w:rsidRPr="00891760">
              <w:t xml:space="preserve"> “Ziņojums par virzību uz valsts energoefektivitātes mērķu 2020. gadam izpildi par 2013. gadu, atbilstoši Direktīvas 2012/27/ES 24. panta 1. punkta un XIV pielikuma 1.daļas prasībām” (Iesniegts Eiropas Komisijai 2015. gada 2. maijā).</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5. panta 4.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b/>
                <w:bCs/>
              </w:rPr>
            </w:pPr>
            <w:r w:rsidRPr="00891760">
              <w:rPr>
                <w:b/>
                <w:bCs/>
              </w:rPr>
              <w:t>Pārņemts pilnībā</w:t>
            </w:r>
          </w:p>
          <w:p w:rsidR="00891760" w:rsidRPr="00891760" w:rsidRDefault="00891760" w:rsidP="00891760">
            <w:pPr>
              <w:spacing w:after="0" w:line="240" w:lineRule="auto"/>
              <w:rPr>
                <w:rFonts w:eastAsia="Times New Roman"/>
                <w:lang w:eastAsia="lv-LV"/>
              </w:rPr>
            </w:pPr>
            <w:r w:rsidRPr="00891760">
              <w:rPr>
                <w:bCs/>
              </w:rPr>
              <w:t xml:space="preserve">Prasības pārņemtas ar Ministru kabineta </w:t>
            </w:r>
            <w:r w:rsidRPr="00891760">
              <w:t xml:space="preserve">2013. gada 2. decembra </w:t>
            </w:r>
            <w:r w:rsidRPr="00891760">
              <w:rPr>
                <w:bCs/>
              </w:rPr>
              <w:t>rīkojumu Nr. 587 (</w:t>
            </w:r>
            <w:r w:rsidRPr="00891760">
              <w:t>prot. Nr. 63 52.§) „</w:t>
            </w:r>
            <w:r w:rsidRPr="00891760">
              <w:rPr>
                <w:bCs/>
              </w:rPr>
              <w:t>Par Koncepciju par Eiropas Parlamenta un Padomes 2012. gada 25. oktobra Direktīvas 2012/27/ES</w:t>
            </w:r>
            <w:r w:rsidRPr="00891760">
              <w:rPr>
                <w:bCs/>
                <w:color w:val="0000FF"/>
                <w:u w:val="single"/>
              </w:rPr>
              <w:t xml:space="preserve"> </w:t>
            </w:r>
            <w:r w:rsidRPr="00891760">
              <w:rPr>
                <w:bCs/>
              </w:rPr>
              <w:t>par energoefektivitāti prasību pārņemšanu normatīvajos aktos”</w:t>
            </w:r>
            <w:r w:rsidRPr="00891760">
              <w:rPr>
                <w:bCs/>
                <w:vertAlign w:val="superscript"/>
              </w:rPr>
              <w:footnoteReference w:id="4"/>
            </w:r>
            <w:r w:rsidRPr="00891760">
              <w:rPr>
                <w:bCs/>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5. panta 5.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rFonts w:eastAsia="Times New Roman"/>
                <w:b/>
                <w:lang w:eastAsia="lv-LV"/>
              </w:rPr>
              <w:t>Pārņemts</w:t>
            </w:r>
            <w:r w:rsidRPr="00891760">
              <w:rPr>
                <w:b/>
                <w:bCs/>
              </w:rPr>
              <w:t xml:space="preserve">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Valsts īpašumā, valdījumā un lietošanā esošās ēkas ar kopējo platību virs 250 m</w:t>
            </w:r>
            <w:r w:rsidRPr="00891760">
              <w:rPr>
                <w:rFonts w:eastAsia="Times New Roman"/>
                <w:vertAlign w:val="superscript"/>
                <w:lang w:eastAsia="lv-LV"/>
              </w:rPr>
              <w:t xml:space="preserve">2 </w:t>
            </w:r>
            <w:r w:rsidRPr="00891760">
              <w:rPr>
                <w:rFonts w:eastAsia="Times New Roman"/>
                <w:lang w:eastAsia="lv-LV"/>
              </w:rPr>
              <w:t>uz 31.12.2013. saskaņā ar Eiropas padomes un Parlamenta Direktīvas 2012/27/ES par energoefektivitāti 5. panta 5. punktu</w:t>
            </w:r>
            <w:r w:rsidRPr="00891760">
              <w:rPr>
                <w:rFonts w:eastAsia="Times New Roman"/>
                <w:vertAlign w:val="superscript"/>
                <w:lang w:eastAsia="lv-LV"/>
              </w:rPr>
              <w:footnoteReference w:id="5"/>
            </w:r>
            <w:r w:rsidRPr="00891760">
              <w:rPr>
                <w:rFonts w:eastAsia="Times New Roman"/>
                <w:lang w:eastAsia="lv-LV"/>
              </w:rPr>
              <w:t xml:space="preserve">. </w:t>
            </w:r>
          </w:p>
        </w:tc>
        <w:tc>
          <w:tcPr>
            <w:tcW w:w="915" w:type="pct"/>
          </w:tcPr>
          <w:p w:rsidR="00891760" w:rsidRPr="00891760" w:rsidRDefault="00891760" w:rsidP="00891760">
            <w:pPr>
              <w:spacing w:after="0" w:line="240" w:lineRule="auto"/>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5.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Latvija nav izvēlējusies iespēju ieviest Direktīvas 2012/27/ES 5. panta 6. punkta prasības, jo ir izvēlētas ieviest Direktīvas 2012/27/ES 5. panta no 1. līdz 5. punkta prasības</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5. panta 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ind w:left="-43" w:right="100"/>
              <w:jc w:val="both"/>
              <w:rPr>
                <w:b/>
                <w:color w:val="000000"/>
              </w:rPr>
            </w:pPr>
            <w:r w:rsidRPr="00891760">
              <w:rPr>
                <w:b/>
                <w:color w:val="000000"/>
              </w:rPr>
              <w:t>Pārņemts pilnībā</w:t>
            </w:r>
          </w:p>
          <w:p w:rsidR="00891760" w:rsidRPr="00891760" w:rsidRDefault="00891760" w:rsidP="00891760">
            <w:pPr>
              <w:spacing w:after="0" w:line="240" w:lineRule="auto"/>
              <w:jc w:val="both"/>
              <w:rPr>
                <w:spacing w:val="-2"/>
              </w:rPr>
            </w:pPr>
            <w:r w:rsidRPr="00891760">
              <w:rPr>
                <w:spacing w:val="-2"/>
              </w:rPr>
              <w:t>Prasība pārņemta arī ar:</w:t>
            </w:r>
          </w:p>
          <w:p w:rsidR="00891760" w:rsidRPr="00891760" w:rsidRDefault="00891760" w:rsidP="00891760">
            <w:pPr>
              <w:spacing w:after="0" w:line="240" w:lineRule="auto"/>
              <w:jc w:val="both"/>
              <w:rPr>
                <w:spacing w:val="-2"/>
              </w:rPr>
            </w:pPr>
            <w:r w:rsidRPr="00891760">
              <w:rPr>
                <w:spacing w:val="-2"/>
              </w:rPr>
              <w:t>1) Ekonomikas ministrijas dokuments „Ieteikumi enerģijas sektora plānošanai pašvaldībās”</w:t>
            </w:r>
            <w:r w:rsidRPr="00891760">
              <w:rPr>
                <w:spacing w:val="-2"/>
                <w:vertAlign w:val="superscript"/>
              </w:rPr>
              <w:footnoteReference w:id="6"/>
            </w:r>
            <w:r w:rsidRPr="00891760">
              <w:rPr>
                <w:spacing w:val="-2"/>
              </w:rPr>
              <w:t>;</w:t>
            </w:r>
          </w:p>
          <w:p w:rsidR="00891760" w:rsidRPr="00891760" w:rsidRDefault="00891760" w:rsidP="00891760">
            <w:pPr>
              <w:spacing w:after="0" w:line="240" w:lineRule="auto"/>
              <w:jc w:val="both"/>
              <w:rPr>
                <w:spacing w:val="-2"/>
              </w:rPr>
            </w:pPr>
            <w:r w:rsidRPr="00891760">
              <w:rPr>
                <w:spacing w:val="-2"/>
              </w:rPr>
              <w:t>2) Vides aizsardzības un reģionālās attīstības ministrijas dokuments „Metodiskie ieteikumi attīstības programmu izstrādei reģionālā un vietējā līmenī”</w:t>
            </w:r>
            <w:r w:rsidRPr="00891760">
              <w:rPr>
                <w:spacing w:val="-2"/>
                <w:vertAlign w:val="superscript"/>
              </w:rPr>
              <w:footnoteReference w:id="7"/>
            </w:r>
            <w:r w:rsidRPr="00891760">
              <w:rPr>
                <w:spacing w:val="-2"/>
              </w:rPr>
              <w:t>.</w:t>
            </w:r>
          </w:p>
          <w:p w:rsidR="00891760" w:rsidRPr="00891760" w:rsidRDefault="00891760" w:rsidP="00891760">
            <w:pPr>
              <w:spacing w:after="0" w:line="240" w:lineRule="auto"/>
              <w:jc w:val="both"/>
              <w:rPr>
                <w:spacing w:val="-2"/>
              </w:rPr>
            </w:pPr>
            <w:r w:rsidRPr="00891760">
              <w:rPr>
                <w:spacing w:val="-2"/>
              </w:rPr>
              <w:t>3) Energoefektivitātes likuma 5. panta pirmo, otro un trešo daļu.</w:t>
            </w:r>
          </w:p>
          <w:p w:rsidR="00891760" w:rsidRPr="00891760" w:rsidRDefault="00891760" w:rsidP="00891760">
            <w:pPr>
              <w:spacing w:after="0" w:line="240" w:lineRule="auto"/>
              <w:jc w:val="both"/>
              <w:rPr>
                <w:spacing w:val="-2"/>
              </w:rPr>
            </w:pPr>
            <w:r w:rsidRPr="00891760">
              <w:rPr>
                <w:spacing w:val="-2"/>
              </w:rPr>
              <w:t xml:space="preserve">4) Ministru kabineta noteikumu projekta </w:t>
            </w:r>
            <w:r w:rsidRPr="00891760">
              <w:rPr>
                <w:rFonts w:eastAsia="Times New Roman"/>
                <w:bCs/>
                <w:lang w:eastAsia="lv-LV"/>
              </w:rPr>
              <w:t xml:space="preserve">“Kārtība, kādā valsts iestāde vai pašvaldība paziņo par </w:t>
            </w:r>
            <w:proofErr w:type="spellStart"/>
            <w:r w:rsidRPr="00891760">
              <w:rPr>
                <w:rFonts w:eastAsia="Times New Roman"/>
                <w:bCs/>
                <w:lang w:eastAsia="lv-LV"/>
              </w:rPr>
              <w:t>energopārvaldības</w:t>
            </w:r>
            <w:proofErr w:type="spellEnd"/>
            <w:r w:rsidRPr="00891760">
              <w:rPr>
                <w:rFonts w:eastAsia="Times New Roman"/>
                <w:bCs/>
                <w:lang w:eastAsia="lv-LV"/>
              </w:rPr>
              <w:t xml:space="preserve"> sistēmas ieviešanu un tiek pārbaudīta un apstiprināta </w:t>
            </w:r>
            <w:proofErr w:type="spellStart"/>
            <w:r w:rsidRPr="00891760">
              <w:rPr>
                <w:rFonts w:eastAsia="Times New Roman"/>
                <w:bCs/>
                <w:lang w:eastAsia="lv-LV"/>
              </w:rPr>
              <w:t>energopārvaldības</w:t>
            </w:r>
            <w:proofErr w:type="spellEnd"/>
            <w:r w:rsidRPr="00891760">
              <w:rPr>
                <w:rFonts w:eastAsia="Times New Roman"/>
                <w:bCs/>
                <w:lang w:eastAsia="lv-LV"/>
              </w:rPr>
              <w:t xml:space="preserve"> sistēmas ieviešana valsts iestādē vai pašvaldībā” II. nodaļa.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yellow"/>
                <w:lang w:eastAsia="lv-LV"/>
              </w:rPr>
            </w:pPr>
            <w:r w:rsidRPr="00891760">
              <w:t xml:space="preserve">Direktīvas 2012/27/ES </w:t>
            </w:r>
            <w:r w:rsidRPr="00891760">
              <w:rPr>
                <w:spacing w:val="-2"/>
              </w:rPr>
              <w:t>6. panta 1. punkta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spacing w:val="-2"/>
              </w:rPr>
            </w:pPr>
            <w:r w:rsidRPr="00891760">
              <w:rPr>
                <w:b/>
                <w:spacing w:val="-2"/>
              </w:rPr>
              <w:t xml:space="preserve">Pārņemts pilnībā </w:t>
            </w:r>
          </w:p>
          <w:p w:rsidR="00891760" w:rsidRPr="00891760" w:rsidRDefault="00891760" w:rsidP="00891760">
            <w:pPr>
              <w:spacing w:after="0" w:line="240" w:lineRule="auto"/>
              <w:rPr>
                <w:spacing w:val="-2"/>
              </w:rPr>
            </w:pPr>
            <w:r w:rsidRPr="00891760">
              <w:rPr>
                <w:spacing w:val="-2"/>
              </w:rPr>
              <w:t>Prasības pārņemtas ar :</w:t>
            </w:r>
          </w:p>
          <w:p w:rsidR="00891760" w:rsidRPr="00891760" w:rsidRDefault="00891760" w:rsidP="00891760">
            <w:pPr>
              <w:spacing w:after="0" w:line="240" w:lineRule="auto"/>
              <w:rPr>
                <w:spacing w:val="-2"/>
              </w:rPr>
            </w:pPr>
            <w:r w:rsidRPr="00891760">
              <w:rPr>
                <w:spacing w:val="-2"/>
              </w:rPr>
              <w:t>1) Publisko iepirkumu likuma 46.</w:t>
            </w:r>
            <w:r w:rsidRPr="00891760">
              <w:rPr>
                <w:spacing w:val="-2"/>
                <w:vertAlign w:val="superscript"/>
              </w:rPr>
              <w:t xml:space="preserve">1 </w:t>
            </w:r>
            <w:r w:rsidRPr="00891760">
              <w:rPr>
                <w:spacing w:val="-2"/>
              </w:rPr>
              <w:t>pantu.</w:t>
            </w:r>
          </w:p>
          <w:p w:rsidR="00891760" w:rsidRPr="00891760" w:rsidRDefault="00891760" w:rsidP="00891760">
            <w:pPr>
              <w:spacing w:after="0" w:line="240" w:lineRule="auto"/>
              <w:rPr>
                <w:spacing w:val="-2"/>
              </w:rPr>
            </w:pPr>
            <w:r w:rsidRPr="00891760">
              <w:rPr>
                <w:spacing w:val="-2"/>
              </w:rPr>
              <w:t xml:space="preserve">2) Ēku energoefektivitātes likuma </w:t>
            </w:r>
            <w:r w:rsidRPr="00891760">
              <w:t>14. panta trešo, ceturto un piekto daļu.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spacing w:val="-2"/>
              </w:rPr>
            </w:pPr>
            <w:r w:rsidRPr="00891760">
              <w:t xml:space="preserve">Direktīvas 2012/27/ES </w:t>
            </w:r>
            <w:r w:rsidRPr="00891760">
              <w:rPr>
                <w:spacing w:val="-2"/>
              </w:rPr>
              <w:t>6. panta 1. punkta otrā daļa</w:t>
            </w:r>
          </w:p>
        </w:tc>
        <w:tc>
          <w:tcPr>
            <w:tcW w:w="714" w:type="pct"/>
          </w:tcPr>
          <w:p w:rsidR="00891760" w:rsidRPr="00891760" w:rsidRDefault="00094F41" w:rsidP="00891760">
            <w:pPr>
              <w:spacing w:after="0" w:line="240" w:lineRule="auto"/>
              <w:rPr>
                <w:rFonts w:eastAsia="Times New Roman"/>
                <w:lang w:eastAsia="lv-LV"/>
              </w:rPr>
            </w:pPr>
            <w:r>
              <w:rPr>
                <w:rFonts w:eastAsia="Times New Roman"/>
                <w:lang w:eastAsia="lv-LV"/>
              </w:rPr>
              <w:t>Noteikumu projekta 1.punkts</w:t>
            </w:r>
          </w:p>
        </w:tc>
        <w:tc>
          <w:tcPr>
            <w:tcW w:w="2523" w:type="pct"/>
          </w:tcPr>
          <w:p w:rsidR="00891760" w:rsidRPr="00891760" w:rsidRDefault="00891760" w:rsidP="00891760">
            <w:pPr>
              <w:spacing w:after="0" w:line="240" w:lineRule="auto"/>
              <w:rPr>
                <w:b/>
                <w:spacing w:val="-2"/>
              </w:rPr>
            </w:pPr>
            <w:r w:rsidRPr="00891760">
              <w:rPr>
                <w:b/>
                <w:spacing w:val="-2"/>
              </w:rPr>
              <w:t xml:space="preserve">Pārņemts pilnībā </w:t>
            </w:r>
          </w:p>
          <w:p w:rsidR="00891760" w:rsidRPr="00891760" w:rsidRDefault="00891760" w:rsidP="00891760">
            <w:pPr>
              <w:spacing w:after="0" w:line="240" w:lineRule="auto"/>
              <w:rPr>
                <w:spacing w:val="-2"/>
              </w:rPr>
            </w:pPr>
            <w:r w:rsidRPr="00891760">
              <w:rPr>
                <w:spacing w:val="-2"/>
              </w:rPr>
              <w:t>Prasības pārņemtas ar Publisko iepirkumu likuma 46.</w:t>
            </w:r>
            <w:r w:rsidRPr="00891760">
              <w:rPr>
                <w:spacing w:val="-2"/>
                <w:vertAlign w:val="superscript"/>
              </w:rPr>
              <w:t xml:space="preserve">1 </w:t>
            </w:r>
            <w:r w:rsidRPr="00891760">
              <w:rPr>
                <w:spacing w:val="-2"/>
              </w:rPr>
              <w:t>pantu.</w:t>
            </w:r>
          </w:p>
          <w:p w:rsidR="00891760" w:rsidRPr="00891760" w:rsidRDefault="00891760" w:rsidP="00891760">
            <w:pPr>
              <w:spacing w:after="0" w:line="240" w:lineRule="auto"/>
              <w:rPr>
                <w:b/>
                <w:spacing w:val="-2"/>
              </w:rPr>
            </w:pP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6.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b/>
                <w:spacing w:val="-2"/>
              </w:rPr>
            </w:pPr>
            <w:r w:rsidRPr="00891760">
              <w:rPr>
                <w:b/>
                <w:spacing w:val="-2"/>
              </w:rPr>
              <w:t>Pārņemts pilnībā</w:t>
            </w:r>
          </w:p>
          <w:p w:rsidR="00891760" w:rsidRPr="00891760" w:rsidRDefault="00891760" w:rsidP="00891760">
            <w:pPr>
              <w:spacing w:after="0" w:line="240" w:lineRule="auto"/>
              <w:rPr>
                <w:rFonts w:eastAsia="Times New Roman"/>
                <w:lang w:eastAsia="lv-LV"/>
              </w:rPr>
            </w:pPr>
            <w:r w:rsidRPr="00891760">
              <w:rPr>
                <w:spacing w:val="-2"/>
              </w:rPr>
              <w:t>Aizsardzības un drošības jomas iepirkumu likums.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6. panta 3.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b/>
                <w:spacing w:val="-2"/>
              </w:rPr>
            </w:pPr>
            <w:r w:rsidRPr="00891760">
              <w:rPr>
                <w:b/>
                <w:spacing w:val="-2"/>
              </w:rPr>
              <w:t xml:space="preserve">Pārņemts pilnībā </w:t>
            </w:r>
          </w:p>
          <w:p w:rsidR="00891760" w:rsidRPr="00891760" w:rsidRDefault="00891760" w:rsidP="00891760">
            <w:pPr>
              <w:spacing w:after="0" w:line="240" w:lineRule="auto"/>
              <w:jc w:val="both"/>
              <w:rPr>
                <w:spacing w:val="-2"/>
              </w:rPr>
            </w:pPr>
            <w:r w:rsidRPr="00891760">
              <w:rPr>
                <w:spacing w:val="-2"/>
              </w:rPr>
              <w:t>Prasība pārņemta ar:</w:t>
            </w:r>
          </w:p>
          <w:p w:rsidR="00891760" w:rsidRPr="00891760" w:rsidRDefault="00891760" w:rsidP="00891760">
            <w:pPr>
              <w:spacing w:after="0" w:line="240" w:lineRule="auto"/>
              <w:jc w:val="both"/>
              <w:rPr>
                <w:spacing w:val="-2"/>
              </w:rPr>
            </w:pPr>
            <w:r w:rsidRPr="00891760">
              <w:rPr>
                <w:spacing w:val="-2"/>
              </w:rPr>
              <w:t>1) Ekonomikas ministrijas dokuments „Ieteikumi enerģijas sektora plānošanai pašvaldībās”</w:t>
            </w:r>
            <w:r w:rsidRPr="00891760">
              <w:rPr>
                <w:spacing w:val="-2"/>
                <w:vertAlign w:val="superscript"/>
              </w:rPr>
              <w:footnoteReference w:id="8"/>
            </w:r>
            <w:r w:rsidRPr="00891760">
              <w:rPr>
                <w:spacing w:val="-2"/>
              </w:rPr>
              <w:t>;</w:t>
            </w:r>
          </w:p>
          <w:p w:rsidR="00891760" w:rsidRPr="00891760" w:rsidRDefault="00891760" w:rsidP="00891760">
            <w:pPr>
              <w:spacing w:after="0" w:line="240" w:lineRule="auto"/>
              <w:jc w:val="both"/>
              <w:rPr>
                <w:spacing w:val="-2"/>
              </w:rPr>
            </w:pPr>
            <w:r w:rsidRPr="00891760">
              <w:rPr>
                <w:spacing w:val="-2"/>
              </w:rPr>
              <w:t>2) Zaļā iepirkuma veicināšanas plāns 2015.-2017. gadam, apstiprināts Ministru kabinetā 2015. gada 17. februārī (Protokols Nr. 9, 24.§) publicēts</w:t>
            </w:r>
            <w:r w:rsidRPr="00891760">
              <w:rPr>
                <w:spacing w:val="-2"/>
                <w:vertAlign w:val="superscript"/>
              </w:rPr>
              <w:footnoteReference w:id="9"/>
            </w:r>
            <w:r w:rsidRPr="00891760">
              <w:rPr>
                <w:spacing w:val="-2"/>
              </w:rPr>
              <w:t>;</w:t>
            </w:r>
          </w:p>
          <w:p w:rsidR="00891760" w:rsidRPr="00891760" w:rsidRDefault="00891760" w:rsidP="00891760">
            <w:pPr>
              <w:spacing w:after="0" w:line="240" w:lineRule="auto"/>
              <w:jc w:val="both"/>
              <w:rPr>
                <w:spacing w:val="-2"/>
              </w:rPr>
            </w:pPr>
            <w:r w:rsidRPr="00891760">
              <w:rPr>
                <w:spacing w:val="-2"/>
              </w:rPr>
              <w:lastRenderedPageBreak/>
              <w:t>3) Vides aizsardzības un reģionālās attīstības ministrijas dokuments „Metodiskie ieteikumi attīstības programmu izstrādei reģionālā un vietējā līmenī”</w:t>
            </w:r>
            <w:r w:rsidRPr="00891760">
              <w:rPr>
                <w:spacing w:val="-2"/>
                <w:vertAlign w:val="superscript"/>
              </w:rPr>
              <w:footnoteReference w:id="10"/>
            </w:r>
            <w:r w:rsidRPr="00891760">
              <w:rPr>
                <w:spacing w:val="-2"/>
              </w:rPr>
              <w:t>;</w:t>
            </w:r>
          </w:p>
          <w:p w:rsidR="00891760" w:rsidRPr="00891760" w:rsidRDefault="00891760" w:rsidP="00891760">
            <w:pPr>
              <w:spacing w:after="0" w:line="240" w:lineRule="auto"/>
              <w:jc w:val="both"/>
              <w:rPr>
                <w:spacing w:val="-2"/>
              </w:rPr>
            </w:pPr>
            <w:r w:rsidRPr="00891760">
              <w:rPr>
                <w:spacing w:val="-2"/>
              </w:rPr>
              <w:t>4)</w:t>
            </w:r>
            <w:r w:rsidRPr="00891760">
              <w:t xml:space="preserve"> </w:t>
            </w:r>
            <w:r w:rsidRPr="00891760">
              <w:rPr>
                <w:spacing w:val="-2"/>
              </w:rPr>
              <w:t>Vides aizsardzības un reģionālās attīstības ministrijas un Iepirkumu uzraudzības biroja ”Ieteikumos videi draudzīgas būvniecības veicināšanai”</w:t>
            </w:r>
            <w:r w:rsidRPr="00891760">
              <w:rPr>
                <w:spacing w:val="-2"/>
                <w:vertAlign w:val="superscript"/>
              </w:rPr>
              <w:footnoteReference w:id="11"/>
            </w:r>
            <w:r w:rsidRPr="00891760">
              <w:rPr>
                <w:spacing w:val="-2"/>
              </w:rPr>
              <w:t>.</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red"/>
                <w:lang w:eastAsia="lv-LV"/>
              </w:rPr>
            </w:pPr>
            <w:r w:rsidRPr="00891760">
              <w:lastRenderedPageBreak/>
              <w:t xml:space="preserve">Direktīvas 2012/27/ES </w:t>
            </w:r>
            <w:r w:rsidRPr="00891760">
              <w:rPr>
                <w:rFonts w:eastAsia="Times New Roman"/>
                <w:lang w:eastAsia="lv-LV"/>
              </w:rPr>
              <w:t>6. panta 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spacing w:val="-2"/>
              </w:rPr>
            </w:pPr>
            <w:r w:rsidRPr="00891760">
              <w:rPr>
                <w:b/>
                <w:spacing w:val="-2"/>
              </w:rPr>
              <w:t xml:space="preserve">Pārņemts pilnībā </w:t>
            </w:r>
          </w:p>
          <w:p w:rsidR="00891760" w:rsidRPr="00891760" w:rsidRDefault="00891760" w:rsidP="00891760">
            <w:pPr>
              <w:spacing w:after="0" w:line="240" w:lineRule="auto"/>
              <w:rPr>
                <w:spacing w:val="-2"/>
              </w:rPr>
            </w:pPr>
            <w:r w:rsidRPr="00891760">
              <w:rPr>
                <w:spacing w:val="-2"/>
              </w:rPr>
              <w:t>Prasības pārņemtas ar Publisko iepirkumu likuma 46.</w:t>
            </w:r>
            <w:r w:rsidRPr="00891760">
              <w:rPr>
                <w:spacing w:val="-2"/>
                <w:vertAlign w:val="superscript"/>
              </w:rPr>
              <w:t xml:space="preserve">1 </w:t>
            </w:r>
            <w:r w:rsidRPr="00891760">
              <w:rPr>
                <w:spacing w:val="-2"/>
              </w:rPr>
              <w:t>pantu.</w:t>
            </w:r>
          </w:p>
          <w:p w:rsidR="00891760" w:rsidRPr="00891760" w:rsidRDefault="00891760" w:rsidP="00891760">
            <w:pPr>
              <w:spacing w:after="0" w:line="240" w:lineRule="auto"/>
              <w:rPr>
                <w:b/>
                <w:spacing w:val="-2"/>
              </w:rPr>
            </w:pP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7. pants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daļēji</w:t>
            </w:r>
          </w:p>
          <w:p w:rsidR="00891760" w:rsidRPr="00891760" w:rsidRDefault="00891760" w:rsidP="00891760">
            <w:pPr>
              <w:spacing w:after="0" w:line="240" w:lineRule="auto"/>
              <w:rPr>
                <w:rFonts w:eastAsia="Times New Roman"/>
                <w:lang w:eastAsia="lv-LV"/>
              </w:rPr>
            </w:pPr>
            <w:r w:rsidRPr="00891760">
              <w:t xml:space="preserve">Pilnībā </w:t>
            </w:r>
            <w:r w:rsidRPr="00891760">
              <w:rPr>
                <w:rFonts w:eastAsia="Times New Roman"/>
                <w:lang w:eastAsia="lv-LV"/>
              </w:rPr>
              <w:t xml:space="preserve">tiks pārņemtas ar </w:t>
            </w:r>
            <w:r w:rsidRPr="00891760">
              <w:t>Ministru kabineta noteikumu projektu „</w:t>
            </w:r>
            <w:r w:rsidRPr="00891760">
              <w:rPr>
                <w:bCs/>
              </w:rPr>
              <w:t>Energoefektivitātes pienākuma shēma”</w:t>
            </w:r>
            <w:r w:rsidRPr="00891760">
              <w:t>, ko paredzēts izdot, pamatojoties uz Energoefektivitātes likuma.6.panta prasībām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094F41">
            <w:pPr>
              <w:spacing w:after="0" w:line="240" w:lineRule="auto"/>
            </w:pPr>
            <w:r w:rsidRPr="00891760">
              <w:rPr>
                <w:rFonts w:eastAsia="Times New Roman"/>
                <w:lang w:eastAsia="lv-LV"/>
              </w:rPr>
              <w:t>8. punkta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094F41" w:rsidRDefault="00094F41" w:rsidP="00891760">
            <w:pPr>
              <w:spacing w:after="0" w:line="240" w:lineRule="auto"/>
              <w:rPr>
                <w:b/>
                <w:spacing w:val="-2"/>
              </w:rPr>
            </w:pPr>
            <w:r>
              <w:rPr>
                <w:b/>
                <w:spacing w:val="-2"/>
              </w:rPr>
              <w:t>Nav pārņemts</w:t>
            </w:r>
          </w:p>
          <w:p w:rsidR="00891760" w:rsidRPr="00094F41" w:rsidRDefault="00094F41" w:rsidP="00891760">
            <w:pPr>
              <w:spacing w:after="0" w:line="240" w:lineRule="auto"/>
              <w:rPr>
                <w:spacing w:val="-2"/>
              </w:rPr>
            </w:pPr>
            <w:r w:rsidRPr="00094F41">
              <w:rPr>
                <w:spacing w:val="-2"/>
              </w:rPr>
              <w:t>Tiks pārņemts ar noteikumu projektu “Energoefektivitātes monitoringa noteikumi”</w:t>
            </w:r>
          </w:p>
          <w:p w:rsidR="00094F41" w:rsidRDefault="00094F41" w:rsidP="00094F41">
            <w:pPr>
              <w:spacing w:after="0" w:line="240" w:lineRule="auto"/>
              <w:rPr>
                <w:spacing w:val="-2"/>
              </w:rPr>
            </w:pPr>
          </w:p>
          <w:p w:rsidR="00891760" w:rsidRPr="00891760" w:rsidRDefault="00094F41" w:rsidP="00094F41">
            <w:pPr>
              <w:spacing w:after="0" w:line="240" w:lineRule="auto"/>
              <w:rPr>
                <w:rFonts w:eastAsia="Times New Roman"/>
                <w:lang w:eastAsia="lv-LV"/>
              </w:rPr>
            </w:pPr>
            <w:r w:rsidRPr="00094F41">
              <w:rPr>
                <w:spacing w:val="-2"/>
              </w:rPr>
              <w:t>Atbildīgā Ekonomikas ministrija</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094F41">
            <w:pPr>
              <w:spacing w:after="0" w:line="240" w:lineRule="auto"/>
            </w:pPr>
            <w:r w:rsidRPr="00891760">
              <w:rPr>
                <w:rFonts w:eastAsia="Times New Roman"/>
                <w:lang w:eastAsia="lv-LV"/>
              </w:rPr>
              <w:t>8. punkta otrā daļa, a), b) apakšpunkti</w:t>
            </w:r>
          </w:p>
        </w:tc>
        <w:tc>
          <w:tcPr>
            <w:tcW w:w="714" w:type="pct"/>
          </w:tcPr>
          <w:p w:rsidR="00891760" w:rsidRPr="00891760" w:rsidRDefault="00891760" w:rsidP="00891760">
            <w:pPr>
              <w:spacing w:after="0" w:line="240" w:lineRule="auto"/>
              <w:rPr>
                <w:rFonts w:eastAsia="Times New Roman"/>
                <w:highlight w:val="green"/>
                <w:lang w:eastAsia="lv-LV"/>
              </w:rPr>
            </w:pPr>
          </w:p>
        </w:tc>
        <w:tc>
          <w:tcPr>
            <w:tcW w:w="2523" w:type="pct"/>
          </w:tcPr>
          <w:p w:rsidR="00094F41" w:rsidRDefault="00094F41" w:rsidP="00094F41">
            <w:pPr>
              <w:spacing w:after="0" w:line="240" w:lineRule="auto"/>
              <w:rPr>
                <w:b/>
                <w:spacing w:val="-2"/>
              </w:rPr>
            </w:pPr>
            <w:r>
              <w:rPr>
                <w:b/>
                <w:spacing w:val="-2"/>
              </w:rPr>
              <w:t>Nav pārņemts</w:t>
            </w:r>
          </w:p>
          <w:p w:rsidR="00094F41" w:rsidRPr="00094F41" w:rsidRDefault="00094F41" w:rsidP="00094F41">
            <w:pPr>
              <w:spacing w:after="0" w:line="240" w:lineRule="auto"/>
              <w:rPr>
                <w:spacing w:val="-2"/>
              </w:rPr>
            </w:pPr>
            <w:r w:rsidRPr="00094F41">
              <w:rPr>
                <w:spacing w:val="-2"/>
              </w:rPr>
              <w:t>Tiks pārņemts ar noteikumu projektu “Energoefektivitātes monitoringa noteikumi”</w:t>
            </w:r>
          </w:p>
          <w:p w:rsidR="00094F41" w:rsidRDefault="00094F41" w:rsidP="00094F41">
            <w:pPr>
              <w:spacing w:after="0" w:line="240" w:lineRule="auto"/>
              <w:rPr>
                <w:spacing w:val="-2"/>
              </w:rPr>
            </w:pPr>
          </w:p>
          <w:p w:rsidR="00891760" w:rsidRPr="00891760" w:rsidRDefault="00094F41" w:rsidP="00094F41">
            <w:pPr>
              <w:spacing w:after="0" w:line="240" w:lineRule="auto"/>
              <w:rPr>
                <w:b/>
                <w:spacing w:val="-2"/>
                <w:highlight w:val="green"/>
              </w:rPr>
            </w:pPr>
            <w:r w:rsidRPr="00094F41">
              <w:rPr>
                <w:spacing w:val="-2"/>
              </w:rPr>
              <w:t>Atbildīgā Ekonomikas ministrija</w:t>
            </w:r>
          </w:p>
        </w:tc>
        <w:tc>
          <w:tcPr>
            <w:tcW w:w="915" w:type="pct"/>
          </w:tcPr>
          <w:p w:rsidR="00891760" w:rsidRPr="00891760" w:rsidRDefault="00891760" w:rsidP="00891760">
            <w:pPr>
              <w:spacing w:after="0" w:line="240" w:lineRule="auto"/>
              <w:rPr>
                <w:spacing w:val="-2"/>
                <w:highlight w:val="green"/>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10. punkta h) apakšpunkts</w:t>
            </w:r>
          </w:p>
        </w:tc>
        <w:tc>
          <w:tcPr>
            <w:tcW w:w="714" w:type="pct"/>
          </w:tcPr>
          <w:p w:rsidR="00891760" w:rsidRPr="00891760" w:rsidRDefault="00891760" w:rsidP="00891760">
            <w:pPr>
              <w:spacing w:after="0" w:line="240" w:lineRule="auto"/>
              <w:rPr>
                <w:rFonts w:eastAsia="Times New Roman"/>
                <w:highlight w:val="green"/>
                <w:lang w:eastAsia="lv-LV"/>
              </w:rPr>
            </w:pPr>
          </w:p>
        </w:tc>
        <w:tc>
          <w:tcPr>
            <w:tcW w:w="2523" w:type="pct"/>
          </w:tcPr>
          <w:p w:rsidR="00094F41" w:rsidRDefault="00094F41" w:rsidP="00094F41">
            <w:pPr>
              <w:spacing w:after="0" w:line="240" w:lineRule="auto"/>
              <w:rPr>
                <w:b/>
                <w:spacing w:val="-2"/>
              </w:rPr>
            </w:pPr>
            <w:r>
              <w:rPr>
                <w:b/>
                <w:spacing w:val="-2"/>
              </w:rPr>
              <w:t>Nav pārņemts</w:t>
            </w:r>
          </w:p>
          <w:p w:rsidR="00094F41" w:rsidRPr="00094F41" w:rsidRDefault="00094F41" w:rsidP="00094F41">
            <w:pPr>
              <w:spacing w:after="0" w:line="240" w:lineRule="auto"/>
              <w:rPr>
                <w:spacing w:val="-2"/>
              </w:rPr>
            </w:pPr>
            <w:r w:rsidRPr="00094F41">
              <w:rPr>
                <w:spacing w:val="-2"/>
              </w:rPr>
              <w:t>Tiks pārņemts ar noteikumu projektu “Energoefektivitātes monitoringa noteikumi”</w:t>
            </w:r>
          </w:p>
          <w:p w:rsidR="00891760" w:rsidRPr="00891760" w:rsidRDefault="00094F41" w:rsidP="00094F41">
            <w:pPr>
              <w:spacing w:after="0" w:line="240" w:lineRule="auto"/>
              <w:rPr>
                <w:b/>
                <w:spacing w:val="-2"/>
                <w:highlight w:val="green"/>
              </w:rPr>
            </w:pPr>
            <w:r w:rsidRPr="00094F41">
              <w:rPr>
                <w:spacing w:val="-2"/>
              </w:rPr>
              <w:t>Atbildīgā Ekonomikas ministrija</w:t>
            </w:r>
          </w:p>
        </w:tc>
        <w:tc>
          <w:tcPr>
            <w:tcW w:w="915" w:type="pct"/>
          </w:tcPr>
          <w:p w:rsidR="00891760" w:rsidRPr="00891760" w:rsidRDefault="00891760" w:rsidP="00891760">
            <w:pPr>
              <w:spacing w:after="0" w:line="240" w:lineRule="auto"/>
              <w:rPr>
                <w:spacing w:val="-2"/>
                <w:highlight w:val="green"/>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891760">
            <w:pPr>
              <w:spacing w:after="0" w:line="240" w:lineRule="auto"/>
              <w:rPr>
                <w:highlight w:val="green"/>
              </w:rPr>
            </w:pPr>
            <w:r w:rsidRPr="00891760">
              <w:rPr>
                <w:rFonts w:eastAsia="Times New Roman"/>
                <w:lang w:eastAsia="lv-LV"/>
              </w:rPr>
              <w:t>10. punkta i) apakšpunkts</w:t>
            </w:r>
          </w:p>
        </w:tc>
        <w:tc>
          <w:tcPr>
            <w:tcW w:w="714" w:type="pct"/>
          </w:tcPr>
          <w:p w:rsidR="00891760" w:rsidRPr="00891760" w:rsidRDefault="00891760" w:rsidP="00891760">
            <w:pPr>
              <w:spacing w:after="0" w:line="240" w:lineRule="auto"/>
              <w:rPr>
                <w:rFonts w:eastAsia="Times New Roman"/>
                <w:highlight w:val="green"/>
                <w:lang w:eastAsia="lv-LV"/>
              </w:rPr>
            </w:pPr>
          </w:p>
        </w:tc>
        <w:tc>
          <w:tcPr>
            <w:tcW w:w="2523" w:type="pct"/>
          </w:tcPr>
          <w:p w:rsidR="00094F41" w:rsidRDefault="00094F41" w:rsidP="00094F41">
            <w:pPr>
              <w:spacing w:after="0" w:line="240" w:lineRule="auto"/>
              <w:rPr>
                <w:b/>
                <w:spacing w:val="-2"/>
              </w:rPr>
            </w:pPr>
            <w:r>
              <w:rPr>
                <w:b/>
                <w:spacing w:val="-2"/>
              </w:rPr>
              <w:t>Nav pārņemts</w:t>
            </w:r>
          </w:p>
          <w:p w:rsidR="00094F41" w:rsidRPr="00094F41" w:rsidRDefault="00094F41" w:rsidP="00094F41">
            <w:pPr>
              <w:spacing w:after="0" w:line="240" w:lineRule="auto"/>
              <w:rPr>
                <w:spacing w:val="-2"/>
              </w:rPr>
            </w:pPr>
            <w:r w:rsidRPr="00094F41">
              <w:rPr>
                <w:spacing w:val="-2"/>
              </w:rPr>
              <w:t>Tiks pārņemts ar noteikumu projektu “Energoefektivitātes monitoringa noteikumi”</w:t>
            </w:r>
          </w:p>
          <w:p w:rsidR="00094F41" w:rsidRDefault="00094F41" w:rsidP="00094F41">
            <w:pPr>
              <w:spacing w:after="0" w:line="240" w:lineRule="auto"/>
              <w:rPr>
                <w:spacing w:val="-2"/>
              </w:rPr>
            </w:pPr>
          </w:p>
          <w:p w:rsidR="00891760" w:rsidRPr="00891760" w:rsidRDefault="00094F41" w:rsidP="00094F41">
            <w:pPr>
              <w:spacing w:after="0" w:line="240" w:lineRule="auto"/>
              <w:rPr>
                <w:b/>
                <w:spacing w:val="-2"/>
                <w:highlight w:val="green"/>
              </w:rPr>
            </w:pPr>
            <w:r w:rsidRPr="00094F41">
              <w:rPr>
                <w:spacing w:val="-2"/>
              </w:rPr>
              <w:t>Atbildīgā Ekonomikas ministrija</w:t>
            </w:r>
          </w:p>
        </w:tc>
        <w:tc>
          <w:tcPr>
            <w:tcW w:w="915" w:type="pct"/>
          </w:tcPr>
          <w:p w:rsidR="00891760" w:rsidRPr="00891760" w:rsidRDefault="00891760" w:rsidP="00891760">
            <w:pPr>
              <w:spacing w:after="0" w:line="240" w:lineRule="auto"/>
              <w:rPr>
                <w:spacing w:val="-2"/>
                <w:highlight w:val="green"/>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891760">
            <w:pPr>
              <w:spacing w:after="0" w:line="240" w:lineRule="auto"/>
              <w:rPr>
                <w:highlight w:val="green"/>
              </w:rPr>
            </w:pPr>
            <w:r w:rsidRPr="00891760">
              <w:rPr>
                <w:rFonts w:eastAsia="Times New Roman"/>
                <w:lang w:eastAsia="lv-LV"/>
              </w:rPr>
              <w:t>10. punkta j) apakšpunkts</w:t>
            </w:r>
          </w:p>
        </w:tc>
        <w:tc>
          <w:tcPr>
            <w:tcW w:w="714" w:type="pct"/>
          </w:tcPr>
          <w:p w:rsidR="00891760" w:rsidRPr="00891760" w:rsidRDefault="00891760" w:rsidP="00891760">
            <w:pPr>
              <w:spacing w:after="0" w:line="240" w:lineRule="auto"/>
              <w:rPr>
                <w:rFonts w:eastAsia="Times New Roman"/>
                <w:highlight w:val="green"/>
                <w:lang w:eastAsia="lv-LV"/>
              </w:rPr>
            </w:pPr>
          </w:p>
        </w:tc>
        <w:tc>
          <w:tcPr>
            <w:tcW w:w="2523" w:type="pct"/>
          </w:tcPr>
          <w:p w:rsidR="00094F41" w:rsidRDefault="00094F41" w:rsidP="00094F41">
            <w:pPr>
              <w:spacing w:after="0" w:line="240" w:lineRule="auto"/>
              <w:rPr>
                <w:b/>
                <w:spacing w:val="-2"/>
              </w:rPr>
            </w:pPr>
            <w:r>
              <w:rPr>
                <w:b/>
                <w:spacing w:val="-2"/>
              </w:rPr>
              <w:t>Nav pārņemts</w:t>
            </w:r>
          </w:p>
          <w:p w:rsidR="00094F41" w:rsidRPr="00094F41" w:rsidRDefault="00094F41" w:rsidP="00094F41">
            <w:pPr>
              <w:spacing w:after="0" w:line="240" w:lineRule="auto"/>
              <w:rPr>
                <w:spacing w:val="-2"/>
              </w:rPr>
            </w:pPr>
            <w:r w:rsidRPr="00094F41">
              <w:rPr>
                <w:spacing w:val="-2"/>
              </w:rPr>
              <w:t>Tiks pārņemts ar noteikumu projektu “Energoefektivitātes monitoringa noteikumi”</w:t>
            </w:r>
          </w:p>
          <w:p w:rsidR="00094F41" w:rsidRDefault="00094F41" w:rsidP="00094F41">
            <w:pPr>
              <w:spacing w:after="0" w:line="240" w:lineRule="auto"/>
              <w:rPr>
                <w:spacing w:val="-2"/>
              </w:rPr>
            </w:pPr>
          </w:p>
          <w:p w:rsidR="00891760" w:rsidRPr="00891760" w:rsidRDefault="00094F41" w:rsidP="00094F41">
            <w:pPr>
              <w:spacing w:after="0" w:line="240" w:lineRule="auto"/>
              <w:rPr>
                <w:b/>
                <w:spacing w:val="-2"/>
                <w:highlight w:val="green"/>
              </w:rPr>
            </w:pPr>
            <w:r w:rsidRPr="00094F41">
              <w:rPr>
                <w:spacing w:val="-2"/>
              </w:rPr>
              <w:t>Atbildīgā Ekonomikas ministrija</w:t>
            </w:r>
          </w:p>
        </w:tc>
        <w:tc>
          <w:tcPr>
            <w:tcW w:w="915" w:type="pct"/>
          </w:tcPr>
          <w:p w:rsidR="00891760" w:rsidRPr="00891760" w:rsidRDefault="00891760" w:rsidP="00891760">
            <w:pPr>
              <w:spacing w:after="0" w:line="240" w:lineRule="auto"/>
              <w:rPr>
                <w:spacing w:val="-2"/>
                <w:highlight w:val="green"/>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7. panta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12. punkts</w:t>
            </w:r>
          </w:p>
          <w:p w:rsidR="00891760" w:rsidRPr="00891760" w:rsidRDefault="00891760" w:rsidP="00891760">
            <w:pPr>
              <w:spacing w:after="0" w:line="240" w:lineRule="auto"/>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094F41" w:rsidRDefault="00094F41" w:rsidP="00094F41">
            <w:pPr>
              <w:spacing w:after="0" w:line="240" w:lineRule="auto"/>
              <w:rPr>
                <w:b/>
                <w:spacing w:val="-2"/>
              </w:rPr>
            </w:pPr>
            <w:r>
              <w:rPr>
                <w:b/>
                <w:spacing w:val="-2"/>
              </w:rPr>
              <w:t>Nav pārņemts</w:t>
            </w:r>
          </w:p>
          <w:p w:rsidR="00094F41" w:rsidRPr="00094F41" w:rsidRDefault="00094F41" w:rsidP="00094F41">
            <w:pPr>
              <w:spacing w:after="0" w:line="240" w:lineRule="auto"/>
              <w:rPr>
                <w:spacing w:val="-2"/>
              </w:rPr>
            </w:pPr>
            <w:r w:rsidRPr="00094F41">
              <w:rPr>
                <w:spacing w:val="-2"/>
              </w:rPr>
              <w:t>Tiks pārņemts ar noteikumu projektu “Energoefektivitātes monitoringa noteikumi”</w:t>
            </w:r>
          </w:p>
          <w:p w:rsidR="00094F41" w:rsidRDefault="00094F41" w:rsidP="00094F41">
            <w:pPr>
              <w:spacing w:after="0" w:line="240" w:lineRule="auto"/>
              <w:rPr>
                <w:spacing w:val="-2"/>
              </w:rPr>
            </w:pPr>
          </w:p>
          <w:p w:rsidR="00891760" w:rsidRPr="00891760" w:rsidRDefault="00094F41" w:rsidP="00094F41">
            <w:pPr>
              <w:spacing w:after="0" w:line="240" w:lineRule="auto"/>
              <w:rPr>
                <w:rFonts w:eastAsia="Times New Roman"/>
                <w:b/>
                <w:lang w:eastAsia="lv-LV"/>
              </w:rPr>
            </w:pPr>
            <w:r w:rsidRPr="00094F41">
              <w:rPr>
                <w:spacing w:val="-2"/>
              </w:rPr>
              <w:t>Atbildīgā Ekonomikas ministrija</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8. panta </w:t>
            </w:r>
            <w:r w:rsidRPr="00891760">
              <w:rPr>
                <w:rFonts w:eastAsia="Times New Roman"/>
                <w:lang w:eastAsia="lv-LV"/>
              </w:rPr>
              <w:lastRenderedPageBreak/>
              <w:t>1. punkta pirmās daļas a) apakšpunkts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arī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Ministru kabineta 2013. gada 18. jūlija noteikumu </w:t>
            </w:r>
            <w:r w:rsidRPr="00891760">
              <w:rPr>
                <w:rFonts w:eastAsia="Times New Roman"/>
                <w:lang w:eastAsia="lv-LV"/>
              </w:rPr>
              <w:lastRenderedPageBreak/>
              <w:t>Nr. 382 „Noteikumi par neatkarīgiem ekspertiem ēku energoefektivitātes jomā” 2.1.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Ministru kabineta 2013. gada 9. jūlija noteikumu Nr. 383 „Noteikumi par ēku </w:t>
            </w:r>
            <w:proofErr w:type="spellStart"/>
            <w:r w:rsidRPr="00891760">
              <w:rPr>
                <w:rFonts w:eastAsia="Times New Roman"/>
                <w:lang w:eastAsia="lv-LV"/>
              </w:rPr>
              <w:t>energosertifikāciju</w:t>
            </w:r>
            <w:proofErr w:type="spellEnd"/>
            <w:r w:rsidRPr="00891760">
              <w:rPr>
                <w:rFonts w:eastAsia="Times New Roman"/>
                <w:lang w:eastAsia="lv-LV"/>
              </w:rPr>
              <w:t>” 7.4. punkts un 3. pielikums;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3) Ministru kabineta noteikumu projekta “Uzņēmumu </w:t>
            </w:r>
            <w:proofErr w:type="spellStart"/>
            <w:r w:rsidRPr="00891760">
              <w:rPr>
                <w:rFonts w:eastAsia="Times New Roman"/>
                <w:lang w:eastAsia="lv-LV"/>
              </w:rPr>
              <w:t>energoaudita</w:t>
            </w:r>
            <w:proofErr w:type="spellEnd"/>
            <w:r w:rsidRPr="00891760">
              <w:rPr>
                <w:rFonts w:eastAsia="Times New Roman"/>
                <w:lang w:eastAsia="lv-LV"/>
              </w:rPr>
              <w:t xml:space="preserve"> noteikumi” II. nodaļa.</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8. panta 1. punkta pirmās daļas b)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lang w:eastAsia="lv-LV"/>
              </w:rPr>
              <w:t>Latvija nav izvēlējusies iespēju ieviest Direktīvas 2012/27/ES 8. panta 1. punkta b) apakšpunkta prasības, jo ir izvēlējusies Direktīvas 2012/27/ES 8. panta 1. punkta a) apakšpunkta iespējas.</w:t>
            </w:r>
          </w:p>
        </w:tc>
        <w:tc>
          <w:tcPr>
            <w:tcW w:w="915" w:type="pct"/>
          </w:tcPr>
          <w:p w:rsidR="00891760" w:rsidRPr="00891760" w:rsidRDefault="00891760" w:rsidP="00891760">
            <w:pPr>
              <w:spacing w:after="0" w:line="240" w:lineRule="auto"/>
              <w:rPr>
                <w:spacing w:val="-2"/>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1. punkta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t xml:space="preserve">Tā kā </w:t>
            </w:r>
            <w:r w:rsidRPr="00891760">
              <w:rPr>
                <w:rFonts w:eastAsia="Times New Roman"/>
                <w:lang w:eastAsia="lv-LV"/>
              </w:rPr>
              <w:t>Latvija nav izvēlējusies iespēju ieviest Direktīvas 2012/27/ES 8. panta 1. punkta b) apakšpunkta prasības, tad tai nav saistošas 8. panta 1. punkta otrās daļas prasības.</w:t>
            </w:r>
          </w:p>
        </w:tc>
        <w:tc>
          <w:tcPr>
            <w:tcW w:w="915" w:type="pct"/>
          </w:tcPr>
          <w:p w:rsidR="00891760" w:rsidRPr="00891760" w:rsidRDefault="00891760" w:rsidP="00891760">
            <w:pPr>
              <w:spacing w:after="0" w:line="240" w:lineRule="auto"/>
              <w:rPr>
                <w:spacing w:val="-2"/>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1. punkta trešā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9. panta pirmā un otrā daļa</w:t>
            </w:r>
          </w:p>
          <w:p w:rsidR="00891760" w:rsidRPr="00891760" w:rsidRDefault="00891760" w:rsidP="00891760">
            <w:pPr>
              <w:spacing w:after="0" w:line="240" w:lineRule="auto"/>
            </w:pPr>
            <w:r w:rsidRPr="00891760">
              <w:t>2)</w:t>
            </w:r>
            <w:r w:rsidRPr="00891760">
              <w:rPr>
                <w:bCs/>
              </w:rPr>
              <w:t xml:space="preserve"> Ministru kabineta 2013. gada 25. jūnija noteikumu Nr. 348</w:t>
            </w:r>
            <w:r w:rsidRPr="00891760">
              <w:t xml:space="preserve"> “Ēkas energoefektivitātes aprēķina metode” 5.1. apakšnodaļu;</w:t>
            </w:r>
          </w:p>
          <w:p w:rsidR="00891760" w:rsidRPr="00891760" w:rsidRDefault="00891760" w:rsidP="00891760">
            <w:pPr>
              <w:spacing w:after="0" w:line="240" w:lineRule="auto"/>
              <w:rPr>
                <w:spacing w:val="-2"/>
              </w:rPr>
            </w:pPr>
            <w:r w:rsidRPr="00891760">
              <w:t>3)</w:t>
            </w:r>
            <w:r w:rsidRPr="00891760">
              <w:rPr>
                <w:bCs/>
              </w:rPr>
              <w:t xml:space="preserve"> Ministru kabineta 2013. gada 9. jūlija noteikumu Nr. 383</w:t>
            </w:r>
            <w:r w:rsidRPr="00891760">
              <w:t xml:space="preserve"> “Noteikumi par ēku </w:t>
            </w:r>
            <w:proofErr w:type="spellStart"/>
            <w:r w:rsidRPr="00891760">
              <w:t>energosertifikāciju</w:t>
            </w:r>
            <w:proofErr w:type="spellEnd"/>
            <w:r w:rsidRPr="00891760">
              <w:t>” 7.4. punkts un 3</w:t>
            </w:r>
            <w:r w:rsidRPr="00891760">
              <w:rPr>
                <w:spacing w:val="-2"/>
              </w:rPr>
              <w:t>. pielikums;</w:t>
            </w:r>
          </w:p>
          <w:p w:rsidR="00891760" w:rsidRPr="00891760" w:rsidRDefault="00891760" w:rsidP="00891760">
            <w:pPr>
              <w:spacing w:after="0" w:line="240" w:lineRule="auto"/>
              <w:rPr>
                <w:rFonts w:eastAsia="Times New Roman"/>
                <w:vertAlign w:val="superscript"/>
                <w:lang w:eastAsia="lv-LV"/>
              </w:rPr>
            </w:pPr>
            <w:r w:rsidRPr="00891760">
              <w:t>4)</w:t>
            </w:r>
            <w:r w:rsidRPr="00891760">
              <w:rPr>
                <w:rFonts w:eastAsia="Times New Roman"/>
                <w:lang w:eastAsia="lv-LV"/>
              </w:rPr>
              <w:t xml:space="preserve"> Ekonomikas ministrijas publicētie “</w:t>
            </w:r>
            <w:r w:rsidRPr="00891760">
              <w:t>Ieteikumi obligāto energoauditu veikšanai lielajiem uzņēmumiem”</w:t>
            </w:r>
            <w:r w:rsidRPr="00891760">
              <w:rPr>
                <w:vertAlign w:val="superscript"/>
              </w:rPr>
              <w:footnoteReference w:id="12"/>
            </w:r>
            <w:r w:rsidRPr="00891760">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1. punkta ceturtā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u w:val="single"/>
                <w:lang w:eastAsia="lv-LV"/>
              </w:rPr>
            </w:pPr>
            <w:r w:rsidRPr="00891760">
              <w:rPr>
                <w:rFonts w:eastAsia="Times New Roman"/>
                <w:b/>
                <w:lang w:eastAsia="lv-LV"/>
              </w:rPr>
              <w:t>Pārņemts pilnībā</w:t>
            </w:r>
            <w:r w:rsidRPr="00891760">
              <w:rPr>
                <w:rFonts w:eastAsia="Times New Roman"/>
                <w:u w:val="single"/>
                <w:lang w:eastAsia="lv-LV"/>
              </w:rPr>
              <w:t xml:space="preserve">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 Energoefektivitātes likuma 9. panta ceturto daļu.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2.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1) Latvijā ir izstrādāts un tiek ieviests Klimata pārmaiņu finanšu instrumenta finansēto projektu atklātais konkurss “Kompleksi risinājumi siltumnīcefekta gāzu emisiju samazināšanai ražošanas ēkās”</w:t>
            </w:r>
            <w:r w:rsidRPr="00891760">
              <w:rPr>
                <w:rFonts w:eastAsia="Times New Roman"/>
                <w:vertAlign w:val="superscript"/>
                <w:lang w:eastAsia="lv-LV"/>
              </w:rPr>
              <w:footnoteReference w:id="13"/>
            </w:r>
            <w:r w:rsidRPr="00891760">
              <w:rPr>
                <w:rFonts w:eastAsia="Times New Roman"/>
                <w:lang w:eastAsia="lv-LV"/>
              </w:rPr>
              <w:t xml:space="preserve">, tā ietvaros iespējams saņemt atbalstu arī </w:t>
            </w:r>
            <w:proofErr w:type="spellStart"/>
            <w:r w:rsidRPr="00891760">
              <w:rPr>
                <w:rFonts w:eastAsia="Times New Roman"/>
                <w:lang w:eastAsia="lv-LV"/>
              </w:rPr>
              <w:t>energoaudita</w:t>
            </w:r>
            <w:proofErr w:type="spellEnd"/>
            <w:r w:rsidRPr="00891760">
              <w:rPr>
                <w:rFonts w:eastAsia="Times New Roman"/>
                <w:lang w:eastAsia="lv-LV"/>
              </w:rPr>
              <w:t xml:space="preserve"> veikšanai;</w:t>
            </w:r>
          </w:p>
          <w:p w:rsidR="00891760" w:rsidRPr="00891760" w:rsidRDefault="00891760" w:rsidP="00891760">
            <w:pPr>
              <w:spacing w:after="0" w:line="240" w:lineRule="auto"/>
              <w:rPr>
                <w:rFonts w:eastAsia="Times New Roman"/>
                <w:b/>
              </w:rPr>
            </w:pPr>
            <w:r w:rsidRPr="00891760">
              <w:rPr>
                <w:rFonts w:eastAsia="Times New Roman"/>
                <w:lang w:eastAsia="lv-LV"/>
              </w:rPr>
              <w:t>2) „Nacionālās industriālās politikas pamatnostādnes 2014.-2020. gadam”</w:t>
            </w:r>
            <w:r w:rsidRPr="00891760">
              <w:rPr>
                <w:rFonts w:eastAsia="Times New Roman"/>
                <w:vertAlign w:val="superscript"/>
                <w:lang w:eastAsia="lv-LV"/>
              </w:rPr>
              <w:footnoteReference w:id="14"/>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rPr>
          <w:trHeight w:val="1161"/>
        </w:trPr>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8. panta 3. punkta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6. pantu.</w:t>
            </w:r>
          </w:p>
          <w:p w:rsidR="00891760" w:rsidRPr="00891760" w:rsidRDefault="00891760" w:rsidP="00891760">
            <w:pPr>
              <w:spacing w:after="0" w:line="240" w:lineRule="auto"/>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3. punkta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Prasības pārņemtas ar: </w:t>
            </w:r>
          </w:p>
          <w:p w:rsidR="00891760" w:rsidRPr="00891760" w:rsidRDefault="00891760" w:rsidP="00891760">
            <w:pPr>
              <w:spacing w:after="0" w:line="240" w:lineRule="auto"/>
              <w:jc w:val="both"/>
              <w:rPr>
                <w:rFonts w:eastAsia="Times New Roman"/>
                <w:lang w:eastAsia="lv-LV"/>
              </w:rPr>
            </w:pPr>
            <w:r w:rsidRPr="00891760">
              <w:rPr>
                <w:rFonts w:eastAsia="Times New Roman"/>
                <w:bCs/>
                <w:lang w:eastAsia="lv-LV"/>
              </w:rPr>
              <w:t>1) Ministru kabineta 2013. gada 9. jūlija</w:t>
            </w:r>
            <w:r w:rsidRPr="00891760">
              <w:rPr>
                <w:rFonts w:eastAsia="Times New Roman"/>
                <w:lang w:eastAsia="lv-LV"/>
              </w:rPr>
              <w:t xml:space="preserve"> </w:t>
            </w:r>
            <w:r w:rsidRPr="00891760">
              <w:rPr>
                <w:rFonts w:eastAsia="Times New Roman"/>
                <w:bCs/>
                <w:lang w:eastAsia="lv-LV"/>
              </w:rPr>
              <w:t>noteikumu Nr. 382</w:t>
            </w:r>
            <w:r w:rsidRPr="00891760">
              <w:rPr>
                <w:rFonts w:eastAsia="Times New Roman"/>
                <w:lang w:eastAsia="lv-LV"/>
              </w:rPr>
              <w:t xml:space="preserve"> „Noteikumi par neatkarīgiem ekspertiem ēku energoefektivitātes jomā” 2., 3. 10. un 11. punkts.</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2) </w:t>
            </w:r>
            <w:r w:rsidRPr="00891760">
              <w:rPr>
                <w:rFonts w:eastAsia="Times New Roman"/>
                <w:u w:val="single"/>
                <w:lang w:eastAsia="lv-LV"/>
              </w:rPr>
              <w:t>Studiju programmas</w:t>
            </w:r>
            <w:r w:rsidRPr="00891760">
              <w:rPr>
                <w:rFonts w:eastAsia="Times New Roman"/>
                <w:lang w:eastAsia="lv-LV"/>
              </w:rPr>
              <w:t xml:space="preserve">, kas veicina </w:t>
            </w:r>
            <w:proofErr w:type="spellStart"/>
            <w:r w:rsidRPr="00891760">
              <w:rPr>
                <w:rFonts w:eastAsia="Times New Roman"/>
                <w:lang w:eastAsia="lv-LV"/>
              </w:rPr>
              <w:t>energoauditoru</w:t>
            </w:r>
            <w:proofErr w:type="spellEnd"/>
            <w:r w:rsidRPr="00891760">
              <w:rPr>
                <w:rFonts w:eastAsia="Times New Roman"/>
                <w:lang w:eastAsia="lv-LV"/>
              </w:rPr>
              <w:t xml:space="preserve"> un neatkarīgo ekspertu kvalifikāciju:</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 Rīgas tehniskā Universitāte: Enerģētika un elektrotehnika</w:t>
            </w:r>
            <w:r w:rsidRPr="00891760">
              <w:rPr>
                <w:rFonts w:eastAsia="Times New Roman"/>
                <w:vertAlign w:val="superscript"/>
                <w:lang w:eastAsia="lv-LV"/>
              </w:rPr>
              <w:footnoteReference w:id="15"/>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Siltumenerģētika un siltumtehnika</w:t>
            </w:r>
            <w:r w:rsidRPr="00891760">
              <w:rPr>
                <w:rFonts w:eastAsia="Times New Roman"/>
                <w:vertAlign w:val="superscript"/>
                <w:lang w:eastAsia="lv-LV"/>
              </w:rPr>
              <w:footnoteReference w:id="16"/>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Vides zinātne</w:t>
            </w:r>
            <w:r w:rsidRPr="00891760">
              <w:rPr>
                <w:rFonts w:eastAsia="Times New Roman"/>
                <w:vertAlign w:val="superscript"/>
                <w:lang w:eastAsia="lv-LV"/>
              </w:rPr>
              <w:footnoteReference w:id="17"/>
            </w:r>
            <w:r w:rsidRPr="00891760">
              <w:rPr>
                <w:rFonts w:eastAsia="Times New Roman"/>
                <w:lang w:eastAsia="lv-LV"/>
              </w:rPr>
              <w:t>;</w:t>
            </w:r>
          </w:p>
          <w:p w:rsidR="00891760" w:rsidRPr="00891760" w:rsidRDefault="00891760" w:rsidP="00891760">
            <w:pPr>
              <w:spacing w:after="0" w:line="240" w:lineRule="auto"/>
              <w:jc w:val="both"/>
            </w:pPr>
            <w:r w:rsidRPr="00891760">
              <w:rPr>
                <w:rFonts w:eastAsia="Times New Roman"/>
                <w:lang w:eastAsia="lv-LV"/>
              </w:rPr>
              <w:t>Rīgas tehniskā koledža: Siltumenerģētika</w:t>
            </w:r>
            <w:r w:rsidRPr="00891760">
              <w:rPr>
                <w:rFonts w:eastAsia="Times New Roman"/>
                <w:vertAlign w:val="superscript"/>
                <w:lang w:eastAsia="lv-LV"/>
              </w:rPr>
              <w:footnoteReference w:id="18"/>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Liepājas universitāte: Vides un atjaunojamo energoresursu pārvaldība un inženierija</w:t>
            </w:r>
            <w:r w:rsidRPr="00891760">
              <w:rPr>
                <w:rFonts w:eastAsia="Times New Roman"/>
                <w:vertAlign w:val="superscript"/>
                <w:lang w:eastAsia="lv-LV"/>
              </w:rPr>
              <w:footnoteReference w:id="19"/>
            </w:r>
            <w:r w:rsidRPr="00891760">
              <w:rPr>
                <w:rFonts w:eastAsia="Times New Roman"/>
                <w:lang w:eastAsia="lv-LV"/>
              </w:rPr>
              <w:t xml:space="preserve">, </w:t>
            </w:r>
            <w:proofErr w:type="spellStart"/>
            <w:r w:rsidRPr="00891760">
              <w:rPr>
                <w:rFonts w:eastAsia="Times New Roman"/>
                <w:lang w:eastAsia="lv-LV"/>
              </w:rPr>
              <w:t>Ekotehnoloģijas</w:t>
            </w:r>
            <w:proofErr w:type="spellEnd"/>
            <w:r w:rsidRPr="00891760">
              <w:rPr>
                <w:rFonts w:eastAsia="Times New Roman"/>
                <w:vertAlign w:val="superscript"/>
                <w:lang w:eastAsia="lv-LV"/>
              </w:rPr>
              <w:footnoteReference w:id="20"/>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proofErr w:type="spellStart"/>
            <w:r w:rsidRPr="00891760">
              <w:rPr>
                <w:rFonts w:eastAsia="Times New Roman"/>
                <w:u w:val="single"/>
                <w:lang w:eastAsia="lv-LV"/>
              </w:rPr>
              <w:t>Energoauditoru</w:t>
            </w:r>
            <w:proofErr w:type="spellEnd"/>
            <w:r w:rsidRPr="00891760">
              <w:rPr>
                <w:rFonts w:eastAsia="Times New Roman"/>
                <w:u w:val="single"/>
                <w:lang w:eastAsia="lv-LV"/>
              </w:rPr>
              <w:t xml:space="preserve"> kursi</w:t>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ABC mācību un konsultāciju centrs</w:t>
            </w:r>
            <w:r w:rsidRPr="00891760">
              <w:rPr>
                <w:rFonts w:eastAsia="Times New Roman"/>
                <w:vertAlign w:val="superscript"/>
                <w:lang w:eastAsia="lv-LV"/>
              </w:rPr>
              <w:footnoteReference w:id="21"/>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AS </w:t>
            </w:r>
            <w:proofErr w:type="spellStart"/>
            <w:r w:rsidRPr="00891760">
              <w:rPr>
                <w:rFonts w:eastAsia="Times New Roman"/>
                <w:lang w:eastAsia="lv-LV"/>
              </w:rPr>
              <w:t>Inspecta</w:t>
            </w:r>
            <w:proofErr w:type="spellEnd"/>
            <w:r w:rsidRPr="00891760">
              <w:rPr>
                <w:rFonts w:eastAsia="Times New Roman"/>
                <w:lang w:eastAsia="lv-LV"/>
              </w:rPr>
              <w:t xml:space="preserve"> </w:t>
            </w:r>
            <w:proofErr w:type="spellStart"/>
            <w:r w:rsidRPr="00891760">
              <w:rPr>
                <w:rFonts w:eastAsia="Times New Roman"/>
                <w:lang w:eastAsia="lv-LV"/>
              </w:rPr>
              <w:t>Latvia</w:t>
            </w:r>
            <w:proofErr w:type="spellEnd"/>
            <w:r w:rsidRPr="00891760">
              <w:rPr>
                <w:rFonts w:eastAsia="Times New Roman"/>
                <w:vertAlign w:val="superscript"/>
                <w:lang w:eastAsia="lv-LV"/>
              </w:rPr>
              <w:footnoteReference w:id="22"/>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SIA “</w:t>
            </w:r>
            <w:proofErr w:type="spellStart"/>
            <w:r w:rsidRPr="00891760">
              <w:rPr>
                <w:rFonts w:eastAsia="Times New Roman"/>
                <w:lang w:eastAsia="lv-LV"/>
              </w:rPr>
              <w:t>Ekodoma</w:t>
            </w:r>
            <w:proofErr w:type="spellEnd"/>
            <w:r w:rsidRPr="00891760">
              <w:rPr>
                <w:rFonts w:eastAsia="Times New Roman"/>
                <w:lang w:eastAsia="lv-LV"/>
              </w:rPr>
              <w:t>”</w:t>
            </w:r>
            <w:r w:rsidRPr="00891760">
              <w:rPr>
                <w:rFonts w:eastAsia="Times New Roman"/>
                <w:vertAlign w:val="superscript"/>
                <w:lang w:eastAsia="lv-LV"/>
              </w:rPr>
              <w:footnoteReference w:id="23"/>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SIA “</w:t>
            </w:r>
            <w:proofErr w:type="spellStart"/>
            <w:r w:rsidRPr="00891760">
              <w:rPr>
                <w:rFonts w:eastAsia="Times New Roman"/>
                <w:lang w:eastAsia="lv-LV"/>
              </w:rPr>
              <w:t>Energocentrāle</w:t>
            </w:r>
            <w:proofErr w:type="spellEnd"/>
            <w:r w:rsidRPr="00891760">
              <w:rPr>
                <w:rFonts w:eastAsia="Times New Roman"/>
                <w:lang w:eastAsia="lv-LV"/>
              </w:rPr>
              <w:t>”</w:t>
            </w:r>
            <w:r w:rsidRPr="00891760">
              <w:rPr>
                <w:rFonts w:eastAsia="Times New Roman"/>
                <w:vertAlign w:val="superscript"/>
                <w:lang w:eastAsia="lv-LV"/>
              </w:rPr>
              <w:footnoteReference w:id="24"/>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Prasības pārņemtas</w:t>
            </w:r>
            <w:r w:rsidRPr="00891760">
              <w:rPr>
                <w:rFonts w:eastAsia="Times New Roman"/>
                <w:b/>
                <w:lang w:eastAsia="lv-LV"/>
              </w:rPr>
              <w:t xml:space="preserve"> </w:t>
            </w:r>
            <w:r w:rsidRPr="00891760">
              <w:rPr>
                <w:rFonts w:eastAsia="Times New Roman"/>
                <w:lang w:eastAsia="lv-LV"/>
              </w:rPr>
              <w:t xml:space="preserve">ar: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likuma10.panta piekto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Ministru kabineta noteikumu projekta “Uzņēmumu </w:t>
            </w:r>
            <w:proofErr w:type="spellStart"/>
            <w:r w:rsidRPr="00891760">
              <w:rPr>
                <w:rFonts w:eastAsia="Times New Roman"/>
                <w:lang w:eastAsia="lv-LV"/>
              </w:rPr>
              <w:t>energoaudita</w:t>
            </w:r>
            <w:proofErr w:type="spellEnd"/>
            <w:r w:rsidRPr="00891760">
              <w:rPr>
                <w:rFonts w:eastAsia="Times New Roman"/>
                <w:lang w:eastAsia="lv-LV"/>
              </w:rPr>
              <w:t xml:space="preserve"> noteikumi” II. nodaļu.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5.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jc w:val="both"/>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Prasības pārņemtas ar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9. panta otro daļu un 14. panta otro un ceturto daļu.</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2) Ekonomikas ministrijas publicētie „Ieteikumi obligāto energoauditu veikšanai lielajiem uzņēmumiem”</w:t>
            </w:r>
            <w:r w:rsidRPr="00891760">
              <w:rPr>
                <w:vertAlign w:val="superscript"/>
              </w:rPr>
              <w:footnoteReference w:id="25"/>
            </w:r>
            <w:r w:rsidRPr="00891760">
              <w:rPr>
                <w:rFonts w:eastAsia="Times New Roman"/>
                <w:lang w:eastAsia="lv-LV"/>
              </w:rPr>
              <w:t>;</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3) Ministru kabineta 2013. gada 9. jūlija noteikumi Nr. 382 “Noteikumi par neatkarīgiem ekspertiem ēku </w:t>
            </w:r>
            <w:r w:rsidRPr="00891760">
              <w:rPr>
                <w:rFonts w:eastAsia="Times New Roman"/>
                <w:lang w:eastAsia="lv-LV"/>
              </w:rPr>
              <w:lastRenderedPageBreak/>
              <w:t>energoefektivitātes jomā”;</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4) Ministru kabineta 2013. gada 25. jūnija noteikumi Nr. 348 “Ēkas energoefektivitātes aprēķina metode”;</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5) Ministru kabineta noteikumu projekta “Uzņēmumu </w:t>
            </w:r>
            <w:proofErr w:type="spellStart"/>
            <w:r w:rsidRPr="00891760">
              <w:rPr>
                <w:rFonts w:eastAsia="Times New Roman"/>
                <w:lang w:eastAsia="lv-LV"/>
              </w:rPr>
              <w:t>energoaudita</w:t>
            </w:r>
            <w:proofErr w:type="spellEnd"/>
            <w:r w:rsidRPr="00891760">
              <w:rPr>
                <w:rFonts w:eastAsia="Times New Roman"/>
                <w:lang w:eastAsia="lv-LV"/>
              </w:rPr>
              <w:t xml:space="preserve"> noteikumi” III. nodaļa.</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8.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arī ar Energoefektivitātes likuma 10. panta sesto daļu.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7. punkta pirmā daļa</w:t>
            </w:r>
          </w:p>
        </w:tc>
        <w:tc>
          <w:tcPr>
            <w:tcW w:w="714"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 </w:t>
            </w: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Energoefektivitātes likuma 9. pantu.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8. panta 7. punkta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Prasības pārņemtas ar Energoefektivitātes likuma 6. panta otro daļu un 8. panta otro daļu</w:t>
            </w:r>
          </w:p>
          <w:p w:rsidR="00891760" w:rsidRPr="00891760" w:rsidRDefault="00891760" w:rsidP="00891760">
            <w:pPr>
              <w:spacing w:after="0" w:line="240" w:lineRule="auto"/>
              <w:rPr>
                <w:color w:val="000000"/>
              </w:rPr>
            </w:pP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9.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color w:val="000000"/>
                <w:lang w:eastAsia="lv-LV"/>
              </w:rPr>
            </w:pPr>
            <w:r w:rsidRPr="00891760">
              <w:rPr>
                <w:rFonts w:eastAsia="Times New Roman"/>
                <w:color w:val="000000"/>
                <w:lang w:eastAsia="lv-LV"/>
              </w:rPr>
              <w:t>1) Ministru kabineta 2016. gada 9. februāra noteikumu Nr. 85 “Dabasgāzes piegādes un lietošanas noteikumi” 39. un 45. punkts;</w:t>
            </w:r>
          </w:p>
          <w:p w:rsidR="00891760" w:rsidRPr="00891760" w:rsidRDefault="00891760" w:rsidP="00891760">
            <w:pPr>
              <w:spacing w:after="0" w:line="240" w:lineRule="auto"/>
              <w:rPr>
                <w:rFonts w:eastAsia="Times New Roman"/>
                <w:color w:val="000000"/>
                <w:lang w:eastAsia="lv-LV"/>
              </w:rPr>
            </w:pPr>
            <w:r w:rsidRPr="00891760">
              <w:rPr>
                <w:rFonts w:eastAsia="Times New Roman"/>
                <w:color w:val="000000"/>
                <w:lang w:eastAsia="lv-LV"/>
              </w:rPr>
              <w:t>2) Ministru kabineta 2008. gada 21. oktobra noteikumu Nr. 876 „Siltumenerģijas piegādes un lietošanas noteikumi” 8. un 15. punkts;</w:t>
            </w:r>
          </w:p>
          <w:p w:rsidR="00891760" w:rsidRPr="00891760" w:rsidRDefault="00891760" w:rsidP="00891760">
            <w:pPr>
              <w:spacing w:after="0" w:line="240" w:lineRule="auto"/>
              <w:rPr>
                <w:rFonts w:eastAsia="Times New Roman"/>
                <w:color w:val="000000"/>
                <w:lang w:eastAsia="lv-LV"/>
              </w:rPr>
            </w:pPr>
            <w:r w:rsidRPr="00891760">
              <w:rPr>
                <w:rFonts w:eastAsia="Times New Roman"/>
                <w:color w:val="000000"/>
                <w:lang w:eastAsia="lv-LV"/>
              </w:rPr>
              <w:t>3) Ministru kabineta 2014. gada 21. janvāra noteikumu Nr. 50 „Elektroenerģijas tirdzniecības un lietošanas noteikumi” 4., 6. un 7. punkts;</w:t>
            </w:r>
          </w:p>
          <w:p w:rsidR="00891760" w:rsidRPr="00891760" w:rsidRDefault="00891760" w:rsidP="00891760">
            <w:pPr>
              <w:spacing w:after="0" w:line="240" w:lineRule="auto"/>
              <w:rPr>
                <w:rFonts w:eastAsia="Times New Roman"/>
                <w:color w:val="000000"/>
                <w:lang w:eastAsia="lv-LV"/>
              </w:rPr>
            </w:pPr>
            <w:r w:rsidRPr="00891760">
              <w:rPr>
                <w:rFonts w:eastAsia="Times New Roman"/>
                <w:color w:val="000000"/>
                <w:lang w:eastAsia="lv-LV"/>
              </w:rPr>
              <w:t>4) Ministru kabineta 2008. gada 9. decembra noteikumu Nr. 1013 „Kārtība, kādā dzīvokļa īpašnieks daudzdzīvokļu dzīvojamā mājā norēķinās par pakalpojumiem, kas saistīti ar dzīvokļa īpašuma lietošanu” 14. punkts;</w:t>
            </w:r>
          </w:p>
          <w:p w:rsidR="00891760" w:rsidRPr="00891760" w:rsidRDefault="00891760" w:rsidP="00891760">
            <w:pPr>
              <w:spacing w:after="0" w:line="240" w:lineRule="auto"/>
              <w:rPr>
                <w:rFonts w:eastAsia="Times New Roman"/>
                <w:highlight w:val="cyan"/>
                <w:lang w:eastAsia="lv-LV"/>
              </w:rPr>
            </w:pPr>
            <w:r w:rsidRPr="00891760">
              <w:rPr>
                <w:rFonts w:eastAsia="Times New Roman"/>
                <w:color w:val="000000"/>
                <w:lang w:eastAsia="lv-LV"/>
              </w:rPr>
              <w:t>5) Ministru kabineta 2015. gada 30. jūnija noteikumu Nr. 138 „Latvijas būvnormatīvs LBN 221-98 “Ēku iekšējais ūdensvads un kanalizācija” 138. un 139.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9. panta 2. punkta a) un b) apakšpunkti</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color w:val="000000"/>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noteikumiem Nr. 85 “Dabasgāzes piegādes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2008. gada 21. oktobra noteikumiem Nr. 876 „Siltumenerģijas piegādes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Ministru kabineta 2014. gada 21. janvāra noteikumiem Nr. 50 „Elektroenerģijas tirdzniecības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4) Ministru kabineta 2008. gada 9. decembra noteikumiem Nr. 1013 „Kārtība, kādā dzīvokļa īpašnieks daudzdzīvokļu dzīvojamā mājā norēķinās </w:t>
            </w:r>
            <w:r w:rsidRPr="00891760">
              <w:rPr>
                <w:rFonts w:eastAsia="Times New Roman"/>
                <w:lang w:eastAsia="lv-LV"/>
              </w:rPr>
              <w:lastRenderedPageBreak/>
              <w:t>par pakalpojumiem, kas saistīti ar dzīvokļa īpašuma lietošanu”;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5) </w:t>
            </w:r>
            <w:r w:rsidRPr="00891760">
              <w:rPr>
                <w:rFonts w:eastAsia="Times New Roman"/>
                <w:color w:val="000000"/>
                <w:lang w:eastAsia="lv-LV"/>
              </w:rPr>
              <w:t>Ministru kabineta 2015. gada 30. jūnija noteikumiem Nr. 138 „Latvijas būvnormatīvs LBN 221-98 “Ēku iekšējais ūdensvads un kanalizācija”;</w:t>
            </w:r>
          </w:p>
          <w:p w:rsidR="00891760" w:rsidRPr="00891760" w:rsidRDefault="00891760" w:rsidP="00891760">
            <w:pPr>
              <w:spacing w:after="0" w:line="240" w:lineRule="auto"/>
            </w:pPr>
            <w:r w:rsidRPr="00891760">
              <w:rPr>
                <w:rFonts w:eastAsia="Times New Roman"/>
                <w:lang w:eastAsia="lv-LV"/>
              </w:rPr>
              <w:t>6) Energoefektivitātes likuma 16. pantu.</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9. panta 2. punkta c)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Prasības pārņemtas</w:t>
            </w:r>
            <w:r w:rsidRPr="00891760">
              <w:rPr>
                <w:rFonts w:eastAsia="Times New Roman"/>
                <w:b/>
                <w:lang w:eastAsia="lv-LV"/>
              </w:rPr>
              <w:t xml:space="preserve"> </w:t>
            </w:r>
            <w:r w:rsidRPr="00891760">
              <w:rPr>
                <w:rFonts w:eastAsia="Times New Roman"/>
                <w:lang w:eastAsia="lv-LV"/>
              </w:rPr>
              <w:t>ar</w:t>
            </w:r>
            <w:r w:rsidRPr="00891760">
              <w:rPr>
                <w:rFonts w:eastAsia="Times New Roman"/>
                <w:b/>
                <w:lang w:eastAsia="lv-LV"/>
              </w:rPr>
              <w:t xml:space="preserve"> </w:t>
            </w:r>
            <w:r w:rsidRPr="00891760">
              <w:rPr>
                <w:rFonts w:eastAsia="Times New Roman"/>
                <w:lang w:eastAsia="lv-LV"/>
              </w:rPr>
              <w:t>Ministru kabineta 2014. gada 21. janvāra noteikumu Nr. 50 „Elektroenerģijas tirdzniecības un lietošanas noteikumi” III nodaļu.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9. panta 2. punkta d)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bCs/>
                <w:lang w:eastAsia="lv-LV"/>
              </w:rPr>
              <w:t xml:space="preserve">Ministru kabineta </w:t>
            </w:r>
            <w:r w:rsidRPr="00891760">
              <w:rPr>
                <w:rFonts w:eastAsia="Times New Roman"/>
                <w:lang w:eastAsia="lv-LV"/>
              </w:rPr>
              <w:t xml:space="preserve">2014. gada 21. janvāra </w:t>
            </w:r>
            <w:r w:rsidRPr="00891760">
              <w:rPr>
                <w:rFonts w:eastAsia="Times New Roman"/>
                <w:bCs/>
                <w:lang w:eastAsia="lv-LV"/>
              </w:rPr>
              <w:t>noteikumu Nr. 50</w:t>
            </w:r>
            <w:r w:rsidRPr="00891760">
              <w:rPr>
                <w:rFonts w:eastAsia="Times New Roman"/>
                <w:lang w:eastAsia="lv-LV"/>
              </w:rPr>
              <w:t xml:space="preserve"> „Elektroenerģijas tirdzniecības un lietošanas noteikumi” 106.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9. panta 2. punkta e)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noteikumi Nr. 85 “Dabasgāzes piegādes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2008. gada 21. oktobra noteikumi Nr. 876 „Siltumenerģijas piegādes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Ministru kabineta 2014. gada 21. janvāra noteikumi Nr. 50 „Elektroenerģijas tirdzniecības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5) </w:t>
            </w:r>
            <w:r w:rsidRPr="00891760">
              <w:rPr>
                <w:rFonts w:eastAsia="Times New Roman"/>
                <w:color w:val="000000"/>
                <w:lang w:eastAsia="lv-LV"/>
              </w:rPr>
              <w:t>Ministru kabineta 2015. gada 30. jūnija noteikumu Nr. 138 „Latvijas būvnormatīvs LBN 221-98 “Ēku iekšējais ūdensvads un kanalizācija”;</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6) Energoefektivitātes likuma 16. pantu.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color w:val="000000"/>
                <w:lang w:eastAsia="lv-LV"/>
              </w:rPr>
            </w:pPr>
            <w:r w:rsidRPr="00891760">
              <w:t xml:space="preserve">Direktīvas 2012/27/ES </w:t>
            </w:r>
            <w:r w:rsidRPr="00891760">
              <w:rPr>
                <w:rFonts w:eastAsia="Times New Roman"/>
                <w:color w:val="000000"/>
                <w:lang w:eastAsia="lv-LV"/>
              </w:rPr>
              <w:t>9. panta 3. punkta pirmā daļa</w:t>
            </w:r>
          </w:p>
        </w:tc>
        <w:tc>
          <w:tcPr>
            <w:tcW w:w="714" w:type="pct"/>
          </w:tcPr>
          <w:p w:rsidR="00891760" w:rsidRPr="00891760" w:rsidRDefault="00891760" w:rsidP="00891760">
            <w:pPr>
              <w:spacing w:after="0" w:line="240" w:lineRule="auto"/>
              <w:rPr>
                <w:rFonts w:eastAsia="Times New Roman"/>
                <w:color w:val="000000"/>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Ministru kabineta 2008. gada 21. oktobra noteikumi Nr. 876 „Siltumenerģijas piegādes un lietošanas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2008. gada 9. decembra noteikumi Nr. 1013 „Kārtība, kādā dzīvokļa īpašnieks daudzdzīvokļu dzīvojamā mājā norēķinās par pakalpojumiem, kas saistīti ar dzīvokļa īpašuma lietošanu”;</w:t>
            </w:r>
          </w:p>
          <w:p w:rsidR="00891760" w:rsidRPr="00891760" w:rsidRDefault="00891760" w:rsidP="00891760">
            <w:pPr>
              <w:spacing w:after="0" w:line="240" w:lineRule="auto"/>
              <w:rPr>
                <w:rFonts w:eastAsia="Times New Roman"/>
                <w:color w:val="000000"/>
                <w:lang w:eastAsia="lv-LV"/>
              </w:rPr>
            </w:pPr>
            <w:r w:rsidRPr="00891760">
              <w:t xml:space="preserve">4) </w:t>
            </w:r>
            <w:r w:rsidRPr="00891760">
              <w:rPr>
                <w:rFonts w:eastAsia="Times New Roman"/>
                <w:color w:val="000000"/>
                <w:lang w:eastAsia="lv-LV"/>
              </w:rPr>
              <w:t>Ministru kabineta 2015. gada 30. jūnija noteikumi Nr. 138 „Latvijas būvnormatīvs LBN 221-98 “Ēku iekšējais ūdensvads un kanalizācija”.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pPr>
            <w:r w:rsidRPr="00891760">
              <w:t xml:space="preserve">Direktīvas 2012/27/ES </w:t>
            </w:r>
            <w:r w:rsidRPr="00891760">
              <w:rPr>
                <w:rFonts w:eastAsia="Times New Roman"/>
                <w:color w:val="000000"/>
                <w:lang w:eastAsia="lv-LV"/>
              </w:rPr>
              <w:t>9. panta 3. punkta otrā daļa</w:t>
            </w:r>
          </w:p>
        </w:tc>
        <w:tc>
          <w:tcPr>
            <w:tcW w:w="714" w:type="pct"/>
          </w:tcPr>
          <w:p w:rsidR="00891760" w:rsidRPr="00891760" w:rsidRDefault="00891760" w:rsidP="00891760">
            <w:pPr>
              <w:spacing w:after="0" w:line="240" w:lineRule="auto"/>
              <w:rPr>
                <w:rFonts w:eastAsia="Times New Roman"/>
                <w:color w:val="000000"/>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color w:val="000000"/>
                <w:lang w:eastAsia="lv-LV"/>
              </w:rPr>
            </w:pPr>
            <w:r w:rsidRPr="00891760">
              <w:t>Ministru kabineta 2008. gada 21. oktobra noteikumi Nr. 876 „Siltumenerģijas piegādes un lietošanas noteikumi”.</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color w:val="000000"/>
                <w:lang w:eastAsia="lv-LV"/>
              </w:rPr>
            </w:pPr>
            <w:r w:rsidRPr="00891760">
              <w:t xml:space="preserve">Direktīvas </w:t>
            </w:r>
            <w:r w:rsidRPr="00891760">
              <w:lastRenderedPageBreak/>
              <w:t xml:space="preserve">2012/27/ES </w:t>
            </w:r>
            <w:r w:rsidRPr="00891760">
              <w:rPr>
                <w:rFonts w:eastAsia="Times New Roman"/>
                <w:color w:val="000000"/>
                <w:lang w:eastAsia="lv-LV"/>
              </w:rPr>
              <w:t>9. panta 3. punkta trešā daļa</w:t>
            </w:r>
          </w:p>
        </w:tc>
        <w:tc>
          <w:tcPr>
            <w:tcW w:w="714" w:type="pct"/>
          </w:tcPr>
          <w:p w:rsidR="00891760" w:rsidRPr="00891760" w:rsidRDefault="00891760" w:rsidP="00891760">
            <w:pPr>
              <w:spacing w:after="0" w:line="240" w:lineRule="auto"/>
              <w:rPr>
                <w:rFonts w:eastAsia="Times New Roman"/>
                <w:color w:val="000000"/>
                <w:lang w:eastAsia="lv-LV"/>
              </w:rPr>
            </w:pPr>
          </w:p>
        </w:tc>
        <w:tc>
          <w:tcPr>
            <w:tcW w:w="2523" w:type="pct"/>
          </w:tcPr>
          <w:p w:rsidR="00891760" w:rsidRPr="00891760" w:rsidRDefault="00891760" w:rsidP="00891760">
            <w:pPr>
              <w:spacing w:after="0" w:line="240" w:lineRule="auto"/>
              <w:rPr>
                <w:rFonts w:eastAsia="Times New Roman"/>
                <w:b/>
                <w:color w:val="000000"/>
                <w:lang w:eastAsia="lv-LV"/>
              </w:rPr>
            </w:pPr>
            <w:r w:rsidRPr="00891760">
              <w:rPr>
                <w:rFonts w:eastAsia="Times New Roman"/>
                <w:b/>
                <w:color w:val="000000"/>
                <w:lang w:eastAsia="lv-LV"/>
              </w:rPr>
              <w:t>Pārņemts pilnībā</w:t>
            </w:r>
          </w:p>
          <w:p w:rsidR="00891760" w:rsidRPr="00891760" w:rsidRDefault="00891760" w:rsidP="00891760">
            <w:pPr>
              <w:spacing w:after="0" w:line="240" w:lineRule="auto"/>
              <w:rPr>
                <w:b/>
                <w:color w:val="000000"/>
              </w:rPr>
            </w:pPr>
            <w:r w:rsidRPr="00891760">
              <w:lastRenderedPageBreak/>
              <w:t xml:space="preserve">Ministru kabineta </w:t>
            </w:r>
            <w:r w:rsidRPr="00891760">
              <w:rPr>
                <w:rFonts w:eastAsia="Times New Roman"/>
                <w:lang w:eastAsia="lv-LV"/>
              </w:rPr>
              <w:t xml:space="preserve">2008. gada 9. decembra </w:t>
            </w:r>
            <w:r w:rsidRPr="00891760">
              <w:t>noteikumu Nr. 1013 „Kārtība, kādā dzīvokļa īpašnieks daudzdzīvokļu dzīvojamā mājā norēķinās par pakalpojumiem, kas saistīti ar dzīvokļa īpašuma lietošanu” 17. punkts.</w:t>
            </w:r>
          </w:p>
        </w:tc>
        <w:tc>
          <w:tcPr>
            <w:tcW w:w="915" w:type="pct"/>
          </w:tcPr>
          <w:p w:rsidR="00891760" w:rsidRPr="00891760" w:rsidRDefault="00891760" w:rsidP="00891760">
            <w:pPr>
              <w:spacing w:after="0" w:line="240" w:lineRule="auto"/>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10.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Ministru kabineta 2008. gada 9. decembra noteikumu Nr.1013 “Kārtība, kādā dzīvokļa īpašnieks daudzdzīvokļu dzīvojamā mājā norēķinās par pakalpojumiem, kas saistīti ar dzīvokļa īpašuma lietošanu” 7.</w:t>
            </w:r>
            <w:r w:rsidRPr="00891760">
              <w:rPr>
                <w:rFonts w:eastAsia="Times New Roman"/>
                <w:vertAlign w:val="superscript"/>
                <w:lang w:eastAsia="lv-LV"/>
              </w:rPr>
              <w:t>1</w:t>
            </w:r>
            <w:r w:rsidRPr="00891760">
              <w:rPr>
                <w:rFonts w:eastAsia="Times New Roman"/>
                <w:lang w:eastAsia="lv-LV"/>
              </w:rPr>
              <w:t xml:space="preserve"> un 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4) Ministru kabineta </w:t>
            </w:r>
            <w:r w:rsidRPr="00891760">
              <w:t xml:space="preserve">2008. gada 21. oktobra </w:t>
            </w:r>
            <w:r w:rsidRPr="00891760">
              <w:rPr>
                <w:rFonts w:eastAsia="Times New Roman"/>
                <w:lang w:eastAsia="lv-LV"/>
              </w:rPr>
              <w:t>noteikumu Nr. 876 “Siltumenerģijas piegādes un lietošanas noteikumi” 36. punktu.</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5) Energoefektivitātes likuma 16.panta pirmā daļu.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10.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Ministru kabineta 2008. gada 9. decembra noteikumu Nr. 1013 “Kārtība, kādā dzīvokļa īpašnieks daudzdzīvokļu dzīvojamā mājā norēķinās par pakalpojumiem, kas saistīti ar dzīvokļa īpašuma lietošanu” 7.</w:t>
            </w:r>
            <w:r w:rsidRPr="00891760">
              <w:rPr>
                <w:rFonts w:eastAsia="Times New Roman"/>
                <w:vertAlign w:val="superscript"/>
                <w:lang w:eastAsia="lv-LV"/>
              </w:rPr>
              <w:t>1</w:t>
            </w:r>
            <w:r w:rsidRPr="00891760">
              <w:rPr>
                <w:rFonts w:eastAsia="Times New Roman"/>
                <w:lang w:eastAsia="lv-LV"/>
              </w:rPr>
              <w:t xml:space="preserve"> un 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4) Ministru kabineta </w:t>
            </w:r>
            <w:r w:rsidRPr="00891760">
              <w:t xml:space="preserve">2008. gada 21. oktobra </w:t>
            </w:r>
            <w:r w:rsidRPr="00891760">
              <w:rPr>
                <w:rFonts w:eastAsia="Times New Roman"/>
                <w:lang w:eastAsia="lv-LV"/>
              </w:rPr>
              <w:t>noteikumu Nr. 876 “Siltumenerģijas piegādes un lietošanas noteikumi” 36.</w:t>
            </w:r>
            <w:r w:rsidRPr="00891760">
              <w:rPr>
                <w:rFonts w:eastAsia="Times New Roman"/>
                <w:vertAlign w:val="superscript"/>
                <w:lang w:eastAsia="lv-LV"/>
              </w:rPr>
              <w:t xml:space="preserve">1 </w:t>
            </w:r>
            <w:r w:rsidRPr="00891760">
              <w:rPr>
                <w:rFonts w:eastAsia="Times New Roman"/>
                <w:lang w:eastAsia="lv-LV"/>
              </w:rPr>
              <w:t>punktu.</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5) Energoefektivitātes likuma 16. pantu.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10.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3) Ministru kabineta 2008. gada 9. decembra noteikumu Nr. 1013 “Kārtība, kādā dzīvokļa īpašnieks daudzdzīvokļu dzīvojamā mājā norēķinās </w:t>
            </w:r>
            <w:r w:rsidRPr="00891760">
              <w:rPr>
                <w:rFonts w:eastAsia="Times New Roman"/>
                <w:lang w:eastAsia="lv-LV"/>
              </w:rPr>
              <w:lastRenderedPageBreak/>
              <w:t>par pakalpojumiem, kas saistīti ar dzīvokļa īpašuma lietošanu” 7.</w:t>
            </w:r>
            <w:r w:rsidRPr="00891760">
              <w:rPr>
                <w:rFonts w:eastAsia="Times New Roman"/>
                <w:vertAlign w:val="superscript"/>
                <w:lang w:eastAsia="lv-LV"/>
              </w:rPr>
              <w:t>1</w:t>
            </w:r>
            <w:r w:rsidRPr="00891760">
              <w:rPr>
                <w:rFonts w:eastAsia="Times New Roman"/>
                <w:lang w:eastAsia="lv-LV"/>
              </w:rPr>
              <w:t xml:space="preserve"> un 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4) Ministru kabineta </w:t>
            </w:r>
            <w:r w:rsidRPr="00891760">
              <w:t xml:space="preserve">2008. gada 21. oktobra </w:t>
            </w:r>
            <w:r w:rsidRPr="00891760">
              <w:rPr>
                <w:rFonts w:eastAsia="Times New Roman"/>
                <w:lang w:eastAsia="lv-LV"/>
              </w:rPr>
              <w:t>noteikumu Nr. 876 “Siltumenerģijas piegādes un lietošanas noteikumi” 36.</w:t>
            </w:r>
            <w:r w:rsidRPr="00891760">
              <w:rPr>
                <w:rFonts w:eastAsia="Times New Roman"/>
                <w:vertAlign w:val="superscript"/>
                <w:lang w:eastAsia="lv-LV"/>
              </w:rPr>
              <w:t xml:space="preserve">1 </w:t>
            </w:r>
            <w:r w:rsidRPr="00891760">
              <w:rPr>
                <w:rFonts w:eastAsia="Times New Roman"/>
                <w:lang w:eastAsia="lv-LV"/>
              </w:rPr>
              <w:t>punktu.</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5) Energoefektivitātes likuma 16.pantu.</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11.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 Energoefektivitātes likuma 16. panta pirmo un otro daļu.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11.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pPr>
            <w:r w:rsidRPr="00891760">
              <w:t>1) „Dzīvojamo māju pārvaldīšanas likums” 10. panta ceturtā daļa un 11. panta otrās daļas 8. punkta c apakšpunkts;</w:t>
            </w:r>
          </w:p>
          <w:p w:rsidR="00891760" w:rsidRPr="00891760" w:rsidRDefault="00891760" w:rsidP="00891760">
            <w:pPr>
              <w:spacing w:after="0" w:line="240" w:lineRule="auto"/>
              <w:rPr>
                <w:rFonts w:eastAsia="Times New Roman"/>
                <w:lang w:eastAsia="lv-LV"/>
              </w:rPr>
            </w:pPr>
            <w:r w:rsidRPr="00891760">
              <w:t>2) Likuma „Par valsts un pašvaldību dzīvojamo māju privatizāciju” 50. panta astotā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12.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6. pants.</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12.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6. pants.</w:t>
            </w:r>
          </w:p>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13. pants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17. pants.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1.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 xml:space="preserve">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 </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2.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3.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4.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t xml:space="preserve">Pētījums “Augstas efektivitātes koģenerācijas un efektīvas centralizētās siltumapgādes un dzesēšanas izmantošanas potenciāla visaptverošs izvērtējums un </w:t>
            </w:r>
            <w:r w:rsidRPr="00891760">
              <w:lastRenderedPageBreak/>
              <w:t>izmaksu un ieguvumu analīze atbilstoši Direktīvas 2012/27/ES prasībām” (iesniegts Eiropas Komisijā 2016. gada 14. martā).</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14. panta 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augstas efektivitātes koģenerācijas un efektīvas centralizētās siltumapgādes potenciāls, tad Direktīvas 2012/27/ES </w:t>
            </w:r>
            <w:r w:rsidRPr="00891760">
              <w:rPr>
                <w:rFonts w:eastAsia="Times New Roman"/>
                <w:lang w:eastAsia="lv-LV"/>
              </w:rPr>
              <w:t xml:space="preserve">14. panta 5., 6., 7., 8. un 9. punktu prasības </w:t>
            </w:r>
            <w:r w:rsidRPr="00891760">
              <w:t>nav jāpārņem.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spacing w:val="-2"/>
              </w:rPr>
            </w:pPr>
          </w:p>
          <w:p w:rsidR="00891760" w:rsidRPr="00891760" w:rsidRDefault="00891760" w:rsidP="00891760">
            <w:pPr>
              <w:spacing w:after="0" w:line="240" w:lineRule="auto"/>
              <w:rPr>
                <w:rFonts w:eastAsia="Times New Roman"/>
                <w:lang w:eastAsia="lv-LV"/>
              </w:rPr>
            </w:pPr>
            <w:r w:rsidRPr="00891760">
              <w:rPr>
                <w:spacing w:val="-2"/>
              </w:rPr>
              <w:t xml:space="preserve">Skatīt </w:t>
            </w:r>
            <w:r w:rsidRPr="00891760">
              <w:t xml:space="preserve">Direktīvas 2012/27/ES </w:t>
            </w:r>
            <w:r w:rsidRPr="00891760">
              <w:rPr>
                <w:rFonts w:eastAsia="Times New Roman"/>
                <w:lang w:eastAsia="lv-LV"/>
              </w:rPr>
              <w:t>14. panta 5. punkt</w:t>
            </w:r>
            <w:r w:rsidRPr="00891760">
              <w:rPr>
                <w:spacing w:val="-2"/>
              </w:rPr>
              <w:t>a skaidrojumu.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spacing w:val="-2"/>
              </w:rPr>
            </w:pPr>
          </w:p>
          <w:p w:rsidR="00891760" w:rsidRPr="00891760" w:rsidRDefault="00891760" w:rsidP="00891760">
            <w:pPr>
              <w:spacing w:after="0" w:line="240" w:lineRule="auto"/>
              <w:rPr>
                <w:spacing w:val="-2"/>
              </w:rPr>
            </w:pPr>
            <w:r w:rsidRPr="00891760">
              <w:rPr>
                <w:spacing w:val="-2"/>
              </w:rPr>
              <w:t xml:space="preserve">Skatīt </w:t>
            </w:r>
            <w:r w:rsidRPr="00891760">
              <w:t xml:space="preserve">Direktīvas 2012/27/ES </w:t>
            </w:r>
            <w:r w:rsidRPr="00891760">
              <w:rPr>
                <w:rFonts w:eastAsia="Times New Roman"/>
                <w:lang w:eastAsia="lv-LV"/>
              </w:rPr>
              <w:t>14. panta 5. punkt</w:t>
            </w:r>
            <w:r w:rsidRPr="00891760">
              <w:rPr>
                <w:spacing w:val="-2"/>
              </w:rPr>
              <w:t>a skaidrojumu.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8.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Cs/>
                <w:lang w:eastAsia="lv-LV"/>
              </w:rPr>
            </w:pPr>
          </w:p>
          <w:p w:rsidR="00891760" w:rsidRPr="00891760" w:rsidRDefault="00891760" w:rsidP="00891760">
            <w:pPr>
              <w:spacing w:after="0" w:line="240" w:lineRule="auto"/>
              <w:rPr>
                <w:rFonts w:eastAsia="Times New Roman"/>
                <w:lang w:eastAsia="lv-LV"/>
              </w:rPr>
            </w:pPr>
            <w:r w:rsidRPr="00891760">
              <w:rPr>
                <w:spacing w:val="-2"/>
              </w:rPr>
              <w:t xml:space="preserve">Skatīt </w:t>
            </w:r>
            <w:r w:rsidRPr="00891760">
              <w:t xml:space="preserve">Direktīvas 2012/27/ES </w:t>
            </w:r>
            <w:r w:rsidRPr="00891760">
              <w:rPr>
                <w:rFonts w:eastAsia="Times New Roman"/>
                <w:lang w:eastAsia="lv-LV"/>
              </w:rPr>
              <w:t>14. panta 5. punkt</w:t>
            </w:r>
            <w:r w:rsidRPr="00891760">
              <w:rPr>
                <w:spacing w:val="-2"/>
              </w:rPr>
              <w:t>a skaidrojumu.</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pPr>
            <w:r w:rsidRPr="00891760">
              <w:t xml:space="preserve"> </w:t>
            </w:r>
          </w:p>
          <w:p w:rsidR="00891760" w:rsidRPr="00891760" w:rsidRDefault="00891760" w:rsidP="00891760">
            <w:pPr>
              <w:spacing w:after="0" w:line="240" w:lineRule="auto"/>
              <w:rPr>
                <w:color w:val="000000"/>
              </w:rPr>
            </w:pPr>
            <w:r w:rsidRPr="00891760">
              <w:rPr>
                <w:spacing w:val="-2"/>
              </w:rPr>
              <w:t xml:space="preserve">Skatīt </w:t>
            </w:r>
            <w:r w:rsidRPr="00891760">
              <w:t xml:space="preserve">Direktīvas 2012/27/ES </w:t>
            </w:r>
            <w:r w:rsidRPr="00891760">
              <w:rPr>
                <w:rFonts w:eastAsia="Times New Roman"/>
                <w:lang w:eastAsia="lv-LV"/>
              </w:rPr>
              <w:t>14. panta 5. punkt</w:t>
            </w:r>
            <w:r w:rsidRPr="00891760">
              <w:rPr>
                <w:spacing w:val="-2"/>
              </w:rPr>
              <w:t>a skaidrojumu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10. punkta pirmā daļa</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daļēji</w:t>
            </w:r>
          </w:p>
          <w:p w:rsidR="00891760" w:rsidRPr="00891760" w:rsidRDefault="00891760" w:rsidP="00891760">
            <w:pPr>
              <w:spacing w:after="0" w:line="240" w:lineRule="auto"/>
              <w:rPr>
                <w:rFonts w:eastAsia="Times New Roman"/>
                <w:lang w:eastAsia="lv-LV"/>
              </w:rPr>
            </w:pPr>
            <w:r w:rsidRPr="00891760">
              <w:rPr>
                <w:rFonts w:eastAsia="Times New Roman"/>
                <w:bCs/>
                <w:lang w:eastAsia="lv-LV"/>
              </w:rPr>
              <w:t>Ministru kabineta noteikumu Nr. 221 „Noteikumi par elektroenerģijas ražošanu un cenu noteikšanu, ražojot elektroenerģiju koģenerācijā” V. nodaļa un</w:t>
            </w:r>
            <w:r w:rsidRPr="00891760">
              <w:rPr>
                <w:rFonts w:eastAsia="Times New Roman"/>
                <w:lang w:eastAsia="lv-LV"/>
              </w:rPr>
              <w:t xml:space="preserve"> </w:t>
            </w:r>
          </w:p>
          <w:p w:rsidR="00891760" w:rsidRPr="00891760" w:rsidRDefault="00891760" w:rsidP="00891760">
            <w:pPr>
              <w:spacing w:after="0" w:line="240" w:lineRule="auto"/>
              <w:rPr>
                <w:rFonts w:eastAsia="Times New Roman"/>
                <w:bCs/>
                <w:lang w:eastAsia="lv-LV"/>
              </w:rPr>
            </w:pPr>
            <w:r w:rsidRPr="00891760">
              <w:rPr>
                <w:rFonts w:eastAsia="Times New Roman"/>
                <w:bCs/>
                <w:lang w:eastAsia="lv-LV"/>
              </w:rPr>
              <w:t xml:space="preserve">Ministru kabineta 2011. gada 22. novembra noteikumu Nr. 900 „Noteikumi par izcelsmes apliecinājuma saņemšanu elektroenerģijai, kas ražota, izmantojot atjaunojamos energoresursus” pielikums. </w:t>
            </w:r>
          </w:p>
          <w:p w:rsidR="00891760" w:rsidRPr="00891760" w:rsidRDefault="00891760" w:rsidP="00891760">
            <w:pPr>
              <w:keepNext/>
              <w:spacing w:after="0" w:line="240" w:lineRule="auto"/>
              <w:outlineLvl w:val="0"/>
              <w:rPr>
                <w:i/>
              </w:rPr>
            </w:pPr>
            <w:r w:rsidRPr="00891760">
              <w:rPr>
                <w:i/>
              </w:rPr>
              <w:t>Papildus:</w:t>
            </w:r>
          </w:p>
          <w:p w:rsidR="00891760" w:rsidRPr="00891760" w:rsidRDefault="00891760" w:rsidP="00891760">
            <w:pPr>
              <w:keepNext/>
              <w:spacing w:after="0" w:line="240" w:lineRule="auto"/>
              <w:outlineLvl w:val="0"/>
            </w:pPr>
            <w:r w:rsidRPr="00891760">
              <w:rPr>
                <w:rFonts w:eastAsia="Times New Roman"/>
                <w:lang w:eastAsia="lv-LV"/>
              </w:rPr>
              <w:t xml:space="preserve">Prasības pilnībā tiks pārņemtas ar likumprojektu „Grozījumi Elektroenerģijas tirgus likumā” un </w:t>
            </w:r>
            <w:r w:rsidRPr="00891760">
              <w:t>Ministru kabineta noteikumu projektu “Noteikumi par izcelsmes apliecinājuma saņemšanu elektroenerģijai, kas ražota, izmantojot atjaunojamos energoresursus, vai augstas efektivitātes koģenerācijas režīmā”.</w:t>
            </w:r>
          </w:p>
          <w:p w:rsidR="00891760" w:rsidRPr="00891760" w:rsidRDefault="00891760" w:rsidP="00891760">
            <w:pPr>
              <w:keepNext/>
              <w:spacing w:after="0" w:line="240" w:lineRule="auto"/>
              <w:outlineLvl w:val="0"/>
              <w:rPr>
                <w:rFonts w:eastAsia="Times New Roman"/>
                <w:b/>
                <w:bCs/>
                <w:kern w:val="32"/>
                <w:lang w:eastAsia="lv-LV"/>
              </w:rPr>
            </w:pPr>
            <w:r w:rsidRPr="00891760">
              <w:rPr>
                <w:color w:val="000000"/>
                <w:kern w:val="32"/>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14. panta 10. punkta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spacing w:val="-2"/>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14. panta 11. 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 xml:space="preserve">1) Ministru kabineta 2009. gada 10. marta noteikumi </w:t>
            </w:r>
            <w:r w:rsidRPr="00891760">
              <w:rPr>
                <w:rFonts w:eastAsia="Times New Roman"/>
                <w:bCs/>
                <w:lang w:eastAsia="lv-LV"/>
              </w:rPr>
              <w:t>Nr. 221</w:t>
            </w:r>
            <w:r w:rsidRPr="00891760">
              <w:rPr>
                <w:rFonts w:eastAsia="Times New Roman"/>
                <w:lang w:eastAsia="lv-LV"/>
              </w:rPr>
              <w:t xml:space="preserve"> „Noteikumi par elektroenerģijas ražošanu un cenu noteikšanu, ražojot elektroenerģiju koģenerācijā” II. nodaļa.</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Ministru kabineta 2012. gada 4. augusta noteikumu Nr. 559 „Klimata pārmaiņu finanšu instrumenta finansēto projektu atklāta konkursa “Kompleksi risinājumi siltumnīcefekta gāzu emisiju samazināšanai" nolikums” 12.8.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w:t>
            </w:r>
            <w:r w:rsidRPr="00891760">
              <w:rPr>
                <w:rFonts w:eastAsia="Times New Roman"/>
                <w:bCs/>
                <w:lang w:eastAsia="lv-LV"/>
              </w:rPr>
              <w:t xml:space="preserve"> Ministru kabineta 2010. gada 31. augusta noteikumi Nr. 824</w:t>
            </w:r>
            <w:r w:rsidRPr="00891760">
              <w:rPr>
                <w:rFonts w:eastAsia="Times New Roman"/>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891760">
              <w:t>punkts</w:t>
            </w:r>
          </w:p>
        </w:tc>
        <w:tc>
          <w:tcPr>
            <w:tcW w:w="915" w:type="pct"/>
          </w:tcPr>
          <w:p w:rsidR="00891760" w:rsidRPr="00891760" w:rsidRDefault="00891760" w:rsidP="00891760">
            <w:pPr>
              <w:spacing w:after="0" w:line="240" w:lineRule="auto"/>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magenta"/>
                <w:lang w:eastAsia="lv-LV"/>
              </w:rPr>
            </w:pPr>
            <w:r w:rsidRPr="00891760">
              <w:lastRenderedPageBreak/>
              <w:t xml:space="preserve">Direktīvas 2012/27/ES </w:t>
            </w:r>
            <w:r w:rsidRPr="00891760">
              <w:rPr>
                <w:rFonts w:eastAsia="Times New Roman"/>
                <w:lang w:eastAsia="lv-LV"/>
              </w:rPr>
              <w:t>15. panta 1. punkta pirmā, otrā un trešā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Enerģētikas likuma 3., 54. un 84. pants;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Elektroenerģijas tirgus likuma 2., 16. un 20. pants.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1. punkta ceturtā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Elektroenerģijas tirgus likuma 20. un 27. pants;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Likuma „Par sabiedrisko pakalpojumu regulatoriem” 19. panta pirmā daļa un 20. pants;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Akciju sabiedrības „Sadales tīkls” Elektroenerģijas sadales sistēmas pakalpojumu diferencēto tarifu pielietošanas kārtība</w:t>
            </w:r>
            <w:r w:rsidRPr="00891760">
              <w:rPr>
                <w:rFonts w:eastAsia="Times New Roman"/>
                <w:vertAlign w:val="superscript"/>
                <w:lang w:eastAsia="lv-LV"/>
              </w:rPr>
              <w:footnoteReference w:id="26"/>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4) </w:t>
            </w:r>
            <w:r w:rsidRPr="00891760">
              <w:rPr>
                <w:rFonts w:eastAsia="Times New Roman"/>
                <w:bCs/>
                <w:lang w:eastAsia="lv-LV"/>
              </w:rPr>
              <w:t>Sabiedrisko pakalpojumu regulēšanas komisijas padomes 2015. gada 26. februāra lēmuma Nr. 1/6</w:t>
            </w:r>
            <w:r w:rsidRPr="00891760">
              <w:rPr>
                <w:rFonts w:eastAsia="Times New Roman"/>
                <w:lang w:eastAsia="lv-LV"/>
              </w:rPr>
              <w:t xml:space="preserve"> „Elektroenerģijas pārvades sistēmas pakalpojumu tarifu aprēķināšanas metodika” 1., 3., 83. un 90.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5) </w:t>
            </w:r>
            <w:r w:rsidRPr="00891760">
              <w:rPr>
                <w:rFonts w:eastAsia="Times New Roman"/>
                <w:bCs/>
                <w:lang w:eastAsia="lv-LV"/>
              </w:rPr>
              <w:t>Sabiedrisko pakalpojumu regulēšanas komisijas padomes 2010. gada 14. aprīļa lēmuma Nr. 1/7</w:t>
            </w:r>
            <w:r w:rsidRPr="00891760">
              <w:rPr>
                <w:rFonts w:eastAsia="Times New Roman"/>
                <w:lang w:eastAsia="lv-LV"/>
              </w:rPr>
              <w:t xml:space="preserve"> „Siltumenerģijas apgādes pakalpojumu tarifu aprēķināšanas metodika” 1., 3., 7., 14. un 21. punkts;</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 xml:space="preserve">6) </w:t>
            </w:r>
            <w:r w:rsidRPr="00891760">
              <w:rPr>
                <w:rFonts w:eastAsia="Times New Roman"/>
                <w:bCs/>
                <w:lang w:eastAsia="lv-LV"/>
              </w:rPr>
              <w:t>Sabiedrisko pakalpojumu regulēšanas komisijas padomes 2011. gada 15. decembra lēmuma Nr. 1/32</w:t>
            </w:r>
            <w:r w:rsidRPr="00891760">
              <w:rPr>
                <w:rFonts w:eastAsia="Times New Roman"/>
                <w:lang w:eastAsia="lv-LV"/>
              </w:rPr>
              <w:t xml:space="preserve"> „Elektroenerģijas sadales sistēmas pakalpojumu tarifu aprēķināšanas metodika” 51.2. un 59. punkts.</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2. punkta a)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1) Elektroenerģijas tirgus likuma 15. pantu;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Sabiedrisko pakalpojumu regulēšanas komisijas </w:t>
            </w:r>
            <w:r w:rsidRPr="00891760">
              <w:rPr>
                <w:rFonts w:eastAsia="Times New Roman"/>
                <w:bCs/>
                <w:lang w:eastAsia="lv-LV"/>
              </w:rPr>
              <w:t xml:space="preserve">padomes </w:t>
            </w:r>
            <w:r w:rsidRPr="00891760">
              <w:rPr>
                <w:rFonts w:eastAsia="Times New Roman"/>
                <w:lang w:eastAsia="lv-LV"/>
              </w:rPr>
              <w:t>2013. gada 26. jūnija lēmuma Nr. 1/4 „Tīkla kodekss” 27. – 30. punktu.</w:t>
            </w:r>
          </w:p>
          <w:p w:rsidR="00891760" w:rsidRPr="00891760" w:rsidRDefault="00891760" w:rsidP="00891760">
            <w:pPr>
              <w:spacing w:after="0" w:line="240" w:lineRule="auto"/>
              <w:rPr>
                <w:rFonts w:eastAsia="Times New Roman"/>
                <w:lang w:eastAsia="lv-LV"/>
              </w:rPr>
            </w:pPr>
            <w:r w:rsidRPr="00891760">
              <w:t>3) Gāzes un elektroenerģijas infrastruktūras energoefektivitātes potenciāla izvērtējums Latvijas Republikā (Iesniegts Eiropas Komisijā 06.07.2015.)</w:t>
            </w:r>
          </w:p>
        </w:tc>
        <w:tc>
          <w:tcPr>
            <w:tcW w:w="915" w:type="pct"/>
          </w:tcPr>
          <w:p w:rsidR="00891760" w:rsidRPr="00891760" w:rsidRDefault="00891760" w:rsidP="00891760">
            <w:pPr>
              <w:spacing w:after="0" w:line="240" w:lineRule="auto"/>
              <w:rPr>
                <w:highlight w:val="cyan"/>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15. panta 2. punkta b)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r w:rsidRPr="00891760">
              <w:rPr>
                <w:rFonts w:eastAsia="Times New Roman"/>
                <w:lang w:eastAsia="lv-LV"/>
              </w:rPr>
              <w:br/>
              <w:t>1) Elektroenerģijas tirgus likuma 15. pantu;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Sabiedrisko pakalpojumu regulēšanas komisijas </w:t>
            </w:r>
            <w:r w:rsidRPr="00891760">
              <w:rPr>
                <w:rFonts w:eastAsia="Times New Roman"/>
                <w:bCs/>
                <w:lang w:eastAsia="lv-LV"/>
              </w:rPr>
              <w:t xml:space="preserve">padomes </w:t>
            </w:r>
            <w:r w:rsidRPr="00891760">
              <w:rPr>
                <w:rFonts w:eastAsia="Times New Roman"/>
                <w:lang w:eastAsia="lv-LV"/>
              </w:rPr>
              <w:t>2013. gada 26. jūnija lēmuma Nr. 1/4 „Tīkla kodekss” 27. – 30. punktu;</w:t>
            </w:r>
          </w:p>
          <w:p w:rsidR="00891760" w:rsidRPr="00891760" w:rsidRDefault="00891760" w:rsidP="00891760">
            <w:pPr>
              <w:spacing w:after="0" w:line="240" w:lineRule="auto"/>
              <w:rPr>
                <w:rFonts w:eastAsia="Times New Roman"/>
                <w:b/>
                <w:lang w:eastAsia="lv-LV"/>
              </w:rPr>
            </w:pPr>
            <w:r w:rsidRPr="00891760">
              <w:t>3) Gāzes un elektroenerģijas infrastruktūras energoefektivitātes potenciāla izvērtējums Latvijas Republikā (Iesniegts Eiropas Komisijā 06.07.2015.)</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magenta"/>
                <w:lang w:eastAsia="lv-LV"/>
              </w:rPr>
            </w:pPr>
            <w:r w:rsidRPr="00891760">
              <w:t xml:space="preserve">Direktīvas 2012/27/ES </w:t>
            </w:r>
            <w:r w:rsidRPr="00891760">
              <w:rPr>
                <w:rFonts w:eastAsia="Times New Roman"/>
                <w:lang w:eastAsia="lv-LV"/>
              </w:rPr>
              <w:t>15.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Likuma „Par sabiedrisko pakalpojumu regulatoriem” 20. pants;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Sabiedrisko pakalpojumu regulēšanas komisijas </w:t>
            </w:r>
            <w:r w:rsidRPr="00891760">
              <w:rPr>
                <w:rFonts w:eastAsia="Times New Roman"/>
                <w:bCs/>
                <w:lang w:eastAsia="lv-LV"/>
              </w:rPr>
              <w:t xml:space="preserve">padomes </w:t>
            </w:r>
            <w:r w:rsidRPr="00891760">
              <w:rPr>
                <w:rFonts w:eastAsia="Times New Roman"/>
                <w:lang w:eastAsia="lv-LV"/>
              </w:rPr>
              <w:t>2015. gada 26. februāra lēmuma Nr. 1/6 „Elektroenerģijas pārvades sistēmas pakalpojumu tarifu aprēķināšanas metodika” 3. un 18.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3) Sabiedrisko pakalpojumu regulēšanas komisijas </w:t>
            </w:r>
            <w:r w:rsidRPr="00891760">
              <w:rPr>
                <w:rFonts w:eastAsia="Times New Roman"/>
                <w:bCs/>
                <w:lang w:eastAsia="lv-LV"/>
              </w:rPr>
              <w:t xml:space="preserve">padomes </w:t>
            </w:r>
            <w:r w:rsidRPr="00891760">
              <w:rPr>
                <w:rFonts w:eastAsia="Times New Roman"/>
                <w:lang w:eastAsia="lv-LV"/>
              </w:rPr>
              <w:t>2011. gada 15. decembra lēmuma Nr. 1/32 „Elektroenerģijas sadales sistēmas pakalpojumu tarifu aprēķināšanas metodika” 4. un 19. punkts;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4) Elektroenerģijas tirgus likuma 33.</w:t>
            </w:r>
            <w:r w:rsidRPr="00891760">
              <w:rPr>
                <w:rFonts w:eastAsia="Times New Roman"/>
                <w:vertAlign w:val="superscript"/>
                <w:lang w:eastAsia="lv-LV"/>
              </w:rPr>
              <w:t>1</w:t>
            </w:r>
            <w:r w:rsidRPr="00891760">
              <w:rPr>
                <w:rFonts w:eastAsia="Times New Roman"/>
                <w:lang w:eastAsia="lv-LV"/>
              </w:rPr>
              <w:t> pants;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5) Likuma “Par pašvaldībām” 43. panta trešā daļa;</w:t>
            </w:r>
          </w:p>
          <w:p w:rsidR="00891760" w:rsidRPr="00891760" w:rsidRDefault="00891760" w:rsidP="00891760">
            <w:pPr>
              <w:spacing w:after="0" w:line="240" w:lineRule="auto"/>
              <w:rPr>
                <w:rFonts w:eastAsia="Times New Roman"/>
                <w:lang w:eastAsia="lv-LV"/>
              </w:rPr>
            </w:pPr>
            <w:r w:rsidRPr="00891760">
              <w:rPr>
                <w:rFonts w:eastAsia="Times New Roman"/>
                <w:lang w:eastAsia="lv-LV"/>
              </w:rPr>
              <w:t>6) Sociālo pakalpojumu un sociālās palīdzības likuma 35. panta ceturtā un piektā daļa.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4. punkts</w:t>
            </w:r>
          </w:p>
          <w:p w:rsidR="00891760" w:rsidRPr="00891760" w:rsidRDefault="00891760" w:rsidP="00891760">
            <w:pPr>
              <w:spacing w:after="0" w:line="240" w:lineRule="auto"/>
              <w:rPr>
                <w:rFonts w:eastAsia="Times New Roman"/>
                <w:highlight w:val="magenta"/>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spacing w:val="-2"/>
              </w:rPr>
            </w:pPr>
            <w:r w:rsidRPr="00891760">
              <w:rPr>
                <w:spacing w:val="-2"/>
              </w:rPr>
              <w:t>1) Elektroenerģijas tirgus likuma 16. un 20. pants;</w:t>
            </w:r>
          </w:p>
          <w:p w:rsidR="00891760" w:rsidRPr="00891760" w:rsidRDefault="00891760" w:rsidP="00891760">
            <w:pPr>
              <w:spacing w:after="0" w:line="240" w:lineRule="auto"/>
              <w:rPr>
                <w:spacing w:val="-2"/>
              </w:rPr>
            </w:pPr>
            <w:r w:rsidRPr="00891760">
              <w:rPr>
                <w:spacing w:val="-2"/>
              </w:rPr>
              <w:t>2) Likuma „Par sabiedrisko pakalpojumu regulatoriem” 20. pants;</w:t>
            </w:r>
          </w:p>
          <w:p w:rsidR="00891760" w:rsidRPr="00891760" w:rsidRDefault="00891760" w:rsidP="00891760">
            <w:pPr>
              <w:spacing w:after="0" w:line="240" w:lineRule="auto"/>
              <w:rPr>
                <w:rFonts w:eastAsia="Times New Roman"/>
                <w:lang w:eastAsia="lv-LV"/>
              </w:rPr>
            </w:pPr>
            <w:r w:rsidRPr="00891760">
              <w:rPr>
                <w:spacing w:val="-2"/>
              </w:rPr>
              <w:t>3)</w:t>
            </w:r>
            <w:r w:rsidRPr="00891760">
              <w:rPr>
                <w:rFonts w:eastAsia="Times New Roman"/>
                <w:color w:val="FF0000"/>
                <w:lang w:eastAsia="lv-LV"/>
              </w:rPr>
              <w:t xml:space="preserve"> </w:t>
            </w:r>
            <w:r w:rsidRPr="00891760">
              <w:rPr>
                <w:rFonts w:eastAsia="Times New Roman"/>
                <w:bCs/>
                <w:lang w:eastAsia="lv-LV"/>
              </w:rPr>
              <w:t>Sabiedrisko pakalpojumu regulēšanas komisijas 2015. gada 26. februāra lēmuma Nr. 1/6</w:t>
            </w:r>
            <w:r w:rsidRPr="00891760">
              <w:rPr>
                <w:rFonts w:eastAsia="Times New Roman"/>
                <w:lang w:eastAsia="lv-LV"/>
              </w:rPr>
              <w:t xml:space="preserve"> „Elektroenerģijas pārvades sistēmas pakalpojumu tarifu aprēķināšanas metodika” 1., 3., 83. un 90. punkts;</w:t>
            </w:r>
          </w:p>
          <w:p w:rsidR="00891760" w:rsidRPr="00891760" w:rsidRDefault="00891760" w:rsidP="00891760">
            <w:pPr>
              <w:spacing w:after="0" w:line="240" w:lineRule="auto"/>
              <w:rPr>
                <w:spacing w:val="-2"/>
              </w:rPr>
            </w:pPr>
            <w:r w:rsidRPr="00891760">
              <w:rPr>
                <w:rFonts w:eastAsia="Times New Roman"/>
                <w:lang w:eastAsia="lv-LV"/>
              </w:rPr>
              <w:t xml:space="preserve">4) </w:t>
            </w:r>
            <w:r w:rsidRPr="00891760">
              <w:rPr>
                <w:rFonts w:eastAsia="Times New Roman"/>
                <w:bCs/>
                <w:lang w:eastAsia="lv-LV"/>
              </w:rPr>
              <w:t>Sabiedrisko pakalpojumu regulēšanas komisijas 2010. gada 14. aprīļa padomes lēmuma Nr. 1/7</w:t>
            </w:r>
            <w:r w:rsidRPr="00891760">
              <w:rPr>
                <w:rFonts w:eastAsia="Times New Roman"/>
                <w:lang w:eastAsia="lv-LV"/>
              </w:rPr>
              <w:t xml:space="preserve"> „Siltumenerģijas apgādes pakalpojumu tarifu aprēķināšanas metodika” 1., 3., 7., 14. un 21. punkts</w:t>
            </w:r>
            <w:r w:rsidRPr="00891760">
              <w:rPr>
                <w:spacing w:val="-2"/>
              </w:rPr>
              <w:t>;</w:t>
            </w:r>
          </w:p>
          <w:p w:rsidR="00891760" w:rsidRPr="00891760" w:rsidRDefault="00891760" w:rsidP="00891760">
            <w:pPr>
              <w:spacing w:after="0" w:line="240" w:lineRule="auto"/>
              <w:rPr>
                <w:rFonts w:eastAsia="Times New Roman"/>
                <w:b/>
                <w:lang w:eastAsia="lv-LV"/>
              </w:rPr>
            </w:pPr>
            <w:r w:rsidRPr="00891760">
              <w:rPr>
                <w:spacing w:val="-2"/>
              </w:rPr>
              <w:t xml:space="preserve">5) </w:t>
            </w:r>
            <w:r w:rsidRPr="00891760">
              <w:rPr>
                <w:rFonts w:eastAsia="Times New Roman"/>
                <w:bCs/>
                <w:lang w:eastAsia="lv-LV"/>
              </w:rPr>
              <w:t>Sabiedrisko pakalpojumu regulēšanas komisijas padomes lēmuma Nr. 1/32</w:t>
            </w:r>
            <w:r w:rsidRPr="00891760">
              <w:rPr>
                <w:rFonts w:eastAsia="Times New Roman"/>
                <w:lang w:eastAsia="lv-LV"/>
              </w:rPr>
              <w:t xml:space="preserve"> „Elektroenerģijas sadales sistēmas pakalpojumu tarifu aprēķināšanas metodika” 51.2. un 59.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5. punkts a)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Enerģētikas likuma 6. pants.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5. punkts b)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Elektroenerģijas tirgus likuma 8. panta otrā un ceturtā daļa, 9. panta ceturtā un piektā daļa; </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2) Enerģētikas likuma 6. pants.</w:t>
            </w:r>
          </w:p>
        </w:tc>
        <w:tc>
          <w:tcPr>
            <w:tcW w:w="915" w:type="pct"/>
          </w:tcPr>
          <w:p w:rsidR="00891760" w:rsidRPr="00891760" w:rsidRDefault="00891760" w:rsidP="00891760">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15. panta 5. punkts c)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rPr>
            </w:pPr>
            <w:r w:rsidRPr="00891760">
              <w:rPr>
                <w:rFonts w:eastAsia="Times New Roman"/>
                <w:lang w:eastAsia="lv-LV"/>
              </w:rPr>
              <w:t>1)</w:t>
            </w:r>
            <w:r w:rsidRPr="00891760">
              <w:rPr>
                <w:rFonts w:eastAsia="Times New Roman"/>
              </w:rPr>
              <w:t xml:space="preserve"> Elektroenerģijas tirgus likuma 8. pants;</w:t>
            </w:r>
          </w:p>
          <w:p w:rsidR="00891760" w:rsidRPr="00891760" w:rsidRDefault="00891760" w:rsidP="00891760">
            <w:pPr>
              <w:spacing w:after="0" w:line="240" w:lineRule="auto"/>
              <w:rPr>
                <w:rFonts w:eastAsia="Times New Roman"/>
              </w:rPr>
            </w:pPr>
            <w:r w:rsidRPr="00891760">
              <w:rPr>
                <w:rFonts w:eastAsia="Times New Roman"/>
              </w:rPr>
              <w:t>2) Sabiedrisko pakalpojumu regulēšanas komisijas padomes 2013. gada 26. jūnija lēmuma Nr. 1/4 „Tīkla kodekss” 2. sadaļa;</w:t>
            </w:r>
          </w:p>
          <w:p w:rsidR="00891760" w:rsidRPr="00891760" w:rsidRDefault="00891760" w:rsidP="00891760">
            <w:pPr>
              <w:spacing w:after="0" w:line="240" w:lineRule="auto"/>
              <w:rPr>
                <w:rFonts w:eastAsia="Times New Roman"/>
              </w:rPr>
            </w:pPr>
            <w:r w:rsidRPr="00891760">
              <w:rPr>
                <w:rFonts w:eastAsia="Times New Roman"/>
              </w:rPr>
              <w:t>3) Pārvades un sadales operatoru mājas lapa</w:t>
            </w:r>
            <w:r w:rsidRPr="00891760">
              <w:rPr>
                <w:vertAlign w:val="superscript"/>
              </w:rPr>
              <w:footnoteReference w:id="27"/>
            </w:r>
            <w:r w:rsidRPr="00891760">
              <w:rPr>
                <w:rFonts w:eastAsia="Times New Roman"/>
              </w:rPr>
              <w:t>.</w:t>
            </w:r>
          </w:p>
        </w:tc>
        <w:tc>
          <w:tcPr>
            <w:tcW w:w="915" w:type="pct"/>
          </w:tcPr>
          <w:p w:rsidR="00891760" w:rsidRPr="00891760" w:rsidRDefault="00891760" w:rsidP="00891760">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5. punkta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Elektroenerģijas tirgus likuma 13. un 22. pants.</w:t>
            </w:r>
          </w:p>
        </w:tc>
        <w:tc>
          <w:tcPr>
            <w:tcW w:w="915" w:type="pct"/>
          </w:tcPr>
          <w:p w:rsidR="00891760" w:rsidRPr="00891760" w:rsidRDefault="00891760" w:rsidP="00891760">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5. punkta trešā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
                <w:lang w:eastAsia="lv-LV"/>
              </w:rPr>
            </w:pPr>
            <w:r w:rsidRPr="00891760">
              <w:rPr>
                <w:rFonts w:eastAsia="Times New Roman"/>
                <w:bCs/>
                <w:lang w:eastAsia="lv-LV"/>
              </w:rPr>
              <w:t>Sabiedrisko pakalpojumu regulēšanas komisijas 2012. gada 22. februāra lēmuma Nr. 1/5 „Sistēmas pieslēguma noteikumi elektroenerģijas sistēmas dalībniekiem” 4., 7., 8. un 40. punkts.</w:t>
            </w:r>
          </w:p>
        </w:tc>
        <w:tc>
          <w:tcPr>
            <w:tcW w:w="915" w:type="pct"/>
          </w:tcPr>
          <w:p w:rsidR="00891760" w:rsidRPr="00891760" w:rsidRDefault="00891760" w:rsidP="00891760">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5. punkta ceturtā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color w:val="000000"/>
              </w:rPr>
              <w:t>Norma nesatur dalībvalstij saistošus pienākumus</w:t>
            </w:r>
          </w:p>
        </w:tc>
        <w:tc>
          <w:tcPr>
            <w:tcW w:w="915" w:type="pct"/>
          </w:tcPr>
          <w:p w:rsidR="00891760" w:rsidRPr="00891760" w:rsidRDefault="00891760" w:rsidP="00891760">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15. panta 6. punkts</w:t>
            </w:r>
          </w:p>
          <w:p w:rsidR="00891760" w:rsidRPr="00891760" w:rsidRDefault="00891760" w:rsidP="00891760">
            <w:pPr>
              <w:spacing w:after="0" w:line="240" w:lineRule="auto"/>
              <w:rPr>
                <w:rFonts w:eastAsia="Times New Roman"/>
                <w:highlight w:val="magenta"/>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Elektroenerģijas tirgus likuma 36. pants;</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2) Sabiedrisko pakalpojumu regulēšanas komisijas 2013. gada 26. jūnija lēmuma Nr. 1/4 „Tīkla kodekss” 74. punkts.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magenta"/>
                <w:lang w:eastAsia="lv-LV"/>
              </w:rPr>
            </w:pPr>
            <w:r w:rsidRPr="00891760">
              <w:t xml:space="preserve">Direktīvas 2012/27/ES </w:t>
            </w:r>
            <w:r w:rsidRPr="00891760">
              <w:rPr>
                <w:rFonts w:eastAsia="Times New Roman"/>
                <w:lang w:eastAsia="lv-LV"/>
              </w:rPr>
              <w:t>15. panta 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highlight w:val="magenta"/>
                <w:lang w:eastAsia="lv-LV"/>
              </w:rPr>
            </w:pPr>
            <w:r w:rsidRPr="00891760">
              <w:rPr>
                <w:rFonts w:eastAsia="Times New Roman"/>
                <w:lang w:eastAsia="lv-LV"/>
              </w:rPr>
              <w:t>15. panta 8. punkta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Likuma „Par sabiedrisko pakalpojumu regulatoriem” 22. panta ceturto daļa.</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15. panta 8. punkta otrā daļa</w:t>
            </w:r>
          </w:p>
          <w:p w:rsidR="00891760" w:rsidRPr="00891760" w:rsidRDefault="00891760" w:rsidP="00891760">
            <w:pPr>
              <w:spacing w:after="0" w:line="240" w:lineRule="auto"/>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Elektroenerģijas tirgus likuma 13. panta pirmā un otrā daļu un 36. pants;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Sabiedrisko pakalpojumu regulēšanas komisijas 2013. gada 26. jūnija lēmuma Nr. 1/4 „Tīkla kodekss” 74. punkts.</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15. panta 8. punkta trešā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daļēji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Elektroenerģijas tirgus likuma 14. pants.</w:t>
            </w:r>
          </w:p>
          <w:p w:rsidR="00891760" w:rsidRPr="00891760" w:rsidRDefault="00891760" w:rsidP="00891760">
            <w:pPr>
              <w:spacing w:after="0" w:line="240" w:lineRule="auto"/>
              <w:rPr>
                <w:rFonts w:eastAsia="Times New Roman"/>
                <w:i/>
                <w:lang w:eastAsia="lv-LV"/>
              </w:rPr>
            </w:pPr>
            <w:r w:rsidRPr="00891760">
              <w:rPr>
                <w:rFonts w:eastAsia="Times New Roman"/>
                <w:i/>
                <w:lang w:eastAsia="lv-LV"/>
              </w:rPr>
              <w:t>Papildus:</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Prasība pilnībā tiks pārņemta ar </w:t>
            </w:r>
            <w:r w:rsidRPr="00891760">
              <w:rPr>
                <w:rFonts w:eastAsia="Times New Roman"/>
                <w:bCs/>
                <w:lang w:eastAsia="lv-LV"/>
              </w:rPr>
              <w:t>likumprojektu „</w:t>
            </w:r>
            <w:r w:rsidRPr="00891760">
              <w:rPr>
                <w:rFonts w:eastAsia="Times New Roman"/>
                <w:lang w:eastAsia="lv-LV"/>
              </w:rPr>
              <w:t>Grozījumi Elektroenerģijas tirgus likumā”.</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Atbildīgā Ekonomikas ministrija</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15. panta 9.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rFonts w:eastAsia="Times New Roman"/>
                <w:lang w:eastAsia="lv-LV"/>
              </w:rPr>
              <w:t>Latvija nav izvēlējusies iespēju ieviest Direktīvas 2012/27/ES 15. panta 9. punkta prasības un tas nenozīmē dalībvalstij stingrāku prasību noteikšanu, nekā paredz Direktīva 2012/27/ES.</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16.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9. panta piekto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Likuma „Par atbilstības novērtēšanu” 1. panta 4. un 9. punktu, 6. panta otrā daļu, 7. panta pirmo daļu, 14. panta pirmās daļas 1. punktu un otro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Ministru kabineta 2010. gada 18. maija noteikumu Nr. 445 „Noteikumi par nacionālo akreditācijas institūciju” 2. punktu;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4) Ministru kabineta 2008. gada 16. decembra noteikumu Nr. 1059 „Noteikumi par atbilstības novērtēšanas institūciju novērtēšanu, akreditāciju un uzraudzību” 2. punktu;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5) LATAK-D.030-13/01.2015 „LATAK akreditācijas kritēriji un</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piemērojamo dokumentu saraksts” publiski pieejams sadaļā „Dokumenti”</w:t>
            </w:r>
            <w:r w:rsidRPr="00891760">
              <w:rPr>
                <w:rFonts w:eastAsia="Times New Roman"/>
                <w:vertAlign w:val="superscript"/>
                <w:lang w:eastAsia="lv-LV"/>
              </w:rPr>
              <w:footnoteReference w:id="28"/>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6) LATAK-D.008-13/01.2014 „Akreditācijas procedūras”</w:t>
            </w:r>
            <w:r w:rsidRPr="00891760">
              <w:rPr>
                <w:rFonts w:eastAsia="Times New Roman"/>
                <w:vertAlign w:val="superscript"/>
                <w:lang w:eastAsia="lv-LV"/>
              </w:rPr>
              <w:footnoteReference w:id="29"/>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7) LATAK-D.009-08/07.2013 „Akreditēto institūciju uzraudzība un atkārtota novērtēšana”</w:t>
            </w:r>
            <w:r w:rsidRPr="00891760">
              <w:rPr>
                <w:rFonts w:eastAsia="Times New Roman"/>
                <w:vertAlign w:val="superscript"/>
                <w:lang w:eastAsia="lv-LV"/>
              </w:rPr>
              <w:footnoteReference w:id="30"/>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8) Ministru kabineta 2013. gada 18. jūlija noteikumiem Nr. 382 „Noteikumi par neatkarīgiem ekspertiem ēku energoefektivitātes jomā”;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9) Dzīvojamo māju pārvaldīšanas likuma 13. panta pirmo, otro, piekto daļu, pārejas noteikumu 6. un 6.(prim) punktiem;</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10) Namu pārvaldnieka profesijas standarta ceturtās daļas 15. punktu</w:t>
            </w:r>
            <w:r w:rsidRPr="00891760">
              <w:rPr>
                <w:rFonts w:eastAsia="Times New Roman"/>
                <w:vertAlign w:val="superscript"/>
                <w:lang w:eastAsia="lv-LV"/>
              </w:rPr>
              <w:footnoteReference w:id="31"/>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11) Nekustamā īpašuma pārvaldnieka profesijas standarta</w:t>
            </w:r>
            <w:r w:rsidRPr="00891760">
              <w:rPr>
                <w:rFonts w:eastAsia="Times New Roman"/>
                <w:lang w:eastAsia="lv-LV"/>
              </w:rPr>
              <w:cr/>
              <w:t>piektās daļas 3.20 apakšpunktu</w:t>
            </w:r>
            <w:r w:rsidRPr="00891760">
              <w:rPr>
                <w:rFonts w:eastAsia="Times New Roman"/>
                <w:vertAlign w:val="superscript"/>
                <w:lang w:eastAsia="lv-LV"/>
              </w:rPr>
              <w:footnoteReference w:id="32"/>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12) Izglītības iestāžu sarakstu, kurās iespējams iegūt dzīvojamo māju pārvaldīšanai nepieciešamo profesionālo izglītību un kvalifikāciju</w:t>
            </w:r>
            <w:r w:rsidRPr="00891760">
              <w:rPr>
                <w:rFonts w:eastAsia="Times New Roman"/>
                <w:vertAlign w:val="superscript"/>
                <w:lang w:eastAsia="lv-LV"/>
              </w:rPr>
              <w:footnoteReference w:id="33"/>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13) Ministru kabineta 2014. gada 7. oktobra noteikumiem Nr. 610 „</w:t>
            </w:r>
            <w:proofErr w:type="spellStart"/>
            <w:r w:rsidRPr="00891760">
              <w:rPr>
                <w:rFonts w:eastAsia="Times New Roman"/>
                <w:lang w:eastAsia="lv-LV"/>
              </w:rPr>
              <w:t>Būvspeciālistu</w:t>
            </w:r>
            <w:proofErr w:type="spellEnd"/>
            <w:r w:rsidRPr="00891760">
              <w:rPr>
                <w:rFonts w:eastAsia="Times New Roman"/>
                <w:lang w:eastAsia="lv-LV"/>
              </w:rPr>
              <w:t xml:space="preserve"> kompetences novērtēšanas un patstāvīgās prakses uzraudzības noteikumi”;</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14) Administratīvo procesa likumu.</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16.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Prasības pārņemtas ar:</w:t>
            </w:r>
          </w:p>
          <w:p w:rsidR="00891760" w:rsidRPr="00891760" w:rsidRDefault="00891760" w:rsidP="00891760">
            <w:pPr>
              <w:spacing w:after="0" w:line="240" w:lineRule="auto"/>
              <w:rPr>
                <w:color w:val="000000"/>
              </w:rPr>
            </w:pPr>
            <w:r w:rsidRPr="00891760">
              <w:rPr>
                <w:color w:val="000000"/>
              </w:rPr>
              <w:t>1) Energoefektivitātes likuma 9. panta piekto daļu;</w:t>
            </w:r>
          </w:p>
          <w:p w:rsidR="00891760" w:rsidRPr="00891760" w:rsidRDefault="00891760" w:rsidP="00891760">
            <w:pPr>
              <w:spacing w:after="0" w:line="240" w:lineRule="auto"/>
              <w:rPr>
                <w:color w:val="000000"/>
              </w:rPr>
            </w:pPr>
            <w:r w:rsidRPr="00891760">
              <w:rPr>
                <w:color w:val="000000"/>
              </w:rPr>
              <w:t>2) Ēku energoefektivitātes likuma 15. pantu;</w:t>
            </w:r>
          </w:p>
          <w:p w:rsidR="00891760" w:rsidRPr="00891760" w:rsidRDefault="00891760" w:rsidP="00891760">
            <w:pPr>
              <w:spacing w:after="0" w:line="240" w:lineRule="auto"/>
              <w:rPr>
                <w:color w:val="000000"/>
              </w:rPr>
            </w:pPr>
            <w:r w:rsidRPr="00891760">
              <w:rPr>
                <w:color w:val="000000"/>
              </w:rPr>
              <w:t>3) Dzīvojamo māju pārvaldīšanas likuma 18. pantu;</w:t>
            </w:r>
          </w:p>
          <w:p w:rsidR="00891760" w:rsidRPr="00891760" w:rsidRDefault="00891760" w:rsidP="00891760">
            <w:pPr>
              <w:spacing w:after="0" w:line="240" w:lineRule="auto"/>
              <w:rPr>
                <w:rFonts w:eastAsia="Times New Roman"/>
                <w:lang w:eastAsia="lv-LV"/>
              </w:rPr>
            </w:pPr>
            <w:r w:rsidRPr="00891760">
              <w:rPr>
                <w:color w:val="000000"/>
              </w:rPr>
              <w:t>4) Ekonomikas ministrijas uzturēto Dzīvojamo māju pārvaldnieku reģistrs</w:t>
            </w:r>
            <w:r w:rsidRPr="00891760">
              <w:rPr>
                <w:color w:val="000000"/>
                <w:vertAlign w:val="superscript"/>
              </w:rPr>
              <w:footnoteReference w:id="34"/>
            </w:r>
            <w:r w:rsidRPr="00891760">
              <w:rPr>
                <w:color w:val="000000"/>
              </w:rPr>
              <w:t>.</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16.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color w:val="000000"/>
              </w:rPr>
              <w:t>Standartizācijas likuma 13. panta otrā daļa.</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17.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Ēku energoefektivitātes likuma 15. panta otrās daļas 3.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17.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4. panta sesto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AS Latvenergo Energoefektivitātes centru</w:t>
            </w:r>
            <w:r w:rsidRPr="00891760">
              <w:rPr>
                <w:rFonts w:eastAsia="Times New Roman"/>
                <w:vertAlign w:val="superscript"/>
                <w:lang w:eastAsia="lv-LV"/>
              </w:rPr>
              <w:footnoteReference w:id="35"/>
            </w:r>
            <w:r w:rsidRPr="00891760">
              <w:rPr>
                <w:rFonts w:eastAsia="Times New Roman"/>
                <w:lang w:eastAsia="lv-LV"/>
              </w:rPr>
              <w:t>;</w:t>
            </w:r>
          </w:p>
          <w:p w:rsidR="00891760" w:rsidRPr="00891760" w:rsidRDefault="00891760" w:rsidP="00891760">
            <w:pPr>
              <w:spacing w:after="0" w:line="240" w:lineRule="auto"/>
              <w:rPr>
                <w:rFonts w:eastAsia="Times New Roman"/>
                <w:b/>
                <w:lang w:eastAsia="lv-LV"/>
              </w:rPr>
            </w:pPr>
            <w:r w:rsidRPr="00891760">
              <w:rPr>
                <w:rFonts w:eastAsia="Times New Roman"/>
                <w:lang w:eastAsia="lv-LV"/>
              </w:rPr>
              <w:t>3) AS “Latvijas gāze” Klientu apkalpošanas centru un kontaktu centrs</w:t>
            </w:r>
            <w:r w:rsidRPr="00891760">
              <w:rPr>
                <w:rFonts w:eastAsia="Times New Roman"/>
                <w:vertAlign w:val="superscript"/>
                <w:lang w:eastAsia="lv-LV"/>
              </w:rPr>
              <w:footnoteReference w:id="36"/>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17.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17. panta 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4.panta sesto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Ekonomikas ministrijas pastāvīgā informatīvā kampaņu “Dzīvo siltāk”</w:t>
            </w:r>
            <w:r w:rsidRPr="00891760">
              <w:rPr>
                <w:rFonts w:eastAsia="Times New Roman"/>
                <w:vertAlign w:val="superscript"/>
                <w:lang w:eastAsia="lv-LV"/>
              </w:rPr>
              <w:footnoteReference w:id="37"/>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Rīgas Domes 2007. gada 23. janvāra lēmumu „Par Rīgas pašvaldības aģentūras „Rīgas enerģētikas aģentūra” izveidošanu”</w:t>
            </w:r>
            <w:r w:rsidRPr="00891760">
              <w:rPr>
                <w:rFonts w:eastAsia="Times New Roman"/>
                <w:vertAlign w:val="superscript"/>
                <w:lang w:eastAsia="lv-LV"/>
              </w:rPr>
              <w:footnoteReference w:id="38"/>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4) Zemgales reģionālā enerģētikas aģentūru</w:t>
            </w:r>
            <w:r w:rsidRPr="00891760">
              <w:rPr>
                <w:rFonts w:eastAsia="Times New Roman"/>
                <w:vertAlign w:val="superscript"/>
                <w:lang w:eastAsia="lv-LV"/>
              </w:rPr>
              <w:footnoteReference w:id="39"/>
            </w:r>
            <w:r w:rsidRPr="00891760">
              <w:rPr>
                <w:rFonts w:eastAsia="Times New Roman"/>
                <w:lang w:eastAsia="lv-LV"/>
              </w:rPr>
              <w:t>.</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17. panta 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18.panta 1.punkts a)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Energoefektivitātes likuma 4. panta septīto daļu;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2) Ministru kabineta 2015. gada 4. februāra rīkojumu Nr. 62 (prot. Nr. 5., 66.§)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„Par Eiropas Savienības struktūrfondu un Kohēzijas fonda 2014.-2020.gada plānošanas perioda darbības </w:t>
            </w:r>
            <w:r w:rsidRPr="00891760">
              <w:rPr>
                <w:rFonts w:eastAsia="Times New Roman"/>
                <w:lang w:eastAsia="lv-LV"/>
              </w:rPr>
              <w:lastRenderedPageBreak/>
              <w:t>programmu “Izaugsme un nodarbinātība”” nodarbinātība”</w:t>
            </w:r>
            <w:r w:rsidRPr="00891760">
              <w:rPr>
                <w:rFonts w:eastAsia="Times New Roman"/>
                <w:vertAlign w:val="superscript"/>
                <w:lang w:eastAsia="lv-LV"/>
              </w:rPr>
              <w:footnoteReference w:id="40"/>
            </w:r>
            <w:r w:rsidRPr="00891760">
              <w:rPr>
                <w:rFonts w:eastAsia="Times New Roman"/>
                <w:lang w:eastAsia="lv-LV"/>
              </w:rPr>
              <w:t>.</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18.panta 1.punkts b) un c) apakšpunkti</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color w:val="000000"/>
              </w:rPr>
            </w:pPr>
            <w:r w:rsidRPr="00891760">
              <w:rPr>
                <w:color w:val="000000"/>
              </w:rPr>
              <w:t>Norma nesatur dalībvalstij saistošus pienākumus.</w:t>
            </w:r>
          </w:p>
          <w:p w:rsidR="00891760" w:rsidRPr="00891760" w:rsidRDefault="00891760" w:rsidP="00891760">
            <w:pPr>
              <w:spacing w:after="0" w:line="240" w:lineRule="auto"/>
              <w:rPr>
                <w:color w:val="000000"/>
              </w:rPr>
            </w:pPr>
            <w:r w:rsidRPr="00891760">
              <w:rPr>
                <w:color w:val="000000"/>
              </w:rPr>
              <w:t>Energopakalpojumu tirgus veicināšanai tiek izmantoti esošie Eiropas Savienības un starptautiskie kvalitātes marķējumi.</w:t>
            </w:r>
          </w:p>
          <w:p w:rsidR="00891760" w:rsidRPr="00891760" w:rsidRDefault="00891760" w:rsidP="00891760">
            <w:pPr>
              <w:spacing w:after="0" w:line="240" w:lineRule="auto"/>
              <w:rPr>
                <w:rFonts w:eastAsia="Times New Roman"/>
                <w:lang w:eastAsia="lv-LV"/>
              </w:rPr>
            </w:pPr>
            <w:r w:rsidRPr="00891760">
              <w:rPr>
                <w:color w:val="000000"/>
              </w:rPr>
              <w:t>Ekonomikas ministrijas tīmekļa vietnē norādīta informācija par energoefektivitātes pakalpojumu sniedzējiem</w:t>
            </w:r>
            <w:r w:rsidRPr="00891760">
              <w:rPr>
                <w:color w:val="000000"/>
                <w:vertAlign w:val="superscript"/>
              </w:rPr>
              <w:footnoteReference w:id="41"/>
            </w:r>
            <w:r w:rsidRPr="00891760">
              <w:rPr>
                <w:color w:val="000000"/>
              </w:rPr>
              <w:t>.</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18. panta 1. punkts d)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Vides un reģionālās attīstības ministrijas izstrādāto energoefektivitātes pakalpojuma līguma paraugu pašvaldībām un valsts tiešās pārvaldes iestādēm</w:t>
            </w:r>
            <w:r w:rsidRPr="00891760">
              <w:rPr>
                <w:rFonts w:eastAsia="Times New Roman"/>
                <w:vertAlign w:val="superscript"/>
                <w:lang w:eastAsia="lv-LV"/>
              </w:rPr>
              <w:footnoteReference w:id="42"/>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Vides un reģionālās attīstības ministrijas izstrādātajiem metodiskajiem norādījumiem pašvaldībām un valsts tiešās pārvaldes iestādēm energoefektivitātes pakalpojuma iepirkumam</w:t>
            </w:r>
            <w:r w:rsidRPr="00891760">
              <w:rPr>
                <w:rFonts w:eastAsia="Times New Roman"/>
                <w:vertAlign w:val="superscript"/>
                <w:lang w:eastAsia="lv-LV"/>
              </w:rPr>
              <w:footnoteReference w:id="43"/>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3) Informatīvais ziņojumu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891760">
              <w:t xml:space="preserve"> </w:t>
            </w:r>
            <w:r w:rsidRPr="00891760">
              <w:rPr>
                <w:vertAlign w:val="superscript"/>
              </w:rPr>
              <w:footnoteReference w:id="44"/>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18. panta 1. punkts e)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 pārņemta ar informatīvā ziņojuma “</w:t>
            </w:r>
            <w:r w:rsidRPr="00891760">
              <w:t xml:space="preserve">Par virzību uz indikatīvo valsts energoefektivitātes mērķi 2014. – 2016. gadā saskaņā ar </w:t>
            </w:r>
            <w:r w:rsidRPr="00891760">
              <w:rPr>
                <w:bCs/>
                <w:color w:val="000000"/>
              </w:rPr>
              <w:t xml:space="preserve">Eiropas Parlamenta un Padomes 2012. gada 25. oktobra Direktīvu 2012/27/ES par energoefektivitāti, ar ko groza Direktīvas 2009/125/EK un 2010/30/ES un atceļ Direktīvas 2004/8/EK un 2006/32/EK” (iesniegts Eiropas Komisijā </w:t>
            </w:r>
            <w:r w:rsidRPr="00891760">
              <w:rPr>
                <w:bCs/>
                <w:color w:val="000000"/>
                <w:u w:val="single"/>
              </w:rPr>
              <w:t>2014. gada 9. jūnijā)  3.1.11.apakšpunktu.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18.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 Energoefektivitātes likuma 14. panta pirmo, otro, trešo, ceturto un piekto daļu.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18. panta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Prasības pārņemtas ar Energoefektivitātes likuma 14. panta sesto daļu. </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19. panta 1. punkta a)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lastRenderedPageBreak/>
              <w:t>Prasības pārņemtas ar:</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Dzīvojamo māju pārvaldīšanas likuma 6. panta otrās daļas 1. punkta f) apakšpunktu;</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Dzīvokļa īpašuma likuma 13. pantu.</w:t>
            </w:r>
          </w:p>
        </w:tc>
        <w:tc>
          <w:tcPr>
            <w:tcW w:w="915" w:type="pct"/>
          </w:tcPr>
          <w:p w:rsidR="00891760" w:rsidRPr="00891760" w:rsidRDefault="00891760" w:rsidP="00891760">
            <w:pPr>
              <w:spacing w:after="0" w:line="240" w:lineRule="auto"/>
            </w:pPr>
            <w:r w:rsidRPr="00891760">
              <w:rPr>
                <w:spacing w:val="-2"/>
              </w:rPr>
              <w:lastRenderedPageBreak/>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19. panta 1. punkta b)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w:t>
            </w:r>
          </w:p>
          <w:p w:rsidR="00891760" w:rsidRPr="00891760" w:rsidRDefault="00891760" w:rsidP="00891760">
            <w:pPr>
              <w:spacing w:after="0" w:line="240" w:lineRule="auto"/>
              <w:rPr>
                <w:spacing w:val="-2"/>
              </w:rPr>
            </w:pPr>
            <w:r w:rsidRPr="00891760">
              <w:rPr>
                <w:spacing w:val="-2"/>
              </w:rPr>
              <w:t>1) Ekonomikas ministrijas dokumentu „Ieteikumi enerģijas sektora plānošanai pašvaldībās”</w:t>
            </w:r>
            <w:r w:rsidRPr="00891760">
              <w:rPr>
                <w:spacing w:val="-2"/>
                <w:vertAlign w:val="superscript"/>
              </w:rPr>
              <w:footnoteReference w:id="45"/>
            </w:r>
            <w:r w:rsidRPr="00891760">
              <w:rPr>
                <w:spacing w:val="-2"/>
              </w:rPr>
              <w:t>;</w:t>
            </w:r>
            <w:hyperlink r:id="rId9" w:history="1"/>
            <w:r w:rsidRPr="00891760">
              <w:rPr>
                <w:spacing w:val="-2"/>
              </w:rPr>
              <w:t xml:space="preserve"> </w:t>
            </w:r>
          </w:p>
          <w:p w:rsidR="00891760" w:rsidRPr="00891760" w:rsidRDefault="00891760" w:rsidP="00891760">
            <w:pPr>
              <w:spacing w:after="0" w:line="240" w:lineRule="auto"/>
              <w:rPr>
                <w:spacing w:val="-2"/>
              </w:rPr>
            </w:pPr>
            <w:r w:rsidRPr="00891760">
              <w:rPr>
                <w:spacing w:val="-2"/>
              </w:rPr>
              <w:t>2) Zaļā iepirkuma veicināšanas plānu 2015.-2017. gadam, apstiprināts Ministru kabinetā 2015. gada 17. februārī (Protokols Nr.9, 24.§)</w:t>
            </w:r>
            <w:r w:rsidRPr="00891760">
              <w:rPr>
                <w:spacing w:val="-2"/>
                <w:vertAlign w:val="superscript"/>
              </w:rPr>
              <w:footnoteReference w:id="46"/>
            </w:r>
            <w:r w:rsidRPr="00891760">
              <w:rPr>
                <w:spacing w:val="-2"/>
              </w:rPr>
              <w:t>;</w:t>
            </w:r>
          </w:p>
          <w:p w:rsidR="00891760" w:rsidRPr="00891760" w:rsidRDefault="00891760" w:rsidP="00891760">
            <w:pPr>
              <w:spacing w:after="0" w:line="240" w:lineRule="auto"/>
              <w:rPr>
                <w:spacing w:val="-2"/>
              </w:rPr>
            </w:pPr>
            <w:r w:rsidRPr="00891760">
              <w:rPr>
                <w:spacing w:val="-2"/>
              </w:rPr>
              <w:t>3) Vides aizsardzības un reģionālās attīstības ministrijas dokumentu „Metodiskie ieteikumi attīstības programmu izstrādei reģionālā un vietējā līmenī” un tā 1. pielikumu „Nozaru politiku vadlīnijas, kas būtu jāņem vērā izstrādājot pašvaldību attīstības programmas 2014.-2020. gadam”</w:t>
            </w:r>
            <w:r w:rsidRPr="00891760">
              <w:rPr>
                <w:spacing w:val="-2"/>
                <w:vertAlign w:val="superscript"/>
              </w:rPr>
              <w:footnoteReference w:id="47"/>
            </w:r>
            <w:r w:rsidRPr="00891760">
              <w:rPr>
                <w:spacing w:val="-2"/>
              </w:rPr>
              <w:t>;</w:t>
            </w:r>
          </w:p>
          <w:p w:rsidR="00891760" w:rsidRPr="00891760" w:rsidRDefault="00891760" w:rsidP="00891760">
            <w:pPr>
              <w:spacing w:after="0" w:line="240" w:lineRule="auto"/>
              <w:rPr>
                <w:spacing w:val="-2"/>
              </w:rPr>
            </w:pPr>
            <w:r w:rsidRPr="00891760">
              <w:rPr>
                <w:spacing w:val="-2"/>
              </w:rPr>
              <w:t>4)</w:t>
            </w:r>
            <w:r w:rsidRPr="00891760">
              <w:t xml:space="preserve"> </w:t>
            </w:r>
            <w:r w:rsidRPr="00891760">
              <w:rPr>
                <w:spacing w:val="-2"/>
              </w:rPr>
              <w:t>Vides aizsardzības un reģionālās attīstības ministrijas un Iepirkumu uzraudzības biroja ”Ieteikumos videi draudzīgas būvniecības veicināšanai”</w:t>
            </w:r>
            <w:r w:rsidRPr="00891760">
              <w:rPr>
                <w:spacing w:val="-2"/>
                <w:vertAlign w:val="superscript"/>
              </w:rPr>
              <w:footnoteReference w:id="48"/>
            </w:r>
            <w:r w:rsidRPr="00891760">
              <w:rPr>
                <w:spacing w:val="-2"/>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19.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891760">
              <w:rPr>
                <w:vertAlign w:val="superscript"/>
              </w:rPr>
              <w:footnoteReference w:id="49"/>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20.panta 1.punkts</w:t>
            </w:r>
          </w:p>
          <w:p w:rsidR="00891760" w:rsidRPr="00891760" w:rsidRDefault="00891760" w:rsidP="00891760">
            <w:pPr>
              <w:spacing w:after="0" w:line="240" w:lineRule="auto"/>
              <w:rPr>
                <w:rFonts w:eastAsia="Times New Roman"/>
                <w:lang w:eastAsia="lv-LV"/>
              </w:rPr>
            </w:pP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rPr>
            </w:pPr>
            <w:r w:rsidRPr="00891760">
              <w:rPr>
                <w:b/>
              </w:rPr>
              <w:t>Pārņemts pilnībā</w:t>
            </w:r>
          </w:p>
          <w:p w:rsidR="00891760" w:rsidRPr="00891760" w:rsidRDefault="00891760" w:rsidP="00891760">
            <w:pPr>
              <w:spacing w:after="0" w:line="240" w:lineRule="auto"/>
            </w:pPr>
            <w:r w:rsidRPr="00891760">
              <w:t>1)</w:t>
            </w:r>
            <w:r w:rsidRPr="00891760">
              <w:rPr>
                <w:rFonts w:eastAsia="Times New Roman"/>
                <w:color w:val="FF0000"/>
                <w:lang w:eastAsia="lv-LV"/>
              </w:rPr>
              <w:t xml:space="preserve"> </w:t>
            </w:r>
            <w:r w:rsidRPr="00891760">
              <w:t>Latvijas Nacionālā attīstības plāna 2014. – 2020. gadam (apstiprināts 2012. gada 20. decembrī) 123. tabulas 5. punkts;</w:t>
            </w:r>
          </w:p>
          <w:p w:rsidR="00891760" w:rsidRPr="00891760" w:rsidRDefault="00891760" w:rsidP="00891760">
            <w:pPr>
              <w:spacing w:after="0" w:line="240" w:lineRule="auto"/>
              <w:rPr>
                <w:rFonts w:eastAsia="Times New Roman"/>
                <w:lang w:eastAsia="lv-LV"/>
              </w:rPr>
            </w:pPr>
            <w:r w:rsidRPr="00891760">
              <w:t>2) Ministru kabineta 2013. gada 17. decembra rīkojums Nr. 643 “Par akciju sabiedrības “Attīstības finanšu institūcija” dibināšanu””</w:t>
            </w:r>
            <w:r w:rsidRPr="00891760">
              <w:rPr>
                <w:vertAlign w:val="superscript"/>
              </w:rPr>
              <w:footnoteReference w:id="50"/>
            </w:r>
            <w:r w:rsidRPr="00891760">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20. panta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20. panta 3. punkts</w:t>
            </w:r>
          </w:p>
        </w:tc>
        <w:tc>
          <w:tcPr>
            <w:tcW w:w="714" w:type="pct"/>
          </w:tcPr>
          <w:p w:rsidR="00891760" w:rsidRPr="00891760" w:rsidRDefault="00891760" w:rsidP="00891760">
            <w:pPr>
              <w:spacing w:after="0" w:line="240" w:lineRule="auto"/>
              <w:rPr>
                <w:rFonts w:eastAsia="Times New Roman"/>
                <w:lang w:eastAsia="lv-LV"/>
              </w:rPr>
            </w:pPr>
          </w:p>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w:t>
            </w:r>
            <w:r w:rsidRPr="00891760">
              <w:lastRenderedPageBreak/>
              <w:t xml:space="preserve">2012/27/ES </w:t>
            </w:r>
            <w:r w:rsidRPr="00891760">
              <w:rPr>
                <w:rFonts w:eastAsia="Times New Roman"/>
                <w:lang w:eastAsia="lv-LV"/>
              </w:rPr>
              <w:t>20.panta 4.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nesatur dalībvalstij saistošus pienākumus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 xml:space="preserve">Neparedz </w:t>
            </w:r>
            <w:r w:rsidRPr="00891760">
              <w:rPr>
                <w:spacing w:val="-2"/>
              </w:rPr>
              <w:lastRenderedPageBreak/>
              <w:t>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20. panta 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 xml:space="preserve">Norma nesatur dalībvalstij saistošus pienākumus </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20.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nesatur dalībvalstij saistošus pienākumus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20. panta 7.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nesatur dalībvalstij saistošus pienākumus</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21. pants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Pārrēķina koeficienti </w:t>
            </w:r>
            <w:proofErr w:type="spellStart"/>
            <w:r w:rsidRPr="00891760">
              <w:rPr>
                <w:rFonts w:eastAsia="Times New Roman"/>
                <w:lang w:eastAsia="lv-LV"/>
              </w:rPr>
              <w:t>Teradžoulos</w:t>
            </w:r>
            <w:proofErr w:type="spellEnd"/>
            <w:r w:rsidRPr="00891760">
              <w:rPr>
                <w:rFonts w:eastAsia="Times New Roman"/>
                <w:lang w:eastAsia="lv-LV"/>
              </w:rPr>
              <w:t xml:space="preserve"> (TJ) pieejami Centrālās statistikas pārvaldes datu bāzē </w:t>
            </w:r>
            <w:r w:rsidRPr="00891760">
              <w:t xml:space="preserve">ENG02. ENERGOBILANCE, TJ, </w:t>
            </w:r>
            <w:proofErr w:type="spellStart"/>
            <w:r w:rsidRPr="00891760">
              <w:t>tūkst.toe</w:t>
            </w:r>
            <w:proofErr w:type="spellEnd"/>
            <w:r w:rsidRPr="00891760">
              <w:t xml:space="preserve"> (NACE 2.red.)</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22. pants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23. pants </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24. panta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Latvijas nacionālā reformu programma „Eiropa 2020” stratēģijas īstenošanai.</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24. panta 2. punkts </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Energoefektivitātes likuma 4. panta otrā daļa.</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24. panta 3.,4. un 5.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24. panta 6.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Prasības pārņemtas ar Energoefektivitātes likuma 4. panta piekto daļu.</w:t>
            </w:r>
          </w:p>
          <w:p w:rsidR="00891760" w:rsidRPr="00891760" w:rsidRDefault="00891760" w:rsidP="00891760">
            <w:pPr>
              <w:spacing w:after="0" w:line="240" w:lineRule="auto"/>
              <w:rPr>
                <w:rFonts w:eastAsia="Times New Roman"/>
                <w:lang w:eastAsia="lv-LV"/>
              </w:rPr>
            </w:pP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24. panta 7. - 11.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25. - 28. panta 1. punkts</w:t>
            </w:r>
          </w:p>
        </w:tc>
        <w:tc>
          <w:tcPr>
            <w:tcW w:w="714" w:type="pct"/>
          </w:tcPr>
          <w:p w:rsidR="00891760" w:rsidRPr="00891760" w:rsidRDefault="00891760" w:rsidP="00094F41">
            <w:pPr>
              <w:spacing w:after="0" w:line="240" w:lineRule="auto"/>
              <w:rPr>
                <w:rFonts w:eastAsia="Times New Roman"/>
                <w:lang w:eastAsia="lv-LV"/>
              </w:rPr>
            </w:pPr>
            <w:r w:rsidRPr="00891760">
              <w:rPr>
                <w:rFonts w:eastAsia="Times New Roman"/>
                <w:lang w:eastAsia="lv-LV"/>
              </w:rPr>
              <w:t>Noteikumu projekt</w:t>
            </w:r>
            <w:r w:rsidR="00094F41">
              <w:rPr>
                <w:rFonts w:eastAsia="Times New Roman"/>
                <w:lang w:eastAsia="lv-LV"/>
              </w:rPr>
              <w:t xml:space="preserve">a 2.punkts - </w:t>
            </w:r>
            <w:r w:rsidRPr="00891760">
              <w:rPr>
                <w:rFonts w:eastAsia="Times New Roman"/>
                <w:lang w:eastAsia="lv-LV"/>
              </w:rPr>
              <w:t xml:space="preserve"> iekļauta informatīva atsauce uz Eiropas </w:t>
            </w:r>
            <w:r w:rsidRPr="00891760">
              <w:rPr>
                <w:rFonts w:eastAsia="Times New Roman"/>
                <w:lang w:eastAsia="lv-LV"/>
              </w:rPr>
              <w:lastRenderedPageBreak/>
              <w:t>savienības direktīvu</w:t>
            </w:r>
          </w:p>
        </w:tc>
        <w:tc>
          <w:tcPr>
            <w:tcW w:w="2523" w:type="pct"/>
          </w:tcPr>
          <w:p w:rsidR="00891760" w:rsidRPr="00891760" w:rsidRDefault="00891760" w:rsidP="00891760">
            <w:pPr>
              <w:spacing w:after="0" w:line="240" w:lineRule="auto"/>
              <w:rPr>
                <w:rFonts w:eastAsia="Times New Roman"/>
                <w:lang w:eastAsia="lv-LV"/>
              </w:rPr>
            </w:pPr>
            <w:r w:rsidRPr="00891760">
              <w:rPr>
                <w:b/>
                <w:spacing w:val="-2"/>
              </w:rPr>
              <w:lastRenderedPageBreak/>
              <w:t>Pārņemts pilnībā</w:t>
            </w:r>
            <w:r w:rsidRPr="00891760">
              <w:rPr>
                <w:color w:val="000000"/>
              </w:rPr>
              <w:t xml:space="preserve"> </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jc w:val="both"/>
              <w:rPr>
                <w:spacing w:val="-2"/>
              </w:rPr>
            </w:pPr>
            <w:r w:rsidRPr="00891760">
              <w:lastRenderedPageBreak/>
              <w:t xml:space="preserve">Direktīvas 2012/27/ES </w:t>
            </w:r>
            <w:r w:rsidRPr="00891760">
              <w:rPr>
                <w:spacing w:val="-2"/>
              </w:rPr>
              <w:t>28. panta 2. punkts</w:t>
            </w:r>
          </w:p>
        </w:tc>
        <w:tc>
          <w:tcPr>
            <w:tcW w:w="714" w:type="pct"/>
          </w:tcPr>
          <w:p w:rsidR="00891760" w:rsidRPr="00891760" w:rsidRDefault="00891760" w:rsidP="00094F41">
            <w:pPr>
              <w:spacing w:after="0" w:line="240" w:lineRule="auto"/>
              <w:jc w:val="both"/>
              <w:rPr>
                <w:spacing w:val="-2"/>
              </w:rPr>
            </w:pPr>
            <w:r w:rsidRPr="00891760">
              <w:rPr>
                <w:rFonts w:eastAsia="Times New Roman"/>
                <w:lang w:eastAsia="lv-LV"/>
              </w:rPr>
              <w:t>Noteikumu projekt</w:t>
            </w:r>
            <w:r w:rsidR="00094F41">
              <w:rPr>
                <w:rFonts w:eastAsia="Times New Roman"/>
                <w:lang w:eastAsia="lv-LV"/>
              </w:rPr>
              <w:t xml:space="preserve">a 2.punkts- </w:t>
            </w:r>
            <w:r w:rsidRPr="00891760">
              <w:rPr>
                <w:rFonts w:eastAsia="Times New Roman"/>
                <w:lang w:eastAsia="lv-LV"/>
              </w:rPr>
              <w:t xml:space="preserve"> iekļauta informatīva atsauce uz Eiropas savienības direktīvu</w:t>
            </w:r>
          </w:p>
        </w:tc>
        <w:tc>
          <w:tcPr>
            <w:tcW w:w="2523" w:type="pct"/>
          </w:tcPr>
          <w:p w:rsidR="00891760" w:rsidRPr="00891760" w:rsidRDefault="00891760" w:rsidP="00891760">
            <w:pPr>
              <w:spacing w:after="0" w:line="240" w:lineRule="auto"/>
              <w:jc w:val="both"/>
              <w:rPr>
                <w:b/>
                <w:spacing w:val="-2"/>
              </w:rPr>
            </w:pPr>
            <w:r w:rsidRPr="00891760">
              <w:rPr>
                <w:b/>
                <w:spacing w:val="-2"/>
              </w:rPr>
              <w:t>Pārņemts pilnībā</w:t>
            </w:r>
          </w:p>
        </w:tc>
        <w:tc>
          <w:tcPr>
            <w:tcW w:w="915" w:type="pct"/>
          </w:tcPr>
          <w:p w:rsidR="00891760" w:rsidRPr="00891760" w:rsidRDefault="00891760" w:rsidP="00891760">
            <w:pPr>
              <w:spacing w:after="0" w:line="240" w:lineRule="auto"/>
              <w:jc w:val="both"/>
              <w:rPr>
                <w:spacing w:val="-2"/>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29. - 30. pants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lang w:eastAsia="lv-LV"/>
              </w:rPr>
            </w:pPr>
            <w:r w:rsidRPr="00891760">
              <w:rPr>
                <w:color w:val="000000"/>
              </w:rPr>
              <w:t>Norma noteic pienākumu Eiropas Komisijai</w:t>
            </w:r>
          </w:p>
        </w:tc>
        <w:tc>
          <w:tcPr>
            <w:tcW w:w="915" w:type="pct"/>
          </w:tcPr>
          <w:p w:rsidR="00891760" w:rsidRPr="00891760" w:rsidRDefault="00891760" w:rsidP="00891760">
            <w:pPr>
              <w:spacing w:after="0" w:line="240" w:lineRule="auto"/>
              <w:rPr>
                <w:rFonts w:eastAsia="Times New Roman"/>
                <w:lang w:eastAsia="lv-LV"/>
              </w:rPr>
            </w:pP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 pielikuma I daļas a)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 xml:space="preserve">Ministru kabineta </w:t>
            </w:r>
            <w:r w:rsidRPr="00891760">
              <w:rPr>
                <w:rFonts w:eastAsia="Times New Roman"/>
                <w:lang w:eastAsia="lv-LV"/>
              </w:rPr>
              <w:t xml:space="preserve">2009. gada 10. marta </w:t>
            </w:r>
            <w:r w:rsidRPr="00891760">
              <w:rPr>
                <w:color w:val="000000"/>
              </w:rPr>
              <w:t>noteikumu Nr. 221 „Noteikumi par elektroenerģijas ražošanu un cenu noteikšanu, ražojot elektroenerģiju koģenerācijā” 29.2. apakšpunkts.</w:t>
            </w:r>
          </w:p>
        </w:tc>
        <w:tc>
          <w:tcPr>
            <w:tcW w:w="915" w:type="pct"/>
          </w:tcPr>
          <w:p w:rsidR="00891760" w:rsidRPr="00891760" w:rsidRDefault="00891760" w:rsidP="00891760">
            <w:pPr>
              <w:spacing w:after="0" w:line="240" w:lineRule="auto"/>
              <w:rPr>
                <w:rFonts w:eastAsia="Times New Roman"/>
                <w:lang w:eastAsia="lv-LV"/>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 pielikuma I daļas b)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color w:val="000000"/>
              </w:rPr>
            </w:pPr>
            <w:r w:rsidRPr="00891760">
              <w:rPr>
                <w:b/>
                <w:spacing w:val="-2"/>
              </w:rPr>
              <w:t xml:space="preserve">Pārņemts </w:t>
            </w:r>
            <w:r w:rsidRPr="00891760">
              <w:rPr>
                <w:b/>
                <w:color w:val="000000"/>
              </w:rPr>
              <w:t>pilnībā</w:t>
            </w:r>
            <w:r w:rsidRPr="00891760">
              <w:rPr>
                <w:color w:val="000000"/>
              </w:rPr>
              <w:t xml:space="preserve"> </w:t>
            </w:r>
          </w:p>
          <w:p w:rsidR="00891760" w:rsidRPr="00891760" w:rsidRDefault="00891760" w:rsidP="00891760">
            <w:pPr>
              <w:spacing w:after="0" w:line="240" w:lineRule="auto"/>
              <w:rPr>
                <w:color w:val="000000"/>
              </w:rPr>
            </w:pPr>
            <w:r w:rsidRPr="00891760">
              <w:rPr>
                <w:color w:val="000000"/>
              </w:rPr>
              <w:t xml:space="preserve">Ministru kabineta </w:t>
            </w:r>
            <w:r w:rsidRPr="00891760">
              <w:rPr>
                <w:rFonts w:eastAsia="Times New Roman"/>
                <w:lang w:eastAsia="lv-LV"/>
              </w:rPr>
              <w:t xml:space="preserve">2009. gada 10. marta </w:t>
            </w:r>
            <w:r w:rsidRPr="00891760">
              <w:rPr>
                <w:color w:val="000000"/>
              </w:rPr>
              <w:t>noteikumu Nr. 221 „Noteikumi par elektroenerģijas ražošanu un cenu noteikšanu, ražojot elektroenerģiju koģenerācijā” 29.3. apakšpunkts un 4. pielikums.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 pielikuma I daļas c), d), e) apakšpunkti</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color w:val="000000"/>
              </w:rPr>
            </w:pPr>
            <w:r w:rsidRPr="00891760">
              <w:rPr>
                <w:b/>
                <w:spacing w:val="-2"/>
              </w:rPr>
              <w:t xml:space="preserve">Pārņemts </w:t>
            </w:r>
            <w:r w:rsidRPr="00891760">
              <w:rPr>
                <w:b/>
                <w:color w:val="000000"/>
              </w:rPr>
              <w:t>pilnībā</w:t>
            </w:r>
            <w:r w:rsidRPr="00891760">
              <w:rPr>
                <w:color w:val="000000"/>
              </w:rPr>
              <w:t xml:space="preserve"> </w:t>
            </w:r>
          </w:p>
          <w:p w:rsidR="00891760" w:rsidRPr="00891760" w:rsidRDefault="00891760" w:rsidP="00891760">
            <w:pPr>
              <w:spacing w:after="0" w:line="240" w:lineRule="auto"/>
              <w:rPr>
                <w:b/>
                <w:color w:val="000000"/>
              </w:rPr>
            </w:pPr>
            <w:r w:rsidRPr="00891760">
              <w:rPr>
                <w:color w:val="000000"/>
              </w:rPr>
              <w:t xml:space="preserve">Ministru kabineta </w:t>
            </w:r>
            <w:r w:rsidRPr="00891760">
              <w:rPr>
                <w:rFonts w:eastAsia="Times New Roman"/>
                <w:lang w:eastAsia="lv-LV"/>
              </w:rPr>
              <w:t xml:space="preserve">2009. gada 10. marta </w:t>
            </w:r>
            <w:r w:rsidRPr="00891760">
              <w:rPr>
                <w:color w:val="000000"/>
              </w:rPr>
              <w:t>noteikumu Nr. 221 „Noteikumi par elektroenerģijas ražošanu un cenu noteikšanu, ražojot elektroenerģiju koģenerācijā” 29.3. apakšpunkts un 4. pielikums.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 pielikuma II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 xml:space="preserve">Pārņemts pilnībā </w:t>
            </w:r>
          </w:p>
          <w:p w:rsidR="00891760" w:rsidRPr="00891760" w:rsidRDefault="00891760" w:rsidP="00891760">
            <w:pPr>
              <w:spacing w:after="0" w:line="240" w:lineRule="auto"/>
            </w:pPr>
            <w:r w:rsidRPr="00891760">
              <w:rPr>
                <w:bCs/>
                <w:color w:val="000000"/>
              </w:rPr>
              <w:t>Ministru kabineta 2009. gada 10. marta noteikumu Nr. 221 „Noteikumi par elektroenerģijas ražošanu un cenu noteikšanu, ražojot elektroenerģiju koģenerācijā” 4. punkts.</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II pielikuma a) apakšpunkts</w:t>
            </w:r>
          </w:p>
        </w:tc>
        <w:tc>
          <w:tcPr>
            <w:tcW w:w="714" w:type="pct"/>
          </w:tcPr>
          <w:p w:rsidR="00891760" w:rsidRPr="00891760" w:rsidRDefault="00891760" w:rsidP="00891760">
            <w:pPr>
              <w:ind w:left="-27"/>
              <w:rPr>
                <w:rFonts w:eastAsia="Times New Roman"/>
              </w:rPr>
            </w:pPr>
          </w:p>
        </w:tc>
        <w:tc>
          <w:tcPr>
            <w:tcW w:w="2523" w:type="pct"/>
          </w:tcPr>
          <w:p w:rsidR="00891760" w:rsidRPr="00891760" w:rsidRDefault="00891760" w:rsidP="00891760">
            <w:pPr>
              <w:spacing w:after="0" w:line="240" w:lineRule="auto"/>
              <w:rPr>
                <w:b/>
                <w:spacing w:val="-2"/>
              </w:rPr>
            </w:pPr>
            <w:r w:rsidRPr="00891760">
              <w:rPr>
                <w:b/>
                <w:spacing w:val="-2"/>
              </w:rPr>
              <w:t xml:space="preserve">Pārņemts pilnībā </w:t>
            </w:r>
          </w:p>
          <w:p w:rsidR="00891760" w:rsidRPr="00891760" w:rsidRDefault="00891760" w:rsidP="00891760">
            <w:pPr>
              <w:spacing w:after="0" w:line="240" w:lineRule="auto"/>
              <w:rPr>
                <w:color w:val="000000"/>
              </w:rPr>
            </w:pPr>
            <w:r w:rsidRPr="00891760">
              <w:rPr>
                <w:color w:val="000000"/>
              </w:rPr>
              <w:t xml:space="preserve">Ministru kabineta </w:t>
            </w:r>
            <w:r w:rsidRPr="00891760">
              <w:rPr>
                <w:bCs/>
                <w:color w:val="000000"/>
              </w:rPr>
              <w:t>2009. gada 10. marta</w:t>
            </w:r>
            <w:r w:rsidRPr="00891760">
              <w:rPr>
                <w:color w:val="000000"/>
              </w:rPr>
              <w:t xml:space="preserve"> noteikumu Nr. 221 „Noteikumi par elektroenerģijas ražošanu un cenu noteikšanu, ražojot elektroenerģiju koģenerācijā” 6.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II pielikuma b) apakšpunkts</w:t>
            </w:r>
          </w:p>
        </w:tc>
        <w:tc>
          <w:tcPr>
            <w:tcW w:w="714" w:type="pct"/>
          </w:tcPr>
          <w:p w:rsidR="00891760" w:rsidRPr="00891760" w:rsidRDefault="00891760" w:rsidP="00891760">
            <w:pPr>
              <w:ind w:left="-27"/>
              <w:rPr>
                <w:rFonts w:eastAsia="Times New Roman"/>
              </w:rPr>
            </w:pPr>
          </w:p>
        </w:tc>
        <w:tc>
          <w:tcPr>
            <w:tcW w:w="2523" w:type="pct"/>
          </w:tcPr>
          <w:p w:rsidR="00891760" w:rsidRPr="00891760" w:rsidRDefault="00891760" w:rsidP="00891760">
            <w:pPr>
              <w:spacing w:after="0" w:line="240" w:lineRule="auto"/>
              <w:rPr>
                <w:b/>
                <w:spacing w:val="-2"/>
              </w:rPr>
            </w:pPr>
            <w:r w:rsidRPr="00891760">
              <w:rPr>
                <w:b/>
                <w:spacing w:val="-2"/>
              </w:rPr>
              <w:t xml:space="preserve">Pārņemts pilnībā </w:t>
            </w:r>
          </w:p>
          <w:p w:rsidR="00891760" w:rsidRPr="00891760" w:rsidRDefault="00891760" w:rsidP="00891760">
            <w:pPr>
              <w:spacing w:after="0" w:line="240" w:lineRule="auto"/>
              <w:rPr>
                <w:color w:val="000000"/>
              </w:rPr>
            </w:pPr>
            <w:r w:rsidRPr="00891760">
              <w:rPr>
                <w:color w:val="000000"/>
              </w:rPr>
              <w:t xml:space="preserve">Ministru kabineta </w:t>
            </w:r>
            <w:r w:rsidRPr="00891760">
              <w:rPr>
                <w:bCs/>
                <w:color w:val="000000"/>
              </w:rPr>
              <w:t>2009. gada 10. marta</w:t>
            </w:r>
            <w:r w:rsidRPr="00891760">
              <w:rPr>
                <w:color w:val="000000"/>
              </w:rPr>
              <w:t xml:space="preserve"> noteikumu Nr. 221 „Noteikumi par elektroenerģijas ražošanu un cenu noteikšanu, ražojot elektroenerģiju koģenerācijā” 5.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II pielikuma c)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Nav pārņemts</w:t>
            </w:r>
          </w:p>
          <w:p w:rsidR="00891760" w:rsidRPr="00891760" w:rsidRDefault="00891760" w:rsidP="00891760">
            <w:pPr>
              <w:spacing w:after="0" w:line="240" w:lineRule="auto"/>
            </w:pPr>
            <w:r w:rsidRPr="00891760">
              <w:t xml:space="preserve">Prasības </w:t>
            </w:r>
            <w:r w:rsidRPr="00891760">
              <w:rPr>
                <w:rFonts w:eastAsia="Times New Roman"/>
                <w:lang w:eastAsia="lv-LV"/>
              </w:rPr>
              <w:t xml:space="preserve">tiks pārņemtas ar </w:t>
            </w:r>
            <w:r w:rsidRPr="00891760">
              <w:t>Ministru kabineta noteikumu projektu</w:t>
            </w:r>
            <w:r w:rsidRPr="00891760">
              <w:rPr>
                <w:sz w:val="24"/>
              </w:rPr>
              <w:t xml:space="preserve"> </w:t>
            </w:r>
            <w:r w:rsidRPr="00891760">
              <w:t>“Primārās enerģijas ietaupījuma aprēķināšanas metodika koģenerācijas stacijām”.</w:t>
            </w:r>
          </w:p>
          <w:p w:rsidR="00891760" w:rsidRPr="00891760" w:rsidRDefault="00891760" w:rsidP="00891760">
            <w:pPr>
              <w:spacing w:after="0" w:line="240" w:lineRule="auto"/>
              <w:rPr>
                <w:color w:val="000000"/>
              </w:rPr>
            </w:pPr>
            <w:r w:rsidRPr="00891760">
              <w:rPr>
                <w:spacing w:val="-2"/>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II pielikuma d) </w:t>
            </w:r>
            <w:r w:rsidRPr="00891760">
              <w:rPr>
                <w:rFonts w:eastAsia="Times New Roman"/>
                <w:lang w:eastAsia="lv-LV"/>
              </w:rPr>
              <w:lastRenderedPageBreak/>
              <w:t>apakšpunkts</w:t>
            </w:r>
          </w:p>
        </w:tc>
        <w:tc>
          <w:tcPr>
            <w:tcW w:w="714" w:type="pct"/>
          </w:tcPr>
          <w:p w:rsidR="00891760" w:rsidRPr="00891760" w:rsidRDefault="00891760" w:rsidP="00891760">
            <w:pPr>
              <w:ind w:left="-27"/>
              <w:rPr>
                <w:rFonts w:eastAsia="Times New Roman"/>
              </w:rPr>
            </w:pPr>
          </w:p>
        </w:tc>
        <w:tc>
          <w:tcPr>
            <w:tcW w:w="2523" w:type="pct"/>
          </w:tcPr>
          <w:p w:rsidR="00891760" w:rsidRPr="00891760" w:rsidRDefault="00891760" w:rsidP="00891760">
            <w:pPr>
              <w:spacing w:after="0" w:line="240" w:lineRule="auto"/>
              <w:rPr>
                <w:b/>
                <w:color w:val="000000"/>
              </w:rPr>
            </w:pPr>
            <w:r w:rsidRPr="00891760">
              <w:rPr>
                <w:b/>
                <w:color w:val="000000"/>
              </w:rPr>
              <w:t>Nav pārņemts</w:t>
            </w:r>
          </w:p>
          <w:p w:rsidR="00891760" w:rsidRPr="00891760" w:rsidRDefault="00891760" w:rsidP="00891760">
            <w:pPr>
              <w:spacing w:after="0" w:line="240" w:lineRule="auto"/>
            </w:pPr>
            <w:r w:rsidRPr="00891760">
              <w:t xml:space="preserve">Prasības </w:t>
            </w:r>
            <w:r w:rsidRPr="00891760">
              <w:rPr>
                <w:rFonts w:eastAsia="Times New Roman"/>
                <w:lang w:eastAsia="lv-LV"/>
              </w:rPr>
              <w:t xml:space="preserve">tiks pārņemtas ar </w:t>
            </w:r>
            <w:r w:rsidRPr="00891760">
              <w:t>Ministru kabineta noteikumu projektu</w:t>
            </w:r>
            <w:r w:rsidRPr="00891760">
              <w:rPr>
                <w:sz w:val="24"/>
              </w:rPr>
              <w:t xml:space="preserve"> </w:t>
            </w:r>
            <w:r w:rsidRPr="00891760">
              <w:t xml:space="preserve">“Primārās enerģijas ietaupījuma </w:t>
            </w:r>
            <w:r w:rsidRPr="00891760">
              <w:lastRenderedPageBreak/>
              <w:t>aprēķināšanas metodika koģenerācijas stacijām”.</w:t>
            </w:r>
          </w:p>
          <w:p w:rsidR="00891760" w:rsidRPr="00891760" w:rsidRDefault="00891760" w:rsidP="00891760">
            <w:pPr>
              <w:spacing w:after="0" w:line="240" w:lineRule="auto"/>
              <w:rPr>
                <w:b/>
                <w:color w:val="000000"/>
              </w:rPr>
            </w:pPr>
            <w:r w:rsidRPr="00891760">
              <w:rPr>
                <w:spacing w:val="-2"/>
              </w:rPr>
              <w:t>Atbildīgā Ekonomikas ministrija.</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rPr>
          <w:trHeight w:val="1663"/>
        </w:trPr>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II pielikuma e) apakšpunkts</w:t>
            </w:r>
          </w:p>
        </w:tc>
        <w:tc>
          <w:tcPr>
            <w:tcW w:w="714" w:type="pct"/>
          </w:tcPr>
          <w:p w:rsidR="00891760" w:rsidRPr="00891760" w:rsidRDefault="00891760" w:rsidP="00891760">
            <w:pPr>
              <w:ind w:left="-27"/>
              <w:rPr>
                <w:rFonts w:eastAsia="Times New Roman"/>
              </w:rPr>
            </w:pPr>
          </w:p>
        </w:tc>
        <w:tc>
          <w:tcPr>
            <w:tcW w:w="2523" w:type="pct"/>
          </w:tcPr>
          <w:p w:rsidR="00891760" w:rsidRPr="00891760" w:rsidRDefault="00891760" w:rsidP="00891760">
            <w:pPr>
              <w:spacing w:after="0" w:line="240" w:lineRule="auto"/>
              <w:rPr>
                <w:b/>
                <w:color w:val="000000"/>
              </w:rPr>
            </w:pPr>
            <w:r w:rsidRPr="00891760">
              <w:rPr>
                <w:b/>
                <w:color w:val="000000"/>
              </w:rPr>
              <w:t>Nav pārņemts</w:t>
            </w:r>
          </w:p>
          <w:p w:rsidR="00891760" w:rsidRPr="00891760" w:rsidRDefault="00891760" w:rsidP="00891760">
            <w:pPr>
              <w:spacing w:after="0" w:line="240" w:lineRule="auto"/>
            </w:pPr>
            <w:r w:rsidRPr="00891760">
              <w:t xml:space="preserve">Prasības </w:t>
            </w:r>
            <w:r w:rsidRPr="00891760">
              <w:rPr>
                <w:rFonts w:eastAsia="Times New Roman"/>
                <w:lang w:eastAsia="lv-LV"/>
              </w:rPr>
              <w:t xml:space="preserve">tiks pārņemtas ar </w:t>
            </w:r>
            <w:r w:rsidRPr="00891760">
              <w:t>Ministru kabineta noteikumu projektu</w:t>
            </w:r>
            <w:r w:rsidRPr="00891760">
              <w:rPr>
                <w:sz w:val="24"/>
              </w:rPr>
              <w:t xml:space="preserve"> </w:t>
            </w:r>
            <w:r w:rsidRPr="00891760">
              <w:t>“Primārās enerģijas ietaupījuma aprēķināšanas metodika koģenerācijas stacijām”.</w:t>
            </w:r>
          </w:p>
          <w:p w:rsidR="00891760" w:rsidRPr="00891760" w:rsidRDefault="00891760" w:rsidP="00891760">
            <w:pPr>
              <w:spacing w:after="0" w:line="240" w:lineRule="auto"/>
              <w:rPr>
                <w:b/>
                <w:color w:val="000000"/>
              </w:rPr>
            </w:pPr>
            <w:r w:rsidRPr="00891760">
              <w:rPr>
                <w:spacing w:val="-2"/>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II pielikuma f) apakšpunkts</w:t>
            </w:r>
          </w:p>
        </w:tc>
        <w:tc>
          <w:tcPr>
            <w:tcW w:w="714" w:type="pct"/>
          </w:tcPr>
          <w:p w:rsidR="00891760" w:rsidRPr="00891760" w:rsidRDefault="00891760" w:rsidP="00891760">
            <w:pPr>
              <w:ind w:left="-27"/>
              <w:rPr>
                <w:rFonts w:eastAsia="Times New Roman"/>
              </w:rPr>
            </w:pPr>
          </w:p>
        </w:tc>
        <w:tc>
          <w:tcPr>
            <w:tcW w:w="2523" w:type="pct"/>
          </w:tcPr>
          <w:p w:rsidR="00891760" w:rsidRPr="00891760" w:rsidRDefault="00891760" w:rsidP="00891760">
            <w:pPr>
              <w:spacing w:after="0" w:line="240" w:lineRule="auto"/>
              <w:rPr>
                <w:b/>
                <w:color w:val="000000"/>
              </w:rPr>
            </w:pPr>
            <w:r w:rsidRPr="00891760">
              <w:rPr>
                <w:b/>
                <w:color w:val="000000"/>
              </w:rPr>
              <w:t>Nav pārņemts</w:t>
            </w:r>
          </w:p>
          <w:p w:rsidR="00891760" w:rsidRPr="00891760" w:rsidRDefault="00891760" w:rsidP="00891760">
            <w:pPr>
              <w:spacing w:after="0" w:line="240" w:lineRule="auto"/>
              <w:rPr>
                <w:color w:val="000000"/>
              </w:rPr>
            </w:pPr>
            <w:r w:rsidRPr="00891760">
              <w:rPr>
                <w:color w:val="000000"/>
              </w:rPr>
              <w:t>Prasības tiks pārņemtas ar Ministru kabineta noteikumu projektu “Primārās enerģijas ietaupījuma aprēķināšanas metodika koģenerācijas stacijām”.</w:t>
            </w:r>
          </w:p>
          <w:p w:rsidR="00891760" w:rsidRPr="00891760" w:rsidRDefault="00891760" w:rsidP="00891760">
            <w:pPr>
              <w:spacing w:after="0" w:line="240" w:lineRule="auto"/>
              <w:rPr>
                <w:color w:val="000000"/>
              </w:rPr>
            </w:pPr>
            <w:r w:rsidRPr="00891760">
              <w:rPr>
                <w:color w:val="000000"/>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III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Prasības pārņemtas ar 2016. gada 3. marta „Grozījumiem Publisko iepirkumu likumā 46.</w:t>
            </w:r>
            <w:r w:rsidRPr="00891760">
              <w:rPr>
                <w:color w:val="000000"/>
                <w:vertAlign w:val="superscript"/>
              </w:rPr>
              <w:t>2 </w:t>
            </w:r>
            <w:r w:rsidRPr="00891760">
              <w:rPr>
                <w:color w:val="000000"/>
              </w:rPr>
              <w:t>pantu.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IV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pPr>
            <w:r w:rsidRPr="00891760">
              <w:rPr>
                <w:rFonts w:eastAsia="Times New Roman"/>
                <w:lang w:eastAsia="lv-LV"/>
              </w:rPr>
              <w:t xml:space="preserve">1) Pārrēķina koeficienti TJ pieejami Centrālās statistikas pārvaldes datu bāzē </w:t>
            </w:r>
            <w:r w:rsidRPr="00891760">
              <w:t xml:space="preserve">ENG02. ENERGOBILANCE, TJ, </w:t>
            </w:r>
            <w:proofErr w:type="spellStart"/>
            <w:r w:rsidRPr="00891760">
              <w:t>tūkst.toe</w:t>
            </w:r>
            <w:proofErr w:type="spellEnd"/>
            <w:r w:rsidRPr="00891760">
              <w:t xml:space="preserve"> (NACE 2.red.)</w:t>
            </w:r>
            <w:r w:rsidRPr="00891760">
              <w:rPr>
                <w:vertAlign w:val="superscript"/>
              </w:rPr>
              <w:footnoteReference w:id="51"/>
            </w:r>
            <w:r w:rsidRPr="00891760">
              <w:t>;</w:t>
            </w:r>
          </w:p>
          <w:p w:rsidR="00891760" w:rsidRPr="00891760" w:rsidRDefault="00891760" w:rsidP="00891760">
            <w:pPr>
              <w:spacing w:after="0" w:line="240" w:lineRule="auto"/>
              <w:rPr>
                <w:shd w:val="clear" w:color="auto" w:fill="FFFFFF"/>
              </w:rPr>
            </w:pPr>
            <w:r w:rsidRPr="00891760">
              <w:rPr>
                <w:rFonts w:eastAsia="Times New Roman"/>
                <w:lang w:eastAsia="lv-LV"/>
              </w:rPr>
              <w:t>2) Pārrēķina koeficienti TJ Centrālās statistikas pārvaldes datu bāzē</w:t>
            </w:r>
            <w:r w:rsidRPr="00891760">
              <w:rPr>
                <w:shd w:val="clear" w:color="auto" w:fill="FFFFFF"/>
              </w:rPr>
              <w:t xml:space="preserve"> ENG04. ENERGOBILANCE, TJ, </w:t>
            </w:r>
            <w:proofErr w:type="spellStart"/>
            <w:r w:rsidRPr="00891760">
              <w:rPr>
                <w:shd w:val="clear" w:color="auto" w:fill="FFFFFF"/>
              </w:rPr>
              <w:t>tūkst.toe</w:t>
            </w:r>
            <w:proofErr w:type="spellEnd"/>
            <w:r w:rsidRPr="00891760">
              <w:rPr>
                <w:shd w:val="clear" w:color="auto" w:fill="FFFFFF"/>
              </w:rPr>
              <w:t xml:space="preserve"> (NACE 1.1.red.)</w:t>
            </w:r>
            <w:r w:rsidRPr="00891760">
              <w:rPr>
                <w:shd w:val="clear" w:color="auto" w:fill="FFFFFF"/>
                <w:vertAlign w:val="superscript"/>
              </w:rPr>
              <w:footnoteReference w:id="52"/>
            </w:r>
            <w:r w:rsidRPr="00891760">
              <w:rPr>
                <w:shd w:val="clear" w:color="auto" w:fill="FFFFFF"/>
              </w:rPr>
              <w:t>;</w:t>
            </w:r>
          </w:p>
          <w:p w:rsidR="00891760" w:rsidRPr="00891760" w:rsidRDefault="00891760" w:rsidP="00891760">
            <w:pPr>
              <w:spacing w:after="0" w:line="240" w:lineRule="auto"/>
              <w:rPr>
                <w:color w:val="000000"/>
              </w:rPr>
            </w:pPr>
            <w:r w:rsidRPr="00891760">
              <w:rPr>
                <w:color w:val="000000"/>
              </w:rPr>
              <w:t>3) Ekonomikas ministrijas un Centrālās statistikas pārvaldes kopīgajā izdevumā „Latvijas enerģētikas skaitļos”</w:t>
            </w:r>
            <w:r w:rsidRPr="00891760">
              <w:rPr>
                <w:color w:val="000000"/>
                <w:vertAlign w:val="superscript"/>
              </w:rPr>
              <w:footnoteReference w:id="53"/>
            </w:r>
            <w:r w:rsidRPr="00891760">
              <w:rPr>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Nav pārņemts</w:t>
            </w:r>
          </w:p>
          <w:p w:rsidR="00891760" w:rsidRPr="00891760" w:rsidRDefault="00891760" w:rsidP="00891760">
            <w:pPr>
              <w:spacing w:after="0" w:line="240" w:lineRule="auto"/>
            </w:pPr>
            <w:r w:rsidRPr="00891760">
              <w:t xml:space="preserve">Prasības </w:t>
            </w:r>
            <w:r w:rsidRPr="00891760">
              <w:rPr>
                <w:rFonts w:eastAsia="Times New Roman"/>
                <w:lang w:eastAsia="lv-LV"/>
              </w:rPr>
              <w:t xml:space="preserve">tiks pārņemtas ar </w:t>
            </w:r>
            <w:r w:rsidRPr="00891760">
              <w:t>Ministru kabineta noteikumu projektu „</w:t>
            </w:r>
            <w:r w:rsidRPr="00891760">
              <w:rPr>
                <w:bCs/>
              </w:rPr>
              <w:t>Energoefektivitātes pienākuma shēma”</w:t>
            </w:r>
            <w:r w:rsidRPr="00891760">
              <w:t>, ko paredzēts izdot, pamatojoties uz likumprojektu „Energoefektivitātes likums”.</w:t>
            </w:r>
          </w:p>
          <w:p w:rsidR="00891760" w:rsidRPr="00891760" w:rsidRDefault="00891760" w:rsidP="00891760">
            <w:pPr>
              <w:spacing w:after="0" w:line="240" w:lineRule="auto"/>
              <w:rPr>
                <w:color w:val="000000"/>
              </w:rPr>
            </w:pPr>
            <w:r w:rsidRPr="00891760">
              <w:rPr>
                <w:color w:val="000000"/>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VI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pPr>
            <w:r w:rsidRPr="00891760">
              <w:rPr>
                <w:bCs/>
              </w:rPr>
              <w:t>1) Ministru kabineta 2013. gada 25. jūnija noteikumi Nr. 348</w:t>
            </w:r>
            <w:r w:rsidRPr="00891760">
              <w:t xml:space="preserve"> “Ēkas energoefektivitātes aprēķina metode”;</w:t>
            </w:r>
          </w:p>
          <w:p w:rsidR="00891760" w:rsidRPr="00891760" w:rsidRDefault="00891760" w:rsidP="00891760">
            <w:pPr>
              <w:spacing w:after="0" w:line="240" w:lineRule="auto"/>
            </w:pPr>
            <w:r w:rsidRPr="00891760">
              <w:rPr>
                <w:bCs/>
              </w:rPr>
              <w:t>2) Ministru kabineta 2013. gada 9. jūlija noteikumu Nr. 383</w:t>
            </w:r>
            <w:r w:rsidRPr="00891760">
              <w:t xml:space="preserve"> “Noteikumi par ēku </w:t>
            </w:r>
            <w:proofErr w:type="spellStart"/>
            <w:r w:rsidRPr="00891760">
              <w:t>energosertifikāciju</w:t>
            </w:r>
            <w:proofErr w:type="spellEnd"/>
            <w:r w:rsidRPr="00891760">
              <w:t>”;</w:t>
            </w:r>
          </w:p>
          <w:p w:rsidR="00891760" w:rsidRPr="00891760" w:rsidRDefault="00891760" w:rsidP="00891760">
            <w:pPr>
              <w:spacing w:after="0" w:line="240" w:lineRule="auto"/>
              <w:rPr>
                <w:color w:val="000000"/>
              </w:rPr>
            </w:pPr>
            <w:r w:rsidRPr="00891760">
              <w:t>3</w:t>
            </w:r>
            <w:r w:rsidRPr="00891760">
              <w:rPr>
                <w:color w:val="000000"/>
              </w:rPr>
              <w:t xml:space="preserve">) Ekonomikas ministrijas publicētie </w:t>
            </w:r>
            <w:r w:rsidRPr="00891760">
              <w:t>Ieteikumi obligāto energoauditu veikšanai lielajiem uzņēmumiem</w:t>
            </w:r>
            <w:r w:rsidRPr="00891760">
              <w:rPr>
                <w:vertAlign w:val="superscript"/>
              </w:rPr>
              <w:footnoteReference w:id="54"/>
            </w:r>
            <w:r w:rsidRPr="00891760">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VII pielikuma 1.1. apakšpunkts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color w:val="000000"/>
              </w:rPr>
            </w:pPr>
            <w:r w:rsidRPr="00891760">
              <w:rPr>
                <w:color w:val="000000"/>
              </w:rPr>
              <w:lastRenderedPageBreak/>
              <w:t>2) Ministru kabineta 2014. gada 21. janvāra noteikumu Nr. 50 “Elektroenerģijas tirdzniecības un lietošanas noteikumi” 1.2., 17., 22., 25. un 115. punkts;</w:t>
            </w:r>
          </w:p>
          <w:p w:rsidR="00891760" w:rsidRPr="00891760" w:rsidRDefault="00891760" w:rsidP="00891760">
            <w:pPr>
              <w:spacing w:after="0" w:line="240" w:lineRule="auto"/>
              <w:rPr>
                <w:color w:val="000000"/>
              </w:rPr>
            </w:pPr>
            <w:r w:rsidRPr="00891760">
              <w:rPr>
                <w:color w:val="000000"/>
              </w:rPr>
              <w:t>3) Ministru kabineta 2008. gada 9. decembra noteikumu Nr. 1013 “Kārtība, kādā dzīvokļa īpašnieks daudzdzīvokļu dzīvojamā mājā norēķinās par pakalpojumiem, kas saistīti ar dzīvokļa īpašuma lietošanu” 7.</w:t>
            </w:r>
            <w:r w:rsidRPr="00891760">
              <w:rPr>
                <w:color w:val="000000"/>
                <w:vertAlign w:val="superscript"/>
              </w:rPr>
              <w:t>1</w:t>
            </w:r>
            <w:r w:rsidRPr="00891760">
              <w:rPr>
                <w:color w:val="000000"/>
              </w:rPr>
              <w:t xml:space="preserve"> un 8. punkts;</w:t>
            </w:r>
          </w:p>
          <w:p w:rsidR="00891760" w:rsidRPr="00891760" w:rsidRDefault="00891760" w:rsidP="00891760">
            <w:pPr>
              <w:spacing w:after="0" w:line="240" w:lineRule="auto"/>
              <w:rPr>
                <w:color w:val="000000"/>
              </w:rPr>
            </w:pPr>
            <w:r w:rsidRPr="00891760">
              <w:rPr>
                <w:color w:val="000000"/>
              </w:rPr>
              <w:t xml:space="preserve">4) Ministru kabineta 2008. gada 21. oktobra noteikumi Nr. 876 “Siltumenerģijas piegādes un lietošanas noteikumi”. </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VII pielikuma 1.2. a) apakšpunkts</w:t>
            </w:r>
          </w:p>
        </w:tc>
        <w:tc>
          <w:tcPr>
            <w:tcW w:w="714" w:type="pct"/>
          </w:tcPr>
          <w:p w:rsidR="00891760" w:rsidRPr="00891760" w:rsidRDefault="00891760" w:rsidP="00891760"/>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color w:val="000000"/>
              </w:rPr>
            </w:pPr>
            <w:r w:rsidRPr="00891760">
              <w:rPr>
                <w:color w:val="000000"/>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color w:val="000000"/>
              </w:rPr>
            </w:pPr>
            <w:r w:rsidRPr="00891760">
              <w:rPr>
                <w:color w:val="000000"/>
              </w:rPr>
              <w:t>3) Ministru kabineta 2008. gada 9. decembra noteikumu Nr. 1013 “Kārtība, kādā dzīvokļa īpašnieks daudzdzīvokļu dzīvojamā mājā norēķinās par pakalpojumiem, kas saistīti ar dzīvokļa īpašuma lietošanu” 7.</w:t>
            </w:r>
            <w:r w:rsidRPr="00891760">
              <w:rPr>
                <w:color w:val="000000"/>
                <w:vertAlign w:val="superscript"/>
              </w:rPr>
              <w:t>1</w:t>
            </w:r>
            <w:r w:rsidRPr="00891760">
              <w:rPr>
                <w:color w:val="000000"/>
              </w:rPr>
              <w:t xml:space="preserve"> un 8. punkts;</w:t>
            </w:r>
          </w:p>
          <w:p w:rsidR="00891760" w:rsidRPr="00891760" w:rsidRDefault="00891760" w:rsidP="00891760">
            <w:pPr>
              <w:spacing w:after="0" w:line="240" w:lineRule="auto"/>
              <w:rPr>
                <w:color w:val="000000"/>
              </w:rPr>
            </w:pPr>
            <w:r w:rsidRPr="00891760">
              <w:rPr>
                <w:color w:val="000000"/>
              </w:rPr>
              <w:t>4) Ministru kabineta 2008. gada 21. oktobra noteikumi Nr. 876 “Siltumenerģijas piegādes un lietošanas noteikumi”.</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VII pielikuma 1.2. b) apakšpunkts</w:t>
            </w:r>
          </w:p>
        </w:tc>
        <w:tc>
          <w:tcPr>
            <w:tcW w:w="714" w:type="pct"/>
          </w:tcPr>
          <w:p w:rsidR="00891760" w:rsidRPr="00891760" w:rsidRDefault="00891760" w:rsidP="00891760"/>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color w:val="000000"/>
              </w:rPr>
            </w:pPr>
            <w:r w:rsidRPr="00891760">
              <w:rPr>
                <w:color w:val="000000"/>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color w:val="000000"/>
              </w:rPr>
            </w:pPr>
            <w:r w:rsidRPr="00891760">
              <w:rPr>
                <w:color w:val="000000"/>
              </w:rPr>
              <w:t>3) Ministru kabineta 2008. gada 9. decembra noteikumu Nr. 1013 “Kārtība, kādā dzīvokļa īpašnieks daudzdzīvokļu dzīvojamā mājā norēķinās par pakalpojumiem, kas saistīti ar dzīvokļa īpašuma lietošanu” 7.</w:t>
            </w:r>
            <w:r w:rsidRPr="00891760">
              <w:rPr>
                <w:color w:val="000000"/>
                <w:vertAlign w:val="superscript"/>
              </w:rPr>
              <w:t>1</w:t>
            </w:r>
            <w:r w:rsidRPr="00891760">
              <w:rPr>
                <w:color w:val="000000"/>
              </w:rPr>
              <w:t xml:space="preserve"> un 8. punkts;</w:t>
            </w:r>
          </w:p>
          <w:p w:rsidR="00891760" w:rsidRPr="00891760" w:rsidRDefault="00891760" w:rsidP="00891760">
            <w:pPr>
              <w:spacing w:after="0" w:line="240" w:lineRule="auto"/>
              <w:rPr>
                <w:color w:val="000000"/>
              </w:rPr>
            </w:pPr>
            <w:r w:rsidRPr="00891760">
              <w:rPr>
                <w:color w:val="000000"/>
              </w:rPr>
              <w:t>4) Ministru kabineta 2008. gada 21. oktobra noteikumi Nr. 876 “Siltumenerģijas piegādes un lietošanas noteikumi”.</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VII pielikuma 1.2. c) apakšpunkts</w:t>
            </w:r>
          </w:p>
        </w:tc>
        <w:tc>
          <w:tcPr>
            <w:tcW w:w="714" w:type="pct"/>
          </w:tcPr>
          <w:p w:rsidR="00891760" w:rsidRPr="00891760" w:rsidRDefault="00891760" w:rsidP="00891760"/>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color w:val="000000"/>
              </w:rPr>
            </w:pPr>
            <w:r w:rsidRPr="00891760">
              <w:rPr>
                <w:color w:val="000000"/>
              </w:rPr>
              <w:t xml:space="preserve">2) Ministru kabineta 2014. gada 21. janvāra noteikumu Nr. 50 “Elektroenerģijas tirdzniecības un </w:t>
            </w:r>
            <w:r w:rsidRPr="00891760">
              <w:rPr>
                <w:color w:val="000000"/>
              </w:rPr>
              <w:lastRenderedPageBreak/>
              <w:t>lietošanas noteikumi” 1.2., 17., 22., 25. un 115. punkts;</w:t>
            </w:r>
          </w:p>
          <w:p w:rsidR="00891760" w:rsidRPr="00891760" w:rsidRDefault="00891760" w:rsidP="00891760">
            <w:pPr>
              <w:spacing w:after="0" w:line="240" w:lineRule="auto"/>
              <w:rPr>
                <w:color w:val="000000"/>
              </w:rPr>
            </w:pPr>
            <w:r w:rsidRPr="00891760">
              <w:rPr>
                <w:color w:val="000000"/>
              </w:rPr>
              <w:t>3) Ministru kabineta 2008. gada 9. decembra noteikumu Nr. 1013 “Kārtība, kādā dzīvokļa īpašnieks daudzdzīvokļu dzīvojamā mājā norēķinās par pakalpojumiem, kas saistīti ar dzīvokļa īpašuma lietošanu” 7.</w:t>
            </w:r>
            <w:r w:rsidRPr="00891760">
              <w:rPr>
                <w:color w:val="000000"/>
                <w:vertAlign w:val="superscript"/>
              </w:rPr>
              <w:t>1</w:t>
            </w:r>
            <w:r w:rsidRPr="00891760">
              <w:rPr>
                <w:color w:val="000000"/>
              </w:rPr>
              <w:t xml:space="preserve"> un 8. punkts;</w:t>
            </w:r>
          </w:p>
          <w:p w:rsidR="00891760" w:rsidRPr="00891760" w:rsidRDefault="00891760" w:rsidP="00891760">
            <w:pPr>
              <w:spacing w:after="0" w:line="240" w:lineRule="auto"/>
              <w:rPr>
                <w:color w:val="000000"/>
              </w:rPr>
            </w:pPr>
            <w:r w:rsidRPr="00891760">
              <w:rPr>
                <w:color w:val="000000"/>
              </w:rPr>
              <w:t>4) Ministru kabineta 2008. gada 21. oktobra noteikumi Nr.876 “Siltumenerģijas piegādes un lietošanas noteikumi”.</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VII pielikuma 1.3. apakšpunkts</w:t>
            </w:r>
          </w:p>
        </w:tc>
        <w:tc>
          <w:tcPr>
            <w:tcW w:w="714" w:type="pct"/>
          </w:tcPr>
          <w:p w:rsidR="00891760" w:rsidRPr="00891760" w:rsidRDefault="00891760" w:rsidP="00891760"/>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 xml:space="preserve">1) </w:t>
            </w:r>
            <w:r w:rsidRPr="00891760">
              <w:rPr>
                <w:rFonts w:eastAsia="Times New Roman"/>
                <w:color w:val="000000"/>
                <w:lang w:eastAsia="lv-LV"/>
              </w:rPr>
              <w:t>Ministru kabineta 2016. gada 9. februāra noteikumu Nr. 85 “Dabasgāzes piegādes un lietošanas noteikumi” 27., 59., 69.3., 83., 84. un 88. punkts;</w:t>
            </w:r>
          </w:p>
          <w:p w:rsidR="00891760" w:rsidRPr="00891760" w:rsidRDefault="00891760" w:rsidP="00891760">
            <w:pPr>
              <w:spacing w:after="0" w:line="240" w:lineRule="auto"/>
              <w:rPr>
                <w:color w:val="000000"/>
              </w:rPr>
            </w:pPr>
            <w:r w:rsidRPr="00891760">
              <w:rPr>
                <w:color w:val="000000"/>
              </w:rPr>
              <w:t>2) Ministru kabineta 2014. gada 21. janvāra noteikumu Nr. 50 “Elektroenerģijas tirdzniecības un lietošanas noteikumi” 1.2., 17., 22., 25. un 115. punkts;</w:t>
            </w:r>
          </w:p>
          <w:p w:rsidR="00891760" w:rsidRPr="00891760" w:rsidRDefault="00891760" w:rsidP="00891760">
            <w:pPr>
              <w:spacing w:after="0" w:line="240" w:lineRule="auto"/>
              <w:rPr>
                <w:color w:val="000000"/>
              </w:rPr>
            </w:pPr>
            <w:r w:rsidRPr="00891760">
              <w:rPr>
                <w:color w:val="000000"/>
              </w:rPr>
              <w:t>3) Ministru kabineta 2008. gada 9. decembra noteikumu Nr. 1013 “Kārtība, kādā dzīvokļa īpašnieks daudzdzīvokļu dzīvojamā mājā norēķinās par pakalpojumiem, kas saistīti ar dzīvokļa īpašuma lietošanu” 7.</w:t>
            </w:r>
            <w:r w:rsidRPr="00891760">
              <w:rPr>
                <w:color w:val="000000"/>
                <w:vertAlign w:val="superscript"/>
              </w:rPr>
              <w:t>1</w:t>
            </w:r>
            <w:r w:rsidRPr="00891760">
              <w:rPr>
                <w:color w:val="000000"/>
              </w:rPr>
              <w:t xml:space="preserve"> un 8. punkts;</w:t>
            </w:r>
          </w:p>
          <w:p w:rsidR="00891760" w:rsidRPr="00891760" w:rsidRDefault="00891760" w:rsidP="00891760">
            <w:pPr>
              <w:spacing w:after="0" w:line="240" w:lineRule="auto"/>
              <w:rPr>
                <w:color w:val="000000"/>
              </w:rPr>
            </w:pPr>
            <w:r w:rsidRPr="00891760">
              <w:rPr>
                <w:color w:val="000000"/>
              </w:rPr>
              <w:t>4) Ministru kabineta 2008. gada 21. oktobra noteikumu Nr. 876 “Siltumenerģijas piegādes un lietošanas noteikumi”.</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VIII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lang w:eastAsia="lv-LV"/>
              </w:rPr>
            </w:pPr>
            <w:r w:rsidRPr="00891760">
              <w:rPr>
                <w:rFonts w:eastAsia="Times New Roman"/>
                <w:lang w:eastAsia="lv-LV"/>
              </w:rPr>
              <w:t>1) Vides un reģionālās attīstības ministrijas izstrādātais energoefektivitātes pakalpojuma līguma paraugs pašvaldībām un valsts tiešās pārvaldes iestādēm</w:t>
            </w:r>
            <w:r w:rsidRPr="00891760">
              <w:rPr>
                <w:rFonts w:eastAsia="Times New Roman"/>
                <w:vertAlign w:val="superscript"/>
                <w:lang w:eastAsia="lv-LV"/>
              </w:rPr>
              <w:footnoteReference w:id="55"/>
            </w:r>
            <w:r w:rsidRPr="00891760">
              <w:rPr>
                <w:rFonts w:eastAsia="Times New Roman"/>
                <w:lang w:eastAsia="lv-LV"/>
              </w:rPr>
              <w:t>;</w:t>
            </w:r>
          </w:p>
          <w:p w:rsidR="00891760" w:rsidRPr="00891760" w:rsidRDefault="00891760" w:rsidP="00891760">
            <w:pPr>
              <w:spacing w:after="0" w:line="240" w:lineRule="auto"/>
              <w:rPr>
                <w:rFonts w:eastAsia="Times New Roman"/>
                <w:lang w:eastAsia="lv-LV"/>
              </w:rPr>
            </w:pPr>
            <w:r w:rsidRPr="00891760">
              <w:rPr>
                <w:rFonts w:eastAsia="Times New Roman"/>
                <w:lang w:eastAsia="lv-LV"/>
              </w:rPr>
              <w:t>2) Vides un reģionālās attīstības ministrijas izstrādātie metodiskie norādījumi pašvaldībām un valsts tiešās pārvaldes iestādēm energoefektivitātes pakalpojuma iepirkumam</w:t>
            </w:r>
            <w:r w:rsidRPr="00891760">
              <w:rPr>
                <w:rFonts w:eastAsia="Times New Roman"/>
                <w:vertAlign w:val="superscript"/>
                <w:lang w:eastAsia="lv-LV"/>
              </w:rPr>
              <w:footnoteReference w:id="56"/>
            </w:r>
            <w:r w:rsidRPr="00891760">
              <w:rPr>
                <w:rFonts w:eastAsia="Times New Roman"/>
                <w:lang w:eastAsia="lv-LV"/>
              </w:rPr>
              <w:t>.</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IX pielikuma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pPr>
            <w:r w:rsidRPr="00891760">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 xml:space="preserve">IX pielikuma otrā </w:t>
            </w:r>
            <w:r w:rsidRPr="00891760">
              <w:rPr>
                <w:rFonts w:eastAsia="Times New Roman"/>
                <w:lang w:eastAsia="lv-LV"/>
              </w:rPr>
              <w:lastRenderedPageBreak/>
              <w:t>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pPr>
            <w:r w:rsidRPr="00891760">
              <w:t xml:space="preserve">Tā kā pētījumā “Augstas efektivitātes koģenerācijas un efektīvas centralizētās siltumapgādes un dzesēšanas izmantošanas potenciāla visaptverošs </w:t>
            </w:r>
            <w:r w:rsidRPr="00891760">
              <w:lastRenderedPageBreak/>
              <w:t>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891760" w:rsidRDefault="00891760" w:rsidP="00891760">
            <w:pPr>
              <w:spacing w:after="0" w:line="240" w:lineRule="auto"/>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highlight w:val="red"/>
                <w:lang w:eastAsia="lv-LV"/>
              </w:rPr>
            </w:pPr>
            <w:r w:rsidRPr="00891760">
              <w:lastRenderedPageBreak/>
              <w:t xml:space="preserve">Direktīvas 2012/27/ES </w:t>
            </w:r>
            <w:r w:rsidRPr="00891760">
              <w:rPr>
                <w:rFonts w:eastAsia="Times New Roman"/>
                <w:lang w:eastAsia="lv-LV"/>
              </w:rPr>
              <w:t>X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daļēji</w:t>
            </w:r>
          </w:p>
          <w:p w:rsidR="00891760" w:rsidRPr="00891760" w:rsidRDefault="00891760" w:rsidP="00891760">
            <w:pPr>
              <w:spacing w:after="0" w:line="240" w:lineRule="auto"/>
              <w:rPr>
                <w:color w:val="000000"/>
              </w:rPr>
            </w:pPr>
            <w:r w:rsidRPr="00891760">
              <w:rPr>
                <w:color w:val="000000"/>
              </w:rPr>
              <w:t xml:space="preserve">Prasības daļēji pārņemtas ar Ministru kabineta noteikumu </w:t>
            </w:r>
            <w:r w:rsidRPr="00891760">
              <w:rPr>
                <w:bCs/>
                <w:color w:val="000000"/>
              </w:rPr>
              <w:t>Nr. 221</w:t>
            </w:r>
            <w:r w:rsidRPr="00891760">
              <w:rPr>
                <w:color w:val="000000"/>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891760">
              <w:rPr>
                <w:bCs/>
                <w:color w:val="000000"/>
              </w:rPr>
              <w:t>energoresursus” pielikumu</w:t>
            </w:r>
            <w:r w:rsidRPr="00891760">
              <w:rPr>
                <w:color w:val="000000"/>
              </w:rPr>
              <w:t xml:space="preserve">. </w:t>
            </w:r>
          </w:p>
          <w:p w:rsidR="00891760" w:rsidRPr="00891760" w:rsidRDefault="00891760" w:rsidP="00891760">
            <w:pPr>
              <w:spacing w:after="0" w:line="240" w:lineRule="auto"/>
              <w:rPr>
                <w:i/>
                <w:color w:val="000000"/>
              </w:rPr>
            </w:pPr>
            <w:r w:rsidRPr="00891760">
              <w:rPr>
                <w:i/>
                <w:color w:val="000000"/>
              </w:rPr>
              <w:t>Papildus:</w:t>
            </w:r>
          </w:p>
          <w:p w:rsidR="00891760" w:rsidRPr="00891760" w:rsidRDefault="00891760" w:rsidP="00891760">
            <w:pPr>
              <w:spacing w:after="0" w:line="240" w:lineRule="auto"/>
              <w:rPr>
                <w:bCs/>
                <w:color w:val="000000"/>
              </w:rPr>
            </w:pPr>
            <w:r w:rsidRPr="00891760">
              <w:rPr>
                <w:color w:val="000000"/>
              </w:rPr>
              <w:t xml:space="preserve">Prasība pilnībā tiks pārņemta ar likumprojektu „Grozījumi Elektroenerģijas tirgus likumā” un </w:t>
            </w:r>
            <w:r w:rsidRPr="00891760">
              <w:t>Ministru kabineta noteikumu projektu “Noteikumi par izcelsmes apliecinājuma saņemšanu elektroenerģijai, kas ražota, izmantojot atjaunojamos energoresursus, vai augstas efektivitātes koģenerācijas režīmā”.</w:t>
            </w:r>
          </w:p>
          <w:p w:rsidR="00891760" w:rsidRPr="00891760" w:rsidRDefault="00891760" w:rsidP="00891760">
            <w:pPr>
              <w:spacing w:after="0" w:line="240" w:lineRule="auto"/>
              <w:rPr>
                <w:color w:val="000000"/>
              </w:rPr>
            </w:pPr>
            <w:r w:rsidRPr="00891760">
              <w:rPr>
                <w:color w:val="000000"/>
              </w:rPr>
              <w:t>Atbildīgā Ekonomikas ministrija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XI pielikums 1.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pPr>
            <w:r w:rsidRPr="00891760">
              <w:t>1) Likuma „Par sabiedrisko pakalpojumu regulatoriem” 1. pants, 19. panta 1. punkts, 20. pants;</w:t>
            </w:r>
          </w:p>
          <w:p w:rsidR="00891760" w:rsidRPr="00891760" w:rsidRDefault="00891760" w:rsidP="00891760">
            <w:pPr>
              <w:spacing w:after="0" w:line="240" w:lineRule="auto"/>
            </w:pPr>
            <w:r w:rsidRPr="00891760">
              <w:t>2) Sabiedrisko pakalpojumu komisijas 2011. gada 15. decembra lēmums Nr.1/32 „Elektroenerģijas sadales sistēmas pakalpojumu tarifu aprēķināšanas metodika”;</w:t>
            </w:r>
          </w:p>
          <w:p w:rsidR="00891760" w:rsidRPr="00891760" w:rsidRDefault="00891760" w:rsidP="00891760">
            <w:pPr>
              <w:spacing w:after="0" w:line="240" w:lineRule="auto"/>
            </w:pPr>
            <w:r w:rsidRPr="00891760">
              <w:t>3)</w:t>
            </w:r>
            <w:r w:rsidRPr="00891760">
              <w:rPr>
                <w:rFonts w:eastAsia="Times New Roman"/>
                <w:color w:val="FF0000"/>
                <w:lang w:eastAsia="lv-LV"/>
              </w:rPr>
              <w:t xml:space="preserve"> </w:t>
            </w:r>
            <w:r w:rsidRPr="00891760">
              <w:t>Sabiedrisko pakalpojumu komisijas 2014. gada 16. jūlija lēmums Nr. 200 „ Par akciju sabiedrības „Sadales tīkls” kārtību par nosacījumiem efektīvai atļautās slodzes izmantošanai”;</w:t>
            </w:r>
          </w:p>
          <w:p w:rsidR="00891760" w:rsidRPr="00891760" w:rsidRDefault="00891760" w:rsidP="00891760">
            <w:pPr>
              <w:spacing w:after="0" w:line="240" w:lineRule="auto"/>
            </w:pPr>
            <w:r w:rsidRPr="00891760">
              <w:t>4) AS „Sadales tīkls” pieejama elektroniskā karte par iespējamām pieslēguma vietām un piedāvā optimālo pieslēguma vietu, balstoties uz pieejamajām jaudām</w:t>
            </w:r>
            <w:r w:rsidRPr="00891760">
              <w:rPr>
                <w:vertAlign w:val="superscript"/>
              </w:rPr>
              <w:footnoteReference w:id="57"/>
            </w:r>
            <w:r w:rsidRPr="00891760">
              <w:t>;</w:t>
            </w:r>
          </w:p>
          <w:p w:rsidR="00891760" w:rsidRPr="00891760" w:rsidRDefault="00891760" w:rsidP="00891760">
            <w:pPr>
              <w:spacing w:after="0" w:line="240" w:lineRule="auto"/>
            </w:pPr>
            <w:r w:rsidRPr="00891760">
              <w:t>5)</w:t>
            </w:r>
            <w:r w:rsidRPr="00891760">
              <w:rPr>
                <w:color w:val="FFFFFF"/>
              </w:rPr>
              <w:t xml:space="preserve"> </w:t>
            </w:r>
            <w:r w:rsidRPr="00891760">
              <w:t>Sabiedrisko pakalpojumu komisijas 2011. gada 12. janvāra lēmums Nr. 16</w:t>
            </w:r>
            <w:r w:rsidRPr="00891760">
              <w:rPr>
                <w:b/>
                <w:bCs/>
              </w:rPr>
              <w:t xml:space="preserve"> </w:t>
            </w:r>
            <w:r w:rsidRPr="00891760">
              <w:t>„Par akciju sabiedrības „Sadales tīkls” elektroenerģijas sadales sistēmas pakalpojumu tarifiem”;</w:t>
            </w:r>
          </w:p>
          <w:p w:rsidR="00891760" w:rsidRPr="00891760" w:rsidRDefault="00891760" w:rsidP="00891760">
            <w:pPr>
              <w:spacing w:after="0" w:line="240" w:lineRule="auto"/>
              <w:rPr>
                <w:color w:val="000000"/>
              </w:rPr>
            </w:pPr>
            <w:r w:rsidRPr="00891760">
              <w:t>6)</w:t>
            </w:r>
            <w:r w:rsidRPr="00891760">
              <w:rPr>
                <w:rFonts w:eastAsia="Times New Roman"/>
                <w:color w:val="FF0000"/>
                <w:lang w:eastAsia="lv-LV"/>
              </w:rPr>
              <w:t xml:space="preserve"> </w:t>
            </w:r>
            <w:r w:rsidRPr="00891760">
              <w:t>Sabiedrisko pakalpojumu regulēšanas komisijas 2015. gada 26. februāra lēmums Nr. 1/6 „Elektroenerģijas pārvades sistēmas pakalpojumu tarifu aprēķināšanas metodika”.</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pPr>
            <w:r w:rsidRPr="00891760">
              <w:t xml:space="preserve">Direktīvas 2012/27/ES </w:t>
            </w:r>
            <w:r w:rsidRPr="00891760">
              <w:rPr>
                <w:rFonts w:eastAsia="Times New Roman"/>
                <w:lang w:eastAsia="lv-LV"/>
              </w:rPr>
              <w:t>XI pielikums 2.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1) Elektroenerģijas tirgus likuma 20. un 27. pants;</w:t>
            </w:r>
          </w:p>
          <w:p w:rsidR="00891760" w:rsidRPr="00891760" w:rsidRDefault="00891760" w:rsidP="00891760">
            <w:pPr>
              <w:spacing w:after="0" w:line="240" w:lineRule="auto"/>
              <w:rPr>
                <w:color w:val="000000"/>
              </w:rPr>
            </w:pPr>
            <w:r w:rsidRPr="00891760">
              <w:rPr>
                <w:color w:val="000000"/>
              </w:rPr>
              <w:t>2) Likuma „Par sabiedrisko pakalpojumu regulatoriem” 19. panta pirmā daļa un 20. pants;</w:t>
            </w:r>
          </w:p>
          <w:p w:rsidR="00891760" w:rsidRPr="00891760" w:rsidRDefault="00891760" w:rsidP="00891760">
            <w:pPr>
              <w:spacing w:after="0" w:line="240" w:lineRule="auto"/>
              <w:rPr>
                <w:color w:val="000000"/>
              </w:rPr>
            </w:pPr>
            <w:r w:rsidRPr="00891760">
              <w:rPr>
                <w:color w:val="000000"/>
              </w:rPr>
              <w:lastRenderedPageBreak/>
              <w:t>3)</w:t>
            </w:r>
            <w:r w:rsidRPr="00891760">
              <w:rPr>
                <w:rFonts w:eastAsia="Times New Roman"/>
                <w:color w:val="FF0000"/>
                <w:lang w:eastAsia="lv-LV"/>
              </w:rPr>
              <w:t xml:space="preserve"> </w:t>
            </w:r>
            <w:r w:rsidRPr="00891760">
              <w:rPr>
                <w:color w:val="000000"/>
              </w:rPr>
              <w:t>AS „Sadales tīkls” Elektroenerģijas sadales sistēmas pakalpojumu diferencēto tarifu pielietošanas kārtību</w:t>
            </w:r>
            <w:r w:rsidRPr="00891760">
              <w:rPr>
                <w:rFonts w:eastAsia="Times New Roman"/>
                <w:vertAlign w:val="superscript"/>
                <w:lang w:eastAsia="lv-LV"/>
              </w:rPr>
              <w:footnoteReference w:id="58"/>
            </w:r>
            <w:r w:rsidRPr="00891760">
              <w:rPr>
                <w:color w:val="000000"/>
              </w:rPr>
              <w:t>;</w:t>
            </w:r>
          </w:p>
          <w:p w:rsidR="00891760" w:rsidRPr="00891760" w:rsidRDefault="00891760" w:rsidP="00891760">
            <w:pPr>
              <w:spacing w:after="0" w:line="240" w:lineRule="auto"/>
              <w:rPr>
                <w:rFonts w:eastAsia="Times New Roman"/>
                <w:lang w:eastAsia="lv-LV"/>
              </w:rPr>
            </w:pPr>
            <w:r w:rsidRPr="00891760">
              <w:rPr>
                <w:spacing w:val="-2"/>
              </w:rPr>
              <w:t xml:space="preserve">4) </w:t>
            </w:r>
            <w:r w:rsidRPr="00891760">
              <w:rPr>
                <w:rFonts w:eastAsia="Times New Roman"/>
                <w:bCs/>
                <w:lang w:eastAsia="lv-LV"/>
              </w:rPr>
              <w:t>Sabiedrisko pakalpojumu regulēšanas komisijas 2015. gada 26. februāra lēmuma Nr. 1/6</w:t>
            </w:r>
            <w:r w:rsidRPr="00891760">
              <w:rPr>
                <w:rFonts w:eastAsia="Times New Roman"/>
                <w:lang w:eastAsia="lv-LV"/>
              </w:rPr>
              <w:t xml:space="preserve"> „Elektroenerģijas pārvades sistēmas pakalpojumu tarifu aprēķināšanas metodika” 1., 3., 83. un 90. punkts;</w:t>
            </w:r>
          </w:p>
          <w:p w:rsidR="00891760" w:rsidRPr="00891760" w:rsidRDefault="00891760" w:rsidP="00891760">
            <w:pPr>
              <w:spacing w:after="0" w:line="240" w:lineRule="auto"/>
              <w:rPr>
                <w:spacing w:val="-2"/>
              </w:rPr>
            </w:pPr>
            <w:r w:rsidRPr="00891760">
              <w:rPr>
                <w:rFonts w:eastAsia="Times New Roman"/>
                <w:lang w:eastAsia="lv-LV"/>
              </w:rPr>
              <w:t xml:space="preserve">5) </w:t>
            </w:r>
            <w:r w:rsidRPr="00891760">
              <w:rPr>
                <w:rFonts w:eastAsia="Times New Roman"/>
                <w:bCs/>
                <w:lang w:eastAsia="lv-LV"/>
              </w:rPr>
              <w:t>Sabiedrisko pakalpojumu regulēšanas komisijas 2010. gada 14. aprīļa padomes lēmuma Nr. 1/7</w:t>
            </w:r>
            <w:r w:rsidRPr="00891760">
              <w:rPr>
                <w:rFonts w:eastAsia="Times New Roman"/>
                <w:lang w:eastAsia="lv-LV"/>
              </w:rPr>
              <w:t xml:space="preserve"> „Siltumenerģijas apgādes pakalpojumu tarifu aprēķināšanas metodika” 1., 3., 7., 14. un 21. punkts</w:t>
            </w:r>
            <w:r w:rsidRPr="00891760">
              <w:rPr>
                <w:spacing w:val="-2"/>
              </w:rPr>
              <w:t>;</w:t>
            </w:r>
          </w:p>
          <w:p w:rsidR="00891760" w:rsidRPr="00891760" w:rsidRDefault="00891760" w:rsidP="00891760">
            <w:pPr>
              <w:spacing w:after="0" w:line="240" w:lineRule="auto"/>
              <w:rPr>
                <w:b/>
                <w:color w:val="000000"/>
              </w:rPr>
            </w:pPr>
            <w:r w:rsidRPr="00891760">
              <w:rPr>
                <w:spacing w:val="-2"/>
              </w:rPr>
              <w:t xml:space="preserve">6) </w:t>
            </w:r>
            <w:r w:rsidRPr="00891760">
              <w:rPr>
                <w:rFonts w:eastAsia="Times New Roman"/>
                <w:bCs/>
                <w:lang w:eastAsia="lv-LV"/>
              </w:rPr>
              <w:t>Sabiedrisko pakalpojumu regulēšanas komisijas padomes lēmuma Nr. 1/32</w:t>
            </w:r>
            <w:r w:rsidRPr="00891760">
              <w:rPr>
                <w:rFonts w:eastAsia="Times New Roman"/>
                <w:lang w:eastAsia="lv-LV"/>
              </w:rPr>
              <w:t xml:space="preserve"> „Elektroenerģijas sadales sistēmas pakalpojumu tarifu aprēķināšanas metodika” 51.2. un 59. punkts.</w:t>
            </w:r>
          </w:p>
        </w:tc>
        <w:tc>
          <w:tcPr>
            <w:tcW w:w="915" w:type="pct"/>
          </w:tcPr>
          <w:p w:rsidR="00891760" w:rsidRPr="00891760" w:rsidRDefault="00891760" w:rsidP="00891760">
            <w:pPr>
              <w:spacing w:after="0" w:line="240" w:lineRule="auto"/>
              <w:rPr>
                <w:spacing w:val="-2"/>
              </w:rPr>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pPr>
            <w:r w:rsidRPr="00891760">
              <w:lastRenderedPageBreak/>
              <w:t xml:space="preserve">Direktīvas 2012/27/ES </w:t>
            </w:r>
            <w:r w:rsidRPr="00891760">
              <w:rPr>
                <w:rFonts w:eastAsia="Times New Roman"/>
                <w:lang w:eastAsia="lv-LV"/>
              </w:rPr>
              <w:t>XI pielikums 3. punkts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1) Elektroenerģijas tirgus likuma 20. un 27. pants;</w:t>
            </w:r>
          </w:p>
          <w:p w:rsidR="00891760" w:rsidRPr="00891760" w:rsidRDefault="00891760" w:rsidP="00891760">
            <w:pPr>
              <w:spacing w:after="0" w:line="240" w:lineRule="auto"/>
              <w:rPr>
                <w:color w:val="000000"/>
              </w:rPr>
            </w:pPr>
            <w:r w:rsidRPr="00891760">
              <w:rPr>
                <w:color w:val="000000"/>
              </w:rPr>
              <w:t>2) Likuma „Par sabiedrisko pakalpojumu regulatoriem” 19. panta pirmā daļa un 20. pants;</w:t>
            </w:r>
          </w:p>
          <w:p w:rsidR="00891760" w:rsidRPr="00891760" w:rsidRDefault="00891760" w:rsidP="00891760">
            <w:pPr>
              <w:spacing w:after="0" w:line="240" w:lineRule="auto"/>
              <w:rPr>
                <w:color w:val="000000"/>
              </w:rPr>
            </w:pPr>
            <w:r w:rsidRPr="00891760">
              <w:rPr>
                <w:color w:val="000000"/>
              </w:rPr>
              <w:t>3)</w:t>
            </w:r>
            <w:r w:rsidRPr="00891760">
              <w:rPr>
                <w:rFonts w:eastAsia="Times New Roman"/>
                <w:color w:val="FF0000"/>
                <w:lang w:eastAsia="lv-LV"/>
              </w:rPr>
              <w:t xml:space="preserve"> </w:t>
            </w:r>
            <w:r w:rsidRPr="00891760">
              <w:rPr>
                <w:color w:val="000000"/>
              </w:rPr>
              <w:t>AS „Sadales tīkls” Elektroenerģijas sadales sistēmas pakalpojumu diferencēto tarifu pielietošanas kārtību</w:t>
            </w:r>
            <w:r w:rsidRPr="00891760">
              <w:rPr>
                <w:rFonts w:eastAsia="Times New Roman"/>
                <w:vertAlign w:val="superscript"/>
                <w:lang w:eastAsia="lv-LV"/>
              </w:rPr>
              <w:footnoteReference w:id="59"/>
            </w:r>
            <w:r w:rsidRPr="00891760">
              <w:rPr>
                <w:color w:val="000000"/>
              </w:rPr>
              <w:t>;</w:t>
            </w:r>
          </w:p>
          <w:p w:rsidR="00891760" w:rsidRPr="00891760" w:rsidRDefault="00891760" w:rsidP="00891760">
            <w:pPr>
              <w:spacing w:after="0" w:line="240" w:lineRule="auto"/>
              <w:rPr>
                <w:rFonts w:eastAsia="Times New Roman"/>
                <w:lang w:eastAsia="lv-LV"/>
              </w:rPr>
            </w:pPr>
            <w:r w:rsidRPr="00891760">
              <w:rPr>
                <w:spacing w:val="-2"/>
              </w:rPr>
              <w:t xml:space="preserve">4) </w:t>
            </w:r>
            <w:r w:rsidRPr="00891760">
              <w:rPr>
                <w:rFonts w:eastAsia="Times New Roman"/>
                <w:bCs/>
                <w:lang w:eastAsia="lv-LV"/>
              </w:rPr>
              <w:t>Sabiedrisko pakalpojumu regulēšanas komisijas 2015. gada 26. februāra lēmuma Nr. 1/6</w:t>
            </w:r>
            <w:r w:rsidRPr="00891760">
              <w:rPr>
                <w:rFonts w:eastAsia="Times New Roman"/>
                <w:lang w:eastAsia="lv-LV"/>
              </w:rPr>
              <w:t xml:space="preserve"> „Elektroenerģijas pārvades sistēmas pakalpojumu tarifu aprēķināšanas metodika” 1., 3., 83. un 90. punkts;</w:t>
            </w:r>
          </w:p>
          <w:p w:rsidR="00891760" w:rsidRPr="00891760" w:rsidRDefault="00891760" w:rsidP="00891760">
            <w:pPr>
              <w:spacing w:after="0" w:line="240" w:lineRule="auto"/>
              <w:rPr>
                <w:spacing w:val="-2"/>
              </w:rPr>
            </w:pPr>
            <w:r w:rsidRPr="00891760">
              <w:rPr>
                <w:rFonts w:eastAsia="Times New Roman"/>
                <w:lang w:eastAsia="lv-LV"/>
              </w:rPr>
              <w:t xml:space="preserve">5) </w:t>
            </w:r>
            <w:r w:rsidRPr="00891760">
              <w:rPr>
                <w:rFonts w:eastAsia="Times New Roman"/>
                <w:bCs/>
                <w:lang w:eastAsia="lv-LV"/>
              </w:rPr>
              <w:t>Sabiedrisko pakalpojumu regulēšanas komisijas 2010. gada 14. aprīļa padomes lēmuma Nr. 1/7</w:t>
            </w:r>
            <w:r w:rsidRPr="00891760">
              <w:rPr>
                <w:rFonts w:eastAsia="Times New Roman"/>
                <w:lang w:eastAsia="lv-LV"/>
              </w:rPr>
              <w:t xml:space="preserve"> „Siltumenerģijas apgādes pakalpojumu tarifu aprēķināšanas metodika” 1., 3., 7., 14. un 21. punkts</w:t>
            </w:r>
            <w:r w:rsidRPr="00891760">
              <w:rPr>
                <w:spacing w:val="-2"/>
              </w:rPr>
              <w:t>;</w:t>
            </w:r>
          </w:p>
          <w:p w:rsidR="00891760" w:rsidRPr="00891760" w:rsidRDefault="00891760" w:rsidP="00891760">
            <w:pPr>
              <w:spacing w:after="0" w:line="240" w:lineRule="auto"/>
              <w:rPr>
                <w:b/>
                <w:color w:val="000000"/>
              </w:rPr>
            </w:pPr>
            <w:r w:rsidRPr="00891760">
              <w:rPr>
                <w:spacing w:val="-2"/>
              </w:rPr>
              <w:t xml:space="preserve">6) </w:t>
            </w:r>
            <w:r w:rsidRPr="00891760">
              <w:rPr>
                <w:rFonts w:eastAsia="Times New Roman"/>
                <w:bCs/>
                <w:lang w:eastAsia="lv-LV"/>
              </w:rPr>
              <w:t>Sabiedrisko pakalpojumu regulēšanas komisijas padomes lēmuma Nr. 1/32</w:t>
            </w:r>
            <w:r w:rsidRPr="00891760">
              <w:rPr>
                <w:rFonts w:eastAsia="Times New Roman"/>
                <w:lang w:eastAsia="lv-LV"/>
              </w:rPr>
              <w:t xml:space="preserve"> „Elektroenerģijas sadales sistēmas pakalpojumu tarifu aprēķināšanas metodika” 51.2. un 59. punkts.</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XII pielikums 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Cs/>
                <w:lang w:eastAsia="lv-LV"/>
              </w:rPr>
            </w:pPr>
            <w:r w:rsidRPr="00891760">
              <w:rPr>
                <w:rFonts w:eastAsia="Times New Roman"/>
                <w:bCs/>
                <w:lang w:eastAsia="lv-LV"/>
              </w:rPr>
              <w:t>Sabiedrisko pakalpojumu regulēšanas komisijas 2012. gada 22. februāra lēmuma Nr. 1/5 „Sistēmas pieslēguma noteikumi elektroenerģijas sistēmas dalībniekiem” 7. un 40. punkts.</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pPr>
            <w:r w:rsidRPr="00891760">
              <w:t xml:space="preserve">Direktīvas 2012/27/ES </w:t>
            </w:r>
            <w:r w:rsidRPr="00891760">
              <w:rPr>
                <w:rFonts w:eastAsia="Times New Roman"/>
                <w:lang w:eastAsia="lv-LV"/>
              </w:rPr>
              <w:t>XII pielikums b)</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Cs/>
                <w:lang w:eastAsia="lv-LV"/>
              </w:rPr>
            </w:pPr>
            <w:r w:rsidRPr="00891760">
              <w:rPr>
                <w:rFonts w:eastAsia="Times New Roman"/>
                <w:lang w:eastAsia="lv-LV"/>
              </w:rPr>
              <w:t xml:space="preserve">Prasības pārņemtas ar </w:t>
            </w:r>
            <w:r w:rsidRPr="00891760">
              <w:rPr>
                <w:rFonts w:eastAsia="Times New Roman"/>
                <w:bCs/>
                <w:lang w:eastAsia="lv-LV"/>
              </w:rPr>
              <w:t>Sabiedrisko pakalpojumu regulēšanas komisijas 2012. gada 22. februāra lēmuma Nr. 1/5 „Sistēmas pieslēguma noteikumi elektroenerģijas sistēmas dalībniekiem” 8. un 40. punkts.</w:t>
            </w:r>
          </w:p>
        </w:tc>
        <w:tc>
          <w:tcPr>
            <w:tcW w:w="915" w:type="pct"/>
          </w:tcPr>
          <w:p w:rsidR="00891760" w:rsidRPr="00891760" w:rsidRDefault="00891760" w:rsidP="00891760">
            <w:pPr>
              <w:spacing w:after="0" w:line="240" w:lineRule="auto"/>
              <w:rPr>
                <w:spacing w:val="-2"/>
              </w:rPr>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pPr>
            <w:r w:rsidRPr="00891760">
              <w:t xml:space="preserve">Direktīvas 2012/27/ES </w:t>
            </w:r>
            <w:r w:rsidRPr="00891760">
              <w:rPr>
                <w:rFonts w:eastAsia="Times New Roman"/>
                <w:lang w:eastAsia="lv-LV"/>
              </w:rPr>
              <w:t>XII pielikums c)</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Pārņemts pilnībā</w:t>
            </w:r>
          </w:p>
          <w:p w:rsidR="00891760" w:rsidRPr="00891760" w:rsidRDefault="00891760" w:rsidP="00891760">
            <w:pPr>
              <w:spacing w:after="0" w:line="240" w:lineRule="auto"/>
              <w:rPr>
                <w:rFonts w:eastAsia="Times New Roman"/>
                <w:bCs/>
                <w:lang w:eastAsia="lv-LV"/>
              </w:rPr>
            </w:pPr>
            <w:r w:rsidRPr="00891760">
              <w:rPr>
                <w:rFonts w:eastAsia="Times New Roman"/>
                <w:lang w:eastAsia="lv-LV"/>
              </w:rPr>
              <w:t xml:space="preserve">Prasības pārņemtas ar </w:t>
            </w:r>
            <w:r w:rsidRPr="00891760">
              <w:rPr>
                <w:rFonts w:eastAsia="Times New Roman"/>
                <w:bCs/>
                <w:lang w:eastAsia="lv-LV"/>
              </w:rPr>
              <w:t xml:space="preserve">Sabiedrisko pakalpojumu regulēšanas komisijas 2012. gada 22. februāra </w:t>
            </w:r>
            <w:r w:rsidRPr="00891760">
              <w:rPr>
                <w:rFonts w:eastAsia="Times New Roman"/>
                <w:bCs/>
                <w:lang w:eastAsia="lv-LV"/>
              </w:rPr>
              <w:lastRenderedPageBreak/>
              <w:t>lēmuma Nr. 1/5 „Sistēmas pieslēguma noteikumi elektroenerģijas sistēmas dalībniekiem” 4. un 40. punkts.</w:t>
            </w:r>
          </w:p>
        </w:tc>
        <w:tc>
          <w:tcPr>
            <w:tcW w:w="915" w:type="pct"/>
          </w:tcPr>
          <w:p w:rsidR="00891760" w:rsidRPr="00891760" w:rsidRDefault="00891760" w:rsidP="00891760">
            <w:pPr>
              <w:spacing w:after="0" w:line="240" w:lineRule="auto"/>
              <w:rPr>
                <w:spacing w:val="-2"/>
              </w:rPr>
            </w:pPr>
            <w:r w:rsidRPr="00891760">
              <w:rPr>
                <w:spacing w:val="-2"/>
              </w:rPr>
              <w:lastRenderedPageBreak/>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lastRenderedPageBreak/>
              <w:t xml:space="preserve">Direktīvas 2012/27/ES </w:t>
            </w:r>
            <w:r w:rsidRPr="00891760">
              <w:rPr>
                <w:rFonts w:eastAsia="Times New Roman"/>
                <w:lang w:eastAsia="lv-LV"/>
              </w:rPr>
              <w:t>XIII pielikums</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rPr>
                <w:color w:val="000000"/>
              </w:rPr>
            </w:pPr>
            <w:r w:rsidRPr="00891760">
              <w:rPr>
                <w:color w:val="000000"/>
              </w:rPr>
              <w:t>Prasības pārņemtas ar Energoefektivitātes likuma  14. panta otro daļu.</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XIV pielikuma pirmā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b/>
                <w:color w:val="000000"/>
              </w:rPr>
            </w:pPr>
            <w:r w:rsidRPr="00891760">
              <w:rPr>
                <w:b/>
                <w:color w:val="000000"/>
              </w:rPr>
              <w:t>Pārņemts pilnībā</w:t>
            </w:r>
          </w:p>
          <w:p w:rsidR="00891760" w:rsidRPr="00891760" w:rsidRDefault="00891760" w:rsidP="00891760">
            <w:pPr>
              <w:spacing w:after="0" w:line="240" w:lineRule="auto"/>
              <w:jc w:val="both"/>
              <w:rPr>
                <w:color w:val="000000"/>
              </w:rPr>
            </w:pPr>
            <w:r w:rsidRPr="00891760">
              <w:rPr>
                <w:color w:val="000000"/>
              </w:rPr>
              <w:t xml:space="preserve">Prasības pārņemtas ar ikgadējo ziņojumu </w:t>
            </w:r>
            <w:r w:rsidRPr="00891760">
              <w:t>“Ziņojums par virzību uz valsts energoefektivitātes mērķu 2020. gadam izpildi par 2013. gadu, atbilstoši Direktīvas 2012/27/ES 24. panta 1.punkta un XIV pielikuma 1.daļas prasībām” (Iesniegts Eiropas Komisijai 2015.gada 2.maijā)</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tcPr>
          <w:p w:rsidR="00891760" w:rsidRPr="00891760" w:rsidRDefault="00891760" w:rsidP="00891760">
            <w:pPr>
              <w:spacing w:after="0" w:line="240" w:lineRule="auto"/>
              <w:rPr>
                <w:rFonts w:eastAsia="Times New Roman"/>
                <w:lang w:eastAsia="lv-LV"/>
              </w:rPr>
            </w:pPr>
            <w:r w:rsidRPr="00891760">
              <w:t xml:space="preserve">Direktīvas 2012/27/ES </w:t>
            </w:r>
            <w:r w:rsidRPr="00891760">
              <w:rPr>
                <w:rFonts w:eastAsia="Times New Roman"/>
                <w:lang w:eastAsia="lv-LV"/>
              </w:rPr>
              <w:t>XIV pielikuma otrā daļa</w:t>
            </w:r>
          </w:p>
        </w:tc>
        <w:tc>
          <w:tcPr>
            <w:tcW w:w="714" w:type="pct"/>
          </w:tcPr>
          <w:p w:rsidR="00891760" w:rsidRPr="00891760" w:rsidRDefault="00891760" w:rsidP="00891760">
            <w:pPr>
              <w:spacing w:after="0" w:line="240" w:lineRule="auto"/>
              <w:rPr>
                <w:rFonts w:eastAsia="Times New Roman"/>
                <w:lang w:eastAsia="lv-LV"/>
              </w:rPr>
            </w:pPr>
          </w:p>
        </w:tc>
        <w:tc>
          <w:tcPr>
            <w:tcW w:w="2523" w:type="pct"/>
          </w:tcPr>
          <w:p w:rsidR="00891760" w:rsidRPr="00891760" w:rsidRDefault="00891760" w:rsidP="00891760">
            <w:pPr>
              <w:spacing w:after="0" w:line="240" w:lineRule="auto"/>
              <w:rPr>
                <w:rFonts w:eastAsia="Times New Roman"/>
                <w:b/>
                <w:lang w:eastAsia="lv-LV"/>
              </w:rPr>
            </w:pPr>
            <w:r w:rsidRPr="00891760">
              <w:rPr>
                <w:rFonts w:eastAsia="Times New Roman"/>
                <w:b/>
                <w:lang w:eastAsia="lv-LV"/>
              </w:rPr>
              <w:t xml:space="preserve">Pārņemts pilnībā </w:t>
            </w:r>
          </w:p>
          <w:p w:rsidR="00891760" w:rsidRPr="00891760" w:rsidRDefault="00891760" w:rsidP="00891760">
            <w:pPr>
              <w:spacing w:after="0" w:line="240" w:lineRule="auto"/>
              <w:rPr>
                <w:color w:val="000000"/>
              </w:rPr>
            </w:pPr>
            <w:r w:rsidRPr="00891760">
              <w:rPr>
                <w:rFonts w:eastAsia="Times New Roman"/>
                <w:lang w:eastAsia="lv-LV"/>
              </w:rPr>
              <w:t>Prasība pārņemta ar informatīvo ziņojumu “</w:t>
            </w:r>
            <w:r w:rsidRPr="00891760">
              <w:t xml:space="preserve">Par virzību uz indikatīvo valsts energoefektivitātes mērķi 2014. – 2016. gadā saskaņā ar </w:t>
            </w:r>
            <w:r w:rsidRPr="00891760">
              <w:rPr>
                <w:bCs/>
                <w:color w:val="000000"/>
              </w:rPr>
              <w:t>Eiropas Parlamenta un Padomes 2012. gada 25. oktobra Direktīvu 2012/27/ES par energoefektivitāti, ar ko groza Direktīvas 2009/125/EK un 2010/30/ES un atceļ Direktīvas 2004/8/EK un 2006/32/EK” (iesniegts Eiropas Komisijā 2014. gada 9. jūnijā)</w:t>
            </w:r>
            <w:r w:rsidRPr="00891760">
              <w:rPr>
                <w:bCs/>
                <w:color w:val="000000"/>
                <w:u w:val="single"/>
              </w:rPr>
              <w:t xml:space="preserve"> </w:t>
            </w:r>
          </w:p>
        </w:tc>
        <w:tc>
          <w:tcPr>
            <w:tcW w:w="915" w:type="pct"/>
          </w:tcPr>
          <w:p w:rsidR="00891760" w:rsidRPr="00891760" w:rsidRDefault="00891760" w:rsidP="00891760">
            <w:pPr>
              <w:spacing w:after="0" w:line="240" w:lineRule="auto"/>
            </w:pPr>
            <w:r w:rsidRPr="00891760">
              <w:rPr>
                <w:spacing w:val="-2"/>
              </w:rPr>
              <w:t>Neparedz stingrākas prasības</w:t>
            </w:r>
          </w:p>
        </w:tc>
      </w:tr>
      <w:tr w:rsidR="00891760" w:rsidRPr="00891760" w:rsidTr="00891760">
        <w:tc>
          <w:tcPr>
            <w:tcW w:w="848" w:type="pct"/>
            <w:hideMark/>
          </w:tcPr>
          <w:p w:rsidR="00891760" w:rsidRPr="00891760" w:rsidRDefault="00891760" w:rsidP="00891760">
            <w:pPr>
              <w:spacing w:after="0" w:line="240" w:lineRule="auto"/>
              <w:rPr>
                <w:rFonts w:eastAsia="Times New Roman"/>
                <w:lang w:eastAsia="lv-LV"/>
              </w:rPr>
            </w:pPr>
            <w:r w:rsidRPr="00891760">
              <w:rPr>
                <w:rFonts w:eastAsia="Times New Roman"/>
                <w:lang w:eastAsia="lv-LV"/>
              </w:rPr>
              <w:t>Kā ir izmantota ES tiesību aktā paredzētā rīcības brīvība dalībvalstij pārņemt vai ieviest noteiktas ES tiesību akta normas?</w:t>
            </w:r>
            <w:r w:rsidRPr="00891760">
              <w:rPr>
                <w:rFonts w:eastAsia="Times New Roman"/>
                <w:lang w:eastAsia="lv-LV"/>
              </w:rPr>
              <w:br/>
              <w:t>Kādēļ?</w:t>
            </w:r>
          </w:p>
        </w:tc>
        <w:tc>
          <w:tcPr>
            <w:tcW w:w="4152" w:type="pct"/>
            <w:gridSpan w:val="3"/>
            <w:hideMark/>
          </w:tcPr>
          <w:p w:rsidR="00891760" w:rsidRPr="00891760" w:rsidRDefault="00891760" w:rsidP="00891760">
            <w:pPr>
              <w:spacing w:after="0" w:line="240" w:lineRule="auto"/>
              <w:rPr>
                <w:rFonts w:eastAsia="Times New Roman"/>
                <w:lang w:eastAsia="lv-LV"/>
              </w:rPr>
            </w:pPr>
            <w:r w:rsidRPr="00891760">
              <w:rPr>
                <w:rFonts w:eastAsia="Times New Roman"/>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891760" w:rsidRPr="00891760" w:rsidTr="00891760">
        <w:tc>
          <w:tcPr>
            <w:tcW w:w="848" w:type="pct"/>
            <w:hideMark/>
          </w:tcPr>
          <w:p w:rsidR="00891760" w:rsidRPr="00891760" w:rsidRDefault="00891760" w:rsidP="00891760">
            <w:pPr>
              <w:spacing w:after="0" w:line="240" w:lineRule="auto"/>
              <w:rPr>
                <w:rFonts w:eastAsia="Times New Roman"/>
                <w:lang w:eastAsia="lv-LV"/>
              </w:rPr>
            </w:pPr>
            <w:r w:rsidRPr="00891760">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rsidR="00891760" w:rsidRPr="00891760" w:rsidRDefault="00891760" w:rsidP="00891760">
            <w:pPr>
              <w:spacing w:after="0" w:line="240" w:lineRule="auto"/>
              <w:rPr>
                <w:rFonts w:eastAsia="Times New Roman"/>
                <w:lang w:eastAsia="lv-LV"/>
              </w:rPr>
            </w:pPr>
            <w:r w:rsidRPr="00891760">
              <w:rPr>
                <w:rFonts w:eastAsia="Times New Roman"/>
                <w:lang w:eastAsia="lv-LV"/>
              </w:rPr>
              <w:t>Projekts šo jomu neskar.</w:t>
            </w:r>
          </w:p>
        </w:tc>
      </w:tr>
      <w:tr w:rsidR="00891760" w:rsidRPr="00891760" w:rsidTr="00891760">
        <w:tc>
          <w:tcPr>
            <w:tcW w:w="848" w:type="pct"/>
            <w:hideMark/>
          </w:tcPr>
          <w:p w:rsidR="00891760" w:rsidRPr="00891760" w:rsidRDefault="00891760" w:rsidP="00891760">
            <w:pPr>
              <w:spacing w:after="0" w:line="240" w:lineRule="auto"/>
              <w:rPr>
                <w:rFonts w:eastAsia="Times New Roman"/>
                <w:lang w:eastAsia="lv-LV"/>
              </w:rPr>
            </w:pPr>
            <w:r w:rsidRPr="00891760">
              <w:rPr>
                <w:rFonts w:eastAsia="Times New Roman"/>
                <w:lang w:eastAsia="lv-LV"/>
              </w:rPr>
              <w:t>Cita informācija</w:t>
            </w:r>
          </w:p>
        </w:tc>
        <w:tc>
          <w:tcPr>
            <w:tcW w:w="4152" w:type="pct"/>
            <w:gridSpan w:val="3"/>
            <w:hideMark/>
          </w:tcPr>
          <w:p w:rsidR="009F4971" w:rsidRDefault="00891760" w:rsidP="00891760">
            <w:pPr>
              <w:spacing w:after="0" w:line="240" w:lineRule="auto"/>
              <w:jc w:val="both"/>
              <w:rPr>
                <w:rFonts w:eastAsia="Times New Roman"/>
                <w:lang w:eastAsia="lv-LV"/>
              </w:rPr>
            </w:pPr>
            <w:r w:rsidRPr="00891760">
              <w:rPr>
                <w:rFonts w:eastAsia="Times New Roman"/>
                <w:lang w:eastAsia="lv-LV"/>
              </w:rPr>
              <w:t>Lai pārņemtu Direktīvas 2012/27/ES prasības</w:t>
            </w:r>
            <w:r w:rsidR="009F4971">
              <w:rPr>
                <w:rFonts w:eastAsia="Times New Roman"/>
                <w:lang w:eastAsia="lv-LV"/>
              </w:rPr>
              <w:t>:</w:t>
            </w:r>
          </w:p>
          <w:p w:rsidR="00891760" w:rsidRPr="009F4971" w:rsidRDefault="00891760" w:rsidP="009F4971">
            <w:pPr>
              <w:pStyle w:val="ListParagraph"/>
              <w:numPr>
                <w:ilvl w:val="0"/>
                <w:numId w:val="49"/>
              </w:numPr>
              <w:jc w:val="both"/>
              <w:rPr>
                <w:rFonts w:eastAsia="Times New Roman"/>
              </w:rPr>
            </w:pPr>
            <w:r w:rsidRPr="009F4971">
              <w:rPr>
                <w:rFonts w:eastAsia="Times New Roman"/>
              </w:rPr>
              <w:lastRenderedPageBreak/>
              <w:t>Saeimā izskatīšanā atrodas likumprojekts „Grozījumi Elektroenerģijas tirgus likumā”;</w:t>
            </w:r>
          </w:p>
          <w:p w:rsidR="009F4971" w:rsidRPr="009F4971" w:rsidRDefault="009F4971" w:rsidP="009F4971">
            <w:pPr>
              <w:pStyle w:val="ListParagraph"/>
              <w:numPr>
                <w:ilvl w:val="0"/>
                <w:numId w:val="49"/>
              </w:numPr>
              <w:jc w:val="both"/>
              <w:rPr>
                <w:rFonts w:eastAsia="Times New Roman"/>
              </w:rPr>
            </w:pPr>
            <w:r w:rsidRPr="009F4971">
              <w:rPr>
                <w:rFonts w:eastAsia="Times New Roman"/>
              </w:rPr>
              <w:t>Sabiedriskai apspriešanai publiskots likumprojekts “Grozījumi likumā Par nodokļiem un nodevām”</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Lai pilnībā pārņemtu Direktīvas 2012/27/ES prasības, līdz 2016. gada 1. jūlijam Ministru kabinetā tiks pieņemti šādi noteikumu projekti vai grozījumi Ministru kabineta noteikumos:</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1) Ministru kabineta noteikumu projekts “Grozījumi Ministru kabineta 2008. gada 21. oktobra noteikumos Nr. 876 “Siltumenerģijas piegādes un lietošanas noteikumi””;</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2) Ministru kabineta noteikumu projekts „Noteikumi par energoefektivitātes prasībām reģistrēta energoapgādes komersanta valdījumā esošām centralizētām siltumapgādes sistēmām un to atbilstības pārbaudes kārtību”;</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3) Ministru kabineta noteikumu projekts “Noteikumi par valsts energoefektivitātes fondu”;</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4) Ministru kabineta noteikumu projekts “Kārtību, kādā tiek noslēgta un pārraudzīta vienošanās par energoefektivitātes paaugstināšanu”;</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5) Ministru kabineta noteikumu projekts „Energoefektivitātes pienākumu shēma”;</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6) Ministru kabineta noteikumu projekts „Uzņēmumu </w:t>
            </w:r>
            <w:proofErr w:type="spellStart"/>
            <w:r w:rsidRPr="00891760">
              <w:rPr>
                <w:rFonts w:eastAsia="Times New Roman"/>
                <w:lang w:eastAsia="lv-LV"/>
              </w:rPr>
              <w:t>energoaudita</w:t>
            </w:r>
            <w:proofErr w:type="spellEnd"/>
            <w:r w:rsidRPr="00891760">
              <w:rPr>
                <w:rFonts w:eastAsia="Times New Roman"/>
                <w:lang w:eastAsia="lv-LV"/>
              </w:rPr>
              <w:t xml:space="preserve"> noteikumi”;</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7) Ministru kabineta noteikumu projekts “Noteikumi par tiešo pārvaldes iestāžu rīkotajos iepirkumos izvirzāmajām preču un pakalpojumu energoefektivitātes prasībām”</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8) Ministru kabineta noteikumu projekts “Grozījumi Ministru kabineta 2010. gada 8. jūnija noteikumos Nr. 519 „Noteikumi par publisko iepirkumu līgumcenas robežām””;</w:t>
            </w:r>
          </w:p>
          <w:p w:rsidR="00891760" w:rsidRPr="00891760" w:rsidRDefault="00891760" w:rsidP="00891760">
            <w:pPr>
              <w:spacing w:after="0" w:line="240" w:lineRule="auto"/>
              <w:jc w:val="both"/>
            </w:pPr>
            <w:r w:rsidRPr="00891760">
              <w:t>9) Ministru kabineta noteikumu projekts “Noteikumi par izcelsmes apliecinājuma saņemšanu elektroenerģijai, kas ražota izmatojot atjaunojamos energoresursus vai augsta efektivitātes koģenerācijas režīmā”;</w:t>
            </w:r>
          </w:p>
          <w:p w:rsidR="00891760" w:rsidRPr="00891760" w:rsidRDefault="00891760" w:rsidP="00891760">
            <w:pPr>
              <w:spacing w:after="0" w:line="240" w:lineRule="auto"/>
              <w:jc w:val="both"/>
            </w:pPr>
            <w:r w:rsidRPr="00891760">
              <w:t>10) Ministru kabineta noteikumu projekts “Energoefektivitātes nodevas noteikumi”;</w:t>
            </w:r>
          </w:p>
          <w:p w:rsidR="00891760" w:rsidRPr="00891760" w:rsidRDefault="00891760" w:rsidP="00891760">
            <w:pPr>
              <w:spacing w:after="0" w:line="240" w:lineRule="auto"/>
              <w:jc w:val="both"/>
            </w:pPr>
            <w:r w:rsidRPr="00891760">
              <w:t>11) Ministru kabineta noteikumu projekts “Enerģijas maksas noteikšanas metodika”;</w:t>
            </w:r>
          </w:p>
          <w:p w:rsidR="00891760" w:rsidRPr="00891760" w:rsidRDefault="00891760" w:rsidP="00891760">
            <w:pPr>
              <w:spacing w:after="0" w:line="240" w:lineRule="auto"/>
              <w:jc w:val="both"/>
            </w:pPr>
            <w:r w:rsidRPr="00891760">
              <w:t>12) Ministru kabineta noteikumu projekts “Energoefektivitātes monitoringa noteikumi”</w:t>
            </w:r>
          </w:p>
          <w:p w:rsidR="00891760" w:rsidRPr="00891760" w:rsidRDefault="00891760" w:rsidP="00891760">
            <w:pPr>
              <w:spacing w:after="0" w:line="240" w:lineRule="auto"/>
              <w:jc w:val="both"/>
              <w:rPr>
                <w:rFonts w:eastAsia="Times New Roman"/>
                <w:lang w:eastAsia="lv-LV"/>
              </w:rPr>
            </w:pPr>
            <w:r w:rsidRPr="00891760">
              <w:t xml:space="preserve">13) </w:t>
            </w:r>
            <w:r w:rsidRPr="00891760">
              <w:rPr>
                <w:rFonts w:eastAsia="Times New Roman"/>
                <w:lang w:eastAsia="lv-LV"/>
              </w:rPr>
              <w:t>Ministru kabineta noteikumu projekts “Primārās enerģijas ietaupījuma aprēķināšanas metodika koģenerācijas stacijām”;</w:t>
            </w:r>
          </w:p>
          <w:p w:rsidR="00891760" w:rsidRPr="00891760" w:rsidRDefault="00891760" w:rsidP="00891760">
            <w:pPr>
              <w:spacing w:after="0" w:line="240" w:lineRule="auto"/>
              <w:jc w:val="both"/>
              <w:rPr>
                <w:rFonts w:eastAsia="Times New Roman"/>
                <w:lang w:eastAsia="lv-LV"/>
              </w:rPr>
            </w:pPr>
            <w:r w:rsidRPr="00891760">
              <w:rPr>
                <w:rFonts w:eastAsia="Times New Roman"/>
                <w:lang w:eastAsia="lv-LV"/>
              </w:rPr>
              <w:t xml:space="preserve">14) Ministru kabineta noteikumu projekts “Kārtība, kādā valsts iestāde vai pašvaldība paziņo par </w:t>
            </w:r>
            <w:proofErr w:type="spellStart"/>
            <w:r w:rsidRPr="00891760">
              <w:rPr>
                <w:rFonts w:eastAsia="Times New Roman"/>
                <w:lang w:eastAsia="lv-LV"/>
              </w:rPr>
              <w:t>energopārvaldības</w:t>
            </w:r>
            <w:proofErr w:type="spellEnd"/>
            <w:r w:rsidRPr="00891760">
              <w:rPr>
                <w:rFonts w:eastAsia="Times New Roman"/>
                <w:lang w:eastAsia="lv-LV"/>
              </w:rPr>
              <w:t xml:space="preserve"> sistēmas ieviešanu un tiek pārbaudīta un apstiprināta </w:t>
            </w:r>
            <w:proofErr w:type="spellStart"/>
            <w:r w:rsidRPr="00891760">
              <w:rPr>
                <w:rFonts w:eastAsia="Times New Roman"/>
                <w:lang w:eastAsia="lv-LV"/>
              </w:rPr>
              <w:t>energopārvaldības</w:t>
            </w:r>
            <w:proofErr w:type="spellEnd"/>
            <w:r w:rsidRPr="00891760">
              <w:rPr>
                <w:rFonts w:eastAsia="Times New Roman"/>
                <w:lang w:eastAsia="lv-LV"/>
              </w:rPr>
              <w:t xml:space="preserve"> sistēmas ieviešana valsts iestādē vai pašvaldībā”</w:t>
            </w:r>
          </w:p>
          <w:p w:rsidR="00891760" w:rsidRPr="00891760" w:rsidRDefault="00891760" w:rsidP="00891760">
            <w:pPr>
              <w:spacing w:after="0" w:line="240" w:lineRule="auto"/>
              <w:jc w:val="both"/>
            </w:pPr>
            <w:r w:rsidRPr="00891760">
              <w:rPr>
                <w:rFonts w:eastAsia="Times New Roman"/>
                <w:lang w:eastAsia="lv-LV"/>
              </w:rPr>
              <w:t>15) N</w:t>
            </w:r>
            <w:r w:rsidRPr="00891760">
              <w:t>epieciešamības gadījumā citi ārēji vai iekšēji normatīvo aktu projekti.</w:t>
            </w:r>
          </w:p>
          <w:p w:rsidR="00891760" w:rsidRPr="00891760" w:rsidRDefault="00891760" w:rsidP="00891760">
            <w:pPr>
              <w:spacing w:after="0" w:line="240" w:lineRule="auto"/>
              <w:jc w:val="both"/>
            </w:pPr>
            <w:r w:rsidRPr="00891760">
              <w:rPr>
                <w:bCs/>
              </w:rPr>
              <w:t>K</w:t>
            </w:r>
            <w:r w:rsidRPr="00891760">
              <w:t>ārtību, kādā sniedzami paziņojumi par Direktīvas 2012/27/ES izpildes pasākumiem,</w:t>
            </w:r>
            <w:r w:rsidRPr="00891760">
              <w:rPr>
                <w:b/>
                <w:bCs/>
              </w:rPr>
              <w:t xml:space="preserve"> </w:t>
            </w:r>
            <w:r w:rsidRPr="00891760">
              <w:rPr>
                <w:bCs/>
              </w:rPr>
              <w:t>nosaka Ministru kabineta 2012. gada 10. aprīļa noteikumi Nr. 255 “</w:t>
            </w:r>
            <w:r w:rsidRPr="00891760">
              <w:t>Eiropas Savienības tiesību aktu pārņemšanas un ieviešanas kontroles un koordinācijas noteikumi</w:t>
            </w:r>
            <w:r w:rsidRPr="00891760">
              <w:rPr>
                <w:bCs/>
              </w:rPr>
              <w:t>”.</w:t>
            </w:r>
          </w:p>
        </w:tc>
      </w:tr>
      <w:tr w:rsidR="00891760" w:rsidRPr="00891760" w:rsidTr="00891760">
        <w:tc>
          <w:tcPr>
            <w:tcW w:w="5000" w:type="pct"/>
            <w:gridSpan w:val="4"/>
            <w:hideMark/>
          </w:tcPr>
          <w:p w:rsidR="00891760" w:rsidRPr="00891760" w:rsidRDefault="00891760" w:rsidP="00891760">
            <w:pPr>
              <w:spacing w:after="0" w:line="240" w:lineRule="auto"/>
              <w:jc w:val="center"/>
              <w:rPr>
                <w:rFonts w:eastAsia="Times New Roman"/>
                <w:b/>
                <w:bCs/>
                <w:lang w:eastAsia="lv-LV"/>
              </w:rPr>
            </w:pPr>
            <w:r w:rsidRPr="00891760">
              <w:rPr>
                <w:rFonts w:eastAsia="Times New Roman"/>
                <w:b/>
                <w:bCs/>
                <w:lang w:eastAsia="lv-LV"/>
              </w:rPr>
              <w:lastRenderedPageBreak/>
              <w:t>2. tabula</w:t>
            </w:r>
            <w:r w:rsidRPr="00891760">
              <w:rPr>
                <w:rFonts w:eastAsia="Times New Roman"/>
                <w:b/>
                <w:bCs/>
                <w:lang w:eastAsia="lv-LV"/>
              </w:rPr>
              <w:br/>
              <w:t>Ar tiesību akta projektu izpildītās vai uzņemtās saistības, kas izriet no starptautiskajiem tiesību aktiem vai starptautiskas institūcijas vai organizācijas dokumentiem.</w:t>
            </w:r>
            <w:r w:rsidRPr="00891760">
              <w:rPr>
                <w:rFonts w:eastAsia="Times New Roman"/>
                <w:b/>
                <w:bCs/>
                <w:lang w:eastAsia="lv-LV"/>
              </w:rPr>
              <w:br/>
              <w:t>Pasākumi šo saistību izpildei</w:t>
            </w:r>
          </w:p>
        </w:tc>
      </w:tr>
      <w:tr w:rsidR="00891760" w:rsidRPr="00891760" w:rsidTr="00891760">
        <w:tc>
          <w:tcPr>
            <w:tcW w:w="5000" w:type="pct"/>
            <w:gridSpan w:val="4"/>
          </w:tcPr>
          <w:p w:rsidR="00891760" w:rsidRPr="00891760" w:rsidRDefault="00891760" w:rsidP="00891760">
            <w:pPr>
              <w:spacing w:after="0" w:line="240" w:lineRule="auto"/>
              <w:rPr>
                <w:rFonts w:eastAsia="Times New Roman"/>
                <w:lang w:eastAsia="lv-LV"/>
              </w:rPr>
            </w:pPr>
            <w:r w:rsidRPr="00891760">
              <w:rPr>
                <w:rFonts w:eastAsia="Times New Roman"/>
                <w:lang w:eastAsia="lv-LV"/>
              </w:rPr>
              <w:t>Projekts šo jomu neskar.</w:t>
            </w:r>
          </w:p>
        </w:tc>
      </w:tr>
    </w:tbl>
    <w:p w:rsidR="00DE4509" w:rsidRPr="00451A29" w:rsidRDefault="00DE4509" w:rsidP="008D5EB7">
      <w:pPr>
        <w:pStyle w:val="naisf"/>
        <w:spacing w:before="0" w:after="0"/>
        <w:ind w:firstLine="0"/>
      </w:pPr>
    </w:p>
    <w:tbl>
      <w:tblPr>
        <w:tblW w:w="527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641"/>
      </w:tblGrid>
      <w:tr w:rsidR="003D40E6" w:rsidRPr="00451A29" w:rsidTr="00F41BD5">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3D40E6" w:rsidRPr="00451A29" w:rsidRDefault="003D40E6" w:rsidP="008D5EB7">
            <w:pPr>
              <w:spacing w:after="0" w:line="240" w:lineRule="auto"/>
              <w:jc w:val="center"/>
              <w:rPr>
                <w:rFonts w:ascii="Times New Roman" w:eastAsia="Times New Roman" w:hAnsi="Times New Roman"/>
                <w:b/>
                <w:bCs/>
                <w:color w:val="000000" w:themeColor="text1"/>
                <w:sz w:val="24"/>
                <w:szCs w:val="24"/>
                <w:lang w:eastAsia="lv-LV"/>
              </w:rPr>
            </w:pPr>
            <w:r w:rsidRPr="00451A29">
              <w:rPr>
                <w:rFonts w:ascii="Times New Roman" w:eastAsia="Times New Roman" w:hAnsi="Times New Roman"/>
                <w:b/>
                <w:bCs/>
                <w:color w:val="000000" w:themeColor="text1"/>
                <w:sz w:val="24"/>
                <w:szCs w:val="24"/>
                <w:lang w:eastAsia="lv-LV"/>
              </w:rPr>
              <w:t>VI. Sabiedrības līdzdalība un komunikācijas aktivitātes</w:t>
            </w:r>
          </w:p>
        </w:tc>
      </w:tr>
      <w:tr w:rsidR="0020329D" w:rsidRPr="00451A29" w:rsidTr="0020329D">
        <w:trPr>
          <w:jc w:val="center"/>
        </w:trPr>
        <w:tc>
          <w:tcPr>
            <w:tcW w:w="5000" w:type="pct"/>
            <w:tcBorders>
              <w:top w:val="outset" w:sz="6" w:space="0" w:color="000000"/>
              <w:left w:val="outset" w:sz="6" w:space="0" w:color="000000"/>
              <w:bottom w:val="outset" w:sz="6" w:space="0" w:color="000000"/>
              <w:right w:val="outset" w:sz="6" w:space="0" w:color="000000"/>
            </w:tcBorders>
            <w:hideMark/>
          </w:tcPr>
          <w:p w:rsidR="0020329D" w:rsidRPr="00451A29" w:rsidRDefault="0020329D" w:rsidP="008D5EB7">
            <w:pPr>
              <w:spacing w:after="0" w:line="240" w:lineRule="auto"/>
              <w:jc w:val="both"/>
              <w:rPr>
                <w:rFonts w:ascii="Times New Roman" w:eastAsia="Times New Roman" w:hAnsi="Times New Roman"/>
                <w:sz w:val="24"/>
                <w:szCs w:val="24"/>
                <w:lang w:eastAsia="lv-LV"/>
              </w:rPr>
            </w:pPr>
            <w:r w:rsidRPr="00451A29">
              <w:rPr>
                <w:rFonts w:ascii="Times New Roman" w:hAnsi="Times New Roman"/>
                <w:bCs/>
                <w:color w:val="000000" w:themeColor="text1"/>
                <w:sz w:val="24"/>
                <w:szCs w:val="24"/>
              </w:rPr>
              <w:t>Projekts šo jomu neskar</w:t>
            </w:r>
            <w:r w:rsidR="00297EE3" w:rsidRPr="00451A29">
              <w:rPr>
                <w:rFonts w:ascii="Times New Roman" w:hAnsi="Times New Roman"/>
                <w:bCs/>
                <w:color w:val="000000" w:themeColor="text1"/>
                <w:sz w:val="24"/>
                <w:szCs w:val="24"/>
              </w:rPr>
              <w:t>.</w:t>
            </w:r>
          </w:p>
        </w:tc>
      </w:tr>
    </w:tbl>
    <w:p w:rsidR="003D40E6" w:rsidRPr="00451A29" w:rsidRDefault="003D40E6" w:rsidP="008D5EB7">
      <w:pPr>
        <w:pStyle w:val="NormalWeb"/>
        <w:spacing w:before="0" w:beforeAutospacing="0" w:after="0" w:afterAutospacing="0"/>
        <w:ind w:left="539"/>
        <w:rPr>
          <w:color w:val="000000" w:themeColor="text1"/>
          <w:sz w:val="28"/>
          <w:szCs w:val="28"/>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82"/>
      </w:tblGrid>
      <w:tr w:rsidR="003D40E6" w:rsidRPr="00451A29" w:rsidTr="00F41BD5">
        <w:tc>
          <w:tcPr>
            <w:tcW w:w="9673" w:type="dxa"/>
            <w:gridSpan w:val="3"/>
            <w:vAlign w:val="center"/>
          </w:tcPr>
          <w:p w:rsidR="003D40E6" w:rsidRPr="00451A29" w:rsidRDefault="003D40E6" w:rsidP="008D5EB7">
            <w:pPr>
              <w:pStyle w:val="naisnod"/>
              <w:spacing w:before="0" w:after="0"/>
              <w:rPr>
                <w:color w:val="000000" w:themeColor="text1"/>
              </w:rPr>
            </w:pPr>
            <w:r w:rsidRPr="00451A29">
              <w:rPr>
                <w:color w:val="000000" w:themeColor="text1"/>
              </w:rPr>
              <w:t>VII. Tiesību akta projekta izpildes nodrošināšana un tās ietekme uz institūcijām</w:t>
            </w:r>
          </w:p>
        </w:tc>
      </w:tr>
      <w:tr w:rsidR="003D40E6" w:rsidRPr="00451A29" w:rsidTr="00F41BD5">
        <w:trPr>
          <w:trHeight w:val="630"/>
        </w:trPr>
        <w:tc>
          <w:tcPr>
            <w:tcW w:w="806" w:type="dxa"/>
          </w:tcPr>
          <w:p w:rsidR="003D40E6" w:rsidRPr="00451A29" w:rsidRDefault="003D40E6" w:rsidP="008D5EB7">
            <w:pPr>
              <w:pStyle w:val="naiskr"/>
              <w:spacing w:before="0" w:after="0"/>
              <w:rPr>
                <w:color w:val="000000" w:themeColor="text1"/>
              </w:rPr>
            </w:pPr>
            <w:r w:rsidRPr="00451A29">
              <w:rPr>
                <w:color w:val="000000" w:themeColor="text1"/>
              </w:rPr>
              <w:t>1.</w:t>
            </w:r>
          </w:p>
        </w:tc>
        <w:tc>
          <w:tcPr>
            <w:tcW w:w="2885" w:type="dxa"/>
          </w:tcPr>
          <w:p w:rsidR="003D40E6" w:rsidRPr="00451A29" w:rsidRDefault="003D40E6" w:rsidP="008D5EB7">
            <w:pPr>
              <w:spacing w:after="0" w:line="240" w:lineRule="auto"/>
              <w:rPr>
                <w:rFonts w:ascii="Times New Roman" w:eastAsia="Times New Roman" w:hAnsi="Times New Roman"/>
                <w:color w:val="000000" w:themeColor="text1"/>
                <w:sz w:val="24"/>
                <w:szCs w:val="24"/>
                <w:lang w:eastAsia="lv-LV"/>
              </w:rPr>
            </w:pPr>
            <w:r w:rsidRPr="00451A29">
              <w:rPr>
                <w:rFonts w:ascii="Times New Roman" w:eastAsia="Times New Roman" w:hAnsi="Times New Roman"/>
                <w:color w:val="000000" w:themeColor="text1"/>
                <w:sz w:val="24"/>
                <w:szCs w:val="24"/>
                <w:lang w:eastAsia="lv-LV"/>
              </w:rPr>
              <w:t>Projekta izpildē iesaistītās institūcijas</w:t>
            </w:r>
          </w:p>
        </w:tc>
        <w:tc>
          <w:tcPr>
            <w:tcW w:w="5982" w:type="dxa"/>
          </w:tcPr>
          <w:p w:rsidR="003D40E6" w:rsidRPr="00451A29" w:rsidRDefault="003D40E6" w:rsidP="008D5EB7">
            <w:pPr>
              <w:pStyle w:val="NormalWeb"/>
              <w:spacing w:before="0" w:beforeAutospacing="0" w:after="0" w:afterAutospacing="0"/>
              <w:jc w:val="both"/>
              <w:rPr>
                <w:color w:val="000000" w:themeColor="text1"/>
              </w:rPr>
            </w:pPr>
            <w:r w:rsidRPr="00451A29">
              <w:rPr>
                <w:iCs/>
                <w:color w:val="000000" w:themeColor="text1"/>
              </w:rPr>
              <w:t>Projekts šo jomu neskar.</w:t>
            </w:r>
          </w:p>
        </w:tc>
      </w:tr>
      <w:tr w:rsidR="003D40E6" w:rsidRPr="00451A29" w:rsidTr="00F41BD5">
        <w:trPr>
          <w:trHeight w:val="472"/>
        </w:trPr>
        <w:tc>
          <w:tcPr>
            <w:tcW w:w="806" w:type="dxa"/>
          </w:tcPr>
          <w:p w:rsidR="003D40E6" w:rsidRPr="00451A29" w:rsidRDefault="003D40E6" w:rsidP="008D5EB7">
            <w:pPr>
              <w:pStyle w:val="naiskr"/>
              <w:spacing w:before="0" w:after="0"/>
              <w:rPr>
                <w:color w:val="000000" w:themeColor="text1"/>
              </w:rPr>
            </w:pPr>
            <w:r w:rsidRPr="00451A29">
              <w:rPr>
                <w:color w:val="000000" w:themeColor="text1"/>
              </w:rPr>
              <w:lastRenderedPageBreak/>
              <w:t>2.</w:t>
            </w:r>
          </w:p>
        </w:tc>
        <w:tc>
          <w:tcPr>
            <w:tcW w:w="2885" w:type="dxa"/>
          </w:tcPr>
          <w:p w:rsidR="003D40E6" w:rsidRPr="00451A29" w:rsidRDefault="003D40E6" w:rsidP="008D5EB7">
            <w:pPr>
              <w:spacing w:after="0" w:line="240" w:lineRule="auto"/>
              <w:rPr>
                <w:rFonts w:ascii="Times New Roman" w:eastAsia="Times New Roman" w:hAnsi="Times New Roman"/>
                <w:color w:val="000000" w:themeColor="text1"/>
                <w:sz w:val="24"/>
                <w:szCs w:val="24"/>
                <w:lang w:eastAsia="lv-LV"/>
              </w:rPr>
            </w:pPr>
            <w:r w:rsidRPr="00451A29">
              <w:rPr>
                <w:rFonts w:ascii="Times New Roman" w:eastAsia="Times New Roman" w:hAnsi="Times New Roman"/>
                <w:color w:val="000000" w:themeColor="text1"/>
                <w:sz w:val="24"/>
                <w:szCs w:val="24"/>
                <w:lang w:eastAsia="lv-LV"/>
              </w:rPr>
              <w:t>Projekta izpildes ietekme uz pārvaldes funkcijām un institucionālo struktūru.</w:t>
            </w:r>
          </w:p>
          <w:p w:rsidR="003D40E6" w:rsidRPr="00451A29" w:rsidRDefault="003D40E6" w:rsidP="008D5EB7">
            <w:pPr>
              <w:spacing w:after="0" w:line="240" w:lineRule="auto"/>
              <w:rPr>
                <w:rFonts w:ascii="Times New Roman" w:eastAsia="Times New Roman" w:hAnsi="Times New Roman"/>
                <w:color w:val="000000" w:themeColor="text1"/>
                <w:sz w:val="24"/>
                <w:szCs w:val="24"/>
                <w:lang w:eastAsia="lv-LV"/>
              </w:rPr>
            </w:pPr>
            <w:r w:rsidRPr="00451A29">
              <w:rPr>
                <w:rFonts w:ascii="Times New Roman" w:eastAsia="Times New Roman" w:hAnsi="Times New Roman"/>
                <w:color w:val="000000" w:themeColor="text1"/>
                <w:sz w:val="24"/>
                <w:szCs w:val="24"/>
                <w:lang w:eastAsia="lv-LV"/>
              </w:rPr>
              <w:t>Jaunu institūciju izveide, esošu institūciju likvidācija vai reorganizācija, to ietekme uz institūcijas cilvēkresursiem</w:t>
            </w:r>
          </w:p>
        </w:tc>
        <w:tc>
          <w:tcPr>
            <w:tcW w:w="5982" w:type="dxa"/>
          </w:tcPr>
          <w:p w:rsidR="003D40E6" w:rsidRPr="00451A29" w:rsidRDefault="00297EE3" w:rsidP="008D5EB7">
            <w:pPr>
              <w:spacing w:after="0" w:line="240" w:lineRule="auto"/>
              <w:jc w:val="both"/>
              <w:rPr>
                <w:rFonts w:ascii="Times New Roman" w:eastAsia="Times New Roman" w:hAnsi="Times New Roman"/>
                <w:color w:val="000000" w:themeColor="text1"/>
                <w:sz w:val="24"/>
                <w:szCs w:val="24"/>
                <w:lang w:eastAsia="lv-LV"/>
              </w:rPr>
            </w:pPr>
            <w:r w:rsidRPr="00451A29">
              <w:rPr>
                <w:rFonts w:ascii="Times New Roman" w:hAnsi="Times New Roman"/>
                <w:color w:val="000000" w:themeColor="text1"/>
                <w:sz w:val="24"/>
                <w:szCs w:val="24"/>
              </w:rPr>
              <w:t>Jaunas valsts institūcijas netiks radītas, kā arī netiks paplašinātas esošo institūciju funkcijas.</w:t>
            </w:r>
          </w:p>
        </w:tc>
      </w:tr>
      <w:tr w:rsidR="003D40E6" w:rsidRPr="00451A29" w:rsidTr="00AC6173">
        <w:trPr>
          <w:trHeight w:val="686"/>
        </w:trPr>
        <w:tc>
          <w:tcPr>
            <w:tcW w:w="806" w:type="dxa"/>
          </w:tcPr>
          <w:p w:rsidR="003D40E6" w:rsidRPr="00451A29" w:rsidRDefault="003D40E6" w:rsidP="008D5EB7">
            <w:pPr>
              <w:pStyle w:val="naiskr"/>
              <w:spacing w:before="0" w:after="0"/>
              <w:rPr>
                <w:color w:val="000000" w:themeColor="text1"/>
              </w:rPr>
            </w:pPr>
            <w:r w:rsidRPr="00451A29">
              <w:rPr>
                <w:color w:val="000000" w:themeColor="text1"/>
              </w:rPr>
              <w:t>3.</w:t>
            </w:r>
          </w:p>
        </w:tc>
        <w:tc>
          <w:tcPr>
            <w:tcW w:w="2885" w:type="dxa"/>
          </w:tcPr>
          <w:p w:rsidR="003D40E6" w:rsidRPr="00451A29" w:rsidRDefault="003D40E6" w:rsidP="008D5EB7">
            <w:pPr>
              <w:spacing w:after="0" w:line="240" w:lineRule="auto"/>
              <w:rPr>
                <w:rFonts w:ascii="Times New Roman" w:eastAsia="Times New Roman" w:hAnsi="Times New Roman"/>
                <w:color w:val="000000" w:themeColor="text1"/>
                <w:sz w:val="24"/>
                <w:szCs w:val="24"/>
                <w:lang w:eastAsia="lv-LV"/>
              </w:rPr>
            </w:pPr>
            <w:r w:rsidRPr="00451A29">
              <w:rPr>
                <w:rFonts w:ascii="Times New Roman" w:eastAsia="Times New Roman" w:hAnsi="Times New Roman"/>
                <w:color w:val="000000" w:themeColor="text1"/>
                <w:sz w:val="24"/>
                <w:szCs w:val="24"/>
                <w:lang w:eastAsia="lv-LV"/>
              </w:rPr>
              <w:t>Cita informācija</w:t>
            </w:r>
          </w:p>
        </w:tc>
        <w:tc>
          <w:tcPr>
            <w:tcW w:w="5982" w:type="dxa"/>
          </w:tcPr>
          <w:p w:rsidR="003D40E6" w:rsidRPr="00451A29" w:rsidRDefault="00297EE3" w:rsidP="008D5EB7">
            <w:pPr>
              <w:spacing w:after="0" w:line="240" w:lineRule="auto"/>
              <w:rPr>
                <w:rFonts w:ascii="Times New Roman" w:eastAsia="Times New Roman" w:hAnsi="Times New Roman"/>
                <w:color w:val="000000" w:themeColor="text1"/>
                <w:sz w:val="24"/>
                <w:szCs w:val="24"/>
                <w:lang w:eastAsia="lv-LV"/>
              </w:rPr>
            </w:pPr>
            <w:r w:rsidRPr="00451A29">
              <w:rPr>
                <w:rFonts w:ascii="Times New Roman" w:hAnsi="Times New Roman"/>
                <w:color w:val="000000" w:themeColor="text1"/>
                <w:sz w:val="24"/>
                <w:szCs w:val="24"/>
              </w:rPr>
              <w:t>Normatīvā akta izpilde tiks nodrošināta esošo valsts institūciju funkciju ietvaros.</w:t>
            </w:r>
          </w:p>
        </w:tc>
      </w:tr>
    </w:tbl>
    <w:p w:rsidR="008A5DCB" w:rsidRPr="00451A29" w:rsidRDefault="008A5DCB" w:rsidP="008D5EB7">
      <w:pPr>
        <w:pStyle w:val="NormalWeb"/>
        <w:spacing w:before="0" w:beforeAutospacing="0" w:after="0" w:afterAutospacing="0"/>
        <w:ind w:left="539"/>
        <w:rPr>
          <w:color w:val="000000" w:themeColor="text1"/>
          <w:sz w:val="28"/>
          <w:szCs w:val="28"/>
        </w:rPr>
      </w:pP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r w:rsidRPr="007D441E">
        <w:rPr>
          <w:rFonts w:ascii="Times New Roman" w:hAnsi="Times New Roman"/>
          <w:bCs/>
          <w:color w:val="000000"/>
          <w:sz w:val="28"/>
          <w:szCs w:val="28"/>
        </w:rPr>
        <w:t>Iesniedzējs:</w:t>
      </w:r>
      <w:r w:rsidRPr="007D441E">
        <w:rPr>
          <w:rFonts w:ascii="Times New Roman" w:hAnsi="Times New Roman"/>
          <w:bCs/>
          <w:color w:val="000000"/>
          <w:sz w:val="28"/>
          <w:szCs w:val="28"/>
        </w:rPr>
        <w:br/>
      </w:r>
      <w:r w:rsidRPr="007D441E">
        <w:rPr>
          <w:rFonts w:ascii="Times New Roman" w:eastAsia="Times New Roman" w:hAnsi="Times New Roman"/>
          <w:color w:val="000000"/>
          <w:sz w:val="28"/>
          <w:szCs w:val="28"/>
          <w:lang w:eastAsia="lv-LV"/>
        </w:rPr>
        <w:t>Ministru prezidenta biedrs,</w:t>
      </w:r>
    </w:p>
    <w:p w:rsidR="007D441E" w:rsidRPr="007D441E" w:rsidRDefault="007D441E" w:rsidP="007D441E">
      <w:pPr>
        <w:spacing w:after="0" w:line="240" w:lineRule="auto"/>
        <w:rPr>
          <w:rFonts w:ascii="Times New Roman" w:hAnsi="Times New Roman"/>
          <w:bCs/>
          <w:color w:val="000000"/>
          <w:sz w:val="28"/>
          <w:szCs w:val="28"/>
        </w:rPr>
      </w:pPr>
      <w:r w:rsidRPr="007D441E">
        <w:rPr>
          <w:rFonts w:ascii="Times New Roman" w:eastAsia="Times New Roman" w:hAnsi="Times New Roman"/>
          <w:color w:val="000000"/>
          <w:sz w:val="28"/>
          <w:szCs w:val="28"/>
          <w:lang w:eastAsia="lv-LV"/>
        </w:rPr>
        <w:t>ekonomikas ministrs</w:t>
      </w:r>
      <w:r w:rsidRPr="007D441E">
        <w:rPr>
          <w:rFonts w:ascii="Times New Roman" w:eastAsia="Times New Roman" w:hAnsi="Times New Roman"/>
          <w:color w:val="000000"/>
          <w:sz w:val="28"/>
          <w:szCs w:val="28"/>
          <w:lang w:eastAsia="lv-LV"/>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proofErr w:type="spellStart"/>
      <w:r w:rsidRPr="007D441E">
        <w:rPr>
          <w:rFonts w:ascii="Times New Roman" w:hAnsi="Times New Roman"/>
          <w:bCs/>
          <w:color w:val="000000"/>
          <w:sz w:val="28"/>
          <w:szCs w:val="28"/>
        </w:rPr>
        <w:t>A.Ašeradens</w:t>
      </w:r>
      <w:proofErr w:type="spellEnd"/>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FE478D">
      <w:pPr>
        <w:spacing w:after="0" w:line="240" w:lineRule="auto"/>
        <w:rPr>
          <w:rFonts w:ascii="Times New Roman" w:hAnsi="Times New Roman"/>
          <w:sz w:val="28"/>
          <w:szCs w:val="28"/>
        </w:rPr>
      </w:pPr>
      <w:r w:rsidRPr="007D441E">
        <w:rPr>
          <w:rFonts w:ascii="Times New Roman" w:hAnsi="Times New Roman"/>
          <w:bCs/>
          <w:color w:val="000000"/>
          <w:sz w:val="28"/>
          <w:szCs w:val="28"/>
        </w:rPr>
        <w:t xml:space="preserve">Vīza: </w:t>
      </w:r>
      <w:r w:rsidRPr="007D441E">
        <w:rPr>
          <w:rFonts w:ascii="Times New Roman" w:hAnsi="Times New Roman"/>
          <w:bCs/>
          <w:color w:val="000000"/>
          <w:sz w:val="28"/>
          <w:szCs w:val="28"/>
        </w:rPr>
        <w:br/>
      </w:r>
      <w:r w:rsidR="00E51101">
        <w:rPr>
          <w:rFonts w:ascii="Times New Roman" w:hAnsi="Times New Roman"/>
          <w:color w:val="000000" w:themeColor="text1"/>
          <w:sz w:val="28"/>
          <w:szCs w:val="28"/>
        </w:rPr>
        <w:t>valsts sekretārs</w:t>
      </w:r>
      <w:r w:rsidR="00E51101">
        <w:rPr>
          <w:rFonts w:ascii="Times New Roman" w:hAnsi="Times New Roman"/>
          <w:color w:val="000000" w:themeColor="text1"/>
          <w:sz w:val="28"/>
          <w:szCs w:val="28"/>
        </w:rPr>
        <w:tab/>
      </w:r>
      <w:r w:rsidR="00FE478D">
        <w:rPr>
          <w:rFonts w:ascii="Times New Roman" w:hAnsi="Times New Roman"/>
          <w:color w:val="000000" w:themeColor="text1"/>
          <w:sz w:val="28"/>
          <w:szCs w:val="28"/>
        </w:rPr>
        <w:tab/>
      </w:r>
      <w:r w:rsidR="00E51101">
        <w:rPr>
          <w:rFonts w:ascii="Times New Roman" w:hAnsi="Times New Roman"/>
          <w:color w:val="000000" w:themeColor="text1"/>
          <w:sz w:val="28"/>
          <w:szCs w:val="28"/>
        </w:rPr>
        <w:tab/>
      </w:r>
      <w:r w:rsidR="00E51101">
        <w:rPr>
          <w:rFonts w:ascii="Times New Roman" w:hAnsi="Times New Roman"/>
          <w:color w:val="000000" w:themeColor="text1"/>
          <w:sz w:val="28"/>
          <w:szCs w:val="28"/>
        </w:rPr>
        <w:tab/>
      </w:r>
      <w:r w:rsidR="00E51101">
        <w:rPr>
          <w:rFonts w:ascii="Times New Roman" w:hAnsi="Times New Roman"/>
          <w:color w:val="000000" w:themeColor="text1"/>
          <w:sz w:val="28"/>
          <w:szCs w:val="28"/>
        </w:rPr>
        <w:tab/>
      </w:r>
      <w:r w:rsidR="00E51101">
        <w:rPr>
          <w:rFonts w:ascii="Times New Roman" w:hAnsi="Times New Roman"/>
          <w:color w:val="000000" w:themeColor="text1"/>
          <w:sz w:val="28"/>
          <w:szCs w:val="28"/>
        </w:rPr>
        <w:tab/>
      </w:r>
      <w:r w:rsidR="00E51101">
        <w:rPr>
          <w:rFonts w:ascii="Times New Roman" w:hAnsi="Times New Roman"/>
          <w:color w:val="000000" w:themeColor="text1"/>
          <w:sz w:val="28"/>
          <w:szCs w:val="28"/>
        </w:rPr>
        <w:tab/>
      </w:r>
      <w:r w:rsidR="00E51101">
        <w:rPr>
          <w:rFonts w:ascii="Times New Roman" w:hAnsi="Times New Roman"/>
          <w:color w:val="000000" w:themeColor="text1"/>
          <w:sz w:val="28"/>
          <w:szCs w:val="28"/>
        </w:rPr>
        <w:tab/>
        <w:t>J</w:t>
      </w:r>
      <w:r w:rsidR="00FE478D">
        <w:rPr>
          <w:rFonts w:ascii="Times New Roman" w:hAnsi="Times New Roman"/>
          <w:color w:val="000000" w:themeColor="text1"/>
          <w:sz w:val="28"/>
          <w:szCs w:val="28"/>
        </w:rPr>
        <w:t>.</w:t>
      </w:r>
      <w:r w:rsidR="00E51101">
        <w:rPr>
          <w:rFonts w:ascii="Times New Roman" w:hAnsi="Times New Roman"/>
          <w:color w:val="000000" w:themeColor="text1"/>
          <w:sz w:val="28"/>
          <w:szCs w:val="28"/>
        </w:rPr>
        <w:t>Stinka</w:t>
      </w:r>
    </w:p>
    <w:p w:rsidR="00DC0059" w:rsidRPr="007D441E" w:rsidRDefault="00DC0059" w:rsidP="008D5EB7">
      <w:pPr>
        <w:spacing w:after="0" w:line="240" w:lineRule="auto"/>
        <w:rPr>
          <w:rFonts w:ascii="Times New Roman" w:hAnsi="Times New Roman"/>
          <w:sz w:val="28"/>
          <w:szCs w:val="28"/>
        </w:rPr>
      </w:pPr>
    </w:p>
    <w:p w:rsidR="00DC0059" w:rsidRPr="00451A29" w:rsidRDefault="00DC0059" w:rsidP="008D5EB7">
      <w:pPr>
        <w:spacing w:after="0" w:line="240" w:lineRule="auto"/>
        <w:rPr>
          <w:rFonts w:ascii="Times New Roman" w:hAnsi="Times New Roman"/>
          <w:sz w:val="18"/>
          <w:szCs w:val="18"/>
        </w:rPr>
      </w:pPr>
    </w:p>
    <w:p w:rsidR="00DC0059" w:rsidRPr="00451A29" w:rsidRDefault="007D441E" w:rsidP="008D5EB7">
      <w:pPr>
        <w:spacing w:after="0" w:line="240" w:lineRule="auto"/>
        <w:rPr>
          <w:rFonts w:ascii="Times New Roman" w:hAnsi="Times New Roman"/>
          <w:sz w:val="20"/>
          <w:szCs w:val="20"/>
        </w:rPr>
      </w:pPr>
      <w:r>
        <w:rPr>
          <w:rFonts w:ascii="Times New Roman" w:hAnsi="Times New Roman"/>
          <w:sz w:val="20"/>
          <w:szCs w:val="20"/>
        </w:rPr>
        <w:t>2</w:t>
      </w:r>
      <w:r w:rsidR="001548CB">
        <w:rPr>
          <w:rFonts w:ascii="Times New Roman" w:hAnsi="Times New Roman"/>
          <w:sz w:val="20"/>
          <w:szCs w:val="20"/>
        </w:rPr>
        <w:t>6</w:t>
      </w:r>
      <w:r w:rsidR="00DC0059" w:rsidRPr="00451A29">
        <w:rPr>
          <w:rFonts w:ascii="Times New Roman" w:hAnsi="Times New Roman"/>
          <w:sz w:val="20"/>
          <w:szCs w:val="20"/>
        </w:rPr>
        <w:t>.0</w:t>
      </w:r>
      <w:r>
        <w:rPr>
          <w:rFonts w:ascii="Times New Roman" w:hAnsi="Times New Roman"/>
          <w:sz w:val="20"/>
          <w:szCs w:val="20"/>
        </w:rPr>
        <w:t>4</w:t>
      </w:r>
      <w:r w:rsidR="00DC0059" w:rsidRPr="00451A29">
        <w:rPr>
          <w:rFonts w:ascii="Times New Roman" w:hAnsi="Times New Roman"/>
          <w:sz w:val="20"/>
          <w:szCs w:val="20"/>
        </w:rPr>
        <w:t>.201</w:t>
      </w:r>
      <w:r>
        <w:rPr>
          <w:rFonts w:ascii="Times New Roman" w:hAnsi="Times New Roman"/>
          <w:sz w:val="20"/>
          <w:szCs w:val="20"/>
        </w:rPr>
        <w:t>6</w:t>
      </w:r>
      <w:r w:rsidR="00DC0059" w:rsidRPr="00451A29">
        <w:rPr>
          <w:rFonts w:ascii="Times New Roman" w:hAnsi="Times New Roman"/>
          <w:sz w:val="20"/>
          <w:szCs w:val="20"/>
        </w:rPr>
        <w:t>. 1</w:t>
      </w:r>
      <w:r w:rsidR="001548CB">
        <w:rPr>
          <w:rFonts w:ascii="Times New Roman" w:hAnsi="Times New Roman"/>
          <w:sz w:val="20"/>
          <w:szCs w:val="20"/>
        </w:rPr>
        <w:t>0</w:t>
      </w:r>
      <w:r w:rsidR="00DC0059" w:rsidRPr="00451A29">
        <w:rPr>
          <w:rFonts w:ascii="Times New Roman" w:hAnsi="Times New Roman"/>
          <w:sz w:val="20"/>
          <w:szCs w:val="20"/>
        </w:rPr>
        <w:t>:02</w:t>
      </w:r>
    </w:p>
    <w:p w:rsidR="00DC0059" w:rsidRPr="00451A29" w:rsidRDefault="00DC0059" w:rsidP="008D5EB7">
      <w:pPr>
        <w:spacing w:after="0" w:line="240" w:lineRule="auto"/>
        <w:rPr>
          <w:rFonts w:ascii="Times New Roman" w:hAnsi="Times New Roman"/>
          <w:sz w:val="20"/>
          <w:szCs w:val="20"/>
        </w:rPr>
      </w:pPr>
      <w:r w:rsidRPr="00451A29">
        <w:rPr>
          <w:rFonts w:ascii="Times New Roman" w:hAnsi="Times New Roman"/>
          <w:sz w:val="20"/>
          <w:szCs w:val="20"/>
        </w:rPr>
        <w:fldChar w:fldCharType="begin"/>
      </w:r>
      <w:r w:rsidRPr="00451A29">
        <w:rPr>
          <w:rFonts w:ascii="Times New Roman" w:hAnsi="Times New Roman"/>
          <w:sz w:val="20"/>
          <w:szCs w:val="20"/>
        </w:rPr>
        <w:instrText xml:space="preserve"> NUMWORDS   \* MERGEFORMAT </w:instrText>
      </w:r>
      <w:r w:rsidRPr="00451A29">
        <w:rPr>
          <w:rFonts w:ascii="Times New Roman" w:hAnsi="Times New Roman"/>
          <w:sz w:val="20"/>
          <w:szCs w:val="20"/>
        </w:rPr>
        <w:fldChar w:fldCharType="separate"/>
      </w:r>
      <w:r w:rsidR="001548CB">
        <w:rPr>
          <w:rFonts w:ascii="Times New Roman" w:hAnsi="Times New Roman"/>
          <w:noProof/>
          <w:sz w:val="20"/>
          <w:szCs w:val="20"/>
        </w:rPr>
        <w:t>9020</w:t>
      </w:r>
      <w:r w:rsidRPr="00451A29">
        <w:rPr>
          <w:rFonts w:ascii="Times New Roman" w:hAnsi="Times New Roman"/>
          <w:sz w:val="20"/>
          <w:szCs w:val="20"/>
        </w:rPr>
        <w:fldChar w:fldCharType="end"/>
      </w:r>
    </w:p>
    <w:p w:rsidR="00DC0059" w:rsidRPr="00451A29" w:rsidRDefault="002C08D5" w:rsidP="008D5E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A.Pētersone</w:t>
      </w:r>
    </w:p>
    <w:p w:rsidR="002C08D5" w:rsidRDefault="00DC0059" w:rsidP="008D5EB7">
      <w:pPr>
        <w:spacing w:after="0" w:line="240" w:lineRule="auto"/>
        <w:jc w:val="both"/>
        <w:rPr>
          <w:rFonts w:ascii="Times New Roman" w:eastAsia="Times New Roman" w:hAnsi="Times New Roman"/>
          <w:color w:val="000000"/>
          <w:sz w:val="20"/>
          <w:szCs w:val="20"/>
          <w:lang w:eastAsia="lv-LV"/>
        </w:rPr>
      </w:pPr>
      <w:r w:rsidRPr="00451A29">
        <w:rPr>
          <w:rFonts w:ascii="Times New Roman" w:eastAsia="Times New Roman" w:hAnsi="Times New Roman"/>
          <w:color w:val="000000"/>
          <w:sz w:val="20"/>
          <w:szCs w:val="20"/>
          <w:lang w:eastAsia="lv-LV"/>
        </w:rPr>
        <w:t>67013</w:t>
      </w:r>
      <w:r w:rsidR="002C08D5">
        <w:rPr>
          <w:rFonts w:ascii="Times New Roman" w:eastAsia="Times New Roman" w:hAnsi="Times New Roman"/>
          <w:color w:val="000000"/>
          <w:sz w:val="20"/>
          <w:szCs w:val="20"/>
          <w:lang w:eastAsia="lv-LV"/>
        </w:rPr>
        <w:t>17</w:t>
      </w:r>
      <w:r w:rsidRPr="00451A29">
        <w:rPr>
          <w:rFonts w:ascii="Times New Roman" w:eastAsia="Times New Roman" w:hAnsi="Times New Roman"/>
          <w:color w:val="000000"/>
          <w:sz w:val="20"/>
          <w:szCs w:val="20"/>
          <w:lang w:eastAsia="lv-LV"/>
        </w:rPr>
        <w:t>0</w:t>
      </w:r>
    </w:p>
    <w:p w:rsidR="007D441E" w:rsidRDefault="000B753F" w:rsidP="008D5EB7">
      <w:pPr>
        <w:spacing w:after="0" w:line="240" w:lineRule="auto"/>
        <w:jc w:val="both"/>
        <w:rPr>
          <w:rFonts w:ascii="Times New Roman" w:eastAsia="Times New Roman" w:hAnsi="Times New Roman"/>
          <w:color w:val="000000"/>
          <w:sz w:val="20"/>
          <w:szCs w:val="20"/>
          <w:lang w:eastAsia="lv-LV"/>
        </w:rPr>
      </w:pPr>
      <w:hyperlink r:id="rId10" w:history="1">
        <w:r w:rsidR="002C08D5" w:rsidRPr="00590124">
          <w:rPr>
            <w:rStyle w:val="Hyperlink"/>
            <w:rFonts w:ascii="Times New Roman" w:eastAsia="Times New Roman" w:hAnsi="Times New Roman"/>
            <w:sz w:val="20"/>
            <w:szCs w:val="20"/>
            <w:lang w:eastAsia="lv-LV"/>
          </w:rPr>
          <w:t>Andzela.Petersone@em.gov.lv</w:t>
        </w:r>
      </w:hyperlink>
      <w:r w:rsidR="002C08D5">
        <w:rPr>
          <w:rFonts w:ascii="Times New Roman" w:eastAsia="Times New Roman" w:hAnsi="Times New Roman"/>
          <w:color w:val="000000"/>
          <w:sz w:val="20"/>
          <w:szCs w:val="20"/>
          <w:lang w:eastAsia="lv-LV"/>
        </w:rPr>
        <w:t xml:space="preserve"> </w:t>
      </w:r>
    </w:p>
    <w:p w:rsidR="007D441E" w:rsidRPr="007D441E" w:rsidRDefault="007D441E" w:rsidP="007D441E">
      <w:pPr>
        <w:rPr>
          <w:rFonts w:ascii="Times New Roman" w:eastAsia="Times New Roman" w:hAnsi="Times New Roman"/>
          <w:sz w:val="20"/>
          <w:szCs w:val="20"/>
          <w:lang w:eastAsia="lv-LV"/>
        </w:rPr>
      </w:pPr>
    </w:p>
    <w:p w:rsidR="007D441E" w:rsidRPr="007D441E" w:rsidRDefault="007D441E" w:rsidP="007D441E">
      <w:pPr>
        <w:rPr>
          <w:rFonts w:ascii="Times New Roman" w:eastAsia="Times New Roman" w:hAnsi="Times New Roman"/>
          <w:sz w:val="20"/>
          <w:szCs w:val="20"/>
          <w:lang w:eastAsia="lv-LV"/>
        </w:rPr>
      </w:pPr>
    </w:p>
    <w:p w:rsidR="007D441E" w:rsidRPr="007D441E" w:rsidRDefault="007D441E" w:rsidP="007D441E">
      <w:pPr>
        <w:rPr>
          <w:rFonts w:ascii="Times New Roman" w:eastAsia="Times New Roman" w:hAnsi="Times New Roman"/>
          <w:sz w:val="20"/>
          <w:szCs w:val="20"/>
          <w:lang w:eastAsia="lv-LV"/>
        </w:rPr>
      </w:pPr>
    </w:p>
    <w:p w:rsidR="007D441E" w:rsidRPr="007D441E" w:rsidRDefault="007D441E" w:rsidP="007D441E">
      <w:pPr>
        <w:rPr>
          <w:rFonts w:ascii="Times New Roman" w:eastAsia="Times New Roman" w:hAnsi="Times New Roman"/>
          <w:sz w:val="20"/>
          <w:szCs w:val="20"/>
          <w:lang w:eastAsia="lv-LV"/>
        </w:rPr>
      </w:pPr>
    </w:p>
    <w:p w:rsidR="007D441E" w:rsidRPr="007D441E" w:rsidRDefault="007D441E" w:rsidP="007D441E">
      <w:pPr>
        <w:rPr>
          <w:rFonts w:ascii="Times New Roman" w:eastAsia="Times New Roman" w:hAnsi="Times New Roman"/>
          <w:sz w:val="20"/>
          <w:szCs w:val="20"/>
          <w:lang w:eastAsia="lv-LV"/>
        </w:rPr>
      </w:pPr>
    </w:p>
    <w:p w:rsidR="00DC0059" w:rsidRPr="007D441E" w:rsidRDefault="007D441E" w:rsidP="007D441E">
      <w:pPr>
        <w:tabs>
          <w:tab w:val="left" w:pos="952"/>
        </w:tabs>
        <w:rPr>
          <w:rFonts w:ascii="Times New Roman" w:eastAsia="Times New Roman" w:hAnsi="Times New Roman"/>
          <w:sz w:val="20"/>
          <w:szCs w:val="20"/>
          <w:lang w:eastAsia="lv-LV"/>
        </w:rPr>
      </w:pPr>
      <w:r>
        <w:rPr>
          <w:rFonts w:ascii="Times New Roman" w:eastAsia="Times New Roman" w:hAnsi="Times New Roman"/>
          <w:sz w:val="20"/>
          <w:szCs w:val="20"/>
          <w:lang w:eastAsia="lv-LV"/>
        </w:rPr>
        <w:tab/>
      </w:r>
    </w:p>
    <w:sectPr w:rsidR="00DC0059" w:rsidRPr="007D441E" w:rsidSect="00DE450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3F" w:rsidRDefault="000B753F" w:rsidP="009640EB">
      <w:pPr>
        <w:spacing w:after="0" w:line="240" w:lineRule="auto"/>
      </w:pPr>
      <w:r>
        <w:separator/>
      </w:r>
    </w:p>
  </w:endnote>
  <w:endnote w:type="continuationSeparator" w:id="0">
    <w:p w:rsidR="000B753F" w:rsidRDefault="000B753F"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41" w:rsidRPr="00213D41" w:rsidRDefault="00094F41" w:rsidP="00213D41">
    <w:pPr>
      <w:spacing w:line="240" w:lineRule="auto"/>
      <w:contextualSpacing/>
      <w:jc w:val="both"/>
      <w:outlineLvl w:val="0"/>
    </w:pPr>
    <w:r w:rsidRPr="007D441E">
      <w:rPr>
        <w:rFonts w:ascii="Times New Roman" w:hAnsi="Times New Roman"/>
        <w:sz w:val="20"/>
        <w:szCs w:val="20"/>
      </w:rPr>
      <w:t>EMAno</w:t>
    </w:r>
    <w:r>
      <w:rPr>
        <w:rFonts w:ascii="Times New Roman" w:hAnsi="Times New Roman"/>
        <w:sz w:val="20"/>
        <w:szCs w:val="20"/>
      </w:rPr>
      <w:t>t_Groz_MKnot_Nr519_2</w:t>
    </w:r>
    <w:r w:rsidR="001548CB">
      <w:rPr>
        <w:rFonts w:ascii="Times New Roman" w:hAnsi="Times New Roman"/>
        <w:sz w:val="20"/>
        <w:szCs w:val="20"/>
      </w:rPr>
      <w:t>6</w:t>
    </w:r>
    <w:r>
      <w:rPr>
        <w:rFonts w:ascii="Times New Roman" w:hAnsi="Times New Roman"/>
        <w:sz w:val="20"/>
        <w:szCs w:val="20"/>
      </w:rPr>
      <w:t xml:space="preserve">042016, Ministru kabineta noteikumu projekts </w:t>
    </w:r>
    <w:r w:rsidRPr="007D441E">
      <w:rPr>
        <w:rFonts w:ascii="Times New Roman" w:hAnsi="Times New Roman"/>
        <w:sz w:val="20"/>
        <w:szCs w:val="20"/>
      </w:rPr>
      <w:t>„Grozījumi Ministru kabineta 2010.gada 8.jūnija noteikumos Nr.519 "Noteikumi par publisko iepirkumu līgumcenu robežām"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41" w:rsidRPr="00213D41" w:rsidRDefault="00094F41" w:rsidP="007D441E">
    <w:pPr>
      <w:spacing w:line="240" w:lineRule="auto"/>
      <w:contextualSpacing/>
      <w:jc w:val="both"/>
      <w:outlineLvl w:val="0"/>
    </w:pPr>
    <w:r w:rsidRPr="007D441E">
      <w:rPr>
        <w:rFonts w:ascii="Times New Roman" w:hAnsi="Times New Roman"/>
        <w:sz w:val="20"/>
        <w:szCs w:val="20"/>
      </w:rPr>
      <w:t>EMAno</w:t>
    </w:r>
    <w:r>
      <w:rPr>
        <w:rFonts w:ascii="Times New Roman" w:hAnsi="Times New Roman"/>
        <w:sz w:val="20"/>
        <w:szCs w:val="20"/>
      </w:rPr>
      <w:t>t_Groz_MKnot_Nr519_2</w:t>
    </w:r>
    <w:r w:rsidR="009B1C32">
      <w:rPr>
        <w:rFonts w:ascii="Times New Roman" w:hAnsi="Times New Roman"/>
        <w:sz w:val="20"/>
        <w:szCs w:val="20"/>
      </w:rPr>
      <w:t>6</w:t>
    </w:r>
    <w:r>
      <w:rPr>
        <w:rFonts w:ascii="Times New Roman" w:hAnsi="Times New Roman"/>
        <w:sz w:val="20"/>
        <w:szCs w:val="20"/>
      </w:rPr>
      <w:t xml:space="preserve">042016, Ministru kabineta noteikumu projekts </w:t>
    </w:r>
    <w:r w:rsidRPr="007D441E">
      <w:rPr>
        <w:rFonts w:ascii="Times New Roman" w:hAnsi="Times New Roman"/>
        <w:sz w:val="20"/>
        <w:szCs w:val="20"/>
      </w:rPr>
      <w:t>„Grozījumi Ministru kabineta 2010.gada 8.jūnija noteikumos Nr.519 "Noteikumi par publis</w:t>
    </w:r>
    <w:r>
      <w:rPr>
        <w:rFonts w:ascii="Times New Roman" w:hAnsi="Times New Roman"/>
        <w:sz w:val="20"/>
        <w:szCs w:val="20"/>
      </w:rPr>
      <w:t xml:space="preserve">ko iepirkumu līgumcenu robežām"” </w:t>
    </w:r>
    <w:r w:rsidRPr="007D441E">
      <w:rPr>
        <w:rFonts w:ascii="Times New Roman" w:hAnsi="Times New Roman"/>
        <w:sz w:val="20"/>
        <w:szCs w:val="20"/>
      </w:rPr>
      <w:t>sākotnējās ietekmes novērtējuma ziņojums (anotācija)</w:t>
    </w:r>
  </w:p>
  <w:p w:rsidR="00094F41" w:rsidRPr="007D441E" w:rsidRDefault="00094F41" w:rsidP="007D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3F" w:rsidRDefault="000B753F" w:rsidP="009640EB">
      <w:pPr>
        <w:spacing w:after="0" w:line="240" w:lineRule="auto"/>
      </w:pPr>
      <w:r>
        <w:separator/>
      </w:r>
    </w:p>
  </w:footnote>
  <w:footnote w:type="continuationSeparator" w:id="0">
    <w:p w:rsidR="000B753F" w:rsidRDefault="000B753F" w:rsidP="009640EB">
      <w:pPr>
        <w:spacing w:after="0" w:line="240" w:lineRule="auto"/>
      </w:pPr>
      <w:r>
        <w:continuationSeparator/>
      </w:r>
    </w:p>
  </w:footnote>
  <w:footnote w:id="1">
    <w:p w:rsidR="00094F41" w:rsidRDefault="00094F41" w:rsidP="00891760">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094F41" w:rsidRDefault="00094F41" w:rsidP="0089176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094F41" w:rsidRDefault="00094F41" w:rsidP="0089176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094F41" w:rsidRDefault="00094F41" w:rsidP="0089176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094F41" w:rsidRDefault="00094F41" w:rsidP="0089176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094F41" w:rsidRDefault="00094F41" w:rsidP="0089176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094F41" w:rsidRDefault="00094F41" w:rsidP="0089176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094F41" w:rsidRDefault="00094F41" w:rsidP="0089176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094F41" w:rsidRDefault="00094F41" w:rsidP="0089176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094F41" w:rsidRDefault="00094F41" w:rsidP="0089176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094F41" w:rsidRDefault="00094F41" w:rsidP="0089176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094F41" w:rsidRDefault="00094F41" w:rsidP="0089176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rsidR="00094F41" w:rsidRDefault="00094F41" w:rsidP="0089176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rsidR="00094F41" w:rsidRDefault="00094F41" w:rsidP="0089176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rsidR="00094F41" w:rsidRDefault="00094F41" w:rsidP="00891760">
      <w:pPr>
        <w:pStyle w:val="FootnoteText"/>
      </w:pPr>
      <w:r>
        <w:rPr>
          <w:rStyle w:val="FootnoteReference"/>
        </w:rPr>
        <w:footnoteRef/>
      </w:r>
      <w:r>
        <w:t xml:space="preserve"> </w:t>
      </w:r>
      <w:hyperlink r:id="rId14" w:history="1">
        <w:r w:rsidRPr="00262400">
          <w:rPr>
            <w:rStyle w:val="Hyperlink"/>
          </w:rPr>
          <w:t>http://www.rtu.lv/content/view/34/41/lang,lv/</w:t>
        </w:r>
      </w:hyperlink>
      <w:r>
        <w:t xml:space="preserve"> </w:t>
      </w:r>
    </w:p>
  </w:footnote>
  <w:footnote w:id="16">
    <w:p w:rsidR="00094F41" w:rsidRDefault="00094F41" w:rsidP="00891760">
      <w:pPr>
        <w:pStyle w:val="FootnoteText"/>
      </w:pPr>
      <w:r>
        <w:rPr>
          <w:rStyle w:val="FootnoteReference"/>
        </w:rPr>
        <w:footnoteRef/>
      </w:r>
      <w:r>
        <w:t xml:space="preserve"> </w:t>
      </w:r>
      <w:hyperlink r:id="rId15" w:history="1">
        <w:r w:rsidRPr="00262400">
          <w:rPr>
            <w:rStyle w:val="Hyperlink"/>
          </w:rPr>
          <w:t>https://stud.rtu.lv/rtu/vaaApp/sprpub</w:t>
        </w:r>
      </w:hyperlink>
      <w:r>
        <w:t xml:space="preserve"> </w:t>
      </w:r>
    </w:p>
  </w:footnote>
  <w:footnote w:id="17">
    <w:p w:rsidR="00094F41" w:rsidRDefault="00094F41" w:rsidP="00891760">
      <w:pPr>
        <w:pStyle w:val="FootnoteText"/>
      </w:pPr>
      <w:r>
        <w:rPr>
          <w:rStyle w:val="FootnoteReference"/>
        </w:rPr>
        <w:footnoteRef/>
      </w:r>
      <w:r>
        <w:t xml:space="preserve"> </w:t>
      </w:r>
      <w:hyperlink r:id="rId16" w:history="1">
        <w:r w:rsidRPr="00262400">
          <w:rPr>
            <w:rStyle w:val="Hyperlink"/>
          </w:rPr>
          <w:t>http://www.lu.lv/gribustudet/katalogs/programmu-mekletajs/?user_phpfileexecutor_pi1%5Bprogram_id%5D=21124</w:t>
        </w:r>
      </w:hyperlink>
      <w:r>
        <w:t xml:space="preserve"> </w:t>
      </w:r>
    </w:p>
  </w:footnote>
  <w:footnote w:id="18">
    <w:p w:rsidR="00094F41" w:rsidRDefault="00094F41" w:rsidP="00891760">
      <w:pPr>
        <w:pStyle w:val="FootnoteText"/>
      </w:pPr>
      <w:r>
        <w:rPr>
          <w:rStyle w:val="FootnoteReference"/>
        </w:rPr>
        <w:footnoteRef/>
      </w:r>
      <w:r>
        <w:t xml:space="preserve"> </w:t>
      </w:r>
      <w:hyperlink r:id="rId17" w:history="1">
        <w:r w:rsidRPr="00262400">
          <w:rPr>
            <w:rStyle w:val="Hyperlink"/>
          </w:rPr>
          <w:t>http://www.rtk.lv/?sadala=175</w:t>
        </w:r>
      </w:hyperlink>
      <w:r>
        <w:t xml:space="preserve"> </w:t>
      </w:r>
    </w:p>
  </w:footnote>
  <w:footnote w:id="19">
    <w:p w:rsidR="00094F41" w:rsidRDefault="00094F41" w:rsidP="00891760">
      <w:pPr>
        <w:pStyle w:val="FootnoteText"/>
      </w:pPr>
      <w:r>
        <w:rPr>
          <w:rStyle w:val="FootnoteReference"/>
        </w:rPr>
        <w:footnoteRef/>
      </w:r>
      <w:r>
        <w:t xml:space="preserve"> </w:t>
      </w:r>
      <w:hyperlink r:id="rId18" w:history="1">
        <w:r w:rsidRPr="00262400">
          <w:rPr>
            <w:rStyle w:val="Hyperlink"/>
          </w:rPr>
          <w:t>http://www.liepu.lv/lv/584/vides-un-atjaunojamo-energoresursu-parvaldiba-un-inzenierija</w:t>
        </w:r>
      </w:hyperlink>
      <w:r>
        <w:t xml:space="preserve"> </w:t>
      </w:r>
    </w:p>
  </w:footnote>
  <w:footnote w:id="20">
    <w:p w:rsidR="00094F41" w:rsidRDefault="00094F41" w:rsidP="00891760">
      <w:pPr>
        <w:pStyle w:val="FootnoteText"/>
      </w:pPr>
      <w:r>
        <w:rPr>
          <w:rStyle w:val="FootnoteReference"/>
        </w:rPr>
        <w:footnoteRef/>
      </w:r>
      <w:r>
        <w:t xml:space="preserve"> </w:t>
      </w:r>
      <w:hyperlink r:id="rId19" w:history="1">
        <w:r w:rsidRPr="00262400">
          <w:rPr>
            <w:rStyle w:val="Hyperlink"/>
          </w:rPr>
          <w:t>http://www.liepu.lv/lv/935/ekotehnologijas</w:t>
        </w:r>
      </w:hyperlink>
      <w:r>
        <w:t xml:space="preserve"> </w:t>
      </w:r>
    </w:p>
  </w:footnote>
  <w:footnote w:id="21">
    <w:p w:rsidR="00094F41" w:rsidRDefault="00094F41" w:rsidP="00891760">
      <w:pPr>
        <w:pStyle w:val="FootnoteText"/>
      </w:pPr>
      <w:r>
        <w:rPr>
          <w:rStyle w:val="FootnoteReference"/>
        </w:rPr>
        <w:footnoteRef/>
      </w:r>
      <w:r>
        <w:t xml:space="preserve"> </w:t>
      </w:r>
      <w:hyperlink r:id="rId20" w:history="1">
        <w:r w:rsidRPr="00262400">
          <w:rPr>
            <w:rStyle w:val="Hyperlink"/>
          </w:rPr>
          <w:t>http://abc.edu.lv/macibu-risinajumi/profesionalo-zinasanu-paaugstinasana/energoauditoru-kursi.html</w:t>
        </w:r>
      </w:hyperlink>
      <w:r>
        <w:t xml:space="preserve"> </w:t>
      </w:r>
    </w:p>
  </w:footnote>
  <w:footnote w:id="22">
    <w:p w:rsidR="00094F41" w:rsidRDefault="00094F41" w:rsidP="00891760">
      <w:pPr>
        <w:pStyle w:val="FootnoteText"/>
      </w:pPr>
      <w:r>
        <w:rPr>
          <w:rStyle w:val="FootnoteReference"/>
        </w:rPr>
        <w:footnoteRef/>
      </w:r>
      <w:r>
        <w:t xml:space="preserve"> </w:t>
      </w:r>
      <w:hyperlink r:id="rId21"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3">
    <w:p w:rsidR="00094F41" w:rsidRDefault="00094F41" w:rsidP="00891760">
      <w:pPr>
        <w:pStyle w:val="FootnoteText"/>
      </w:pPr>
      <w:r>
        <w:rPr>
          <w:rStyle w:val="FootnoteReference"/>
        </w:rPr>
        <w:footnoteRef/>
      </w:r>
      <w:r>
        <w:t xml:space="preserve"> </w:t>
      </w:r>
      <w:hyperlink r:id="rId22" w:history="1">
        <w:r w:rsidRPr="00262400">
          <w:rPr>
            <w:rStyle w:val="Hyperlink"/>
          </w:rPr>
          <w:t>http://www.niid.lv/niid_search/program/10404?qy</w:t>
        </w:r>
      </w:hyperlink>
      <w:r>
        <w:t xml:space="preserve"> </w:t>
      </w:r>
    </w:p>
  </w:footnote>
  <w:footnote w:id="24">
    <w:p w:rsidR="00094F41" w:rsidRDefault="00094F41" w:rsidP="00891760">
      <w:pPr>
        <w:pStyle w:val="FootnoteText"/>
      </w:pPr>
      <w:r>
        <w:rPr>
          <w:rStyle w:val="FootnoteReference"/>
        </w:rPr>
        <w:footnoteRef/>
      </w:r>
      <w:r>
        <w:t xml:space="preserve"> </w:t>
      </w:r>
      <w:hyperlink r:id="rId23" w:history="1">
        <w:r w:rsidRPr="00262400">
          <w:rPr>
            <w:rStyle w:val="Hyperlink"/>
          </w:rPr>
          <w:t>http://www.produktivitate.lv/lv/kurss/macies-un-klusti-par-sertificetu-energoauditoru</w:t>
        </w:r>
      </w:hyperlink>
      <w:r>
        <w:t xml:space="preserve"> </w:t>
      </w:r>
    </w:p>
  </w:footnote>
  <w:footnote w:id="25">
    <w:p w:rsidR="00094F41" w:rsidRDefault="00094F41" w:rsidP="00891760">
      <w:pPr>
        <w:pStyle w:val="FootnoteText"/>
      </w:pPr>
      <w:r>
        <w:rPr>
          <w:rStyle w:val="FootnoteReference"/>
        </w:rPr>
        <w:footnoteRef/>
      </w:r>
      <w:hyperlink r:id="rId24" w:history="1">
        <w:r w:rsidRPr="00262400">
          <w:rPr>
            <w:rStyle w:val="Hyperlink"/>
          </w:rPr>
          <w:t>https://www.em.gov.lv/lv/nozares_politika/energoefektivitate_un_siltumapgade/energoefektivitate/obligati_energoauditi_lielajos_uznemumos/</w:t>
        </w:r>
      </w:hyperlink>
      <w:r>
        <w:t xml:space="preserve"> </w:t>
      </w:r>
    </w:p>
  </w:footnote>
  <w:footnote w:id="26">
    <w:p w:rsidR="00094F41" w:rsidRDefault="00094F41" w:rsidP="00891760">
      <w:pPr>
        <w:pStyle w:val="FootnoteText"/>
      </w:pPr>
      <w:r>
        <w:rPr>
          <w:rStyle w:val="FootnoteReference"/>
        </w:rPr>
        <w:footnoteRef/>
      </w:r>
      <w:r>
        <w:t xml:space="preserve"> </w:t>
      </w:r>
      <w:hyperlink r:id="rId25" w:history="1">
        <w:r w:rsidRPr="00262400">
          <w:rPr>
            <w:rStyle w:val="Hyperlink"/>
          </w:rPr>
          <w:t>http://www.sadalestikls.lv/files/newnode/tarifieur/ST_tarifu_kartiba_2015.pdf</w:t>
        </w:r>
      </w:hyperlink>
      <w:r>
        <w:t xml:space="preserve"> </w:t>
      </w:r>
    </w:p>
  </w:footnote>
  <w:footnote w:id="27">
    <w:p w:rsidR="00094F41" w:rsidRPr="00D0557A" w:rsidRDefault="00094F41" w:rsidP="00891760">
      <w:pPr>
        <w:pStyle w:val="FootnoteText"/>
      </w:pPr>
      <w:r w:rsidRPr="00D0557A">
        <w:rPr>
          <w:rStyle w:val="FootnoteReference"/>
        </w:rPr>
        <w:footnoteRef/>
      </w:r>
      <w:r w:rsidRPr="00D0557A">
        <w:t xml:space="preserve"> </w:t>
      </w:r>
      <w:hyperlink r:id="rId26" w:history="1">
        <w:r w:rsidRPr="00D0557A">
          <w:rPr>
            <w:rStyle w:val="Hyperlink"/>
          </w:rPr>
          <w:t>http://sadalestikls.lv/lat/klientiem/pieslegumi/es/</w:t>
        </w:r>
      </w:hyperlink>
      <w:r w:rsidRPr="00D0557A">
        <w:t xml:space="preserve"> </w:t>
      </w:r>
    </w:p>
  </w:footnote>
  <w:footnote w:id="28">
    <w:p w:rsidR="00094F41" w:rsidRDefault="00094F41" w:rsidP="00891760">
      <w:pPr>
        <w:pStyle w:val="FootnoteText"/>
      </w:pPr>
      <w:r>
        <w:rPr>
          <w:rStyle w:val="FootnoteReference"/>
        </w:rPr>
        <w:footnoteRef/>
      </w:r>
      <w:r>
        <w:t xml:space="preserve"> </w:t>
      </w:r>
      <w:hyperlink r:id="rId27" w:history="1">
        <w:r w:rsidRPr="00262400">
          <w:rPr>
            <w:rStyle w:val="Hyperlink"/>
          </w:rPr>
          <w:t>http://www.latak.lv/index.php?lang=lv</w:t>
        </w:r>
      </w:hyperlink>
      <w:r>
        <w:t xml:space="preserve"> </w:t>
      </w:r>
    </w:p>
  </w:footnote>
  <w:footnote w:id="29">
    <w:p w:rsidR="00094F41" w:rsidRDefault="00094F41" w:rsidP="00891760">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0">
    <w:p w:rsidR="00094F41" w:rsidRDefault="00094F41" w:rsidP="0089176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094F41" w:rsidRDefault="00094F41" w:rsidP="00891760">
      <w:pPr>
        <w:pStyle w:val="FootnoteText"/>
      </w:pPr>
      <w:r>
        <w:rPr>
          <w:rStyle w:val="FootnoteReference"/>
        </w:rPr>
        <w:footnoteRef/>
      </w:r>
      <w:r>
        <w:t xml:space="preserve"> </w:t>
      </w:r>
      <w:hyperlink r:id="rId30" w:history="1">
        <w:r w:rsidRPr="00262400">
          <w:rPr>
            <w:rStyle w:val="Hyperlink"/>
          </w:rPr>
          <w:t>http://visc.gov.lv/profizglitiba/dokumenti/standarti/ps0286.pdf</w:t>
        </w:r>
      </w:hyperlink>
      <w:r>
        <w:t xml:space="preserve"> </w:t>
      </w:r>
    </w:p>
  </w:footnote>
  <w:footnote w:id="32">
    <w:p w:rsidR="00094F41" w:rsidRDefault="00094F41" w:rsidP="00891760">
      <w:pPr>
        <w:pStyle w:val="FootnoteText"/>
      </w:pPr>
      <w:r>
        <w:rPr>
          <w:rStyle w:val="FootnoteReference"/>
        </w:rPr>
        <w:footnoteRef/>
      </w:r>
      <w:r>
        <w:t xml:space="preserve"> </w:t>
      </w:r>
      <w:hyperlink r:id="rId31" w:history="1">
        <w:r w:rsidRPr="00262400">
          <w:rPr>
            <w:rStyle w:val="Hyperlink"/>
          </w:rPr>
          <w:t>http://visc.gov.lv/profizglitiba/dokumenti/standarti/ps0438.pdf</w:t>
        </w:r>
      </w:hyperlink>
      <w:r>
        <w:t xml:space="preserve"> </w:t>
      </w:r>
    </w:p>
  </w:footnote>
  <w:footnote w:id="33">
    <w:p w:rsidR="00094F41" w:rsidRDefault="00094F41" w:rsidP="00891760">
      <w:pPr>
        <w:pStyle w:val="FootnoteText"/>
      </w:pPr>
      <w:r>
        <w:rPr>
          <w:rStyle w:val="FootnoteReference"/>
        </w:rPr>
        <w:footnoteRef/>
      </w:r>
      <w:r>
        <w:t xml:space="preserve"> </w:t>
      </w:r>
      <w:hyperlink r:id="rId32"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4">
    <w:p w:rsidR="00094F41" w:rsidRDefault="00094F41" w:rsidP="00891760">
      <w:pPr>
        <w:pStyle w:val="FootnoteText"/>
      </w:pPr>
      <w:r>
        <w:rPr>
          <w:rStyle w:val="FootnoteReference"/>
        </w:rPr>
        <w:footnoteRef/>
      </w:r>
      <w:r>
        <w:t xml:space="preserve"> </w:t>
      </w:r>
      <w:hyperlink r:id="rId33" w:history="1">
        <w:r w:rsidRPr="00262400">
          <w:rPr>
            <w:rStyle w:val="Hyperlink"/>
          </w:rPr>
          <w:t>https://bis.gov.lv/bisp/lv/house_managers</w:t>
        </w:r>
      </w:hyperlink>
      <w:r w:rsidRPr="005C34C8">
        <w:t>.</w:t>
      </w:r>
      <w:r>
        <w:t xml:space="preserve"> </w:t>
      </w:r>
    </w:p>
  </w:footnote>
  <w:footnote w:id="35">
    <w:p w:rsidR="00094F41" w:rsidRDefault="00094F41" w:rsidP="00891760">
      <w:pPr>
        <w:pStyle w:val="FootnoteText"/>
      </w:pPr>
      <w:r>
        <w:rPr>
          <w:rStyle w:val="FootnoteReference"/>
        </w:rPr>
        <w:footnoteRef/>
      </w:r>
      <w:r>
        <w:t xml:space="preserve"> </w:t>
      </w:r>
      <w:hyperlink r:id="rId34" w:history="1">
        <w:r w:rsidRPr="00262400">
          <w:rPr>
            <w:rStyle w:val="Hyperlink"/>
          </w:rPr>
          <w:t>http://www.latvenergo.lv/lat/klientiem/EEC/par_eec/</w:t>
        </w:r>
      </w:hyperlink>
      <w:r>
        <w:t xml:space="preserve"> </w:t>
      </w:r>
    </w:p>
  </w:footnote>
  <w:footnote w:id="36">
    <w:p w:rsidR="00094F41" w:rsidRDefault="00094F41" w:rsidP="00891760">
      <w:pPr>
        <w:pStyle w:val="FootnoteText"/>
      </w:pPr>
      <w:r>
        <w:rPr>
          <w:rStyle w:val="FootnoteReference"/>
        </w:rPr>
        <w:footnoteRef/>
      </w:r>
      <w:r>
        <w:t xml:space="preserve"> </w:t>
      </w:r>
      <w:hyperlink r:id="rId35" w:history="1">
        <w:r w:rsidRPr="00262400">
          <w:rPr>
            <w:rStyle w:val="Hyperlink"/>
          </w:rPr>
          <w:t>http://lg.lv/?id=328&amp;lang=lat</w:t>
        </w:r>
      </w:hyperlink>
      <w:r>
        <w:t xml:space="preserve"> </w:t>
      </w:r>
    </w:p>
  </w:footnote>
  <w:footnote w:id="37">
    <w:p w:rsidR="00094F41" w:rsidRDefault="00094F41" w:rsidP="00891760">
      <w:pPr>
        <w:pStyle w:val="FootnoteText"/>
      </w:pPr>
      <w:r>
        <w:rPr>
          <w:rStyle w:val="FootnoteReference"/>
        </w:rPr>
        <w:footnoteRef/>
      </w:r>
      <w:r>
        <w:t xml:space="preserve"> </w:t>
      </w:r>
      <w:hyperlink r:id="rId36" w:history="1">
        <w:r w:rsidRPr="00262400">
          <w:rPr>
            <w:rStyle w:val="Hyperlink"/>
          </w:rPr>
          <w:t>https://em.gov.lv/lv/es_fondi/dzivo_siltak/ievads/</w:t>
        </w:r>
      </w:hyperlink>
      <w:r>
        <w:t xml:space="preserve"> </w:t>
      </w:r>
    </w:p>
  </w:footnote>
  <w:footnote w:id="38">
    <w:p w:rsidR="00094F41" w:rsidRDefault="00094F41" w:rsidP="00891760">
      <w:pPr>
        <w:pStyle w:val="FootnoteText"/>
      </w:pPr>
      <w:r>
        <w:rPr>
          <w:rStyle w:val="FootnoteReference"/>
        </w:rPr>
        <w:footnoteRef/>
      </w:r>
      <w:r>
        <w:t xml:space="preserve"> </w:t>
      </w:r>
      <w:hyperlink r:id="rId37" w:history="1">
        <w:r w:rsidRPr="00262400">
          <w:rPr>
            <w:rStyle w:val="Hyperlink"/>
          </w:rPr>
          <w:t>https://www.riga.lv/LV/Channels/Riga_Municipality/Statutory_acts/default.htm</w:t>
        </w:r>
      </w:hyperlink>
      <w:r>
        <w:t xml:space="preserve"> </w:t>
      </w:r>
    </w:p>
  </w:footnote>
  <w:footnote w:id="39">
    <w:p w:rsidR="00094F41" w:rsidRDefault="00094F41" w:rsidP="00891760">
      <w:pPr>
        <w:pStyle w:val="FootnoteText"/>
      </w:pPr>
      <w:r>
        <w:rPr>
          <w:rStyle w:val="FootnoteReference"/>
        </w:rPr>
        <w:footnoteRef/>
      </w:r>
      <w:r>
        <w:t xml:space="preserve"> </w:t>
      </w:r>
      <w:hyperlink r:id="rId38" w:history="1">
        <w:r w:rsidRPr="00262400">
          <w:rPr>
            <w:rStyle w:val="Hyperlink"/>
          </w:rPr>
          <w:t>http://www.zrea.lv/</w:t>
        </w:r>
      </w:hyperlink>
      <w:r>
        <w:t xml:space="preserve"> </w:t>
      </w:r>
    </w:p>
  </w:footnote>
  <w:footnote w:id="40">
    <w:p w:rsidR="00094F41" w:rsidRDefault="00094F41" w:rsidP="00891760">
      <w:pPr>
        <w:pStyle w:val="FootnoteText"/>
      </w:pPr>
      <w:r>
        <w:rPr>
          <w:rStyle w:val="FootnoteReference"/>
        </w:rPr>
        <w:footnoteRef/>
      </w:r>
      <w:r>
        <w:t xml:space="preserve"> </w:t>
      </w:r>
      <w:hyperlink r:id="rId39" w:history="1">
        <w:r w:rsidRPr="00262400">
          <w:rPr>
            <w:rStyle w:val="Hyperlink"/>
          </w:rPr>
          <w:t>http://m.likumi.lv/doc.php?id=272012</w:t>
        </w:r>
      </w:hyperlink>
      <w:r>
        <w:t xml:space="preserve"> </w:t>
      </w:r>
    </w:p>
  </w:footnote>
  <w:footnote w:id="41">
    <w:p w:rsidR="00094F41" w:rsidRDefault="00094F41" w:rsidP="00891760">
      <w:pPr>
        <w:pStyle w:val="FootnoteText"/>
      </w:pPr>
      <w:r>
        <w:rPr>
          <w:rStyle w:val="FootnoteReference"/>
        </w:rPr>
        <w:footnoteRef/>
      </w:r>
      <w:hyperlink r:id="rId40" w:history="1">
        <w:r w:rsidRPr="00653C24">
          <w:rPr>
            <w:rStyle w:val="Hyperlink"/>
          </w:rPr>
          <w:t>https://www.em.gov.lv/lv/nozares_politika/energoefektivitate_un_siltumapgade/energoefektivitate/energoefektivitates_pakalpojumi/</w:t>
        </w:r>
      </w:hyperlink>
      <w:r>
        <w:t xml:space="preserve"> </w:t>
      </w:r>
    </w:p>
  </w:footnote>
  <w:footnote w:id="42">
    <w:p w:rsidR="00094F41" w:rsidRDefault="00094F41" w:rsidP="00891760">
      <w:pPr>
        <w:pStyle w:val="FootnoteText"/>
      </w:pPr>
      <w:r>
        <w:rPr>
          <w:rStyle w:val="FootnoteReference"/>
        </w:rPr>
        <w:footnoteRef/>
      </w:r>
      <w:hyperlink r:id="rId41" w:history="1">
        <w:r w:rsidRPr="00262400">
          <w:rPr>
            <w:rStyle w:val="Hyperlink"/>
          </w:rPr>
          <w:t>http://php.lvafa.gov.lv/images/faili/projektu_materiali/petijumi/2014/382_Passive_house/ESKO%20ligums%202015_01_28%201551%20SB.pdf</w:t>
        </w:r>
      </w:hyperlink>
      <w:r>
        <w:t xml:space="preserve"> </w:t>
      </w:r>
    </w:p>
  </w:footnote>
  <w:footnote w:id="43">
    <w:p w:rsidR="00094F41" w:rsidRDefault="00094F41" w:rsidP="00891760">
      <w:pPr>
        <w:pStyle w:val="FootnoteText"/>
      </w:pPr>
      <w:r>
        <w:rPr>
          <w:rStyle w:val="FootnoteReference"/>
        </w:rPr>
        <w:footnoteRef/>
      </w:r>
      <w:hyperlink r:id="rId42" w:history="1">
        <w:r w:rsidRPr="00262400">
          <w:rPr>
            <w:rStyle w:val="Hyperlink"/>
          </w:rPr>
          <w:t>http://php.lvafa.gov.lv/images/faili/projektu_materiali/petijumi/2014/382_Passive_house/ESKO_Vadlinijas_pasvaldibam.pdf</w:t>
        </w:r>
      </w:hyperlink>
      <w:r>
        <w:t xml:space="preserve"> </w:t>
      </w:r>
    </w:p>
  </w:footnote>
  <w:footnote w:id="44">
    <w:p w:rsidR="00094F41" w:rsidRDefault="00094F41" w:rsidP="00891760">
      <w:pPr>
        <w:pStyle w:val="FootnoteText"/>
      </w:pPr>
      <w:r>
        <w:rPr>
          <w:rStyle w:val="FootnoteReference"/>
        </w:rPr>
        <w:footnoteRef/>
      </w:r>
      <w:r>
        <w:t xml:space="preserve"> </w:t>
      </w:r>
      <w:hyperlink r:id="rId43" w:history="1">
        <w:r w:rsidRPr="001B690A">
          <w:rPr>
            <w:rStyle w:val="Hyperlink"/>
          </w:rPr>
          <w:t>https://ec.europa.eu/energy/sites/ener/files/documents/2014_neeap_lv_latvia.pdf</w:t>
        </w:r>
      </w:hyperlink>
      <w:r>
        <w:t xml:space="preserve"> </w:t>
      </w:r>
    </w:p>
  </w:footnote>
  <w:footnote w:id="45">
    <w:p w:rsidR="00094F41" w:rsidRDefault="00094F41" w:rsidP="00891760">
      <w:pPr>
        <w:pStyle w:val="FootnoteText"/>
      </w:pPr>
      <w:r>
        <w:rPr>
          <w:rStyle w:val="FootnoteReference"/>
        </w:rPr>
        <w:footnoteRef/>
      </w:r>
      <w:hyperlink r:id="rId44" w:history="1">
        <w:r w:rsidRPr="00262400">
          <w:rPr>
            <w:rStyle w:val="Hyperlink"/>
          </w:rPr>
          <w:t>https://www.em.gov.lv/lv/nozares_politika/energoefektivitate_un_siltumapgade/energoefektivitate/pasvaldibu_energoplani/</w:t>
        </w:r>
      </w:hyperlink>
      <w:r>
        <w:t xml:space="preserve"> </w:t>
      </w:r>
    </w:p>
  </w:footnote>
  <w:footnote w:id="46">
    <w:p w:rsidR="00094F41" w:rsidRDefault="00094F41" w:rsidP="00891760">
      <w:pPr>
        <w:pStyle w:val="FootnoteText"/>
      </w:pPr>
      <w:r>
        <w:rPr>
          <w:rStyle w:val="FootnoteReference"/>
        </w:rPr>
        <w:footnoteRef/>
      </w:r>
      <w:r>
        <w:t xml:space="preserve"> </w:t>
      </w:r>
      <w:hyperlink r:id="rId45" w:history="1">
        <w:r w:rsidRPr="00262400">
          <w:rPr>
            <w:rStyle w:val="Hyperlink"/>
          </w:rPr>
          <w:t>http://likumi.lv/ta/id/272295-par-zala-iepirkuma-veicinasanas-planu-2015-2017-gadam</w:t>
        </w:r>
      </w:hyperlink>
      <w:r>
        <w:t xml:space="preserve"> </w:t>
      </w:r>
    </w:p>
  </w:footnote>
  <w:footnote w:id="47">
    <w:p w:rsidR="00094F41" w:rsidRDefault="00094F41" w:rsidP="00891760">
      <w:pPr>
        <w:pStyle w:val="FootnoteText"/>
      </w:pPr>
      <w:r>
        <w:rPr>
          <w:rStyle w:val="FootnoteReference"/>
        </w:rPr>
        <w:footnoteRef/>
      </w:r>
      <w:r>
        <w:t xml:space="preserve"> </w:t>
      </w:r>
      <w:hyperlink r:id="rId46" w:history="1">
        <w:r w:rsidRPr="00262400">
          <w:rPr>
            <w:rStyle w:val="Hyperlink"/>
          </w:rPr>
          <w:t>http://www.varam.gov.lv/lat/darbibas_veidi/reg_att/metodika/</w:t>
        </w:r>
      </w:hyperlink>
      <w:r>
        <w:t xml:space="preserve"> </w:t>
      </w:r>
    </w:p>
  </w:footnote>
  <w:footnote w:id="48">
    <w:p w:rsidR="00094F41" w:rsidRDefault="00094F41" w:rsidP="00891760">
      <w:pPr>
        <w:pStyle w:val="FootnoteText"/>
      </w:pPr>
      <w:r>
        <w:rPr>
          <w:rStyle w:val="FootnoteReference"/>
        </w:rPr>
        <w:footnoteRef/>
      </w:r>
      <w:r>
        <w:t xml:space="preserve"> </w:t>
      </w:r>
      <w:hyperlink r:id="rId47" w:history="1">
        <w:r w:rsidRPr="00262400">
          <w:rPr>
            <w:rStyle w:val="Hyperlink"/>
          </w:rPr>
          <w:t>http://www.iub.gov.lv/lv/node/63</w:t>
        </w:r>
      </w:hyperlink>
      <w:r>
        <w:t xml:space="preserve"> </w:t>
      </w:r>
    </w:p>
  </w:footnote>
  <w:footnote w:id="49">
    <w:p w:rsidR="00094F41" w:rsidRDefault="00094F41" w:rsidP="00891760">
      <w:pPr>
        <w:pStyle w:val="FootnoteText"/>
      </w:pPr>
      <w:r>
        <w:rPr>
          <w:rStyle w:val="FootnoteReference"/>
        </w:rPr>
        <w:footnoteRef/>
      </w:r>
      <w:r>
        <w:t xml:space="preserve"> Aplūkojams: </w:t>
      </w:r>
      <w:hyperlink r:id="rId48" w:history="1">
        <w:r w:rsidRPr="001B690A">
          <w:rPr>
            <w:rStyle w:val="Hyperlink"/>
          </w:rPr>
          <w:t>https://ec.europa.eu/energy/sites/ener/files/documents/2014_neeap_lv_latvia.pdf</w:t>
        </w:r>
      </w:hyperlink>
      <w:r>
        <w:t xml:space="preserve"> </w:t>
      </w:r>
    </w:p>
  </w:footnote>
  <w:footnote w:id="50">
    <w:p w:rsidR="00094F41" w:rsidRDefault="00094F41" w:rsidP="00891760">
      <w:pPr>
        <w:pStyle w:val="FootnoteText"/>
      </w:pPr>
      <w:r>
        <w:rPr>
          <w:rStyle w:val="FootnoteReference"/>
        </w:rPr>
        <w:footnoteRef/>
      </w:r>
      <w:r>
        <w:t xml:space="preserve"> </w:t>
      </w:r>
      <w:hyperlink r:id="rId49" w:history="1">
        <w:r w:rsidRPr="00262400">
          <w:rPr>
            <w:rStyle w:val="Hyperlink"/>
          </w:rPr>
          <w:t>http://likumi.lv/doc.php?id=263153</w:t>
        </w:r>
      </w:hyperlink>
      <w:r>
        <w:t xml:space="preserve"> </w:t>
      </w:r>
    </w:p>
  </w:footnote>
  <w:footnote w:id="51">
    <w:p w:rsidR="00094F41" w:rsidRDefault="00094F41" w:rsidP="00891760">
      <w:pPr>
        <w:pStyle w:val="FootnoteText"/>
      </w:pPr>
      <w:r>
        <w:rPr>
          <w:rStyle w:val="FootnoteReference"/>
        </w:rPr>
        <w:footnoteRef/>
      </w:r>
      <w:r>
        <w:t xml:space="preserve"> </w:t>
      </w:r>
      <w:hyperlink r:id="rId50" w:history="1">
        <w:r w:rsidRPr="00262400">
          <w:rPr>
            <w:rStyle w:val="Hyperlink"/>
          </w:rPr>
          <w:t>http://data.csb.gov.lv/pxweb/lv/vide/vide__ikgad__energetika/EN0020.px/?rxid=cdcb978c-22b0-416a-aacc-aa650d3e2ce0</w:t>
        </w:r>
      </w:hyperlink>
      <w:r>
        <w:t xml:space="preserve"> </w:t>
      </w:r>
    </w:p>
  </w:footnote>
  <w:footnote w:id="52">
    <w:p w:rsidR="00094F41" w:rsidRDefault="00094F41" w:rsidP="00891760">
      <w:pPr>
        <w:pStyle w:val="FootnoteText"/>
      </w:pPr>
      <w:r>
        <w:rPr>
          <w:rStyle w:val="FootnoteReference"/>
        </w:rPr>
        <w:footnoteRef/>
      </w:r>
      <w:r>
        <w:t xml:space="preserve"> </w:t>
      </w:r>
      <w:hyperlink r:id="rId51" w:history="1">
        <w:r w:rsidRPr="00262400">
          <w:rPr>
            <w:rStyle w:val="Hyperlink"/>
          </w:rPr>
          <w:t>http://data.csb.gov.lv/pxweb/lv/vide/vide__ikgad__energetika/EN0040.px/?rxid=cdcb978c-22b0-416a-aacc-aa650d3e2ce0</w:t>
        </w:r>
      </w:hyperlink>
      <w:r>
        <w:t xml:space="preserve"> </w:t>
      </w:r>
    </w:p>
  </w:footnote>
  <w:footnote w:id="53">
    <w:p w:rsidR="00094F41" w:rsidRDefault="00094F41" w:rsidP="00891760">
      <w:pPr>
        <w:pStyle w:val="FootnoteText"/>
      </w:pPr>
      <w:r>
        <w:rPr>
          <w:rStyle w:val="FootnoteReference"/>
        </w:rPr>
        <w:footnoteRef/>
      </w:r>
      <w:r>
        <w:t xml:space="preserve"> </w:t>
      </w:r>
      <w:hyperlink r:id="rId52" w:history="1">
        <w:r w:rsidRPr="00262400">
          <w:rPr>
            <w:rStyle w:val="Hyperlink"/>
          </w:rPr>
          <w:t>https://www.em.gov.lv/lv/nozares_politika/energijas_tirgus_un_infrastruktura/statistika/</w:t>
        </w:r>
      </w:hyperlink>
      <w:r>
        <w:t xml:space="preserve"> </w:t>
      </w:r>
    </w:p>
  </w:footnote>
  <w:footnote w:id="54">
    <w:p w:rsidR="00094F41" w:rsidRDefault="00094F41" w:rsidP="00891760">
      <w:pPr>
        <w:pStyle w:val="FootnoteText"/>
      </w:pPr>
      <w:r>
        <w:rPr>
          <w:rStyle w:val="FootnoteReference"/>
        </w:rPr>
        <w:footnoteRef/>
      </w:r>
      <w:hyperlink r:id="rId53" w:history="1">
        <w:r w:rsidRPr="00262400">
          <w:rPr>
            <w:rStyle w:val="Hyperlink"/>
          </w:rPr>
          <w:t>https://www.em.gov.lv/lv/nozares_politika/energoefektivitate_un_siltumapgade/energoefektivitate/obligati_energoauditi_lielajos_uznemumos/</w:t>
        </w:r>
      </w:hyperlink>
      <w:r>
        <w:t xml:space="preserve"> </w:t>
      </w:r>
    </w:p>
  </w:footnote>
  <w:footnote w:id="55">
    <w:p w:rsidR="00094F41" w:rsidRDefault="00094F41" w:rsidP="0089176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rsidR="00094F41" w:rsidRDefault="00094F41" w:rsidP="0089176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rsidR="00094F41" w:rsidRDefault="00094F41" w:rsidP="0089176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rsidR="00094F41" w:rsidRDefault="00094F41" w:rsidP="0089176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rsidR="00094F41" w:rsidRDefault="00094F41" w:rsidP="0089176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0376"/>
      <w:docPartObj>
        <w:docPartGallery w:val="Page Numbers (Top of Page)"/>
        <w:docPartUnique/>
      </w:docPartObj>
    </w:sdtPr>
    <w:sdtEndPr/>
    <w:sdtContent>
      <w:p w:rsidR="00094F41" w:rsidRDefault="00094F41">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E509D4">
          <w:rPr>
            <w:rFonts w:ascii="Times New Roman" w:hAnsi="Times New Roman"/>
            <w:noProof/>
            <w:sz w:val="24"/>
            <w:szCs w:val="24"/>
          </w:rPr>
          <w:t>34</w:t>
        </w:r>
        <w:r w:rsidRPr="00C25AD5">
          <w:rPr>
            <w:rFonts w:ascii="Times New Roman" w:hAnsi="Times New Roman"/>
            <w:sz w:val="24"/>
            <w:szCs w:val="24"/>
          </w:rPr>
          <w:fldChar w:fldCharType="end"/>
        </w:r>
      </w:p>
    </w:sdtContent>
  </w:sdt>
  <w:p w:rsidR="00094F41" w:rsidRDefault="00094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2D41476"/>
    <w:multiLevelType w:val="hybridMultilevel"/>
    <w:tmpl w:val="3814BD6C"/>
    <w:lvl w:ilvl="0" w:tplc="9238D82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1FBB7883"/>
    <w:multiLevelType w:val="hybridMultilevel"/>
    <w:tmpl w:val="8D127572"/>
    <w:lvl w:ilvl="0" w:tplc="76701E7A">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8916D4E"/>
    <w:multiLevelType w:val="hybridMultilevel"/>
    <w:tmpl w:val="8C46EEB8"/>
    <w:lvl w:ilvl="0" w:tplc="70EC6D4C">
      <w:start w:val="2015"/>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5">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45"/>
  </w:num>
  <w:num w:numId="4">
    <w:abstractNumId w:val="26"/>
  </w:num>
  <w:num w:numId="5">
    <w:abstractNumId w:val="4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48"/>
  </w:num>
  <w:num w:numId="10">
    <w:abstractNumId w:val="34"/>
  </w:num>
  <w:num w:numId="11">
    <w:abstractNumId w:val="6"/>
  </w:num>
  <w:num w:numId="12">
    <w:abstractNumId w:val="23"/>
  </w:num>
  <w:num w:numId="13">
    <w:abstractNumId w:val="31"/>
  </w:num>
  <w:num w:numId="14">
    <w:abstractNumId w:val="11"/>
  </w:num>
  <w:num w:numId="15">
    <w:abstractNumId w:val="42"/>
  </w:num>
  <w:num w:numId="16">
    <w:abstractNumId w:val="1"/>
  </w:num>
  <w:num w:numId="17">
    <w:abstractNumId w:val="0"/>
  </w:num>
  <w:num w:numId="18">
    <w:abstractNumId w:val="22"/>
  </w:num>
  <w:num w:numId="19">
    <w:abstractNumId w:val="10"/>
  </w:num>
  <w:num w:numId="20">
    <w:abstractNumId w:val="40"/>
  </w:num>
  <w:num w:numId="21">
    <w:abstractNumId w:val="28"/>
  </w:num>
  <w:num w:numId="22">
    <w:abstractNumId w:val="3"/>
  </w:num>
  <w:num w:numId="23">
    <w:abstractNumId w:val="27"/>
  </w:num>
  <w:num w:numId="24">
    <w:abstractNumId w:val="8"/>
  </w:num>
  <w:num w:numId="25">
    <w:abstractNumId w:val="32"/>
  </w:num>
  <w:num w:numId="26">
    <w:abstractNumId w:val="20"/>
  </w:num>
  <w:num w:numId="27">
    <w:abstractNumId w:val="16"/>
  </w:num>
  <w:num w:numId="28">
    <w:abstractNumId w:val="15"/>
  </w:num>
  <w:num w:numId="29">
    <w:abstractNumId w:val="9"/>
  </w:num>
  <w:num w:numId="30">
    <w:abstractNumId w:val="18"/>
  </w:num>
  <w:num w:numId="31">
    <w:abstractNumId w:val="37"/>
  </w:num>
  <w:num w:numId="32">
    <w:abstractNumId w:val="46"/>
  </w:num>
  <w:num w:numId="33">
    <w:abstractNumId w:val="7"/>
  </w:num>
  <w:num w:numId="34">
    <w:abstractNumId w:val="38"/>
  </w:num>
  <w:num w:numId="35">
    <w:abstractNumId w:val="25"/>
  </w:num>
  <w:num w:numId="36">
    <w:abstractNumId w:val="4"/>
  </w:num>
  <w:num w:numId="37">
    <w:abstractNumId w:val="33"/>
  </w:num>
  <w:num w:numId="38">
    <w:abstractNumId w:val="24"/>
  </w:num>
  <w:num w:numId="39">
    <w:abstractNumId w:val="43"/>
  </w:num>
  <w:num w:numId="40">
    <w:abstractNumId w:val="29"/>
  </w:num>
  <w:num w:numId="41">
    <w:abstractNumId w:val="5"/>
  </w:num>
  <w:num w:numId="42">
    <w:abstractNumId w:val="12"/>
  </w:num>
  <w:num w:numId="43">
    <w:abstractNumId w:val="2"/>
  </w:num>
  <w:num w:numId="44">
    <w:abstractNumId w:val="17"/>
  </w:num>
  <w:num w:numId="45">
    <w:abstractNumId w:val="36"/>
  </w:num>
  <w:num w:numId="46">
    <w:abstractNumId w:val="30"/>
  </w:num>
  <w:num w:numId="47">
    <w:abstractNumId w:val="35"/>
  </w:num>
  <w:num w:numId="48">
    <w:abstractNumId w:val="14"/>
  </w:num>
  <w:num w:numId="49">
    <w:abstractNumId w:val="3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a Suzdaļenko">
    <w15:presenceInfo w15:providerId="AD" w15:userId="S-1-5-21-734147818-1251574435-2103723179-7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E97"/>
    <w:rsid w:val="000A1292"/>
    <w:rsid w:val="000A50D2"/>
    <w:rsid w:val="000A5A46"/>
    <w:rsid w:val="000A67F8"/>
    <w:rsid w:val="000A6B7D"/>
    <w:rsid w:val="000A747F"/>
    <w:rsid w:val="000B0780"/>
    <w:rsid w:val="000B0851"/>
    <w:rsid w:val="000B1064"/>
    <w:rsid w:val="000B29E9"/>
    <w:rsid w:val="000B2A4E"/>
    <w:rsid w:val="000B2D19"/>
    <w:rsid w:val="000B3CF2"/>
    <w:rsid w:val="000B753F"/>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7FD"/>
    <w:rsid w:val="000F2E2F"/>
    <w:rsid w:val="000F4726"/>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BCB"/>
    <w:rsid w:val="0013131D"/>
    <w:rsid w:val="00131457"/>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6AE4"/>
    <w:rsid w:val="00197BBC"/>
    <w:rsid w:val="001A2478"/>
    <w:rsid w:val="001A4A1B"/>
    <w:rsid w:val="001A5CEB"/>
    <w:rsid w:val="001A65B8"/>
    <w:rsid w:val="001B0AE9"/>
    <w:rsid w:val="001B1627"/>
    <w:rsid w:val="001B1710"/>
    <w:rsid w:val="001B2AEC"/>
    <w:rsid w:val="001B3A04"/>
    <w:rsid w:val="001B7A0F"/>
    <w:rsid w:val="001C318D"/>
    <w:rsid w:val="001C3F49"/>
    <w:rsid w:val="001C5EF0"/>
    <w:rsid w:val="001D380F"/>
    <w:rsid w:val="001D4937"/>
    <w:rsid w:val="001D4B14"/>
    <w:rsid w:val="001E0C1B"/>
    <w:rsid w:val="001E2C12"/>
    <w:rsid w:val="001F03B6"/>
    <w:rsid w:val="001F048F"/>
    <w:rsid w:val="001F4771"/>
    <w:rsid w:val="001F6164"/>
    <w:rsid w:val="001F61AC"/>
    <w:rsid w:val="00201FF2"/>
    <w:rsid w:val="0020265D"/>
    <w:rsid w:val="0020329D"/>
    <w:rsid w:val="002045EF"/>
    <w:rsid w:val="002112B0"/>
    <w:rsid w:val="00211B99"/>
    <w:rsid w:val="00213D41"/>
    <w:rsid w:val="00214893"/>
    <w:rsid w:val="00215B3E"/>
    <w:rsid w:val="00215FD3"/>
    <w:rsid w:val="002229F9"/>
    <w:rsid w:val="00224736"/>
    <w:rsid w:val="0023040B"/>
    <w:rsid w:val="0023060F"/>
    <w:rsid w:val="002322D7"/>
    <w:rsid w:val="00232A7B"/>
    <w:rsid w:val="00233AA4"/>
    <w:rsid w:val="00233C59"/>
    <w:rsid w:val="002345C1"/>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5BC5"/>
    <w:rsid w:val="002D6523"/>
    <w:rsid w:val="002D6CAC"/>
    <w:rsid w:val="002D6FDA"/>
    <w:rsid w:val="002D7E5A"/>
    <w:rsid w:val="002E0515"/>
    <w:rsid w:val="002E0890"/>
    <w:rsid w:val="002E1A29"/>
    <w:rsid w:val="002E26E0"/>
    <w:rsid w:val="002E43E8"/>
    <w:rsid w:val="002F0E99"/>
    <w:rsid w:val="002F1108"/>
    <w:rsid w:val="002F21C2"/>
    <w:rsid w:val="002F3E27"/>
    <w:rsid w:val="002F5081"/>
    <w:rsid w:val="002F5E3F"/>
    <w:rsid w:val="002F64E8"/>
    <w:rsid w:val="002F67CF"/>
    <w:rsid w:val="002F6EAE"/>
    <w:rsid w:val="002F76E7"/>
    <w:rsid w:val="002F78DD"/>
    <w:rsid w:val="002F7FF3"/>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7172"/>
    <w:rsid w:val="003D0493"/>
    <w:rsid w:val="003D07ED"/>
    <w:rsid w:val="003D0B2F"/>
    <w:rsid w:val="003D241E"/>
    <w:rsid w:val="003D40E6"/>
    <w:rsid w:val="003D432A"/>
    <w:rsid w:val="003D4E4A"/>
    <w:rsid w:val="003D503C"/>
    <w:rsid w:val="003D534F"/>
    <w:rsid w:val="003D629E"/>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572C"/>
    <w:rsid w:val="00426B13"/>
    <w:rsid w:val="00427E23"/>
    <w:rsid w:val="0043390E"/>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1A42"/>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4950"/>
    <w:rsid w:val="00565900"/>
    <w:rsid w:val="0056708C"/>
    <w:rsid w:val="005676D6"/>
    <w:rsid w:val="005712EF"/>
    <w:rsid w:val="00581567"/>
    <w:rsid w:val="00582C05"/>
    <w:rsid w:val="0058459A"/>
    <w:rsid w:val="00587E07"/>
    <w:rsid w:val="005917FB"/>
    <w:rsid w:val="0059640E"/>
    <w:rsid w:val="00596C8F"/>
    <w:rsid w:val="005A00C9"/>
    <w:rsid w:val="005A058F"/>
    <w:rsid w:val="005A306C"/>
    <w:rsid w:val="005A7EF2"/>
    <w:rsid w:val="005B1566"/>
    <w:rsid w:val="005B330C"/>
    <w:rsid w:val="005B62C5"/>
    <w:rsid w:val="005B74D0"/>
    <w:rsid w:val="005C2599"/>
    <w:rsid w:val="005C581A"/>
    <w:rsid w:val="005C7530"/>
    <w:rsid w:val="005D08A0"/>
    <w:rsid w:val="005D1AE6"/>
    <w:rsid w:val="005D221B"/>
    <w:rsid w:val="005D3F7D"/>
    <w:rsid w:val="005D5C44"/>
    <w:rsid w:val="005D5EC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79DC"/>
    <w:rsid w:val="006208C4"/>
    <w:rsid w:val="0062386F"/>
    <w:rsid w:val="00625BF0"/>
    <w:rsid w:val="00627FEB"/>
    <w:rsid w:val="006332FD"/>
    <w:rsid w:val="00633E76"/>
    <w:rsid w:val="00635698"/>
    <w:rsid w:val="00635766"/>
    <w:rsid w:val="006359CB"/>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6184"/>
    <w:rsid w:val="00666CB8"/>
    <w:rsid w:val="00671021"/>
    <w:rsid w:val="0067340F"/>
    <w:rsid w:val="00674F28"/>
    <w:rsid w:val="00674F81"/>
    <w:rsid w:val="006761DB"/>
    <w:rsid w:val="0067623F"/>
    <w:rsid w:val="00680FF6"/>
    <w:rsid w:val="0068102B"/>
    <w:rsid w:val="006827DB"/>
    <w:rsid w:val="00683D14"/>
    <w:rsid w:val="00684B38"/>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23E"/>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20A8"/>
    <w:rsid w:val="007023C4"/>
    <w:rsid w:val="00703945"/>
    <w:rsid w:val="00703E87"/>
    <w:rsid w:val="00705A3F"/>
    <w:rsid w:val="00705C12"/>
    <w:rsid w:val="0070604A"/>
    <w:rsid w:val="007063AD"/>
    <w:rsid w:val="00707B4E"/>
    <w:rsid w:val="00707C95"/>
    <w:rsid w:val="007117BC"/>
    <w:rsid w:val="00717805"/>
    <w:rsid w:val="007178BA"/>
    <w:rsid w:val="007209B5"/>
    <w:rsid w:val="00721B0B"/>
    <w:rsid w:val="00721E9E"/>
    <w:rsid w:val="00722607"/>
    <w:rsid w:val="007238B2"/>
    <w:rsid w:val="00726614"/>
    <w:rsid w:val="0072734B"/>
    <w:rsid w:val="007315EA"/>
    <w:rsid w:val="0073163C"/>
    <w:rsid w:val="0073204C"/>
    <w:rsid w:val="00734B47"/>
    <w:rsid w:val="00736DCC"/>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91A8D"/>
    <w:rsid w:val="00792187"/>
    <w:rsid w:val="00793D94"/>
    <w:rsid w:val="00793EC5"/>
    <w:rsid w:val="007A23D7"/>
    <w:rsid w:val="007A27F5"/>
    <w:rsid w:val="007A3204"/>
    <w:rsid w:val="007A56E1"/>
    <w:rsid w:val="007A5E21"/>
    <w:rsid w:val="007B068C"/>
    <w:rsid w:val="007B37A4"/>
    <w:rsid w:val="007B4440"/>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53F4"/>
    <w:rsid w:val="007E7DEE"/>
    <w:rsid w:val="007F1A21"/>
    <w:rsid w:val="007F1C80"/>
    <w:rsid w:val="007F1F36"/>
    <w:rsid w:val="007F387B"/>
    <w:rsid w:val="007F3E5C"/>
    <w:rsid w:val="007F5599"/>
    <w:rsid w:val="007F5F09"/>
    <w:rsid w:val="007F7359"/>
    <w:rsid w:val="0080058E"/>
    <w:rsid w:val="0080253D"/>
    <w:rsid w:val="0080302C"/>
    <w:rsid w:val="00806D94"/>
    <w:rsid w:val="00806D96"/>
    <w:rsid w:val="008103B1"/>
    <w:rsid w:val="00810AC1"/>
    <w:rsid w:val="00811460"/>
    <w:rsid w:val="00812951"/>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EA9"/>
    <w:rsid w:val="00841A74"/>
    <w:rsid w:val="008448B1"/>
    <w:rsid w:val="00844C36"/>
    <w:rsid w:val="00845217"/>
    <w:rsid w:val="0084545E"/>
    <w:rsid w:val="00845D04"/>
    <w:rsid w:val="0084744C"/>
    <w:rsid w:val="00856485"/>
    <w:rsid w:val="00857B8B"/>
    <w:rsid w:val="00857C21"/>
    <w:rsid w:val="00860F24"/>
    <w:rsid w:val="00861C82"/>
    <w:rsid w:val="0086334D"/>
    <w:rsid w:val="00865432"/>
    <w:rsid w:val="008659F9"/>
    <w:rsid w:val="0086634A"/>
    <w:rsid w:val="008718F3"/>
    <w:rsid w:val="0087281E"/>
    <w:rsid w:val="008732AA"/>
    <w:rsid w:val="0087412F"/>
    <w:rsid w:val="00874894"/>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6CB1"/>
    <w:rsid w:val="008B7844"/>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78F4"/>
    <w:rsid w:val="008E7DCA"/>
    <w:rsid w:val="008F1823"/>
    <w:rsid w:val="008F24B8"/>
    <w:rsid w:val="008F6947"/>
    <w:rsid w:val="008F6CBD"/>
    <w:rsid w:val="009008E8"/>
    <w:rsid w:val="00902133"/>
    <w:rsid w:val="00902C21"/>
    <w:rsid w:val="00903678"/>
    <w:rsid w:val="009043CE"/>
    <w:rsid w:val="009053E2"/>
    <w:rsid w:val="00905647"/>
    <w:rsid w:val="009060D3"/>
    <w:rsid w:val="00906BD5"/>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6212"/>
    <w:rsid w:val="009462DC"/>
    <w:rsid w:val="00946BBB"/>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A34AD"/>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1D6"/>
    <w:rsid w:val="00A1679C"/>
    <w:rsid w:val="00A21C07"/>
    <w:rsid w:val="00A226BC"/>
    <w:rsid w:val="00A22777"/>
    <w:rsid w:val="00A22FDC"/>
    <w:rsid w:val="00A33062"/>
    <w:rsid w:val="00A3481B"/>
    <w:rsid w:val="00A363C9"/>
    <w:rsid w:val="00A37CAB"/>
    <w:rsid w:val="00A41452"/>
    <w:rsid w:val="00A43488"/>
    <w:rsid w:val="00A45361"/>
    <w:rsid w:val="00A45D88"/>
    <w:rsid w:val="00A462A1"/>
    <w:rsid w:val="00A469CB"/>
    <w:rsid w:val="00A46AA5"/>
    <w:rsid w:val="00A52271"/>
    <w:rsid w:val="00A52B15"/>
    <w:rsid w:val="00A533D4"/>
    <w:rsid w:val="00A54B8A"/>
    <w:rsid w:val="00A552C6"/>
    <w:rsid w:val="00A57B55"/>
    <w:rsid w:val="00A610EC"/>
    <w:rsid w:val="00A63386"/>
    <w:rsid w:val="00A67D40"/>
    <w:rsid w:val="00A71A4A"/>
    <w:rsid w:val="00A72D98"/>
    <w:rsid w:val="00A74DED"/>
    <w:rsid w:val="00A76E7E"/>
    <w:rsid w:val="00A76E93"/>
    <w:rsid w:val="00A77026"/>
    <w:rsid w:val="00A806F3"/>
    <w:rsid w:val="00A820D2"/>
    <w:rsid w:val="00A833A3"/>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B065B"/>
    <w:rsid w:val="00AB08E5"/>
    <w:rsid w:val="00AB34E4"/>
    <w:rsid w:val="00AB37E0"/>
    <w:rsid w:val="00AB414C"/>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51BF"/>
    <w:rsid w:val="00B15949"/>
    <w:rsid w:val="00B15BD2"/>
    <w:rsid w:val="00B160F2"/>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ED8"/>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15E1"/>
    <w:rsid w:val="00B762B5"/>
    <w:rsid w:val="00B76846"/>
    <w:rsid w:val="00B84FB9"/>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437C"/>
    <w:rsid w:val="00BB4E2C"/>
    <w:rsid w:val="00BB5D92"/>
    <w:rsid w:val="00BB66C5"/>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40B20"/>
    <w:rsid w:val="00C44835"/>
    <w:rsid w:val="00C478E0"/>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723D7"/>
    <w:rsid w:val="00C72D15"/>
    <w:rsid w:val="00C7449D"/>
    <w:rsid w:val="00C74FB7"/>
    <w:rsid w:val="00C771B1"/>
    <w:rsid w:val="00C80597"/>
    <w:rsid w:val="00C80DDF"/>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42C2"/>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D001E7"/>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6F"/>
    <w:rsid w:val="00D279D8"/>
    <w:rsid w:val="00D30E31"/>
    <w:rsid w:val="00D31DF6"/>
    <w:rsid w:val="00D31F68"/>
    <w:rsid w:val="00D33344"/>
    <w:rsid w:val="00D33EF5"/>
    <w:rsid w:val="00D358F5"/>
    <w:rsid w:val="00D372C2"/>
    <w:rsid w:val="00D409F3"/>
    <w:rsid w:val="00D41E42"/>
    <w:rsid w:val="00D434F9"/>
    <w:rsid w:val="00D46907"/>
    <w:rsid w:val="00D46914"/>
    <w:rsid w:val="00D471A0"/>
    <w:rsid w:val="00D473E8"/>
    <w:rsid w:val="00D52348"/>
    <w:rsid w:val="00D53548"/>
    <w:rsid w:val="00D53797"/>
    <w:rsid w:val="00D53D99"/>
    <w:rsid w:val="00D54E07"/>
    <w:rsid w:val="00D55DCD"/>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4471"/>
    <w:rsid w:val="00D9504C"/>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7426"/>
    <w:rsid w:val="00DC0059"/>
    <w:rsid w:val="00DC1C4B"/>
    <w:rsid w:val="00DC2BF2"/>
    <w:rsid w:val="00DC356F"/>
    <w:rsid w:val="00DC35E8"/>
    <w:rsid w:val="00DC48EE"/>
    <w:rsid w:val="00DC4A00"/>
    <w:rsid w:val="00DC6B05"/>
    <w:rsid w:val="00DD0A8D"/>
    <w:rsid w:val="00DD2C61"/>
    <w:rsid w:val="00DD3479"/>
    <w:rsid w:val="00DD68CD"/>
    <w:rsid w:val="00DD6CDE"/>
    <w:rsid w:val="00DE0727"/>
    <w:rsid w:val="00DE0D0B"/>
    <w:rsid w:val="00DE1AF8"/>
    <w:rsid w:val="00DE24FC"/>
    <w:rsid w:val="00DE4329"/>
    <w:rsid w:val="00DE43AE"/>
    <w:rsid w:val="00DE4509"/>
    <w:rsid w:val="00DE6505"/>
    <w:rsid w:val="00DE6ECE"/>
    <w:rsid w:val="00DF1E1D"/>
    <w:rsid w:val="00DF4F32"/>
    <w:rsid w:val="00DF5491"/>
    <w:rsid w:val="00DF78BC"/>
    <w:rsid w:val="00E0035B"/>
    <w:rsid w:val="00E00768"/>
    <w:rsid w:val="00E00E94"/>
    <w:rsid w:val="00E061E8"/>
    <w:rsid w:val="00E07609"/>
    <w:rsid w:val="00E079D7"/>
    <w:rsid w:val="00E07A72"/>
    <w:rsid w:val="00E1000A"/>
    <w:rsid w:val="00E15177"/>
    <w:rsid w:val="00E1693C"/>
    <w:rsid w:val="00E17422"/>
    <w:rsid w:val="00E2092F"/>
    <w:rsid w:val="00E21CF1"/>
    <w:rsid w:val="00E23388"/>
    <w:rsid w:val="00E23CCC"/>
    <w:rsid w:val="00E23CCD"/>
    <w:rsid w:val="00E23F2F"/>
    <w:rsid w:val="00E2614B"/>
    <w:rsid w:val="00E26E58"/>
    <w:rsid w:val="00E30AAF"/>
    <w:rsid w:val="00E3453C"/>
    <w:rsid w:val="00E364FB"/>
    <w:rsid w:val="00E36F00"/>
    <w:rsid w:val="00E3744E"/>
    <w:rsid w:val="00E4064D"/>
    <w:rsid w:val="00E42425"/>
    <w:rsid w:val="00E4464C"/>
    <w:rsid w:val="00E44CBA"/>
    <w:rsid w:val="00E5051A"/>
    <w:rsid w:val="00E506CE"/>
    <w:rsid w:val="00E509D4"/>
    <w:rsid w:val="00E51101"/>
    <w:rsid w:val="00E533DD"/>
    <w:rsid w:val="00E53E2C"/>
    <w:rsid w:val="00E55CAB"/>
    <w:rsid w:val="00E55F4B"/>
    <w:rsid w:val="00E56668"/>
    <w:rsid w:val="00E57020"/>
    <w:rsid w:val="00E57EF0"/>
    <w:rsid w:val="00E615EF"/>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BD6"/>
    <w:rsid w:val="00E841AC"/>
    <w:rsid w:val="00E841D3"/>
    <w:rsid w:val="00E84465"/>
    <w:rsid w:val="00E84A3B"/>
    <w:rsid w:val="00E85073"/>
    <w:rsid w:val="00E85B00"/>
    <w:rsid w:val="00E8679B"/>
    <w:rsid w:val="00E878F4"/>
    <w:rsid w:val="00E909F8"/>
    <w:rsid w:val="00E91B32"/>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C0649"/>
    <w:rsid w:val="00EC069D"/>
    <w:rsid w:val="00EC46B3"/>
    <w:rsid w:val="00EC7336"/>
    <w:rsid w:val="00EC7380"/>
    <w:rsid w:val="00ED187E"/>
    <w:rsid w:val="00ED57B8"/>
    <w:rsid w:val="00ED6CD0"/>
    <w:rsid w:val="00ED7CDC"/>
    <w:rsid w:val="00EE1C56"/>
    <w:rsid w:val="00EE22FC"/>
    <w:rsid w:val="00EE269B"/>
    <w:rsid w:val="00EE4C50"/>
    <w:rsid w:val="00EE6188"/>
    <w:rsid w:val="00EE695D"/>
    <w:rsid w:val="00EE6A10"/>
    <w:rsid w:val="00EF25A7"/>
    <w:rsid w:val="00EF2748"/>
    <w:rsid w:val="00EF36C9"/>
    <w:rsid w:val="00EF4397"/>
    <w:rsid w:val="00EF4FFB"/>
    <w:rsid w:val="00EF7424"/>
    <w:rsid w:val="00F00140"/>
    <w:rsid w:val="00F00BCA"/>
    <w:rsid w:val="00F0221A"/>
    <w:rsid w:val="00F04763"/>
    <w:rsid w:val="00F11B16"/>
    <w:rsid w:val="00F13C03"/>
    <w:rsid w:val="00F156CB"/>
    <w:rsid w:val="00F161EA"/>
    <w:rsid w:val="00F16594"/>
    <w:rsid w:val="00F223AE"/>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47CD5"/>
    <w:rsid w:val="00F5198C"/>
    <w:rsid w:val="00F51C36"/>
    <w:rsid w:val="00F51CBC"/>
    <w:rsid w:val="00F51D0D"/>
    <w:rsid w:val="00F545EB"/>
    <w:rsid w:val="00F574B6"/>
    <w:rsid w:val="00F600D2"/>
    <w:rsid w:val="00F61B4F"/>
    <w:rsid w:val="00F63ECF"/>
    <w:rsid w:val="00F66429"/>
    <w:rsid w:val="00F67805"/>
    <w:rsid w:val="00F67CB9"/>
    <w:rsid w:val="00F73413"/>
    <w:rsid w:val="00F74751"/>
    <w:rsid w:val="00F81046"/>
    <w:rsid w:val="00F826F3"/>
    <w:rsid w:val="00F82EE3"/>
    <w:rsid w:val="00F83C57"/>
    <w:rsid w:val="00F83ECD"/>
    <w:rsid w:val="00F84192"/>
    <w:rsid w:val="00F858DB"/>
    <w:rsid w:val="00F85CA6"/>
    <w:rsid w:val="00F85D45"/>
    <w:rsid w:val="00F905DD"/>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34BD"/>
    <w:rsid w:val="00FC3A6B"/>
    <w:rsid w:val="00FC4F36"/>
    <w:rsid w:val="00FC6B16"/>
    <w:rsid w:val="00FD08DE"/>
    <w:rsid w:val="00FD0A86"/>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478D"/>
    <w:rsid w:val="00FE5359"/>
    <w:rsid w:val="00FE7541"/>
    <w:rsid w:val="00FF0411"/>
    <w:rsid w:val="00FF0762"/>
    <w:rsid w:val="00FF10B6"/>
    <w:rsid w:val="00FF1CAF"/>
    <w:rsid w:val="00FF1E97"/>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3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3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3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3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dzela.Petersone@em.gov.lv" TargetMode="External"/><Relationship Id="rId4" Type="http://schemas.microsoft.com/office/2007/relationships/stylesWithEffects" Target="stylesWithEffects.xml"/><Relationship Id="rId9" Type="http://schemas.openxmlformats.org/officeDocument/2006/relationships/hyperlink" Target="http://www.em.gov.lv/em/2nd/?cat=31026"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sadalestikls.lv/lat/klientiem/pieslegumi/es/" TargetMode="External"/><Relationship Id="rId39" Type="http://schemas.openxmlformats.org/officeDocument/2006/relationships/hyperlink" Target="http://m.likumi.lv/doc.php?id=272012"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www.latvenergo.lv/lat/klientiem/EEC/par_eec/" TargetMode="External"/><Relationship Id="rId42" Type="http://schemas.openxmlformats.org/officeDocument/2006/relationships/hyperlink" Target="http://php.lvafa.gov.lv/images/faili/projektu_materiali/petijumi/2014/382_Passive_house/ESKO_Vadlinijas_pasvaldibam.pdf" TargetMode="External"/><Relationship Id="rId47" Type="http://schemas.openxmlformats.org/officeDocument/2006/relationships/hyperlink" Target="http://www.iub.gov.lv/lv/node/63" TargetMode="External"/><Relationship Id="rId50" Type="http://schemas.openxmlformats.org/officeDocument/2006/relationships/hyperlink" Target="http://data.csb.gov.lv/pxweb/lv/vide/vide__ikgad__energetika/EN0020.px/?rxid=cdcb978c-22b0-416a-aacc-aa650d3e2ce0"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www.sadalestikls.lv/files/newnode/tarifieur/ST_tarifu_kartiba_2015.pdf" TargetMode="External"/><Relationship Id="rId33" Type="http://schemas.openxmlformats.org/officeDocument/2006/relationships/hyperlink" Target="https://bis.gov.lv/bisp/lv/house_managers" TargetMode="External"/><Relationship Id="rId38" Type="http://schemas.openxmlformats.org/officeDocument/2006/relationships/hyperlink" Target="http://www.zrea.lv/" TargetMode="External"/><Relationship Id="rId46" Type="http://schemas.openxmlformats.org/officeDocument/2006/relationships/hyperlink" Target="http://www.varam.gov.lv/lat/darbibas_veidi/reg_att/metodika/" TargetMode="External"/><Relationship Id="rId2" Type="http://schemas.openxmlformats.org/officeDocument/2006/relationships/hyperlink" Target="http://likumi.lv/doc.php?id=267471" TargetMode="External"/><Relationship Id="rId16" Type="http://schemas.openxmlformats.org/officeDocument/2006/relationships/hyperlink" Target="http://www.lu.lv/gribustudet/katalogs/programmu-mekletajs/?user_phpfileexecutor_pi1%5Bprogram_id%5D=21124"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php.lvafa.gov.lv/images/faili/projektu_materiali/petijumi/2014/382_Passive_house/ESKO%20ligums%202015_01_28%201551%20SB.pdf"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s://www.em.gov.lv/lv/nozares_politika/energoefektivitate_un_siltumapgade/energoefektivitate/obligati_energoauditi_lielajos_uznemumos/" TargetMode="External"/><Relationship Id="rId32"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7" Type="http://schemas.openxmlformats.org/officeDocument/2006/relationships/hyperlink" Target="https://www.riga.lv/LV/Channels/Riga_Municipality/Statutory_acts/default.htm" TargetMode="External"/><Relationship Id="rId40" Type="http://schemas.openxmlformats.org/officeDocument/2006/relationships/hyperlink" Target="https://www.em.gov.lv/lv/nozares_politika/energoefektivitate_un_siltumapgade/energoefektivitate/energoefektivitates_pakalpojumi/" TargetMode="External"/><Relationship Id="rId45" Type="http://schemas.openxmlformats.org/officeDocument/2006/relationships/hyperlink" Target="http://likumi.lv/ta/id/272295-par-zala-iepirkuma-veicinasanas-planu-2015-2017-gadam" TargetMode="External"/><Relationship Id="rId53" Type="http://schemas.openxmlformats.org/officeDocument/2006/relationships/hyperlink" Target="https://www.em.gov.lv/lv/nozares_politika/energoefektivitate_un_siltumapgade/energoefektivitate/obligati_energoauditi_lielajos_uznemumos/"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em.gov.lv/lv/es_fondi/dzivo_siltak/ievads/" TargetMode="External"/><Relationship Id="rId49" Type="http://schemas.openxmlformats.org/officeDocument/2006/relationships/hyperlink" Target="http://likumi.lv/doc.php?id=263153"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438.pdf" TargetMode="External"/><Relationship Id="rId44" Type="http://schemas.openxmlformats.org/officeDocument/2006/relationships/hyperlink" Target="https://www.em.gov.lv/lv/nozares_politika/energoefektivitate_un_siltumapgade/energoefektivitate/pasvaldibu_energoplani/" TargetMode="External"/><Relationship Id="rId52" Type="http://schemas.openxmlformats.org/officeDocument/2006/relationships/hyperlink" Target="https://www.em.gov.lv/lv/nozares_politika/energijas_tirgus_un_infrastruktura/statistika/"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www.latak.lv/index.php?lang=lv" TargetMode="External"/><Relationship Id="rId30" Type="http://schemas.openxmlformats.org/officeDocument/2006/relationships/hyperlink" Target="http://visc.gov.lv/profizglitiba/dokumenti/standarti/ps0286.pdf" TargetMode="External"/><Relationship Id="rId35" Type="http://schemas.openxmlformats.org/officeDocument/2006/relationships/hyperlink" Target="http://lg.lv/?id=328&amp;lang=lat" TargetMode="External"/><Relationship Id="rId43" Type="http://schemas.openxmlformats.org/officeDocument/2006/relationships/hyperlink" Target="https://ec.europa.eu/energy/sites/ener/files/documents/2014_neeap_lv_latvia.pdf" TargetMode="External"/><Relationship Id="rId48" Type="http://schemas.openxmlformats.org/officeDocument/2006/relationships/hyperlink" Target="https://ec.europa.eu/energy/sites/ener/files/documents/2014_neeap_lv_latvia.pdf"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4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D287-D4B9-42F7-BB81-D12EEAA8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45778</Words>
  <Characters>26095</Characters>
  <Application>Microsoft Office Word</Application>
  <DocSecurity>0</DocSecurity>
  <Lines>217</Lines>
  <Paragraphs>143</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71730</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Jekaterina Borovika</cp:lastModifiedBy>
  <cp:revision>3</cp:revision>
  <cp:lastPrinted>2012-08-02T12:33:00Z</cp:lastPrinted>
  <dcterms:created xsi:type="dcterms:W3CDTF">2016-05-24T12:34:00Z</dcterms:created>
  <dcterms:modified xsi:type="dcterms:W3CDTF">2016-05-24T12:34:00Z</dcterms:modified>
</cp:coreProperties>
</file>