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6F" w:rsidRPr="00C8486F" w:rsidRDefault="00C8486F" w:rsidP="00C8486F">
      <w:pPr>
        <w:jc w:val="center"/>
        <w:rPr>
          <w:rFonts w:eastAsia="SimSun" w:cs="Times New Roman"/>
          <w:b/>
          <w:sz w:val="28"/>
          <w:szCs w:val="28"/>
          <w:lang w:eastAsia="lv-LV" w:bidi="ar-SA"/>
        </w:rPr>
      </w:pPr>
      <w:r w:rsidRPr="00C8486F">
        <w:rPr>
          <w:rFonts w:eastAsia="SimSun" w:cs="Times New Roman"/>
          <w:b/>
          <w:sz w:val="28"/>
          <w:szCs w:val="28"/>
          <w:lang w:eastAsia="lv-LV" w:bidi="ar-SA"/>
        </w:rPr>
        <w:t>Ministru kabineta noteikumu projekta</w:t>
      </w:r>
    </w:p>
    <w:p w:rsidR="00C8486F" w:rsidRPr="00C8486F" w:rsidRDefault="00C8486F" w:rsidP="00C8486F">
      <w:pPr>
        <w:jc w:val="center"/>
        <w:rPr>
          <w:rFonts w:eastAsia="SimSun" w:cs="Times New Roman"/>
          <w:b/>
          <w:sz w:val="28"/>
          <w:szCs w:val="28"/>
          <w:lang w:eastAsia="lv-LV" w:bidi="ar-SA"/>
        </w:rPr>
      </w:pPr>
      <w:r w:rsidRPr="00C8486F">
        <w:rPr>
          <w:rFonts w:eastAsia="SimSun" w:cs="Times New Roman"/>
          <w:b/>
          <w:sz w:val="28"/>
          <w:szCs w:val="28"/>
          <w:lang w:eastAsia="lv-LV" w:bidi="ar-SA"/>
        </w:rPr>
        <w:t>„</w:t>
      </w:r>
      <w:bookmarkStart w:id="0" w:name="OLE_LINK5"/>
      <w:bookmarkStart w:id="1" w:name="OLE_LINK6"/>
      <w:r w:rsidR="00D122D0">
        <w:rPr>
          <w:rFonts w:eastAsia="SimSun" w:cs="Times New Roman"/>
          <w:b/>
          <w:bCs/>
          <w:sz w:val="28"/>
          <w:szCs w:val="28"/>
          <w:lang w:eastAsia="lv-LV" w:bidi="ar-SA"/>
        </w:rPr>
        <w:t>Kuģu kontroles, pārbaudes un aizturēšanas kārtība Latvijas ūdeņos</w:t>
      </w:r>
      <w:r w:rsidRPr="00C8486F">
        <w:rPr>
          <w:rFonts w:eastAsia="SimSun" w:cs="Times New Roman"/>
          <w:b/>
          <w:bCs/>
          <w:sz w:val="28"/>
          <w:szCs w:val="28"/>
          <w:lang w:eastAsia="lv-LV" w:bidi="ar-SA"/>
        </w:rPr>
        <w:t>”</w:t>
      </w:r>
      <w:bookmarkEnd w:id="0"/>
      <w:bookmarkEnd w:id="1"/>
      <w:r w:rsidRPr="00C8486F">
        <w:rPr>
          <w:rFonts w:eastAsia="SimSun" w:cs="Times New Roman"/>
          <w:b/>
          <w:bCs/>
          <w:kern w:val="36"/>
          <w:sz w:val="28"/>
          <w:szCs w:val="28"/>
          <w:lang w:eastAsia="lv-LV" w:bidi="ar-SA"/>
        </w:rPr>
        <w:t>” sākotnējās ietekmes novērtējuma ziņojums (</w:t>
      </w:r>
      <w:r w:rsidRPr="00C8486F">
        <w:rPr>
          <w:rFonts w:eastAsia="SimSun" w:cs="Times New Roman"/>
          <w:b/>
          <w:sz w:val="28"/>
          <w:szCs w:val="28"/>
          <w:lang w:eastAsia="lv-LV" w:bidi="ar-SA"/>
        </w:rPr>
        <w:t>anotācija)</w:t>
      </w:r>
    </w:p>
    <w:p w:rsidR="00C8486F" w:rsidRPr="006E1657" w:rsidRDefault="00C8486F" w:rsidP="00C8486F">
      <w:pPr>
        <w:rPr>
          <w:iCs/>
          <w:color w:val="FF0000"/>
        </w:rP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9"/>
        <w:gridCol w:w="2653"/>
        <w:gridCol w:w="5574"/>
      </w:tblGrid>
      <w:tr w:rsidR="00C8486F" w:rsidRPr="006E1657" w:rsidTr="00C8486F">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8486F" w:rsidRPr="006E1657" w:rsidRDefault="00C8486F" w:rsidP="004B0D09">
            <w:pPr>
              <w:jc w:val="center"/>
              <w:rPr>
                <w:b/>
                <w:bCs/>
                <w:sz w:val="28"/>
                <w:szCs w:val="28"/>
              </w:rPr>
            </w:pPr>
            <w:r w:rsidRPr="006E1657">
              <w:rPr>
                <w:b/>
                <w:bCs/>
                <w:sz w:val="28"/>
                <w:szCs w:val="28"/>
              </w:rPr>
              <w:t>I. Tiesību akta projekta izstrādes nepieciešamība</w:t>
            </w:r>
          </w:p>
        </w:tc>
      </w:tr>
      <w:tr w:rsidR="00C8486F" w:rsidRPr="006E1657" w:rsidTr="00C8486F">
        <w:trPr>
          <w:trHeight w:val="40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1.</w:t>
            </w:r>
          </w:p>
        </w:tc>
        <w:tc>
          <w:tcPr>
            <w:tcW w:w="1411"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Pamatojums</w:t>
            </w:r>
          </w:p>
          <w:p w:rsidR="00C8486F" w:rsidRPr="006E1657" w:rsidRDefault="00C8486F" w:rsidP="0076469A">
            <w:pPr>
              <w:jc w:val="center"/>
              <w:rPr>
                <w:sz w:val="28"/>
                <w:szCs w:val="28"/>
              </w:rPr>
            </w:pPr>
          </w:p>
        </w:tc>
        <w:tc>
          <w:tcPr>
            <w:tcW w:w="2942" w:type="pct"/>
            <w:tcBorders>
              <w:top w:val="outset" w:sz="6" w:space="0" w:color="auto"/>
              <w:left w:val="outset" w:sz="6" w:space="0" w:color="auto"/>
              <w:bottom w:val="outset" w:sz="6" w:space="0" w:color="auto"/>
              <w:right w:val="outset" w:sz="6" w:space="0" w:color="auto"/>
            </w:tcBorders>
            <w:hideMark/>
          </w:tcPr>
          <w:p w:rsidR="00C8486F" w:rsidRPr="00517CE2" w:rsidRDefault="00384CC7" w:rsidP="00607DE2">
            <w:pPr>
              <w:ind w:firstLine="554"/>
              <w:jc w:val="both"/>
              <w:rPr>
                <w:sz w:val="28"/>
                <w:szCs w:val="28"/>
              </w:rPr>
            </w:pPr>
            <w:r w:rsidRPr="00DD1D19">
              <w:rPr>
                <w:bCs/>
                <w:sz w:val="28"/>
                <w:szCs w:val="28"/>
              </w:rPr>
              <w:t>Ministru kabine</w:t>
            </w:r>
            <w:r>
              <w:rPr>
                <w:bCs/>
                <w:sz w:val="28"/>
                <w:szCs w:val="28"/>
              </w:rPr>
              <w:t>ta noteikumu projekts „</w:t>
            </w:r>
            <w:r w:rsidR="00326A3A">
              <w:rPr>
                <w:bCs/>
                <w:sz w:val="28"/>
                <w:szCs w:val="28"/>
              </w:rPr>
              <w:t>Kuģu kontroles, pārbaudes un aizturēšanas kārtība Latvijas ūdeņos</w:t>
            </w:r>
            <w:r w:rsidRPr="00DD1D19">
              <w:rPr>
                <w:bCs/>
                <w:sz w:val="28"/>
                <w:szCs w:val="28"/>
              </w:rPr>
              <w:t>” ir izstrādāts</w:t>
            </w:r>
            <w:r w:rsidR="00607DE2">
              <w:rPr>
                <w:bCs/>
                <w:sz w:val="28"/>
                <w:szCs w:val="28"/>
              </w:rPr>
              <w:t>, apkopojot aktuālus</w:t>
            </w:r>
            <w:r w:rsidR="003A4F06">
              <w:rPr>
                <w:bCs/>
                <w:sz w:val="28"/>
                <w:szCs w:val="28"/>
              </w:rPr>
              <w:t xml:space="preserve"> nepieciešamos grozījumus</w:t>
            </w:r>
            <w:r w:rsidR="000A722F">
              <w:rPr>
                <w:bCs/>
                <w:sz w:val="28"/>
                <w:szCs w:val="28"/>
              </w:rPr>
              <w:t>.</w:t>
            </w:r>
          </w:p>
        </w:tc>
      </w:tr>
      <w:tr w:rsidR="00C8486F" w:rsidRPr="006E1657" w:rsidTr="00455B06">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2.</w:t>
            </w:r>
          </w:p>
        </w:tc>
        <w:tc>
          <w:tcPr>
            <w:tcW w:w="1411"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Pašreizējā situācija un problēmas, kuru risināšanai tiesību akta projekts izstrādāts, tiesiskā regulējuma mērķis un būtība</w:t>
            </w:r>
          </w:p>
        </w:tc>
        <w:tc>
          <w:tcPr>
            <w:tcW w:w="2942" w:type="pct"/>
            <w:tcBorders>
              <w:top w:val="outset" w:sz="6" w:space="0" w:color="auto"/>
              <w:left w:val="outset" w:sz="6" w:space="0" w:color="auto"/>
              <w:bottom w:val="outset" w:sz="6" w:space="0" w:color="auto"/>
              <w:right w:val="outset" w:sz="6" w:space="0" w:color="auto"/>
            </w:tcBorders>
          </w:tcPr>
          <w:p w:rsidR="001120E5" w:rsidRPr="00A706E6" w:rsidRDefault="00FD08BC" w:rsidP="001120E5">
            <w:pPr>
              <w:jc w:val="both"/>
              <w:rPr>
                <w:iCs/>
                <w:sz w:val="28"/>
                <w:szCs w:val="28"/>
              </w:rPr>
            </w:pPr>
            <w:r w:rsidRPr="00A706E6">
              <w:rPr>
                <w:iCs/>
                <w:sz w:val="28"/>
                <w:szCs w:val="28"/>
              </w:rPr>
              <w:t>Pašreiz kuģu kontroles pārbaudes un aizturēšanas kārtību Latvijas ūdeņos regulē 1982.gada Jūras tiesību konvencija, Jūrlietu pārvaldes un jūras drošības likums, Ministru kabineta 2004.gada 1.jūnija noteikumi Nr.508 „Kuģu kontroles, pārbaudes un aizturēšanas kārtība Latvijas ūdeņos” (turpmāk – noteikumi Nr.508). Noteikumu projekta mērķis ir uzlabot kuģu kontroles, pārbaudes un aizturēšanas kārtību Latvijas ūdeņos. Noteikumu projekts paredz, ka ne tikai jūras vides pārvalde varēs pieprasīt Krasta apsardzei kuģa aizturēšanu jūrā, bet jebkura iestāde, kuras kompetencē ir izskatīt jautājumus par kuģa pārkāpumiem, kas saistīti ar miermīlīgas caurbraukšanas principu neievērošanu, kuri noteikti 1982.gada Jūras tiesību konvencijas 19.pantā.</w:t>
            </w:r>
          </w:p>
          <w:p w:rsidR="00FD08BC" w:rsidRPr="00A706E6" w:rsidRDefault="00FD08BC" w:rsidP="00C641DF">
            <w:pPr>
              <w:jc w:val="both"/>
              <w:rPr>
                <w:iCs/>
                <w:sz w:val="28"/>
                <w:szCs w:val="28"/>
              </w:rPr>
            </w:pPr>
            <w:r w:rsidRPr="00A706E6">
              <w:rPr>
                <w:iCs/>
                <w:sz w:val="28"/>
                <w:szCs w:val="28"/>
              </w:rPr>
              <w:t>Noteikumu projektā netiek noteikti konkrēti sakaru līdzekļi, kādā veidā tiek kontrolēti kuģi. Attīstoties tehnoloģijām, Krasta apsardze izmanto kuģu satiksmes uzraudzības un informācijas datu apmaiņas sistēmu (SSN sistēma) atbilstoši Ministru kabineta 2009.gada 4.augusta noteikumiem Nr.857 „Kārtība, kādā nodrošināma sakaru tīklu darbība Kuģu satiksmes uzraudzības</w:t>
            </w:r>
            <w:r w:rsidR="00364B70" w:rsidRPr="00A706E6">
              <w:rPr>
                <w:iCs/>
                <w:sz w:val="28"/>
                <w:szCs w:val="28"/>
              </w:rPr>
              <w:t xml:space="preserve"> un informācijas datu apmaiņas sistēmas ietvaros”, kā arī atbilstoši Ministru kabineta 2012.gada 15.maija noteikumiem Nr.339 „Noteikumi par ostu </w:t>
            </w:r>
            <w:r w:rsidR="00364B70" w:rsidRPr="00A706E6">
              <w:rPr>
                <w:iCs/>
                <w:sz w:val="28"/>
                <w:szCs w:val="28"/>
              </w:rPr>
              <w:lastRenderedPageBreak/>
              <w:t xml:space="preserve">formalitātēm”, </w:t>
            </w:r>
            <w:r w:rsidR="00C51E36" w:rsidRPr="00A706E6">
              <w:rPr>
                <w:iCs/>
                <w:sz w:val="28"/>
                <w:szCs w:val="28"/>
              </w:rPr>
              <w:t>kuri nosaka kārtību, kādā notiek ar kuģa ienākšanu ostā un iziešanu no tās saistītas ostu formalitātes, kuru ievērošanu kontrolē Krasta apsardze. Kontroles realizācijai tiek izmantoti dažādi sakaru līdzekļi. Vairumā gadījumu ostu formalitātes tiek k</w:t>
            </w:r>
            <w:r w:rsidR="00CB53E3" w:rsidRPr="00A706E6">
              <w:rPr>
                <w:iCs/>
                <w:sz w:val="28"/>
                <w:szCs w:val="28"/>
              </w:rPr>
              <w:t>ārtotas vēl</w:t>
            </w:r>
            <w:r w:rsidR="00C51E36" w:rsidRPr="00A706E6">
              <w:rPr>
                <w:iCs/>
                <w:sz w:val="28"/>
                <w:szCs w:val="28"/>
              </w:rPr>
              <w:t xml:space="preserve"> pirms kuģis ir ienācis Latvijas ūdeņos. Noteikumi Nr.508 nosaka, ka Krasta apsardze kuģu aptaujāšanu veic izmantojot tikai ultraīsviļņu radiosakarus, kas neatbilst faktiskajai situācijai.</w:t>
            </w:r>
          </w:p>
          <w:p w:rsidR="00541CC1" w:rsidRPr="00A706E6" w:rsidRDefault="00541CC1" w:rsidP="00541CC1">
            <w:pPr>
              <w:jc w:val="both"/>
              <w:rPr>
                <w:iCs/>
                <w:sz w:val="28"/>
                <w:szCs w:val="28"/>
              </w:rPr>
            </w:pPr>
            <w:r w:rsidRPr="00A706E6">
              <w:rPr>
                <w:iCs/>
                <w:sz w:val="28"/>
                <w:szCs w:val="28"/>
              </w:rPr>
              <w:t>Noteikumu projektā noteikts, kas tiek pārbaudīts, veicot kuģa pārbaudi, lai konstatētu, vai kuģis atbilst Latvijas Republikas un starptautiskajiem tiesību aktiem. Noteikumu projektā arī paredzēts, ka Krasta apsardzes amatpersona nodrošina alkohola, narkotisko, psihotropo vai toksisko vielu klātbūtnes pārbaudi jūrniekiem. Krasta apsardzes amatpersonai būs tiesības pieprasīt, lai kuģa apkalpe sniegtu paskaidrojumus par iespējamu pārkāpumu un fiksēt lietiskos pierādījumu</w:t>
            </w:r>
            <w:r w:rsidR="00513903" w:rsidRPr="00A706E6">
              <w:rPr>
                <w:iCs/>
                <w:sz w:val="28"/>
                <w:szCs w:val="28"/>
              </w:rPr>
              <w:t>s</w:t>
            </w:r>
            <w:r w:rsidRPr="00A706E6">
              <w:rPr>
                <w:iCs/>
                <w:sz w:val="28"/>
                <w:szCs w:val="28"/>
              </w:rPr>
              <w:t>, lai iestādei, kas ir tiesīga izskatīt pārkāpumus, būtu pierādījumi, lai konstatētu vai noticis pārkāpums, par kuru likumā ir paredzēta atbildība, kā arī citas procesuālas darbības, kas saistītas ar kuģa apskates noformēšanu.</w:t>
            </w:r>
          </w:p>
          <w:p w:rsidR="00ED3226" w:rsidRPr="00A706E6" w:rsidRDefault="00ED3226" w:rsidP="00541CC1">
            <w:pPr>
              <w:jc w:val="both"/>
              <w:rPr>
                <w:iCs/>
                <w:sz w:val="28"/>
                <w:szCs w:val="28"/>
              </w:rPr>
            </w:pPr>
            <w:r w:rsidRPr="00A706E6">
              <w:rPr>
                <w:iCs/>
                <w:sz w:val="28"/>
                <w:szCs w:val="28"/>
              </w:rPr>
              <w:t>Projekta 13.punktā aizturētā kuģa (un tā apkalpes) apsardzi krasta apsardze neveic.</w:t>
            </w:r>
          </w:p>
          <w:p w:rsidR="003C7554" w:rsidRPr="00A706E6" w:rsidRDefault="003C7554" w:rsidP="003C7554">
            <w:pPr>
              <w:jc w:val="both"/>
              <w:rPr>
                <w:iCs/>
                <w:sz w:val="28"/>
                <w:szCs w:val="28"/>
              </w:rPr>
            </w:pPr>
            <w:r w:rsidRPr="00A706E6">
              <w:rPr>
                <w:iCs/>
                <w:sz w:val="28"/>
                <w:szCs w:val="28"/>
              </w:rPr>
              <w:t>Ievērojot grozījumu apjomu, izstrādāti jauni Ministru kabineta noteikumi.</w:t>
            </w:r>
          </w:p>
          <w:p w:rsidR="00113971" w:rsidRPr="00A706E6" w:rsidRDefault="00113971" w:rsidP="003C7554">
            <w:pPr>
              <w:jc w:val="both"/>
              <w:rPr>
                <w:iCs/>
                <w:sz w:val="28"/>
                <w:szCs w:val="28"/>
              </w:rPr>
            </w:pPr>
          </w:p>
          <w:p w:rsidR="00113971" w:rsidRPr="00A706E6" w:rsidRDefault="00113971" w:rsidP="00113971">
            <w:pPr>
              <w:jc w:val="both"/>
              <w:rPr>
                <w:sz w:val="28"/>
                <w:szCs w:val="28"/>
              </w:rPr>
            </w:pPr>
            <w:r w:rsidRPr="00A706E6">
              <w:rPr>
                <w:rFonts w:cs="Times New Roman"/>
                <w:bCs/>
                <w:sz w:val="28"/>
                <w:szCs w:val="28"/>
              </w:rPr>
              <w:t xml:space="preserve">Tā, kā Jūrlietu pārvaldes un jūras drošības likuma 2.pants paredz, ka tas </w:t>
            </w:r>
            <w:r w:rsidRPr="00A706E6">
              <w:rPr>
                <w:rFonts w:cs="Times New Roman"/>
                <w:sz w:val="28"/>
                <w:szCs w:val="28"/>
              </w:rPr>
              <w:t>neattiecas uz Nacionālo bruņoto spēku kuģiem un to personālu, ja likumā nav noteikts citādi, kā arī uz citu valstu karakuģiem un to personālu, noteikumi</w:t>
            </w:r>
            <w:r w:rsidRPr="00A706E6">
              <w:rPr>
                <w:sz w:val="28"/>
                <w:szCs w:val="28"/>
              </w:rPr>
              <w:t xml:space="preserve"> nosaka kārtību, kādā Nacionālo bruņoto spēku Jūras spēku flotiles vienības, kas </w:t>
            </w:r>
            <w:r w:rsidRPr="00A706E6">
              <w:rPr>
                <w:sz w:val="28"/>
                <w:szCs w:val="28"/>
              </w:rPr>
              <w:lastRenderedPageBreak/>
              <w:t>veic krasta apsardzes funkcijas (turpmāk — Krasta apsardze) kontrolē, pārbauda un aiztur kuģus, izņemot karakuģus un valsts dienestu kuģus, Latvijas jurisdikcijā esošajos ūdeņos (turpmāk — Latvijas ūdeņi) ārpus ostas akvatorijas.</w:t>
            </w:r>
          </w:p>
          <w:p w:rsidR="00464C77" w:rsidRPr="00A706E6" w:rsidRDefault="00464C77" w:rsidP="00113971">
            <w:pPr>
              <w:jc w:val="both"/>
              <w:rPr>
                <w:sz w:val="28"/>
                <w:szCs w:val="28"/>
              </w:rPr>
            </w:pPr>
          </w:p>
          <w:p w:rsidR="00464C77" w:rsidRPr="00A706E6" w:rsidRDefault="00464C77" w:rsidP="00113971">
            <w:pPr>
              <w:jc w:val="both"/>
              <w:rPr>
                <w:sz w:val="28"/>
                <w:szCs w:val="28"/>
              </w:rPr>
            </w:pPr>
          </w:p>
          <w:p w:rsidR="00464C77" w:rsidRPr="00A706E6" w:rsidRDefault="00464C77" w:rsidP="00464C77">
            <w:pPr>
              <w:jc w:val="both"/>
              <w:rPr>
                <w:rFonts w:cs="Times New Roman"/>
                <w:sz w:val="28"/>
                <w:szCs w:val="28"/>
              </w:rPr>
            </w:pPr>
            <w:r w:rsidRPr="00A706E6">
              <w:rPr>
                <w:sz w:val="28"/>
                <w:szCs w:val="28"/>
              </w:rPr>
              <w:t xml:space="preserve">Ja Krasta apsardze pārbauda kuģus pamatojoties uz saņemtu informāciju, ka kuģis nelikumīgi pārvadā </w:t>
            </w:r>
            <w:r w:rsidRPr="00A706E6">
              <w:rPr>
                <w:bCs/>
                <w:sz w:val="28"/>
                <w:szCs w:val="28"/>
              </w:rPr>
              <w:t xml:space="preserve">nelegālos imigrantus, attiecīgās darbības var tiek veiktas pamatojoties uz </w:t>
            </w:r>
            <w:r w:rsidRPr="00A706E6">
              <w:rPr>
                <w:rStyle w:val="t35"/>
                <w:rFonts w:cs="Times New Roman"/>
                <w:sz w:val="28"/>
                <w:szCs w:val="28"/>
              </w:rPr>
              <w:t>Ministru kabineta 30.11.2010. noteikumiem Nr. 1076 ‘</w:t>
            </w:r>
            <w:hyperlink r:id="rId9" w:tgtFrame="_blank" w:history="1">
              <w:r w:rsidRPr="00A706E6">
                <w:rPr>
                  <w:rStyle w:val="Hyperlink"/>
                  <w:rFonts w:cs="Times New Roman"/>
                  <w:color w:val="auto"/>
                  <w:sz w:val="28"/>
                  <w:szCs w:val="28"/>
                  <w:u w:val="none"/>
                </w:rPr>
                <w:t xml:space="preserve">Kārtība, kādā Valsts robežsardze veic </w:t>
              </w:r>
              <w:proofErr w:type="spellStart"/>
              <w:r w:rsidRPr="00A706E6">
                <w:rPr>
                  <w:rStyle w:val="Hyperlink"/>
                  <w:rFonts w:cs="Times New Roman"/>
                  <w:color w:val="auto"/>
                  <w:sz w:val="28"/>
                  <w:szCs w:val="28"/>
                  <w:u w:val="none"/>
                </w:rPr>
                <w:t>robežuzraudzības</w:t>
              </w:r>
              <w:proofErr w:type="spellEnd"/>
              <w:r w:rsidRPr="00A706E6">
                <w:rPr>
                  <w:rStyle w:val="Hyperlink"/>
                  <w:rFonts w:cs="Times New Roman"/>
                  <w:color w:val="auto"/>
                  <w:sz w:val="28"/>
                  <w:szCs w:val="28"/>
                  <w:u w:val="none"/>
                </w:rPr>
                <w:t xml:space="preserve"> uzdevumus jūrā, izmantojot Nacionālo bruņoto spēku tehniskos līdzekļus, peldlīdzekļus un gaisakuģus</w:t>
              </w:r>
            </w:hyperlink>
            <w:r w:rsidRPr="00A706E6">
              <w:rPr>
                <w:rFonts w:cs="Times New Roman"/>
                <w:sz w:val="28"/>
                <w:szCs w:val="28"/>
              </w:rPr>
              <w:t>”.</w:t>
            </w:r>
          </w:p>
          <w:p w:rsidR="00464C77" w:rsidRPr="00A706E6" w:rsidRDefault="00464C77" w:rsidP="00464C77">
            <w:pPr>
              <w:jc w:val="both"/>
              <w:rPr>
                <w:rFonts w:cs="Times New Roman"/>
                <w:sz w:val="28"/>
                <w:szCs w:val="28"/>
              </w:rPr>
            </w:pPr>
          </w:p>
          <w:p w:rsidR="00464C77" w:rsidRPr="00A706E6" w:rsidRDefault="00464C77" w:rsidP="00464C77">
            <w:pPr>
              <w:jc w:val="both"/>
              <w:rPr>
                <w:rFonts w:cs="Times New Roman"/>
                <w:sz w:val="28"/>
                <w:szCs w:val="28"/>
              </w:rPr>
            </w:pPr>
            <w:r w:rsidRPr="00A706E6">
              <w:rPr>
                <w:rFonts w:cs="Times New Roman"/>
                <w:sz w:val="28"/>
                <w:szCs w:val="28"/>
              </w:rPr>
              <w:t>Šo Ministru kabineta noteikumu izpratnē ar terminu “kuģis” tiek saprast Jūras kodeksā dotā termina “kuģis” apzīmējums.</w:t>
            </w:r>
          </w:p>
          <w:p w:rsidR="00464C77" w:rsidRPr="00A706E6" w:rsidRDefault="00464C77" w:rsidP="00464C77">
            <w:pPr>
              <w:jc w:val="both"/>
              <w:rPr>
                <w:iCs/>
                <w:sz w:val="28"/>
                <w:szCs w:val="28"/>
              </w:rPr>
            </w:pPr>
          </w:p>
          <w:p w:rsidR="00464C77" w:rsidRPr="00A706E6" w:rsidRDefault="00464C77" w:rsidP="00464C77">
            <w:pPr>
              <w:jc w:val="both"/>
              <w:rPr>
                <w:sz w:val="28"/>
                <w:szCs w:val="28"/>
              </w:rPr>
            </w:pPr>
            <w:r w:rsidRPr="00A706E6">
              <w:rPr>
                <w:sz w:val="28"/>
                <w:szCs w:val="28"/>
              </w:rPr>
              <w:t>Veicot kuģa pārbaudi un aizturēšanu, Krasta apsardzes amatpersonām (atrodoties uz pārbaudāmā vai aizturamā kuģa) ir tiesības pielietot fizisko spēku, speciālos līdzekļus un dienesta šaujamieročus Militārā dienesta likumā noteiktajā kārtībā.</w:t>
            </w:r>
          </w:p>
          <w:p w:rsidR="00331604" w:rsidRPr="00A706E6" w:rsidRDefault="00331604" w:rsidP="00464C77">
            <w:pPr>
              <w:jc w:val="both"/>
              <w:rPr>
                <w:sz w:val="28"/>
                <w:szCs w:val="28"/>
              </w:rPr>
            </w:pPr>
          </w:p>
          <w:p w:rsidR="00331604" w:rsidRPr="00A706E6" w:rsidRDefault="00331604" w:rsidP="00464C77">
            <w:pPr>
              <w:jc w:val="both"/>
              <w:rPr>
                <w:rFonts w:cs="Times New Roman"/>
                <w:sz w:val="28"/>
                <w:szCs w:val="28"/>
              </w:rPr>
            </w:pPr>
            <w:r w:rsidRPr="00A706E6">
              <w:rPr>
                <w:rFonts w:cs="Times New Roman"/>
                <w:sz w:val="28"/>
                <w:szCs w:val="28"/>
              </w:rPr>
              <w:t>Jūrlietu pārvaldes un jūras drošības likuma 31.panta pirmā daļa aizliedz no sardzes brīvajā laikā atrasties alkohola reibumā, kas pārsniedz 0,5 promiles.</w:t>
            </w:r>
          </w:p>
          <w:p w:rsidR="005C2E21" w:rsidRPr="00A706E6" w:rsidRDefault="005C2E21" w:rsidP="00464C77">
            <w:pPr>
              <w:jc w:val="both"/>
              <w:rPr>
                <w:rFonts w:cs="Times New Roman"/>
                <w:sz w:val="28"/>
                <w:szCs w:val="28"/>
              </w:rPr>
            </w:pPr>
          </w:p>
          <w:p w:rsidR="005C2E21" w:rsidRPr="00A706E6" w:rsidRDefault="005C2E21" w:rsidP="005C2E21">
            <w:pPr>
              <w:jc w:val="both"/>
              <w:rPr>
                <w:rFonts w:cs="Times New Roman"/>
                <w:iCs/>
                <w:sz w:val="28"/>
                <w:szCs w:val="28"/>
              </w:rPr>
            </w:pPr>
            <w:r w:rsidRPr="00A706E6">
              <w:rPr>
                <w:rFonts w:cs="Times New Roman"/>
                <w:sz w:val="28"/>
                <w:szCs w:val="28"/>
              </w:rPr>
              <w:t xml:space="preserve">Kuģu kontroles, pārbaudes un aizturēšanas prasības Latvijas teritoriālajā jūrā tiek noteiktas saskaņā ar nacionālajiem normatīvajiem aktiem un notiek saskaņā ar Apvienoto Nāciju Organizācijas 1982.gada Jūras tiesību </w:t>
            </w:r>
            <w:r w:rsidRPr="00A706E6">
              <w:rPr>
                <w:rFonts w:cs="Times New Roman"/>
                <w:sz w:val="28"/>
                <w:szCs w:val="28"/>
              </w:rPr>
              <w:lastRenderedPageBreak/>
              <w:t>konvenciju.</w:t>
            </w:r>
          </w:p>
        </w:tc>
      </w:tr>
      <w:tr w:rsidR="00C8486F" w:rsidRPr="006E1657" w:rsidTr="00C8486F">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lastRenderedPageBreak/>
              <w:t>3.</w:t>
            </w:r>
          </w:p>
        </w:tc>
        <w:tc>
          <w:tcPr>
            <w:tcW w:w="1411"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Projekta izstrādē iesaistītās institūcijas</w:t>
            </w:r>
          </w:p>
        </w:tc>
        <w:tc>
          <w:tcPr>
            <w:tcW w:w="2942" w:type="pct"/>
            <w:tcBorders>
              <w:top w:val="outset" w:sz="6" w:space="0" w:color="auto"/>
              <w:left w:val="outset" w:sz="6" w:space="0" w:color="auto"/>
              <w:bottom w:val="outset" w:sz="6" w:space="0" w:color="auto"/>
              <w:right w:val="outset" w:sz="6" w:space="0" w:color="auto"/>
            </w:tcBorders>
            <w:hideMark/>
          </w:tcPr>
          <w:p w:rsidR="00C8486F" w:rsidRPr="00A706E6" w:rsidRDefault="00C8486F" w:rsidP="001120E5">
            <w:pPr>
              <w:jc w:val="both"/>
              <w:rPr>
                <w:sz w:val="28"/>
                <w:szCs w:val="28"/>
              </w:rPr>
            </w:pPr>
            <w:r w:rsidRPr="00A706E6">
              <w:rPr>
                <w:sz w:val="28"/>
                <w:szCs w:val="28"/>
              </w:rPr>
              <w:t>Aizsardzības mi</w:t>
            </w:r>
            <w:r w:rsidR="002A0CD6" w:rsidRPr="00A706E6">
              <w:rPr>
                <w:sz w:val="28"/>
                <w:szCs w:val="28"/>
              </w:rPr>
              <w:t>nistrij</w:t>
            </w:r>
            <w:r w:rsidR="00471BAD" w:rsidRPr="00A706E6">
              <w:rPr>
                <w:sz w:val="28"/>
                <w:szCs w:val="28"/>
              </w:rPr>
              <w:t xml:space="preserve">a, </w:t>
            </w:r>
            <w:r w:rsidR="002A0CD6" w:rsidRPr="00A706E6">
              <w:rPr>
                <w:sz w:val="28"/>
                <w:szCs w:val="28"/>
              </w:rPr>
              <w:t>Nacionāl</w:t>
            </w:r>
            <w:r w:rsidR="00471BAD" w:rsidRPr="00A706E6">
              <w:rPr>
                <w:sz w:val="28"/>
                <w:szCs w:val="28"/>
              </w:rPr>
              <w:t>ie</w:t>
            </w:r>
            <w:r w:rsidRPr="00A706E6">
              <w:rPr>
                <w:sz w:val="28"/>
                <w:szCs w:val="28"/>
              </w:rPr>
              <w:t xml:space="preserve"> </w:t>
            </w:r>
            <w:r w:rsidR="002A0CD6" w:rsidRPr="00A706E6">
              <w:rPr>
                <w:sz w:val="28"/>
                <w:szCs w:val="28"/>
              </w:rPr>
              <w:t>bruņot</w:t>
            </w:r>
            <w:r w:rsidR="00471BAD" w:rsidRPr="00A706E6">
              <w:rPr>
                <w:sz w:val="28"/>
                <w:szCs w:val="28"/>
              </w:rPr>
              <w:t>ie</w:t>
            </w:r>
            <w:r w:rsidRPr="00A706E6">
              <w:rPr>
                <w:sz w:val="28"/>
                <w:szCs w:val="28"/>
              </w:rPr>
              <w:t xml:space="preserve"> spēk</w:t>
            </w:r>
            <w:r w:rsidR="00471BAD" w:rsidRPr="00A706E6">
              <w:rPr>
                <w:sz w:val="28"/>
                <w:szCs w:val="28"/>
              </w:rPr>
              <w:t>i.</w:t>
            </w:r>
          </w:p>
        </w:tc>
      </w:tr>
      <w:tr w:rsidR="00C8486F" w:rsidRPr="006E1657" w:rsidTr="00C8486F">
        <w:trPr>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4.</w:t>
            </w:r>
          </w:p>
        </w:tc>
        <w:tc>
          <w:tcPr>
            <w:tcW w:w="1411"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rPr>
                <w:sz w:val="28"/>
                <w:szCs w:val="28"/>
              </w:rPr>
            </w:pPr>
            <w:r w:rsidRPr="006E1657">
              <w:rPr>
                <w:sz w:val="28"/>
                <w:szCs w:val="28"/>
              </w:rPr>
              <w:t>Cita informācija</w:t>
            </w:r>
          </w:p>
        </w:tc>
        <w:tc>
          <w:tcPr>
            <w:tcW w:w="2942" w:type="pct"/>
            <w:tcBorders>
              <w:top w:val="outset" w:sz="6" w:space="0" w:color="auto"/>
              <w:left w:val="outset" w:sz="6" w:space="0" w:color="auto"/>
              <w:bottom w:val="outset" w:sz="6" w:space="0" w:color="auto"/>
              <w:right w:val="outset" w:sz="6" w:space="0" w:color="auto"/>
            </w:tcBorders>
            <w:hideMark/>
          </w:tcPr>
          <w:p w:rsidR="00C8486F" w:rsidRPr="006E1657" w:rsidRDefault="00C8486F" w:rsidP="0076469A">
            <w:pPr>
              <w:ind w:firstLine="31"/>
              <w:jc w:val="both"/>
              <w:rPr>
                <w:sz w:val="28"/>
                <w:szCs w:val="28"/>
              </w:rPr>
            </w:pPr>
            <w:r>
              <w:rPr>
                <w:sz w:val="28"/>
                <w:szCs w:val="28"/>
              </w:rPr>
              <w:t>Nav</w:t>
            </w:r>
            <w:r w:rsidR="00471BAD">
              <w:rPr>
                <w:sz w:val="28"/>
                <w:szCs w:val="28"/>
              </w:rPr>
              <w:t>.</w:t>
            </w:r>
          </w:p>
        </w:tc>
      </w:tr>
    </w:tbl>
    <w:p w:rsidR="00C8486F" w:rsidRDefault="00C8486F" w:rsidP="004B0D09">
      <w:pPr>
        <w:jc w:val="cente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2651"/>
        <w:gridCol w:w="5679"/>
      </w:tblGrid>
      <w:tr w:rsidR="00C8486F" w:rsidRPr="006E1657" w:rsidTr="00C8486F">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8486F" w:rsidRPr="00B168AB" w:rsidRDefault="00C8486F" w:rsidP="004B0D09">
            <w:pPr>
              <w:jc w:val="center"/>
              <w:rPr>
                <w:b/>
                <w:bCs/>
                <w:sz w:val="28"/>
                <w:szCs w:val="28"/>
              </w:rPr>
            </w:pPr>
            <w:r w:rsidRPr="00B168AB">
              <w:rPr>
                <w:b/>
                <w:bCs/>
                <w:sz w:val="28"/>
                <w:szCs w:val="28"/>
              </w:rPr>
              <w:t>II. Tiesību akta projekta ietekme uz sabiedrību, tautsaimniecības attīstību un administratīvo slogu</w:t>
            </w:r>
          </w:p>
        </w:tc>
      </w:tr>
      <w:tr w:rsidR="00C8486F" w:rsidRPr="00D623BB" w:rsidTr="00C8486F">
        <w:trPr>
          <w:trHeight w:val="465"/>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1.</w:t>
            </w:r>
          </w:p>
        </w:tc>
        <w:tc>
          <w:tcPr>
            <w:tcW w:w="1410"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Sabiedrības mērķgrupas, kuras tiesiskais regulējums ietekmē vai varētu ietekmēt</w:t>
            </w:r>
          </w:p>
        </w:tc>
        <w:tc>
          <w:tcPr>
            <w:tcW w:w="2998" w:type="pct"/>
            <w:tcBorders>
              <w:top w:val="outset" w:sz="6" w:space="0" w:color="auto"/>
              <w:left w:val="outset" w:sz="6" w:space="0" w:color="auto"/>
              <w:bottom w:val="outset" w:sz="6" w:space="0" w:color="auto"/>
              <w:right w:val="outset" w:sz="6" w:space="0" w:color="auto"/>
            </w:tcBorders>
            <w:hideMark/>
          </w:tcPr>
          <w:p w:rsidR="00C8486F" w:rsidRPr="00B168AB" w:rsidRDefault="008C29D9" w:rsidP="00F72144">
            <w:pPr>
              <w:jc w:val="both"/>
              <w:rPr>
                <w:sz w:val="28"/>
                <w:szCs w:val="28"/>
              </w:rPr>
            </w:pPr>
            <w:r>
              <w:rPr>
                <w:sz w:val="28"/>
                <w:szCs w:val="28"/>
              </w:rPr>
              <w:t>Jūrniekus</w:t>
            </w:r>
            <w:r w:rsidR="005C2E21">
              <w:rPr>
                <w:sz w:val="28"/>
                <w:szCs w:val="28"/>
              </w:rPr>
              <w:t xml:space="preserve"> un fiziskās personas</w:t>
            </w:r>
            <w:r>
              <w:rPr>
                <w:sz w:val="28"/>
                <w:szCs w:val="28"/>
              </w:rPr>
              <w:t>, kas atrodas uz kuģa Latvijas jurisdikcijā esošajos ūdeņos.</w:t>
            </w:r>
          </w:p>
        </w:tc>
      </w:tr>
      <w:tr w:rsidR="00C8486F" w:rsidRPr="00D623BB" w:rsidTr="00C8486F">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2.</w:t>
            </w:r>
          </w:p>
        </w:tc>
        <w:tc>
          <w:tcPr>
            <w:tcW w:w="1410"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Tiesiskā regulējuma ietekme uz tautsaimniecību un administratīvo slogu</w:t>
            </w:r>
          </w:p>
        </w:tc>
        <w:tc>
          <w:tcPr>
            <w:tcW w:w="2998" w:type="pct"/>
            <w:tcBorders>
              <w:top w:val="outset" w:sz="6" w:space="0" w:color="auto"/>
              <w:left w:val="outset" w:sz="6" w:space="0" w:color="auto"/>
              <w:bottom w:val="outset" w:sz="6" w:space="0" w:color="auto"/>
              <w:right w:val="outset" w:sz="6" w:space="0" w:color="auto"/>
            </w:tcBorders>
            <w:hideMark/>
          </w:tcPr>
          <w:p w:rsidR="00C8486F" w:rsidRPr="00B168AB" w:rsidRDefault="00B02219" w:rsidP="00513903">
            <w:pPr>
              <w:jc w:val="both"/>
              <w:rPr>
                <w:sz w:val="28"/>
                <w:szCs w:val="28"/>
              </w:rPr>
            </w:pPr>
            <w:r>
              <w:rPr>
                <w:sz w:val="28"/>
                <w:szCs w:val="28"/>
              </w:rPr>
              <w:t xml:space="preserve">Tiesības </w:t>
            </w:r>
            <w:r w:rsidR="00F76FA8">
              <w:rPr>
                <w:sz w:val="28"/>
                <w:szCs w:val="28"/>
              </w:rPr>
              <w:t>Krasta apsardze</w:t>
            </w:r>
            <w:r w:rsidR="002A0CD6">
              <w:rPr>
                <w:sz w:val="28"/>
                <w:szCs w:val="28"/>
              </w:rPr>
              <w:t>s</w:t>
            </w:r>
            <w:r w:rsidR="00F76FA8">
              <w:rPr>
                <w:sz w:val="28"/>
                <w:szCs w:val="28"/>
              </w:rPr>
              <w:t xml:space="preserve"> amatpersona</w:t>
            </w:r>
            <w:r>
              <w:rPr>
                <w:sz w:val="28"/>
                <w:szCs w:val="28"/>
              </w:rPr>
              <w:t>i</w:t>
            </w:r>
            <w:r w:rsidR="00F26F21">
              <w:rPr>
                <w:sz w:val="28"/>
                <w:szCs w:val="28"/>
              </w:rPr>
              <w:t xml:space="preserve"> </w:t>
            </w:r>
            <w:r w:rsidR="00513903">
              <w:rPr>
                <w:iCs/>
                <w:sz w:val="28"/>
                <w:szCs w:val="28"/>
              </w:rPr>
              <w:t>pieprasīt, lai kuģa apkalpe sniegtu paskaidrojumus par iespējamu pārkāpumu un fiksēt lietiskos pierādījumu</w:t>
            </w:r>
            <w:r w:rsidR="00513903">
              <w:rPr>
                <w:sz w:val="28"/>
                <w:szCs w:val="28"/>
              </w:rPr>
              <w:t>s</w:t>
            </w:r>
            <w:r>
              <w:rPr>
                <w:sz w:val="28"/>
                <w:szCs w:val="28"/>
              </w:rPr>
              <w:t>, mazinās</w:t>
            </w:r>
            <w:r w:rsidR="00F76FA8">
              <w:rPr>
                <w:sz w:val="28"/>
                <w:szCs w:val="28"/>
              </w:rPr>
              <w:t xml:space="preserve"> </w:t>
            </w:r>
            <w:r>
              <w:rPr>
                <w:sz w:val="28"/>
                <w:szCs w:val="28"/>
              </w:rPr>
              <w:t>a</w:t>
            </w:r>
            <w:r w:rsidR="00F76FA8">
              <w:rPr>
                <w:sz w:val="28"/>
                <w:szCs w:val="28"/>
              </w:rPr>
              <w:t>dministratīv</w:t>
            </w:r>
            <w:r>
              <w:rPr>
                <w:sz w:val="28"/>
                <w:szCs w:val="28"/>
              </w:rPr>
              <w:t>o</w:t>
            </w:r>
            <w:r w:rsidR="00F76FA8">
              <w:rPr>
                <w:sz w:val="28"/>
                <w:szCs w:val="28"/>
              </w:rPr>
              <w:t xml:space="preserve"> slog</w:t>
            </w:r>
            <w:r>
              <w:rPr>
                <w:sz w:val="28"/>
                <w:szCs w:val="28"/>
              </w:rPr>
              <w:t>u</w:t>
            </w:r>
            <w:r w:rsidR="00F76FA8">
              <w:rPr>
                <w:sz w:val="28"/>
                <w:szCs w:val="28"/>
              </w:rPr>
              <w:t>, jo</w:t>
            </w:r>
            <w:r w:rsidR="00513903">
              <w:rPr>
                <w:sz w:val="28"/>
                <w:szCs w:val="28"/>
              </w:rPr>
              <w:t xml:space="preserve"> pierādījumi tiks iesniegti iestādē, kas ir tiesīga izskatīt pārkāpumu</w:t>
            </w:r>
            <w:r w:rsidR="00F26F21">
              <w:rPr>
                <w:sz w:val="28"/>
                <w:szCs w:val="28"/>
              </w:rPr>
              <w:t>.</w:t>
            </w:r>
          </w:p>
        </w:tc>
      </w:tr>
      <w:tr w:rsidR="00C8486F" w:rsidRPr="00D623BB" w:rsidTr="00C8486F">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3.</w:t>
            </w:r>
          </w:p>
        </w:tc>
        <w:tc>
          <w:tcPr>
            <w:tcW w:w="1410"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Administratīvo izmaksu monetārs novērtējums</w:t>
            </w:r>
          </w:p>
        </w:tc>
        <w:tc>
          <w:tcPr>
            <w:tcW w:w="299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Projekts šo jomu neskar.</w:t>
            </w:r>
          </w:p>
        </w:tc>
      </w:tr>
      <w:tr w:rsidR="00C8486F" w:rsidRPr="006E1657" w:rsidTr="00C8486F">
        <w:trPr>
          <w:trHeight w:val="456"/>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4.</w:t>
            </w:r>
          </w:p>
        </w:tc>
        <w:tc>
          <w:tcPr>
            <w:tcW w:w="1410"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Cita informācija</w:t>
            </w:r>
          </w:p>
        </w:tc>
        <w:tc>
          <w:tcPr>
            <w:tcW w:w="2998" w:type="pct"/>
            <w:tcBorders>
              <w:top w:val="outset" w:sz="6" w:space="0" w:color="auto"/>
              <w:left w:val="outset" w:sz="6" w:space="0" w:color="auto"/>
              <w:bottom w:val="outset" w:sz="6" w:space="0" w:color="auto"/>
              <w:right w:val="outset" w:sz="6" w:space="0" w:color="auto"/>
            </w:tcBorders>
            <w:hideMark/>
          </w:tcPr>
          <w:p w:rsidR="00C8486F" w:rsidRPr="00B168AB" w:rsidRDefault="00C8486F" w:rsidP="0076469A">
            <w:pPr>
              <w:rPr>
                <w:sz w:val="28"/>
                <w:szCs w:val="28"/>
              </w:rPr>
            </w:pPr>
            <w:r w:rsidRPr="00B168AB">
              <w:rPr>
                <w:sz w:val="28"/>
                <w:szCs w:val="28"/>
              </w:rPr>
              <w:t>Nav</w:t>
            </w:r>
            <w:r w:rsidR="00471BAD">
              <w:rPr>
                <w:sz w:val="28"/>
                <w:szCs w:val="28"/>
              </w:rPr>
              <w:t>.</w:t>
            </w:r>
          </w:p>
        </w:tc>
      </w:tr>
    </w:tbl>
    <w:p w:rsidR="00384CC7" w:rsidRDefault="00384CC7"/>
    <w:tbl>
      <w:tblPr>
        <w:tblW w:w="9355" w:type="dxa"/>
        <w:tblCellSpacing w:w="15" w:type="dxa"/>
        <w:tblInd w:w="3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30"/>
        <w:gridCol w:w="2692"/>
        <w:gridCol w:w="5547"/>
      </w:tblGrid>
      <w:tr w:rsidR="00384CC7" w:rsidRPr="00C8486F" w:rsidTr="00EF160F">
        <w:trPr>
          <w:trHeight w:val="375"/>
          <w:tblCellSpacing w:w="15" w:type="dxa"/>
        </w:trPr>
        <w:tc>
          <w:tcPr>
            <w:tcW w:w="9295" w:type="dxa"/>
            <w:gridSpan w:val="4"/>
            <w:vAlign w:val="center"/>
            <w:hideMark/>
          </w:tcPr>
          <w:p w:rsidR="00C8486F" w:rsidRPr="00C8486F" w:rsidRDefault="00C8486F" w:rsidP="00B02219">
            <w:pPr>
              <w:jc w:val="center"/>
              <w:rPr>
                <w:b/>
                <w:bCs/>
                <w:sz w:val="28"/>
                <w:szCs w:val="28"/>
              </w:rPr>
            </w:pPr>
            <w:r w:rsidRPr="00C8486F">
              <w:rPr>
                <w:b/>
                <w:bCs/>
                <w:sz w:val="28"/>
                <w:szCs w:val="28"/>
              </w:rPr>
              <w:t>VII. Tiesību akta projekta izpildes nodrošināšan</w:t>
            </w:r>
            <w:r w:rsidR="00384CC7">
              <w:rPr>
                <w:b/>
                <w:bCs/>
                <w:sz w:val="28"/>
                <w:szCs w:val="28"/>
              </w:rPr>
              <w:t>a un tās ietekme uz institūcijā</w:t>
            </w:r>
          </w:p>
        </w:tc>
      </w:tr>
      <w:tr w:rsidR="00384CC7" w:rsidRPr="00C8486F" w:rsidTr="00EF160F">
        <w:trPr>
          <w:trHeight w:val="420"/>
          <w:tblCellSpacing w:w="15" w:type="dxa"/>
        </w:trPr>
        <w:tc>
          <w:tcPr>
            <w:tcW w:w="1041" w:type="dxa"/>
            <w:hideMark/>
          </w:tcPr>
          <w:p w:rsidR="00C8486F" w:rsidRPr="00C8486F" w:rsidRDefault="00C8486F" w:rsidP="00C8486F">
            <w:pPr>
              <w:rPr>
                <w:sz w:val="28"/>
                <w:szCs w:val="28"/>
              </w:rPr>
            </w:pPr>
            <w:r w:rsidRPr="00C8486F">
              <w:rPr>
                <w:sz w:val="28"/>
                <w:szCs w:val="28"/>
              </w:rPr>
              <w:t>1.</w:t>
            </w:r>
          </w:p>
        </w:tc>
        <w:tc>
          <w:tcPr>
            <w:tcW w:w="2692" w:type="dxa"/>
            <w:gridSpan w:val="2"/>
            <w:hideMark/>
          </w:tcPr>
          <w:p w:rsidR="00C8486F" w:rsidRPr="00C8486F" w:rsidRDefault="00C8486F" w:rsidP="00471BAD">
            <w:pPr>
              <w:rPr>
                <w:sz w:val="28"/>
                <w:szCs w:val="28"/>
              </w:rPr>
            </w:pPr>
            <w:r w:rsidRPr="00C8486F">
              <w:rPr>
                <w:sz w:val="28"/>
                <w:szCs w:val="28"/>
              </w:rPr>
              <w:t>Projekta izpildē iesaistītās institūcijas</w:t>
            </w:r>
          </w:p>
        </w:tc>
        <w:tc>
          <w:tcPr>
            <w:tcW w:w="5502" w:type="dxa"/>
            <w:hideMark/>
          </w:tcPr>
          <w:p w:rsidR="00C8486F" w:rsidRPr="00C8486F" w:rsidRDefault="002A0CD6" w:rsidP="002A0CD6">
            <w:pPr>
              <w:jc w:val="both"/>
              <w:rPr>
                <w:sz w:val="28"/>
                <w:szCs w:val="28"/>
              </w:rPr>
            </w:pPr>
            <w:r>
              <w:rPr>
                <w:sz w:val="28"/>
                <w:szCs w:val="28"/>
              </w:rPr>
              <w:t>Nacionālie bruņotie spēki</w:t>
            </w:r>
            <w:r w:rsidR="00B02219">
              <w:rPr>
                <w:sz w:val="28"/>
                <w:szCs w:val="28"/>
              </w:rPr>
              <w:t>.</w:t>
            </w:r>
          </w:p>
        </w:tc>
      </w:tr>
      <w:tr w:rsidR="00384CC7" w:rsidRPr="00C8486F" w:rsidTr="00EC0541">
        <w:trPr>
          <w:trHeight w:val="933"/>
          <w:tblCellSpacing w:w="15" w:type="dxa"/>
        </w:trPr>
        <w:tc>
          <w:tcPr>
            <w:tcW w:w="1071" w:type="dxa"/>
            <w:gridSpan w:val="2"/>
            <w:hideMark/>
          </w:tcPr>
          <w:p w:rsidR="00C8486F" w:rsidRPr="00C8486F" w:rsidRDefault="00C8486F" w:rsidP="00C8486F">
            <w:pPr>
              <w:rPr>
                <w:sz w:val="28"/>
                <w:szCs w:val="28"/>
              </w:rPr>
            </w:pPr>
            <w:r w:rsidRPr="00C8486F">
              <w:rPr>
                <w:sz w:val="28"/>
                <w:szCs w:val="28"/>
              </w:rPr>
              <w:t>2.</w:t>
            </w:r>
          </w:p>
        </w:tc>
        <w:tc>
          <w:tcPr>
            <w:tcW w:w="2662" w:type="dxa"/>
            <w:hideMark/>
          </w:tcPr>
          <w:p w:rsidR="00C8486F" w:rsidRPr="00C8486F" w:rsidRDefault="00C8486F" w:rsidP="00C8486F">
            <w:pPr>
              <w:rPr>
                <w:sz w:val="28"/>
                <w:szCs w:val="28"/>
              </w:rPr>
            </w:pPr>
            <w:r w:rsidRPr="00C8486F">
              <w:rPr>
                <w:sz w:val="28"/>
                <w:szCs w:val="28"/>
              </w:rPr>
              <w:t xml:space="preserve">Projekta izpildes ietekme uz pārvaldes funkcijām un institucionālo struktūru. </w:t>
            </w:r>
          </w:p>
          <w:p w:rsidR="00C8486F" w:rsidRPr="00C8486F" w:rsidRDefault="00C8486F" w:rsidP="00C8486F">
            <w:pPr>
              <w:rPr>
                <w:sz w:val="28"/>
                <w:szCs w:val="28"/>
              </w:rPr>
            </w:pPr>
            <w:r w:rsidRPr="00C8486F">
              <w:rPr>
                <w:sz w:val="28"/>
                <w:szCs w:val="28"/>
              </w:rPr>
              <w:t xml:space="preserve">Jaunu institūciju izveide, esošu institūciju likvidācija </w:t>
            </w:r>
            <w:r w:rsidRPr="00C8486F">
              <w:rPr>
                <w:sz w:val="28"/>
                <w:szCs w:val="28"/>
              </w:rPr>
              <w:lastRenderedPageBreak/>
              <w:t>vai reorganizācija, to ietekme uz institūcijas cilvēkresursiem</w:t>
            </w:r>
          </w:p>
        </w:tc>
        <w:tc>
          <w:tcPr>
            <w:tcW w:w="5502" w:type="dxa"/>
            <w:hideMark/>
          </w:tcPr>
          <w:p w:rsidR="00C8486F" w:rsidRPr="00C8486F" w:rsidRDefault="00C8486F" w:rsidP="00B02219">
            <w:pPr>
              <w:jc w:val="both"/>
              <w:rPr>
                <w:sz w:val="28"/>
                <w:szCs w:val="28"/>
              </w:rPr>
            </w:pPr>
            <w:r w:rsidRPr="00F26F21">
              <w:rPr>
                <w:sz w:val="28"/>
                <w:szCs w:val="28"/>
              </w:rPr>
              <w:lastRenderedPageBreak/>
              <w:t xml:space="preserve">Projekta izpilde notiks esošo pārvaldes funkciju ietvaros. </w:t>
            </w:r>
          </w:p>
        </w:tc>
      </w:tr>
      <w:tr w:rsidR="00384CC7" w:rsidRPr="00C8486F" w:rsidTr="00EF160F">
        <w:trPr>
          <w:trHeight w:val="390"/>
          <w:tblCellSpacing w:w="15" w:type="dxa"/>
        </w:trPr>
        <w:tc>
          <w:tcPr>
            <w:tcW w:w="1071" w:type="dxa"/>
            <w:gridSpan w:val="2"/>
            <w:hideMark/>
          </w:tcPr>
          <w:p w:rsidR="00C8486F" w:rsidRPr="00C8486F" w:rsidRDefault="00C8486F" w:rsidP="00C8486F">
            <w:pPr>
              <w:rPr>
                <w:sz w:val="28"/>
                <w:szCs w:val="28"/>
              </w:rPr>
            </w:pPr>
            <w:r w:rsidRPr="00C8486F">
              <w:rPr>
                <w:sz w:val="28"/>
                <w:szCs w:val="28"/>
              </w:rPr>
              <w:lastRenderedPageBreak/>
              <w:t>3.</w:t>
            </w:r>
          </w:p>
        </w:tc>
        <w:tc>
          <w:tcPr>
            <w:tcW w:w="2662" w:type="dxa"/>
            <w:hideMark/>
          </w:tcPr>
          <w:p w:rsidR="00C8486F" w:rsidRPr="00C8486F" w:rsidRDefault="00C8486F" w:rsidP="00C8486F">
            <w:pPr>
              <w:rPr>
                <w:sz w:val="28"/>
                <w:szCs w:val="28"/>
              </w:rPr>
            </w:pPr>
            <w:r w:rsidRPr="00C8486F">
              <w:rPr>
                <w:sz w:val="28"/>
                <w:szCs w:val="28"/>
              </w:rPr>
              <w:t>Cita informācija</w:t>
            </w:r>
          </w:p>
        </w:tc>
        <w:tc>
          <w:tcPr>
            <w:tcW w:w="5502" w:type="dxa"/>
            <w:hideMark/>
          </w:tcPr>
          <w:p w:rsidR="00C8486F" w:rsidRPr="00C8486F" w:rsidRDefault="00C8486F" w:rsidP="00C8486F">
            <w:pPr>
              <w:rPr>
                <w:sz w:val="28"/>
                <w:szCs w:val="28"/>
              </w:rPr>
            </w:pPr>
            <w:r w:rsidRPr="00C8486F">
              <w:rPr>
                <w:sz w:val="28"/>
                <w:szCs w:val="28"/>
              </w:rPr>
              <w:t>Nav</w:t>
            </w:r>
            <w:r w:rsidR="00471BAD">
              <w:rPr>
                <w:sz w:val="28"/>
                <w:szCs w:val="28"/>
              </w:rPr>
              <w:t>.</w:t>
            </w:r>
          </w:p>
        </w:tc>
      </w:tr>
    </w:tbl>
    <w:p w:rsidR="00C8486F" w:rsidRDefault="00C8486F"/>
    <w:p w:rsidR="00C8486F" w:rsidRDefault="00C8486F" w:rsidP="00C8486F"/>
    <w:p w:rsidR="00D2590F" w:rsidRPr="00A706E6" w:rsidRDefault="00C8486F" w:rsidP="00C8486F">
      <w:r w:rsidRPr="00A706E6">
        <w:rPr>
          <w:rFonts w:cs="Times New Roman"/>
          <w:sz w:val="28"/>
          <w:szCs w:val="28"/>
          <w:lang w:eastAsia="lv-LV" w:bidi="ar-SA"/>
        </w:rPr>
        <w:t>Anotācijas III, IV, V un VI sadaļa – projekts šīs jomas neskar.</w:t>
      </w:r>
    </w:p>
    <w:p w:rsidR="00D2590F" w:rsidRPr="00D2590F" w:rsidRDefault="00D2590F" w:rsidP="00D2590F"/>
    <w:p w:rsidR="00D2590F" w:rsidRDefault="00D2590F" w:rsidP="00D2590F"/>
    <w:p w:rsidR="00B02219" w:rsidRDefault="00B02219" w:rsidP="00D2590F"/>
    <w:p w:rsidR="00B02219" w:rsidRDefault="00B02219" w:rsidP="00D2590F"/>
    <w:p w:rsidR="00B02219" w:rsidRPr="00D2590F" w:rsidRDefault="00B02219" w:rsidP="00D2590F"/>
    <w:p w:rsidR="00B02219" w:rsidRDefault="00B02219" w:rsidP="00B02219">
      <w:pPr>
        <w:jc w:val="both"/>
        <w:rPr>
          <w:sz w:val="28"/>
          <w:szCs w:val="28"/>
        </w:rPr>
      </w:pPr>
      <w:r>
        <w:rPr>
          <w:sz w:val="28"/>
          <w:szCs w:val="28"/>
        </w:rPr>
        <w:t>Aizsardzības ministrs</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spellStart"/>
      <w:proofErr w:type="gramEnd"/>
      <w:r>
        <w:rPr>
          <w:sz w:val="28"/>
          <w:szCs w:val="28"/>
        </w:rPr>
        <w:t>R.</w:t>
      </w:r>
      <w:r w:rsidR="008E2131">
        <w:rPr>
          <w:sz w:val="28"/>
          <w:szCs w:val="28"/>
        </w:rPr>
        <w:t>Bergmanis</w:t>
      </w:r>
      <w:proofErr w:type="spellEnd"/>
    </w:p>
    <w:p w:rsidR="00B02219" w:rsidRDefault="00B02219" w:rsidP="00B022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2219" w:rsidRDefault="00B02219" w:rsidP="00B02219">
      <w:pPr>
        <w:rPr>
          <w:sz w:val="28"/>
          <w:szCs w:val="28"/>
        </w:rPr>
      </w:pPr>
    </w:p>
    <w:p w:rsidR="00B02219" w:rsidRDefault="00B02219" w:rsidP="00B02219">
      <w:pPr>
        <w:pStyle w:val="naisf"/>
        <w:tabs>
          <w:tab w:val="right" w:pos="8280"/>
        </w:tabs>
        <w:spacing w:before="0" w:beforeAutospacing="0" w:after="0" w:afterAutospacing="0"/>
        <w:rPr>
          <w:sz w:val="28"/>
          <w:szCs w:val="28"/>
        </w:rPr>
      </w:pPr>
      <w:r>
        <w:rPr>
          <w:sz w:val="28"/>
          <w:szCs w:val="28"/>
        </w:rPr>
        <w:t>Vīza: Valsts sekretārs</w:t>
      </w:r>
      <w:proofErr w:type="gramStart"/>
      <w:r>
        <w:rPr>
          <w:sz w:val="28"/>
          <w:szCs w:val="28"/>
        </w:rPr>
        <w:t xml:space="preserve">                                                          </w:t>
      </w:r>
      <w:proofErr w:type="gramEnd"/>
      <w:r>
        <w:rPr>
          <w:sz w:val="28"/>
          <w:szCs w:val="28"/>
        </w:rPr>
        <w:t>J.</w:t>
      </w:r>
      <w:r w:rsidR="00B77ABA">
        <w:rPr>
          <w:sz w:val="28"/>
          <w:szCs w:val="28"/>
        </w:rPr>
        <w:t>Garisons</w:t>
      </w:r>
    </w:p>
    <w:p w:rsidR="00D2590F" w:rsidRPr="00D2590F" w:rsidRDefault="00D2590F" w:rsidP="00D2590F"/>
    <w:p w:rsidR="00D2590F" w:rsidRPr="00D2590F" w:rsidRDefault="00D2590F" w:rsidP="00D2590F"/>
    <w:p w:rsidR="00D2590F" w:rsidRPr="00D2590F" w:rsidRDefault="00D2590F" w:rsidP="00D2590F"/>
    <w:p w:rsidR="00D2590F" w:rsidRPr="00D2590F" w:rsidRDefault="00D2590F" w:rsidP="00D2590F"/>
    <w:p w:rsidR="00D2590F" w:rsidRDefault="00D2590F" w:rsidP="00D2590F"/>
    <w:p w:rsidR="00801CC4" w:rsidRPr="00D2590F" w:rsidRDefault="00801CC4" w:rsidP="00D2590F"/>
    <w:p w:rsidR="00D2590F" w:rsidRPr="00D2590F" w:rsidRDefault="00D2590F" w:rsidP="00D2590F"/>
    <w:p w:rsidR="00C218B6" w:rsidRDefault="00C218B6" w:rsidP="00B77ABA">
      <w:pPr>
        <w:jc w:val="both"/>
        <w:rPr>
          <w:sz w:val="16"/>
          <w:szCs w:val="16"/>
        </w:rPr>
      </w:pPr>
      <w:r>
        <w:rPr>
          <w:sz w:val="16"/>
          <w:szCs w:val="16"/>
        </w:rPr>
        <w:fldChar w:fldCharType="begin"/>
      </w:r>
      <w:r>
        <w:rPr>
          <w:sz w:val="16"/>
          <w:szCs w:val="16"/>
        </w:rPr>
        <w:instrText xml:space="preserve"> DATE  \@ "dd.MM.yyyy H:mm"  \* MERGEFORMAT </w:instrText>
      </w:r>
      <w:r>
        <w:rPr>
          <w:sz w:val="16"/>
          <w:szCs w:val="16"/>
        </w:rPr>
        <w:fldChar w:fldCharType="separate"/>
      </w:r>
      <w:r>
        <w:rPr>
          <w:noProof/>
          <w:sz w:val="16"/>
          <w:szCs w:val="16"/>
        </w:rPr>
        <w:t>02.05.2016 11:17</w:t>
      </w:r>
      <w:r>
        <w:rPr>
          <w:sz w:val="16"/>
          <w:szCs w:val="16"/>
        </w:rPr>
        <w:fldChar w:fldCharType="end"/>
      </w:r>
    </w:p>
    <w:p w:rsidR="00B77ABA" w:rsidRDefault="00C218B6" w:rsidP="00B77ABA">
      <w:pPr>
        <w:jc w:val="both"/>
        <w:rPr>
          <w:sz w:val="16"/>
          <w:szCs w:val="16"/>
        </w:rPr>
      </w:pPr>
      <w:r>
        <w:rPr>
          <w:sz w:val="16"/>
          <w:szCs w:val="16"/>
        </w:rPr>
        <w:t>780</w:t>
      </w:r>
      <w:bookmarkStart w:id="2" w:name="_GoBack"/>
      <w:bookmarkEnd w:id="2"/>
    </w:p>
    <w:p w:rsidR="00B77ABA" w:rsidRDefault="00B77ABA" w:rsidP="00B77ABA">
      <w:pPr>
        <w:rPr>
          <w:sz w:val="16"/>
          <w:szCs w:val="16"/>
        </w:rPr>
      </w:pPr>
      <w:r>
        <w:rPr>
          <w:sz w:val="16"/>
          <w:szCs w:val="16"/>
        </w:rPr>
        <w:t>Edgars Svarenieks</w:t>
      </w:r>
    </w:p>
    <w:p w:rsidR="00B77ABA" w:rsidRDefault="00B77ABA" w:rsidP="00B77ABA">
      <w:pPr>
        <w:rPr>
          <w:sz w:val="16"/>
          <w:szCs w:val="16"/>
        </w:rPr>
      </w:pPr>
      <w:r>
        <w:rPr>
          <w:sz w:val="16"/>
          <w:szCs w:val="16"/>
        </w:rPr>
        <w:t>Aizsardzības ministrijas Krīzes vadības departamenta</w:t>
      </w:r>
    </w:p>
    <w:p w:rsidR="00B77ABA" w:rsidRDefault="00B77ABA" w:rsidP="00B77ABA">
      <w:pPr>
        <w:rPr>
          <w:sz w:val="16"/>
          <w:szCs w:val="16"/>
        </w:rPr>
      </w:pPr>
      <w:proofErr w:type="spellStart"/>
      <w:r>
        <w:rPr>
          <w:sz w:val="16"/>
          <w:szCs w:val="16"/>
        </w:rPr>
        <w:t>Civilmilitārās</w:t>
      </w:r>
      <w:proofErr w:type="spellEnd"/>
      <w:r>
        <w:rPr>
          <w:sz w:val="16"/>
          <w:szCs w:val="16"/>
        </w:rPr>
        <w:t xml:space="preserve"> sadarbības nodaļas vadītājs</w:t>
      </w:r>
    </w:p>
    <w:p w:rsidR="00B77ABA" w:rsidRDefault="00B77ABA" w:rsidP="00B77ABA">
      <w:pPr>
        <w:rPr>
          <w:sz w:val="16"/>
          <w:szCs w:val="16"/>
        </w:rPr>
      </w:pPr>
      <w:r>
        <w:rPr>
          <w:sz w:val="16"/>
          <w:szCs w:val="16"/>
        </w:rPr>
        <w:t>Tālr. 67335029, fakss 67335037</w:t>
      </w:r>
    </w:p>
    <w:p w:rsidR="00B77ABA" w:rsidRPr="00C63A70" w:rsidRDefault="00B77ABA" w:rsidP="00B77ABA">
      <w:pPr>
        <w:rPr>
          <w:rFonts w:cs="Times New Roman"/>
          <w:sz w:val="16"/>
          <w:szCs w:val="16"/>
          <w:lang w:eastAsia="lv-LV"/>
        </w:rPr>
      </w:pPr>
      <w:r>
        <w:rPr>
          <w:sz w:val="16"/>
          <w:szCs w:val="16"/>
        </w:rPr>
        <w:t xml:space="preserve">E-pasts: </w:t>
      </w:r>
      <w:hyperlink r:id="rId10" w:history="1">
        <w:r>
          <w:rPr>
            <w:rStyle w:val="Hyperlink"/>
            <w:sz w:val="16"/>
            <w:szCs w:val="16"/>
          </w:rPr>
          <w:t>edgars.svarenieks@mod.gov.lv</w:t>
        </w:r>
      </w:hyperlink>
    </w:p>
    <w:p w:rsidR="00D2590F" w:rsidRDefault="00D2590F" w:rsidP="00D2590F">
      <w:pPr>
        <w:tabs>
          <w:tab w:val="left" w:pos="960"/>
        </w:tabs>
      </w:pPr>
    </w:p>
    <w:p w:rsidR="00D2590F" w:rsidRDefault="00D2590F" w:rsidP="00D2590F">
      <w:pPr>
        <w:tabs>
          <w:tab w:val="left" w:pos="960"/>
        </w:tabs>
      </w:pPr>
    </w:p>
    <w:p w:rsidR="00D2590F" w:rsidRDefault="00D2590F" w:rsidP="00D2590F">
      <w:pPr>
        <w:widowControl w:val="0"/>
        <w:tabs>
          <w:tab w:val="left" w:pos="0"/>
          <w:tab w:val="center" w:pos="4320"/>
          <w:tab w:val="right" w:pos="8640"/>
        </w:tabs>
        <w:ind w:left="709" w:hanging="709"/>
        <w:rPr>
          <w:rFonts w:eastAsia="Calibri" w:cs="Times New Roman"/>
          <w:sz w:val="16"/>
          <w:szCs w:val="16"/>
          <w:lang w:bidi="ar-SA"/>
        </w:rPr>
      </w:pPr>
    </w:p>
    <w:p w:rsidR="00D2590F" w:rsidRDefault="00D2590F" w:rsidP="00D2590F">
      <w:pPr>
        <w:widowControl w:val="0"/>
        <w:tabs>
          <w:tab w:val="left" w:pos="0"/>
          <w:tab w:val="center" w:pos="4320"/>
          <w:tab w:val="right" w:pos="8640"/>
        </w:tabs>
        <w:ind w:left="709" w:hanging="709"/>
        <w:rPr>
          <w:rFonts w:eastAsia="Calibri" w:cs="Times New Roman"/>
          <w:sz w:val="16"/>
          <w:szCs w:val="16"/>
          <w:lang w:bidi="ar-SA"/>
        </w:rPr>
      </w:pPr>
    </w:p>
    <w:sectPr w:rsidR="00D2590F" w:rsidSect="00075A8C">
      <w:headerReference w:type="default" r:id="rId11"/>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3B" w:rsidRDefault="0062423B" w:rsidP="00384CC7">
      <w:r>
        <w:separator/>
      </w:r>
    </w:p>
  </w:endnote>
  <w:endnote w:type="continuationSeparator" w:id="0">
    <w:p w:rsidR="0062423B" w:rsidRDefault="0062423B" w:rsidP="003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A" w:rsidRPr="006B42FE" w:rsidRDefault="00B77ABA" w:rsidP="00B77ABA">
    <w:pPr>
      <w:rPr>
        <w:rFonts w:eastAsia="SimSun" w:cs="Times New Roman"/>
        <w:sz w:val="16"/>
        <w:szCs w:val="16"/>
        <w:lang w:eastAsia="lv-LV" w:bidi="ar-SA"/>
      </w:rPr>
    </w:pPr>
    <w:r w:rsidRPr="006B42FE">
      <w:rPr>
        <w:sz w:val="16"/>
        <w:szCs w:val="16"/>
      </w:rPr>
      <w:t>AIMAnot_</w:t>
    </w:r>
    <w:r w:rsidR="00C218B6">
      <w:rPr>
        <w:sz w:val="16"/>
        <w:szCs w:val="16"/>
      </w:rPr>
      <w:t>020516</w:t>
    </w:r>
    <w:r w:rsidRPr="006B42FE">
      <w:rPr>
        <w:sz w:val="16"/>
        <w:szCs w:val="16"/>
      </w:rPr>
      <w:t xml:space="preserve"> “</w:t>
    </w:r>
    <w:r w:rsidRPr="006B42FE">
      <w:rPr>
        <w:rFonts w:eastAsia="SimSun" w:cs="Times New Roman"/>
        <w:sz w:val="16"/>
        <w:szCs w:val="16"/>
        <w:lang w:eastAsia="lv-LV" w:bidi="ar-SA"/>
      </w:rPr>
      <w:t>Ministru kabineta noteikumu projekta</w:t>
    </w:r>
    <w:r>
      <w:rPr>
        <w:rFonts w:eastAsia="SimSun" w:cs="Times New Roman"/>
        <w:sz w:val="16"/>
        <w:szCs w:val="16"/>
        <w:lang w:eastAsia="lv-LV" w:bidi="ar-SA"/>
      </w:rPr>
      <w:t xml:space="preserve"> </w:t>
    </w:r>
    <w:r w:rsidRPr="006B42FE">
      <w:rPr>
        <w:rFonts w:eastAsia="SimSun" w:cs="Times New Roman"/>
        <w:sz w:val="16"/>
        <w:szCs w:val="16"/>
        <w:lang w:eastAsia="lv-LV" w:bidi="ar-SA"/>
      </w:rPr>
      <w:t>„</w:t>
    </w:r>
    <w:r w:rsidRPr="006B42FE">
      <w:rPr>
        <w:rFonts w:eastAsia="SimSun" w:cs="Times New Roman"/>
        <w:bCs/>
        <w:sz w:val="16"/>
        <w:szCs w:val="16"/>
        <w:lang w:eastAsia="lv-LV" w:bidi="ar-SA"/>
      </w:rPr>
      <w:t>Kuģu kontroles, pārbaudes un aizturēšanas kārtība Latvijas ūdeņos”</w:t>
    </w:r>
    <w:r w:rsidRPr="006B42FE">
      <w:rPr>
        <w:rFonts w:eastAsia="SimSun" w:cs="Times New Roman"/>
        <w:bCs/>
        <w:kern w:val="36"/>
        <w:sz w:val="16"/>
        <w:szCs w:val="16"/>
        <w:lang w:eastAsia="lv-LV" w:bidi="ar-SA"/>
      </w:rPr>
      <w:t>” sākotnējās ietekmes novērtējuma ziņojums (</w:t>
    </w:r>
    <w:r w:rsidRPr="006B42FE">
      <w:rPr>
        <w:rFonts w:eastAsia="SimSun" w:cs="Times New Roman"/>
        <w:sz w:val="16"/>
        <w:szCs w:val="16"/>
        <w:lang w:eastAsia="lv-LV" w:bidi="ar-SA"/>
      </w:rPr>
      <w:t>anotācija)”</w:t>
    </w:r>
  </w:p>
  <w:p w:rsidR="00384CC7" w:rsidRPr="00B77ABA" w:rsidRDefault="00384CC7" w:rsidP="00B77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FE" w:rsidRPr="006B42FE" w:rsidRDefault="00075A8C" w:rsidP="006B42FE">
    <w:pPr>
      <w:rPr>
        <w:rFonts w:eastAsia="SimSun" w:cs="Times New Roman"/>
        <w:sz w:val="16"/>
        <w:szCs w:val="16"/>
        <w:lang w:eastAsia="lv-LV" w:bidi="ar-SA"/>
      </w:rPr>
    </w:pPr>
    <w:r w:rsidRPr="006B42FE">
      <w:rPr>
        <w:sz w:val="16"/>
        <w:szCs w:val="16"/>
      </w:rPr>
      <w:t>AIMAnot_</w:t>
    </w:r>
    <w:r w:rsidR="00C218B6">
      <w:rPr>
        <w:sz w:val="16"/>
        <w:szCs w:val="16"/>
      </w:rPr>
      <w:t>020516</w:t>
    </w:r>
    <w:r w:rsidR="006B42FE" w:rsidRPr="006B42FE">
      <w:rPr>
        <w:sz w:val="16"/>
        <w:szCs w:val="16"/>
      </w:rPr>
      <w:t xml:space="preserve"> “</w:t>
    </w:r>
    <w:r w:rsidR="006B42FE" w:rsidRPr="006B42FE">
      <w:rPr>
        <w:rFonts w:eastAsia="SimSun" w:cs="Times New Roman"/>
        <w:sz w:val="16"/>
        <w:szCs w:val="16"/>
        <w:lang w:eastAsia="lv-LV" w:bidi="ar-SA"/>
      </w:rPr>
      <w:t>Ministru kabineta noteikumu projekta</w:t>
    </w:r>
    <w:r w:rsidR="006B42FE">
      <w:rPr>
        <w:rFonts w:eastAsia="SimSun" w:cs="Times New Roman"/>
        <w:sz w:val="16"/>
        <w:szCs w:val="16"/>
        <w:lang w:eastAsia="lv-LV" w:bidi="ar-SA"/>
      </w:rPr>
      <w:t xml:space="preserve"> </w:t>
    </w:r>
    <w:r w:rsidR="006B42FE" w:rsidRPr="006B42FE">
      <w:rPr>
        <w:rFonts w:eastAsia="SimSun" w:cs="Times New Roman"/>
        <w:sz w:val="16"/>
        <w:szCs w:val="16"/>
        <w:lang w:eastAsia="lv-LV" w:bidi="ar-SA"/>
      </w:rPr>
      <w:t>„</w:t>
    </w:r>
    <w:r w:rsidR="006B42FE" w:rsidRPr="006B42FE">
      <w:rPr>
        <w:rFonts w:eastAsia="SimSun" w:cs="Times New Roman"/>
        <w:bCs/>
        <w:sz w:val="16"/>
        <w:szCs w:val="16"/>
        <w:lang w:eastAsia="lv-LV" w:bidi="ar-SA"/>
      </w:rPr>
      <w:t>Kuģu kontroles, pārbaudes un aizturēšanas kārtība Latvijas ūdeņos”</w:t>
    </w:r>
    <w:r w:rsidR="006B42FE" w:rsidRPr="006B42FE">
      <w:rPr>
        <w:rFonts w:eastAsia="SimSun" w:cs="Times New Roman"/>
        <w:bCs/>
        <w:kern w:val="36"/>
        <w:sz w:val="16"/>
        <w:szCs w:val="16"/>
        <w:lang w:eastAsia="lv-LV" w:bidi="ar-SA"/>
      </w:rPr>
      <w:t>” sākotnējās ietekmes novērtējuma ziņojums (</w:t>
    </w:r>
    <w:r w:rsidR="006B42FE" w:rsidRPr="006B42FE">
      <w:rPr>
        <w:rFonts w:eastAsia="SimSun" w:cs="Times New Roman"/>
        <w:sz w:val="16"/>
        <w:szCs w:val="16"/>
        <w:lang w:eastAsia="lv-LV" w:bidi="ar-SA"/>
      </w:rPr>
      <w:t>anotācija)”</w:t>
    </w:r>
  </w:p>
  <w:p w:rsidR="00075A8C" w:rsidRDefault="00075A8C" w:rsidP="00075A8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3B" w:rsidRDefault="0062423B" w:rsidP="00384CC7">
      <w:r>
        <w:separator/>
      </w:r>
    </w:p>
  </w:footnote>
  <w:footnote w:type="continuationSeparator" w:id="0">
    <w:p w:rsidR="0062423B" w:rsidRDefault="0062423B" w:rsidP="0038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42574"/>
      <w:docPartObj>
        <w:docPartGallery w:val="Page Numbers (Top of Page)"/>
        <w:docPartUnique/>
      </w:docPartObj>
    </w:sdtPr>
    <w:sdtEndPr>
      <w:rPr>
        <w:noProof/>
      </w:rPr>
    </w:sdtEndPr>
    <w:sdtContent>
      <w:p w:rsidR="00075A8C" w:rsidRDefault="00075A8C">
        <w:pPr>
          <w:pStyle w:val="Header"/>
          <w:jc w:val="center"/>
        </w:pPr>
        <w:r>
          <w:fldChar w:fldCharType="begin"/>
        </w:r>
        <w:r>
          <w:instrText xml:space="preserve"> PAGE   \* MERGEFORMAT </w:instrText>
        </w:r>
        <w:r>
          <w:fldChar w:fldCharType="separate"/>
        </w:r>
        <w:r w:rsidR="00C218B6">
          <w:rPr>
            <w:noProof/>
          </w:rPr>
          <w:t>5</w:t>
        </w:r>
        <w:r>
          <w:rPr>
            <w:noProof/>
          </w:rPr>
          <w:fldChar w:fldCharType="end"/>
        </w:r>
      </w:p>
    </w:sdtContent>
  </w:sdt>
  <w:p w:rsidR="00075A8C" w:rsidRDefault="00075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7966"/>
    <w:multiLevelType w:val="multilevel"/>
    <w:tmpl w:val="437C59F4"/>
    <w:lvl w:ilvl="0">
      <w:start w:val="1"/>
      <w:numFmt w:val="decimal"/>
      <w:lvlText w:val="%1."/>
      <w:lvlJc w:val="left"/>
      <w:pPr>
        <w:ind w:left="432" w:hanging="432"/>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5B521103"/>
    <w:multiLevelType w:val="hybridMultilevel"/>
    <w:tmpl w:val="86A4DAFE"/>
    <w:lvl w:ilvl="0" w:tplc="F880EBAC">
      <w:start w:val="1"/>
      <w:numFmt w:val="decimal"/>
      <w:lvlText w:val="%1)"/>
      <w:lvlJc w:val="left"/>
      <w:pPr>
        <w:ind w:left="1080" w:hanging="360"/>
      </w:pPr>
      <w:rPr>
        <w:rFonts w:hint="default"/>
      </w:rPr>
    </w:lvl>
    <w:lvl w:ilvl="1" w:tplc="E34A23FE">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25"/>
    <w:rsid w:val="00075A8C"/>
    <w:rsid w:val="000A722F"/>
    <w:rsid w:val="00100895"/>
    <w:rsid w:val="001120E5"/>
    <w:rsid w:val="00113971"/>
    <w:rsid w:val="0012488A"/>
    <w:rsid w:val="001368EF"/>
    <w:rsid w:val="0014301A"/>
    <w:rsid w:val="001D39D0"/>
    <w:rsid w:val="00264C06"/>
    <w:rsid w:val="002A0CD6"/>
    <w:rsid w:val="00326A3A"/>
    <w:rsid w:val="00331604"/>
    <w:rsid w:val="00364B70"/>
    <w:rsid w:val="00384CC7"/>
    <w:rsid w:val="00390F67"/>
    <w:rsid w:val="003A4F06"/>
    <w:rsid w:val="003C7554"/>
    <w:rsid w:val="003F1ABA"/>
    <w:rsid w:val="00426125"/>
    <w:rsid w:val="00455B06"/>
    <w:rsid w:val="00464C77"/>
    <w:rsid w:val="00471BAD"/>
    <w:rsid w:val="004A55AF"/>
    <w:rsid w:val="004B0D09"/>
    <w:rsid w:val="004C77DA"/>
    <w:rsid w:val="00513903"/>
    <w:rsid w:val="005172CE"/>
    <w:rsid w:val="00541CC1"/>
    <w:rsid w:val="005866CC"/>
    <w:rsid w:val="005929DB"/>
    <w:rsid w:val="005B0AAF"/>
    <w:rsid w:val="005C2E21"/>
    <w:rsid w:val="00607DE2"/>
    <w:rsid w:val="0062423B"/>
    <w:rsid w:val="006B42FE"/>
    <w:rsid w:val="006C5913"/>
    <w:rsid w:val="006E14E6"/>
    <w:rsid w:val="00763846"/>
    <w:rsid w:val="00781381"/>
    <w:rsid w:val="007A2B87"/>
    <w:rsid w:val="007D0473"/>
    <w:rsid w:val="00801CC4"/>
    <w:rsid w:val="0081123C"/>
    <w:rsid w:val="00862A59"/>
    <w:rsid w:val="00871177"/>
    <w:rsid w:val="008C29D9"/>
    <w:rsid w:val="008E2131"/>
    <w:rsid w:val="00983DE4"/>
    <w:rsid w:val="009E3AD8"/>
    <w:rsid w:val="009F7D9F"/>
    <w:rsid w:val="00A528EB"/>
    <w:rsid w:val="00A706E6"/>
    <w:rsid w:val="00B02219"/>
    <w:rsid w:val="00B26BD4"/>
    <w:rsid w:val="00B51019"/>
    <w:rsid w:val="00B77ABA"/>
    <w:rsid w:val="00B92B7B"/>
    <w:rsid w:val="00B97027"/>
    <w:rsid w:val="00BF6C9E"/>
    <w:rsid w:val="00C218B6"/>
    <w:rsid w:val="00C51E36"/>
    <w:rsid w:val="00C525FA"/>
    <w:rsid w:val="00C641DF"/>
    <w:rsid w:val="00C8486F"/>
    <w:rsid w:val="00CA7BB1"/>
    <w:rsid w:val="00CB1A58"/>
    <w:rsid w:val="00CB53E3"/>
    <w:rsid w:val="00CE51A8"/>
    <w:rsid w:val="00D122D0"/>
    <w:rsid w:val="00D16E09"/>
    <w:rsid w:val="00D2590F"/>
    <w:rsid w:val="00D72F9E"/>
    <w:rsid w:val="00DD210F"/>
    <w:rsid w:val="00E947FE"/>
    <w:rsid w:val="00EC0541"/>
    <w:rsid w:val="00ED3226"/>
    <w:rsid w:val="00EF160F"/>
    <w:rsid w:val="00F26F21"/>
    <w:rsid w:val="00F72144"/>
    <w:rsid w:val="00F76FA8"/>
    <w:rsid w:val="00F83C83"/>
    <w:rsid w:val="00FD08BC"/>
    <w:rsid w:val="00FD32D4"/>
    <w:rsid w:val="00FE453D"/>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6F"/>
    <w:pPr>
      <w:spacing w:after="0" w:line="240" w:lineRule="auto"/>
    </w:pPr>
    <w:rPr>
      <w:rFonts w:ascii="Times New Roman" w:eastAsia="Times New Roman" w:hAnsi="Times New Roman" w:cs="Arial Unicode MS"/>
      <w:sz w:val="20"/>
      <w:szCs w:val="20"/>
      <w:lang w:val="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6F"/>
    <w:pPr>
      <w:ind w:left="720"/>
      <w:contextualSpacing/>
    </w:pPr>
  </w:style>
  <w:style w:type="paragraph" w:styleId="Header">
    <w:name w:val="header"/>
    <w:basedOn w:val="Normal"/>
    <w:link w:val="HeaderChar"/>
    <w:uiPriority w:val="99"/>
    <w:unhideWhenUsed/>
    <w:rsid w:val="00384CC7"/>
    <w:pPr>
      <w:tabs>
        <w:tab w:val="center" w:pos="4680"/>
        <w:tab w:val="right" w:pos="9360"/>
      </w:tabs>
    </w:pPr>
  </w:style>
  <w:style w:type="character" w:customStyle="1" w:styleId="HeaderChar">
    <w:name w:val="Header Char"/>
    <w:basedOn w:val="DefaultParagraphFont"/>
    <w:link w:val="Header"/>
    <w:uiPriority w:val="99"/>
    <w:rsid w:val="00384CC7"/>
    <w:rPr>
      <w:rFonts w:ascii="Times New Roman" w:eastAsia="Times New Roman" w:hAnsi="Times New Roman" w:cs="Arial Unicode MS"/>
      <w:sz w:val="20"/>
      <w:szCs w:val="20"/>
      <w:lang w:val="lv-LV" w:bidi="lo-LA"/>
    </w:rPr>
  </w:style>
  <w:style w:type="paragraph" w:styleId="Footer">
    <w:name w:val="footer"/>
    <w:basedOn w:val="Normal"/>
    <w:link w:val="FooterChar"/>
    <w:uiPriority w:val="99"/>
    <w:unhideWhenUsed/>
    <w:rsid w:val="00384CC7"/>
    <w:pPr>
      <w:tabs>
        <w:tab w:val="center" w:pos="4680"/>
        <w:tab w:val="right" w:pos="9360"/>
      </w:tabs>
    </w:pPr>
  </w:style>
  <w:style w:type="character" w:customStyle="1" w:styleId="FooterChar">
    <w:name w:val="Footer Char"/>
    <w:basedOn w:val="DefaultParagraphFont"/>
    <w:link w:val="Footer"/>
    <w:uiPriority w:val="99"/>
    <w:rsid w:val="00384CC7"/>
    <w:rPr>
      <w:rFonts w:ascii="Times New Roman" w:eastAsia="Times New Roman" w:hAnsi="Times New Roman" w:cs="Arial Unicode MS"/>
      <w:sz w:val="20"/>
      <w:szCs w:val="20"/>
      <w:lang w:val="lv-LV" w:bidi="lo-LA"/>
    </w:rPr>
  </w:style>
  <w:style w:type="paragraph" w:styleId="BalloonText">
    <w:name w:val="Balloon Text"/>
    <w:basedOn w:val="Normal"/>
    <w:link w:val="BalloonTextChar"/>
    <w:uiPriority w:val="99"/>
    <w:semiHidden/>
    <w:unhideWhenUsed/>
    <w:rsid w:val="004A55AF"/>
    <w:rPr>
      <w:rFonts w:ascii="Tahoma" w:hAnsi="Tahoma" w:cs="Tahoma"/>
      <w:sz w:val="16"/>
      <w:szCs w:val="16"/>
    </w:rPr>
  </w:style>
  <w:style w:type="character" w:customStyle="1" w:styleId="BalloonTextChar">
    <w:name w:val="Balloon Text Char"/>
    <w:basedOn w:val="DefaultParagraphFont"/>
    <w:link w:val="BalloonText"/>
    <w:uiPriority w:val="99"/>
    <w:semiHidden/>
    <w:rsid w:val="004A55AF"/>
    <w:rPr>
      <w:rFonts w:ascii="Tahoma" w:eastAsia="Times New Roman" w:hAnsi="Tahoma" w:cs="Tahoma"/>
      <w:sz w:val="16"/>
      <w:szCs w:val="16"/>
      <w:lang w:val="lv-LV" w:bidi="lo-LA"/>
    </w:rPr>
  </w:style>
  <w:style w:type="paragraph" w:customStyle="1" w:styleId="naisf">
    <w:name w:val="naisf"/>
    <w:basedOn w:val="Normal"/>
    <w:rsid w:val="00B02219"/>
    <w:pPr>
      <w:spacing w:before="100" w:beforeAutospacing="1" w:after="100" w:afterAutospacing="1"/>
    </w:pPr>
    <w:rPr>
      <w:rFonts w:cs="Times New Roman"/>
      <w:sz w:val="24"/>
      <w:szCs w:val="24"/>
      <w:lang w:eastAsia="lv-LV" w:bidi="ar-SA"/>
    </w:rPr>
  </w:style>
  <w:style w:type="paragraph" w:styleId="NoSpacing">
    <w:name w:val="No Spacing"/>
    <w:uiPriority w:val="1"/>
    <w:qFormat/>
    <w:rsid w:val="00801CC4"/>
    <w:pPr>
      <w:spacing w:after="0" w:line="240" w:lineRule="auto"/>
    </w:pPr>
    <w:rPr>
      <w:rFonts w:ascii="Times New Roman" w:eastAsia="Times New Roman" w:hAnsi="Times New Roman" w:cs="Arial Unicode MS"/>
      <w:sz w:val="20"/>
      <w:szCs w:val="20"/>
      <w:lang w:val="lv-LV" w:bidi="lo-LA"/>
    </w:rPr>
  </w:style>
  <w:style w:type="character" w:styleId="Hyperlink">
    <w:name w:val="Hyperlink"/>
    <w:rsid w:val="00B77ABA"/>
    <w:rPr>
      <w:color w:val="0000FF"/>
      <w:u w:val="single"/>
    </w:rPr>
  </w:style>
  <w:style w:type="character" w:customStyle="1" w:styleId="t35">
    <w:name w:val="t35"/>
    <w:basedOn w:val="DefaultParagraphFont"/>
    <w:rsid w:val="0046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6F"/>
    <w:pPr>
      <w:spacing w:after="0" w:line="240" w:lineRule="auto"/>
    </w:pPr>
    <w:rPr>
      <w:rFonts w:ascii="Times New Roman" w:eastAsia="Times New Roman" w:hAnsi="Times New Roman" w:cs="Arial Unicode MS"/>
      <w:sz w:val="20"/>
      <w:szCs w:val="20"/>
      <w:lang w:val="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6F"/>
    <w:pPr>
      <w:ind w:left="720"/>
      <w:contextualSpacing/>
    </w:pPr>
  </w:style>
  <w:style w:type="paragraph" w:styleId="Header">
    <w:name w:val="header"/>
    <w:basedOn w:val="Normal"/>
    <w:link w:val="HeaderChar"/>
    <w:uiPriority w:val="99"/>
    <w:unhideWhenUsed/>
    <w:rsid w:val="00384CC7"/>
    <w:pPr>
      <w:tabs>
        <w:tab w:val="center" w:pos="4680"/>
        <w:tab w:val="right" w:pos="9360"/>
      </w:tabs>
    </w:pPr>
  </w:style>
  <w:style w:type="character" w:customStyle="1" w:styleId="HeaderChar">
    <w:name w:val="Header Char"/>
    <w:basedOn w:val="DefaultParagraphFont"/>
    <w:link w:val="Header"/>
    <w:uiPriority w:val="99"/>
    <w:rsid w:val="00384CC7"/>
    <w:rPr>
      <w:rFonts w:ascii="Times New Roman" w:eastAsia="Times New Roman" w:hAnsi="Times New Roman" w:cs="Arial Unicode MS"/>
      <w:sz w:val="20"/>
      <w:szCs w:val="20"/>
      <w:lang w:val="lv-LV" w:bidi="lo-LA"/>
    </w:rPr>
  </w:style>
  <w:style w:type="paragraph" w:styleId="Footer">
    <w:name w:val="footer"/>
    <w:basedOn w:val="Normal"/>
    <w:link w:val="FooterChar"/>
    <w:uiPriority w:val="99"/>
    <w:unhideWhenUsed/>
    <w:rsid w:val="00384CC7"/>
    <w:pPr>
      <w:tabs>
        <w:tab w:val="center" w:pos="4680"/>
        <w:tab w:val="right" w:pos="9360"/>
      </w:tabs>
    </w:pPr>
  </w:style>
  <w:style w:type="character" w:customStyle="1" w:styleId="FooterChar">
    <w:name w:val="Footer Char"/>
    <w:basedOn w:val="DefaultParagraphFont"/>
    <w:link w:val="Footer"/>
    <w:uiPriority w:val="99"/>
    <w:rsid w:val="00384CC7"/>
    <w:rPr>
      <w:rFonts w:ascii="Times New Roman" w:eastAsia="Times New Roman" w:hAnsi="Times New Roman" w:cs="Arial Unicode MS"/>
      <w:sz w:val="20"/>
      <w:szCs w:val="20"/>
      <w:lang w:val="lv-LV" w:bidi="lo-LA"/>
    </w:rPr>
  </w:style>
  <w:style w:type="paragraph" w:styleId="BalloonText">
    <w:name w:val="Balloon Text"/>
    <w:basedOn w:val="Normal"/>
    <w:link w:val="BalloonTextChar"/>
    <w:uiPriority w:val="99"/>
    <w:semiHidden/>
    <w:unhideWhenUsed/>
    <w:rsid w:val="004A55AF"/>
    <w:rPr>
      <w:rFonts w:ascii="Tahoma" w:hAnsi="Tahoma" w:cs="Tahoma"/>
      <w:sz w:val="16"/>
      <w:szCs w:val="16"/>
    </w:rPr>
  </w:style>
  <w:style w:type="character" w:customStyle="1" w:styleId="BalloonTextChar">
    <w:name w:val="Balloon Text Char"/>
    <w:basedOn w:val="DefaultParagraphFont"/>
    <w:link w:val="BalloonText"/>
    <w:uiPriority w:val="99"/>
    <w:semiHidden/>
    <w:rsid w:val="004A55AF"/>
    <w:rPr>
      <w:rFonts w:ascii="Tahoma" w:eastAsia="Times New Roman" w:hAnsi="Tahoma" w:cs="Tahoma"/>
      <w:sz w:val="16"/>
      <w:szCs w:val="16"/>
      <w:lang w:val="lv-LV" w:bidi="lo-LA"/>
    </w:rPr>
  </w:style>
  <w:style w:type="paragraph" w:customStyle="1" w:styleId="naisf">
    <w:name w:val="naisf"/>
    <w:basedOn w:val="Normal"/>
    <w:rsid w:val="00B02219"/>
    <w:pPr>
      <w:spacing w:before="100" w:beforeAutospacing="1" w:after="100" w:afterAutospacing="1"/>
    </w:pPr>
    <w:rPr>
      <w:rFonts w:cs="Times New Roman"/>
      <w:sz w:val="24"/>
      <w:szCs w:val="24"/>
      <w:lang w:eastAsia="lv-LV" w:bidi="ar-SA"/>
    </w:rPr>
  </w:style>
  <w:style w:type="paragraph" w:styleId="NoSpacing">
    <w:name w:val="No Spacing"/>
    <w:uiPriority w:val="1"/>
    <w:qFormat/>
    <w:rsid w:val="00801CC4"/>
    <w:pPr>
      <w:spacing w:after="0" w:line="240" w:lineRule="auto"/>
    </w:pPr>
    <w:rPr>
      <w:rFonts w:ascii="Times New Roman" w:eastAsia="Times New Roman" w:hAnsi="Times New Roman" w:cs="Arial Unicode MS"/>
      <w:sz w:val="20"/>
      <w:szCs w:val="20"/>
      <w:lang w:val="lv-LV" w:bidi="lo-LA"/>
    </w:rPr>
  </w:style>
  <w:style w:type="character" w:styleId="Hyperlink">
    <w:name w:val="Hyperlink"/>
    <w:rsid w:val="00B77ABA"/>
    <w:rPr>
      <w:color w:val="0000FF"/>
      <w:u w:val="single"/>
    </w:rPr>
  </w:style>
  <w:style w:type="character" w:customStyle="1" w:styleId="t35">
    <w:name w:val="t35"/>
    <w:basedOn w:val="DefaultParagraphFont"/>
    <w:rsid w:val="004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3732">
      <w:bodyDiv w:val="1"/>
      <w:marLeft w:val="0"/>
      <w:marRight w:val="0"/>
      <w:marTop w:val="0"/>
      <w:marBottom w:val="0"/>
      <w:divBdr>
        <w:top w:val="none" w:sz="0" w:space="0" w:color="auto"/>
        <w:left w:val="none" w:sz="0" w:space="0" w:color="auto"/>
        <w:bottom w:val="none" w:sz="0" w:space="0" w:color="auto"/>
        <w:right w:val="none" w:sz="0" w:space="0" w:color="auto"/>
      </w:divBdr>
    </w:div>
    <w:div w:id="2053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dgars.svarenieks@mod.gov.lv" TargetMode="External"/><Relationship Id="rId4" Type="http://schemas.microsoft.com/office/2007/relationships/stylesWithEffects" Target="stylesWithEffects.xml"/><Relationship Id="rId9" Type="http://schemas.openxmlformats.org/officeDocument/2006/relationships/hyperlink" Target="http://likumi.lv/ta/id/222141-kartiba-kada-valsts-robezsardze-veic-robezuzraudzibas-uzdevumus-jura-izmantojot-nacionalo-brunoto-speku-tehniskos-lidzeklus-p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146D-EA90-44A1-8D87-19C484E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DB10F15F.dotm</Template>
  <TotalTime>1</TotalTime>
  <Pages>5</Pages>
  <Words>4303</Words>
  <Characters>2453</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2008.gada 2.jūnija noteikumos Nr.394 "Alkohola, narkotisko, psihotropo vai toksisko vielu ietekmes pārbaudes kārtība"</vt:lpstr>
    </vt:vector>
  </TitlesOfParts>
  <Manager>Juridiskais departaments</Manager>
  <Company>Aizsardzības ministrija</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2.jūnija noteikumos Nr.394 "Alkohola, narkotisko, psihotropo vai toksisko vielu ietekmes pārbaudes kārtība"</dc:title>
  <dc:subject>anotācija</dc:subject>
  <dc:creator>Sanita Žogota</dc:creator>
  <dc:description>Sanita.Zogota@mod.gov.lv; tālr.: 67335283</dc:description>
  <cp:lastModifiedBy>Heinrihs Rozens</cp:lastModifiedBy>
  <cp:revision>2</cp:revision>
  <cp:lastPrinted>2015-11-12T10:16:00Z</cp:lastPrinted>
  <dcterms:created xsi:type="dcterms:W3CDTF">2016-05-02T08:18:00Z</dcterms:created>
  <dcterms:modified xsi:type="dcterms:W3CDTF">2016-05-02T08:18:00Z</dcterms:modified>
</cp:coreProperties>
</file>