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F1D" w:rsidRPr="00667285" w:rsidRDefault="00362F1D" w:rsidP="00FE6DBE">
      <w:pPr>
        <w:pStyle w:val="naislab"/>
        <w:jc w:val="center"/>
        <w:rPr>
          <w:b/>
          <w:bCs/>
          <w:sz w:val="28"/>
          <w:szCs w:val="28"/>
        </w:rPr>
      </w:pPr>
      <w:bookmarkStart w:id="0" w:name="_GoBack"/>
      <w:bookmarkEnd w:id="0"/>
      <w:r w:rsidRPr="00667285">
        <w:rPr>
          <w:b/>
          <w:bCs/>
          <w:sz w:val="28"/>
          <w:szCs w:val="28"/>
        </w:rPr>
        <w:t>Ministru kabineta noteikumu projekta</w:t>
      </w:r>
    </w:p>
    <w:p w:rsidR="00362F1D" w:rsidRPr="00667285" w:rsidRDefault="00362F1D" w:rsidP="00362F1D">
      <w:pPr>
        <w:pStyle w:val="naislab"/>
        <w:spacing w:before="0" w:after="0"/>
        <w:jc w:val="center"/>
        <w:rPr>
          <w:b/>
          <w:bCs/>
          <w:sz w:val="28"/>
          <w:szCs w:val="28"/>
        </w:rPr>
      </w:pPr>
      <w:r w:rsidRPr="00667285">
        <w:rPr>
          <w:b/>
          <w:bCs/>
          <w:sz w:val="28"/>
          <w:szCs w:val="28"/>
        </w:rPr>
        <w:t xml:space="preserve">„Tautību </w:t>
      </w:r>
      <w:r w:rsidR="00667285" w:rsidRPr="00667285">
        <w:rPr>
          <w:b/>
          <w:bCs/>
          <w:sz w:val="28"/>
          <w:szCs w:val="28"/>
        </w:rPr>
        <w:t>klasifikators</w:t>
      </w:r>
      <w:r w:rsidRPr="00667285">
        <w:rPr>
          <w:b/>
          <w:bCs/>
          <w:sz w:val="28"/>
          <w:szCs w:val="28"/>
        </w:rPr>
        <w:t>”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574"/>
        <w:gridCol w:w="6601"/>
      </w:tblGrid>
      <w:tr w:rsidR="00852042" w:rsidRPr="00667285" w:rsidTr="008107EC">
        <w:tc>
          <w:tcPr>
            <w:tcW w:w="9725" w:type="dxa"/>
            <w:gridSpan w:val="3"/>
            <w:vAlign w:val="center"/>
          </w:tcPr>
          <w:p w:rsidR="00852042" w:rsidRPr="00667285" w:rsidRDefault="00852042" w:rsidP="006C4607">
            <w:pPr>
              <w:pStyle w:val="naisnod"/>
              <w:spacing w:before="0" w:after="0"/>
              <w:rPr>
                <w:sz w:val="28"/>
                <w:szCs w:val="28"/>
              </w:rPr>
            </w:pPr>
            <w:r w:rsidRPr="00667285">
              <w:rPr>
                <w:sz w:val="28"/>
                <w:szCs w:val="28"/>
              </w:rPr>
              <w:t>I</w:t>
            </w:r>
            <w:r w:rsidR="000941C5" w:rsidRPr="00667285">
              <w:rPr>
                <w:sz w:val="28"/>
                <w:szCs w:val="28"/>
              </w:rPr>
              <w:t>.</w:t>
            </w:r>
            <w:r w:rsidRPr="00667285">
              <w:rPr>
                <w:sz w:val="28"/>
                <w:szCs w:val="28"/>
              </w:rPr>
              <w:t xml:space="preserve"> Tiesību akta </w:t>
            </w:r>
            <w:r w:rsidR="002E3FF4" w:rsidRPr="00667285">
              <w:rPr>
                <w:sz w:val="28"/>
                <w:szCs w:val="28"/>
              </w:rPr>
              <w:t xml:space="preserve">projekta </w:t>
            </w:r>
            <w:r w:rsidRPr="00667285">
              <w:rPr>
                <w:sz w:val="28"/>
                <w:szCs w:val="28"/>
              </w:rPr>
              <w:t>izstrādes nepieciešamība</w:t>
            </w:r>
          </w:p>
        </w:tc>
      </w:tr>
      <w:tr w:rsidR="00262E2B" w:rsidRPr="00667285" w:rsidTr="008107EC">
        <w:trPr>
          <w:trHeight w:val="630"/>
        </w:trPr>
        <w:tc>
          <w:tcPr>
            <w:tcW w:w="550" w:type="dxa"/>
          </w:tcPr>
          <w:p w:rsidR="00262E2B" w:rsidRPr="00667285" w:rsidRDefault="00262E2B" w:rsidP="006C4607">
            <w:pPr>
              <w:pStyle w:val="naiskr"/>
              <w:spacing w:before="0" w:after="0"/>
              <w:rPr>
                <w:sz w:val="28"/>
                <w:szCs w:val="28"/>
              </w:rPr>
            </w:pPr>
            <w:r w:rsidRPr="00667285">
              <w:rPr>
                <w:sz w:val="28"/>
                <w:szCs w:val="28"/>
              </w:rPr>
              <w:t>1.</w:t>
            </w:r>
          </w:p>
        </w:tc>
        <w:tc>
          <w:tcPr>
            <w:tcW w:w="2574" w:type="dxa"/>
          </w:tcPr>
          <w:p w:rsidR="00262E2B" w:rsidRPr="00667285" w:rsidRDefault="002D7F54" w:rsidP="006C4607">
            <w:pPr>
              <w:pStyle w:val="naiskr"/>
              <w:spacing w:before="0" w:after="0"/>
              <w:ind w:hanging="10"/>
              <w:rPr>
                <w:sz w:val="28"/>
                <w:szCs w:val="28"/>
              </w:rPr>
            </w:pPr>
            <w:r w:rsidRPr="00667285">
              <w:rPr>
                <w:sz w:val="28"/>
                <w:szCs w:val="28"/>
              </w:rPr>
              <w:t>Pamatojums</w:t>
            </w:r>
          </w:p>
        </w:tc>
        <w:tc>
          <w:tcPr>
            <w:tcW w:w="6601" w:type="dxa"/>
          </w:tcPr>
          <w:p w:rsidR="00972875" w:rsidRPr="00667285" w:rsidRDefault="00EB2ACB" w:rsidP="00667285">
            <w:pPr>
              <w:ind w:right="81"/>
              <w:jc w:val="both"/>
              <w:rPr>
                <w:sz w:val="28"/>
                <w:szCs w:val="28"/>
              </w:rPr>
            </w:pPr>
            <w:r w:rsidRPr="00667285">
              <w:rPr>
                <w:sz w:val="28"/>
                <w:szCs w:val="28"/>
              </w:rPr>
              <w:t xml:space="preserve">Ministru kabineta noteikumu projekts „Tautību </w:t>
            </w:r>
            <w:r w:rsidR="007042AA" w:rsidRPr="00667285">
              <w:rPr>
                <w:sz w:val="28"/>
                <w:szCs w:val="28"/>
              </w:rPr>
              <w:t>klas</w:t>
            </w:r>
            <w:r w:rsidR="00667285" w:rsidRPr="00667285">
              <w:rPr>
                <w:sz w:val="28"/>
                <w:szCs w:val="28"/>
              </w:rPr>
              <w:t>ifikators</w:t>
            </w:r>
            <w:r w:rsidRPr="00667285">
              <w:rPr>
                <w:sz w:val="28"/>
                <w:szCs w:val="28"/>
              </w:rPr>
              <w:t>” (turpmāk – noteikumu projekts) ir izstrādāts saskaņā ar Statistikas likuma 21. pantu ar mērķi nodrošināt vienotu iedzīvotāju tautības kodēšanu Latvijas Republikā.</w:t>
            </w:r>
          </w:p>
        </w:tc>
      </w:tr>
      <w:tr w:rsidR="00262E2B" w:rsidRPr="00667285" w:rsidTr="008107EC">
        <w:trPr>
          <w:trHeight w:val="472"/>
        </w:trPr>
        <w:tc>
          <w:tcPr>
            <w:tcW w:w="550" w:type="dxa"/>
          </w:tcPr>
          <w:p w:rsidR="00262E2B" w:rsidRPr="00667285" w:rsidRDefault="00262E2B" w:rsidP="006C4607">
            <w:pPr>
              <w:pStyle w:val="naiskr"/>
              <w:spacing w:before="0" w:after="0"/>
              <w:rPr>
                <w:sz w:val="28"/>
                <w:szCs w:val="28"/>
              </w:rPr>
            </w:pPr>
            <w:r w:rsidRPr="00667285">
              <w:rPr>
                <w:sz w:val="28"/>
                <w:szCs w:val="28"/>
              </w:rPr>
              <w:t>2.</w:t>
            </w:r>
          </w:p>
        </w:tc>
        <w:tc>
          <w:tcPr>
            <w:tcW w:w="2574" w:type="dxa"/>
          </w:tcPr>
          <w:p w:rsidR="00262E2B" w:rsidRPr="00667285" w:rsidRDefault="00262E2B" w:rsidP="006C4607">
            <w:pPr>
              <w:pStyle w:val="naiskr"/>
              <w:tabs>
                <w:tab w:val="left" w:pos="170"/>
              </w:tabs>
              <w:spacing w:before="0" w:after="0"/>
              <w:rPr>
                <w:sz w:val="28"/>
                <w:szCs w:val="28"/>
              </w:rPr>
            </w:pPr>
            <w:r w:rsidRPr="00667285">
              <w:rPr>
                <w:sz w:val="28"/>
                <w:szCs w:val="28"/>
              </w:rPr>
              <w:t>Pašreizējā situācija</w:t>
            </w:r>
            <w:r w:rsidR="001F5CD6" w:rsidRPr="00667285">
              <w:rPr>
                <w:sz w:val="28"/>
                <w:szCs w:val="28"/>
              </w:rPr>
              <w:t xml:space="preserve"> un problēmas</w:t>
            </w:r>
            <w:r w:rsidR="00F64A6D" w:rsidRPr="00667285">
              <w:rPr>
                <w:sz w:val="28"/>
                <w:szCs w:val="28"/>
              </w:rPr>
              <w:t xml:space="preserve">, </w:t>
            </w:r>
            <w:r w:rsidR="009C48AB" w:rsidRPr="00667285">
              <w:rPr>
                <w:sz w:val="28"/>
                <w:szCs w:val="28"/>
              </w:rPr>
              <w:t xml:space="preserve">kuru risināšanai tiesību akta projekts izstrādāts, </w:t>
            </w:r>
            <w:r w:rsidR="00F64A6D" w:rsidRPr="00667285">
              <w:rPr>
                <w:sz w:val="28"/>
                <w:szCs w:val="28"/>
              </w:rPr>
              <w:t>tiesiskā regulējuma mērķis un būtība</w:t>
            </w:r>
          </w:p>
        </w:tc>
        <w:tc>
          <w:tcPr>
            <w:tcW w:w="6601" w:type="dxa"/>
          </w:tcPr>
          <w:p w:rsidR="003E3097" w:rsidRPr="00667285" w:rsidRDefault="00EB2ACB" w:rsidP="00EB2ACB">
            <w:pPr>
              <w:pStyle w:val="naiskr"/>
              <w:ind w:right="81"/>
              <w:jc w:val="both"/>
              <w:rPr>
                <w:iCs/>
                <w:sz w:val="28"/>
                <w:szCs w:val="28"/>
              </w:rPr>
            </w:pPr>
            <w:r w:rsidRPr="00667285">
              <w:rPr>
                <w:iCs/>
                <w:sz w:val="28"/>
                <w:szCs w:val="28"/>
              </w:rPr>
              <w:t>Noteikumu projekts ir izstrādāts</w:t>
            </w:r>
            <w:r w:rsidR="00E5789D" w:rsidRPr="00667285">
              <w:rPr>
                <w:iCs/>
                <w:sz w:val="28"/>
                <w:szCs w:val="28"/>
              </w:rPr>
              <w:t xml:space="preserve"> saskaņā a</w:t>
            </w:r>
            <w:r w:rsidR="0072423E" w:rsidRPr="00667285">
              <w:rPr>
                <w:iCs/>
                <w:sz w:val="28"/>
                <w:szCs w:val="28"/>
              </w:rPr>
              <w:t>r Statistikas likumu, kas stājā</w:t>
            </w:r>
            <w:r w:rsidR="00E5789D" w:rsidRPr="00667285">
              <w:rPr>
                <w:iCs/>
                <w:sz w:val="28"/>
                <w:szCs w:val="28"/>
              </w:rPr>
              <w:t xml:space="preserve">s spēkā 2016.gada 1.janvārī. </w:t>
            </w:r>
          </w:p>
          <w:p w:rsidR="003E3097" w:rsidRPr="00667285" w:rsidRDefault="003E3097" w:rsidP="00EB2ACB">
            <w:pPr>
              <w:pStyle w:val="naiskr"/>
              <w:ind w:right="81"/>
              <w:jc w:val="both"/>
              <w:rPr>
                <w:iCs/>
                <w:sz w:val="28"/>
                <w:szCs w:val="28"/>
              </w:rPr>
            </w:pPr>
            <w:r w:rsidRPr="00667285">
              <w:rPr>
                <w:iCs/>
                <w:sz w:val="28"/>
                <w:szCs w:val="28"/>
              </w:rPr>
              <w:t>Statistikas likuma pārejas noteikumu 2.punkts paredz, ka līdz 2017.gada 31.maijam spēkā ir 2008.gada 8.aprīļa Ministru kabineta noteikumi Nr.246 “Noteikumi par Tautību klasifikatoru”</w:t>
            </w:r>
            <w:r w:rsidR="0072423E" w:rsidRPr="00667285">
              <w:rPr>
                <w:iCs/>
                <w:sz w:val="28"/>
                <w:szCs w:val="28"/>
              </w:rPr>
              <w:t xml:space="preserve"> (turpmāk</w:t>
            </w:r>
            <w:r w:rsidR="003D5D3B">
              <w:rPr>
                <w:iCs/>
                <w:sz w:val="28"/>
                <w:szCs w:val="28"/>
              </w:rPr>
              <w:t xml:space="preserve"> </w:t>
            </w:r>
            <w:r w:rsidR="003D5D3B" w:rsidRPr="00667285">
              <w:rPr>
                <w:iCs/>
                <w:sz w:val="28"/>
                <w:szCs w:val="28"/>
              </w:rPr>
              <w:t>–</w:t>
            </w:r>
            <w:r w:rsidR="003D5D3B">
              <w:rPr>
                <w:iCs/>
                <w:sz w:val="28"/>
                <w:szCs w:val="28"/>
              </w:rPr>
              <w:t xml:space="preserve"> </w:t>
            </w:r>
            <w:r w:rsidR="0072423E" w:rsidRPr="00667285">
              <w:rPr>
                <w:iCs/>
                <w:sz w:val="28"/>
                <w:szCs w:val="28"/>
              </w:rPr>
              <w:t>Noteikumi par Tautību klasifikatoru)</w:t>
            </w:r>
            <w:r w:rsidRPr="00667285">
              <w:rPr>
                <w:iCs/>
                <w:sz w:val="28"/>
                <w:szCs w:val="28"/>
              </w:rPr>
              <w:t xml:space="preserve">. Noteikumu projekts izstrādāts, lai saskaņā ar Statistikas likuma normām tiktu apstiprināta statistiskā klasifikācija </w:t>
            </w:r>
            <w:r w:rsidR="008107EC">
              <w:rPr>
                <w:iCs/>
                <w:sz w:val="28"/>
                <w:szCs w:val="28"/>
              </w:rPr>
              <w:t>“</w:t>
            </w:r>
            <w:r w:rsidR="008107EC" w:rsidRPr="00667285">
              <w:rPr>
                <w:iCs/>
                <w:sz w:val="28"/>
                <w:szCs w:val="28"/>
              </w:rPr>
              <w:t>Tautību klasifikators</w:t>
            </w:r>
            <w:r w:rsidR="008107EC">
              <w:rPr>
                <w:iCs/>
                <w:sz w:val="28"/>
                <w:szCs w:val="28"/>
              </w:rPr>
              <w:t>”</w:t>
            </w:r>
            <w:r w:rsidR="008107EC" w:rsidRPr="00667285">
              <w:rPr>
                <w:iCs/>
                <w:sz w:val="28"/>
                <w:szCs w:val="28"/>
              </w:rPr>
              <w:t xml:space="preserve">, kas </w:t>
            </w:r>
            <w:r w:rsidRPr="00667285">
              <w:rPr>
                <w:iCs/>
                <w:sz w:val="28"/>
                <w:szCs w:val="28"/>
              </w:rPr>
              <w:t>arī turpmāk ir nepieciešama oficiālās statistikas nodrošināšanā.</w:t>
            </w:r>
            <w:r w:rsidR="0072423E" w:rsidRPr="00667285">
              <w:rPr>
                <w:iCs/>
                <w:sz w:val="28"/>
                <w:szCs w:val="28"/>
              </w:rPr>
              <w:t xml:space="preserve"> Līdz ar noteikumu projekta spēkā stāšanos spēku zaudēs Noteikumi par Tautību klasifikatoru.</w:t>
            </w:r>
          </w:p>
          <w:p w:rsidR="00EB2ACB" w:rsidRPr="00667285" w:rsidRDefault="00E5789D" w:rsidP="00EB2ACB">
            <w:pPr>
              <w:pStyle w:val="naiskr"/>
              <w:ind w:right="81"/>
              <w:jc w:val="both"/>
              <w:rPr>
                <w:iCs/>
                <w:sz w:val="28"/>
                <w:szCs w:val="28"/>
              </w:rPr>
            </w:pPr>
            <w:r w:rsidRPr="00667285">
              <w:rPr>
                <w:iCs/>
                <w:sz w:val="28"/>
                <w:szCs w:val="28"/>
              </w:rPr>
              <w:t xml:space="preserve">Noteikumu projekts paredz </w:t>
            </w:r>
            <w:r w:rsidR="00EB2ACB" w:rsidRPr="00667285">
              <w:rPr>
                <w:iCs/>
                <w:sz w:val="28"/>
                <w:szCs w:val="28"/>
              </w:rPr>
              <w:t xml:space="preserve">nodrošināt </w:t>
            </w:r>
            <w:r w:rsidRPr="00667285">
              <w:rPr>
                <w:iCs/>
                <w:sz w:val="28"/>
                <w:szCs w:val="28"/>
              </w:rPr>
              <w:t xml:space="preserve">Tautību </w:t>
            </w:r>
            <w:r w:rsidR="00667285" w:rsidRPr="00667285">
              <w:rPr>
                <w:iCs/>
                <w:sz w:val="28"/>
                <w:szCs w:val="28"/>
              </w:rPr>
              <w:t>klasifikatora</w:t>
            </w:r>
            <w:r w:rsidR="00EB2ACB" w:rsidRPr="00667285">
              <w:rPr>
                <w:iCs/>
                <w:sz w:val="28"/>
                <w:szCs w:val="28"/>
              </w:rPr>
              <w:t xml:space="preserve"> atbilstību</w:t>
            </w:r>
            <w:r w:rsidR="00FE6DBE">
              <w:rPr>
                <w:iCs/>
                <w:sz w:val="28"/>
                <w:szCs w:val="28"/>
              </w:rPr>
              <w:t xml:space="preserve"> </w:t>
            </w:r>
            <w:r w:rsidR="00EB2ACB" w:rsidRPr="00667285">
              <w:rPr>
                <w:iCs/>
                <w:sz w:val="28"/>
                <w:szCs w:val="28"/>
              </w:rPr>
              <w:t>Latvijā reģistrēto iedzīvotāju tautību nosaukumiem. Noteikum</w:t>
            </w:r>
            <w:r w:rsidR="00643033" w:rsidRPr="00667285">
              <w:rPr>
                <w:iCs/>
                <w:sz w:val="28"/>
                <w:szCs w:val="28"/>
              </w:rPr>
              <w:t>u projektā</w:t>
            </w:r>
            <w:r w:rsidR="00EB2ACB" w:rsidRPr="00667285">
              <w:rPr>
                <w:iCs/>
                <w:sz w:val="28"/>
                <w:szCs w:val="28"/>
              </w:rPr>
              <w:t xml:space="preserve">  paredzēta  regulāra (ne biežāk kā reizi gadā) </w:t>
            </w:r>
            <w:r w:rsidR="003E3097" w:rsidRPr="00667285">
              <w:rPr>
                <w:iCs/>
                <w:sz w:val="28"/>
                <w:szCs w:val="28"/>
              </w:rPr>
              <w:t xml:space="preserve"> Tautību kl</w:t>
            </w:r>
            <w:r w:rsidR="00667285" w:rsidRPr="00667285">
              <w:rPr>
                <w:iCs/>
                <w:sz w:val="28"/>
                <w:szCs w:val="28"/>
              </w:rPr>
              <w:t>asifikatora</w:t>
            </w:r>
            <w:r w:rsidR="00643033" w:rsidRPr="00667285">
              <w:rPr>
                <w:iCs/>
                <w:sz w:val="28"/>
                <w:szCs w:val="28"/>
              </w:rPr>
              <w:t xml:space="preserve"> </w:t>
            </w:r>
            <w:r w:rsidR="00EB2ACB" w:rsidRPr="00667285">
              <w:rPr>
                <w:iCs/>
                <w:sz w:val="28"/>
                <w:szCs w:val="28"/>
              </w:rPr>
              <w:t xml:space="preserve">aktualizēšana, ja ir saņemti jauni priekšlikumi, </w:t>
            </w:r>
            <w:r w:rsidR="00643033" w:rsidRPr="00667285">
              <w:rPr>
                <w:iCs/>
                <w:sz w:val="28"/>
                <w:szCs w:val="28"/>
              </w:rPr>
              <w:t xml:space="preserve">kuru </w:t>
            </w:r>
            <w:r w:rsidR="00EB2ACB" w:rsidRPr="00667285">
              <w:rPr>
                <w:iCs/>
                <w:sz w:val="28"/>
                <w:szCs w:val="28"/>
              </w:rPr>
              <w:t>saturs atbilst klasif</w:t>
            </w:r>
            <w:r w:rsidR="003E3097" w:rsidRPr="00667285">
              <w:rPr>
                <w:iCs/>
                <w:sz w:val="28"/>
                <w:szCs w:val="28"/>
              </w:rPr>
              <w:t>ikācijas</w:t>
            </w:r>
            <w:r w:rsidR="00EB2ACB" w:rsidRPr="00667285">
              <w:rPr>
                <w:iCs/>
                <w:sz w:val="28"/>
                <w:szCs w:val="28"/>
              </w:rPr>
              <w:t xml:space="preserve"> mērķim.</w:t>
            </w:r>
          </w:p>
          <w:p w:rsidR="00EB2ACB" w:rsidRPr="00667285" w:rsidRDefault="00EB2ACB" w:rsidP="00EB2ACB">
            <w:pPr>
              <w:pStyle w:val="naiskr"/>
              <w:ind w:right="81"/>
              <w:jc w:val="both"/>
              <w:rPr>
                <w:iCs/>
                <w:sz w:val="28"/>
                <w:szCs w:val="28"/>
              </w:rPr>
            </w:pPr>
            <w:r w:rsidRPr="00667285">
              <w:rPr>
                <w:iCs/>
                <w:sz w:val="28"/>
                <w:szCs w:val="28"/>
              </w:rPr>
              <w:t xml:space="preserve">Iedzīvotāju reģistra likums nosaka, kādas ziņas par personu tiek iekļautas  iedzīvotāju uzskaites sistēmā – Iedzīvotāju reģistrā (turpmāk – Reģistrā).  Ieraksts par personas tautību ir viens no  Reģistrā iekļaujamiem rādītājiem. </w:t>
            </w:r>
          </w:p>
          <w:p w:rsidR="007E14C0" w:rsidRPr="00667285" w:rsidRDefault="00477814" w:rsidP="00E5236E">
            <w:pPr>
              <w:pStyle w:val="naiskr"/>
              <w:ind w:right="81"/>
              <w:jc w:val="both"/>
              <w:rPr>
                <w:color w:val="FF0000"/>
                <w:sz w:val="28"/>
                <w:szCs w:val="28"/>
              </w:rPr>
            </w:pPr>
            <w:r w:rsidRPr="00667285">
              <w:rPr>
                <w:iCs/>
                <w:sz w:val="28"/>
                <w:szCs w:val="28"/>
              </w:rPr>
              <w:t>Iedzīvotāju reģistra likuma 2.</w:t>
            </w:r>
            <w:r w:rsidR="00EB2ACB" w:rsidRPr="00667285">
              <w:rPr>
                <w:iCs/>
                <w:sz w:val="28"/>
                <w:szCs w:val="28"/>
              </w:rPr>
              <w:t xml:space="preserve">pants nosaka, ka par ziņu iekļaušanu </w:t>
            </w:r>
            <w:r w:rsidR="00E5236E">
              <w:rPr>
                <w:iCs/>
                <w:sz w:val="28"/>
                <w:szCs w:val="28"/>
              </w:rPr>
              <w:t>R</w:t>
            </w:r>
            <w:r w:rsidR="00EB2ACB" w:rsidRPr="00667285">
              <w:rPr>
                <w:iCs/>
                <w:sz w:val="28"/>
                <w:szCs w:val="28"/>
              </w:rPr>
              <w:t xml:space="preserve">eģistrā un iekļauto ziņu aktualizēšanu savas kompetences ietvaros atbild Pilsonības un migrācijas lietu pārvalde (turpmāk – </w:t>
            </w:r>
            <w:r w:rsidR="00643033" w:rsidRPr="00667285">
              <w:rPr>
                <w:iCs/>
                <w:sz w:val="28"/>
                <w:szCs w:val="28"/>
              </w:rPr>
              <w:t>PMLP</w:t>
            </w:r>
            <w:r w:rsidR="00EB2ACB" w:rsidRPr="00667285">
              <w:rPr>
                <w:iCs/>
                <w:sz w:val="28"/>
                <w:szCs w:val="28"/>
              </w:rPr>
              <w:t xml:space="preserve">). </w:t>
            </w:r>
            <w:r w:rsidR="003E3097" w:rsidRPr="00667285">
              <w:rPr>
                <w:iCs/>
                <w:sz w:val="28"/>
                <w:szCs w:val="28"/>
              </w:rPr>
              <w:t xml:space="preserve">Ņemot vērā PMLP priekšlikumu, noteikumu projekts ir papildināts ar </w:t>
            </w:r>
            <w:r w:rsidR="00EB2ACB" w:rsidRPr="00667285">
              <w:rPr>
                <w:iCs/>
                <w:sz w:val="28"/>
                <w:szCs w:val="28"/>
              </w:rPr>
              <w:t>va</w:t>
            </w:r>
            <w:r w:rsidR="003E3097" w:rsidRPr="00667285">
              <w:rPr>
                <w:iCs/>
                <w:sz w:val="28"/>
                <w:szCs w:val="28"/>
              </w:rPr>
              <w:t>irāku jaunu tautību nosaukumiem</w:t>
            </w:r>
            <w:r w:rsidR="00EB2ACB" w:rsidRPr="00667285">
              <w:rPr>
                <w:iCs/>
                <w:sz w:val="28"/>
                <w:szCs w:val="28"/>
              </w:rPr>
              <w:t xml:space="preserve">, jo migrācijas </w:t>
            </w:r>
            <w:r w:rsidR="00643033" w:rsidRPr="00667285">
              <w:rPr>
                <w:iCs/>
                <w:sz w:val="28"/>
                <w:szCs w:val="28"/>
              </w:rPr>
              <w:t xml:space="preserve">rezultātā </w:t>
            </w:r>
            <w:r w:rsidR="00EB2ACB" w:rsidRPr="00667285">
              <w:rPr>
                <w:iCs/>
                <w:sz w:val="28"/>
                <w:szCs w:val="28"/>
              </w:rPr>
              <w:t>valstī tiek reģistrēt</w:t>
            </w:r>
            <w:r w:rsidR="00643033" w:rsidRPr="00667285">
              <w:rPr>
                <w:iCs/>
                <w:sz w:val="28"/>
                <w:szCs w:val="28"/>
              </w:rPr>
              <w:t>i</w:t>
            </w:r>
            <w:r w:rsidR="00EB2ACB" w:rsidRPr="00667285">
              <w:rPr>
                <w:iCs/>
                <w:sz w:val="28"/>
                <w:szCs w:val="28"/>
              </w:rPr>
              <w:t xml:space="preserve"> arvien vairāk dažādu valstu iedzīvotāj</w:t>
            </w:r>
            <w:r w:rsidR="00643033" w:rsidRPr="00667285">
              <w:rPr>
                <w:iCs/>
                <w:sz w:val="28"/>
                <w:szCs w:val="28"/>
              </w:rPr>
              <w:t>i</w:t>
            </w:r>
            <w:r w:rsidR="00EB2ACB" w:rsidRPr="00667285">
              <w:rPr>
                <w:iCs/>
                <w:sz w:val="28"/>
                <w:szCs w:val="28"/>
              </w:rPr>
              <w:t>, kuru tautība līdz šim nebija iekļauta klasifik</w:t>
            </w:r>
            <w:r w:rsidR="003E3097" w:rsidRPr="00667285">
              <w:rPr>
                <w:iCs/>
                <w:sz w:val="28"/>
                <w:szCs w:val="28"/>
              </w:rPr>
              <w:t>ācijā</w:t>
            </w:r>
            <w:r w:rsidRPr="00667285">
              <w:rPr>
                <w:iCs/>
                <w:sz w:val="28"/>
                <w:szCs w:val="28"/>
              </w:rPr>
              <w:t xml:space="preserve">. </w:t>
            </w:r>
          </w:p>
        </w:tc>
      </w:tr>
      <w:tr w:rsidR="00EB2ACB" w:rsidRPr="00667285" w:rsidTr="008107EC">
        <w:trPr>
          <w:trHeight w:val="476"/>
        </w:trPr>
        <w:tc>
          <w:tcPr>
            <w:tcW w:w="550" w:type="dxa"/>
          </w:tcPr>
          <w:p w:rsidR="000078D2" w:rsidRPr="00667285" w:rsidRDefault="00222A5F" w:rsidP="000078D2">
            <w:pPr>
              <w:pStyle w:val="naiskr"/>
              <w:spacing w:before="0" w:after="0"/>
              <w:rPr>
                <w:sz w:val="28"/>
                <w:szCs w:val="28"/>
              </w:rPr>
            </w:pPr>
            <w:r w:rsidRPr="00667285">
              <w:rPr>
                <w:sz w:val="28"/>
                <w:szCs w:val="28"/>
              </w:rPr>
              <w:t>3</w:t>
            </w:r>
            <w:r w:rsidR="000078D2" w:rsidRPr="00667285">
              <w:rPr>
                <w:sz w:val="28"/>
                <w:szCs w:val="28"/>
              </w:rPr>
              <w:t>.</w:t>
            </w:r>
          </w:p>
        </w:tc>
        <w:tc>
          <w:tcPr>
            <w:tcW w:w="2574" w:type="dxa"/>
          </w:tcPr>
          <w:p w:rsidR="000078D2" w:rsidRPr="00667285" w:rsidRDefault="000078D2" w:rsidP="000078D2">
            <w:pPr>
              <w:pStyle w:val="naiskr"/>
              <w:spacing w:before="0" w:after="0"/>
              <w:rPr>
                <w:sz w:val="28"/>
                <w:szCs w:val="28"/>
              </w:rPr>
            </w:pPr>
            <w:r w:rsidRPr="00667285">
              <w:rPr>
                <w:sz w:val="28"/>
                <w:szCs w:val="28"/>
              </w:rPr>
              <w:t>Projekta izstrādē iesaistītās institūcijas</w:t>
            </w:r>
          </w:p>
        </w:tc>
        <w:tc>
          <w:tcPr>
            <w:tcW w:w="6601" w:type="dxa"/>
          </w:tcPr>
          <w:p w:rsidR="000078D2" w:rsidRPr="00667285" w:rsidRDefault="00C606EE" w:rsidP="003D5D3B">
            <w:pPr>
              <w:pStyle w:val="naiskr"/>
              <w:ind w:left="142" w:right="81"/>
              <w:jc w:val="both"/>
              <w:rPr>
                <w:sz w:val="28"/>
                <w:szCs w:val="28"/>
              </w:rPr>
            </w:pPr>
            <w:r w:rsidRPr="00667285">
              <w:rPr>
                <w:sz w:val="28"/>
                <w:szCs w:val="28"/>
              </w:rPr>
              <w:t xml:space="preserve">Par </w:t>
            </w:r>
            <w:r w:rsidR="00643033" w:rsidRPr="00667285">
              <w:rPr>
                <w:sz w:val="28"/>
                <w:szCs w:val="28"/>
              </w:rPr>
              <w:t>noteikum</w:t>
            </w:r>
            <w:r w:rsidR="003D5D3B">
              <w:rPr>
                <w:sz w:val="28"/>
                <w:szCs w:val="28"/>
              </w:rPr>
              <w:t>u</w:t>
            </w:r>
            <w:r w:rsidR="00643033" w:rsidRPr="00667285">
              <w:rPr>
                <w:sz w:val="28"/>
                <w:szCs w:val="28"/>
              </w:rPr>
              <w:t xml:space="preserve"> projektu </w:t>
            </w:r>
            <w:r w:rsidRPr="00667285">
              <w:rPr>
                <w:sz w:val="28"/>
                <w:szCs w:val="28"/>
              </w:rPr>
              <w:t>tika rīkota sanāksme</w:t>
            </w:r>
            <w:r w:rsidR="00643033" w:rsidRPr="00667285">
              <w:rPr>
                <w:sz w:val="28"/>
                <w:szCs w:val="28"/>
              </w:rPr>
              <w:t>, kurā</w:t>
            </w:r>
            <w:r w:rsidRPr="00667285">
              <w:rPr>
                <w:sz w:val="28"/>
                <w:szCs w:val="28"/>
              </w:rPr>
              <w:t xml:space="preserve"> piedalījās Centrālā statistikas pārvalde</w:t>
            </w:r>
            <w:r w:rsidR="00643033" w:rsidRPr="00667285">
              <w:rPr>
                <w:sz w:val="28"/>
                <w:szCs w:val="28"/>
              </w:rPr>
              <w:t xml:space="preserve"> (turpmāk – Pārvalde)</w:t>
            </w:r>
            <w:r w:rsidRPr="00667285">
              <w:rPr>
                <w:sz w:val="28"/>
                <w:szCs w:val="28"/>
              </w:rPr>
              <w:t xml:space="preserve">, kas ir galvenā atbildīgā iestāde par </w:t>
            </w:r>
            <w:r w:rsidR="003D5D3B">
              <w:rPr>
                <w:sz w:val="28"/>
                <w:szCs w:val="28"/>
              </w:rPr>
              <w:t xml:space="preserve">Tautību </w:t>
            </w:r>
            <w:r w:rsidRPr="00667285">
              <w:rPr>
                <w:sz w:val="28"/>
                <w:szCs w:val="28"/>
              </w:rPr>
              <w:t xml:space="preserve">klasifikatora uzturēšanu, </w:t>
            </w:r>
            <w:r w:rsidR="003E3097" w:rsidRPr="00667285">
              <w:rPr>
                <w:sz w:val="28"/>
                <w:szCs w:val="28"/>
              </w:rPr>
              <w:t>PMLP</w:t>
            </w:r>
            <w:r w:rsidRPr="00667285">
              <w:rPr>
                <w:sz w:val="28"/>
                <w:szCs w:val="28"/>
              </w:rPr>
              <w:t xml:space="preserve"> un Valsts valodas centrs, </w:t>
            </w:r>
            <w:r w:rsidRPr="00667285">
              <w:rPr>
                <w:sz w:val="28"/>
                <w:szCs w:val="28"/>
              </w:rPr>
              <w:lastRenderedPageBreak/>
              <w:t>kas sniedza  atzinumu par klasifik</w:t>
            </w:r>
            <w:r w:rsidR="003E3097" w:rsidRPr="00667285">
              <w:rPr>
                <w:sz w:val="28"/>
                <w:szCs w:val="28"/>
              </w:rPr>
              <w:t xml:space="preserve">ācijā </w:t>
            </w:r>
            <w:r w:rsidRPr="00667285">
              <w:rPr>
                <w:sz w:val="28"/>
                <w:szCs w:val="28"/>
              </w:rPr>
              <w:t xml:space="preserve">iekļaujamo tautību atbilstību tautības nosaukumam. </w:t>
            </w:r>
            <w:r w:rsidR="003E3097" w:rsidRPr="00667285">
              <w:rPr>
                <w:sz w:val="28"/>
                <w:szCs w:val="28"/>
              </w:rPr>
              <w:t>Iesaistītās institūcijas vienojās</w:t>
            </w:r>
            <w:r w:rsidRPr="00667285">
              <w:rPr>
                <w:sz w:val="28"/>
                <w:szCs w:val="28"/>
              </w:rPr>
              <w:t xml:space="preserve"> par 16</w:t>
            </w:r>
            <w:r w:rsidR="00643033" w:rsidRPr="00667285">
              <w:rPr>
                <w:sz w:val="28"/>
                <w:szCs w:val="28"/>
              </w:rPr>
              <w:t xml:space="preserve"> (sešpadsmit)</w:t>
            </w:r>
            <w:r w:rsidRPr="00667285">
              <w:rPr>
                <w:sz w:val="28"/>
                <w:szCs w:val="28"/>
              </w:rPr>
              <w:t xml:space="preserve"> jaunu tautību no</w:t>
            </w:r>
            <w:r w:rsidR="003E3097" w:rsidRPr="00667285">
              <w:rPr>
                <w:sz w:val="28"/>
                <w:szCs w:val="28"/>
              </w:rPr>
              <w:t>saukumu iekļaušanu klasifikācijā</w:t>
            </w:r>
            <w:r w:rsidRPr="00667285">
              <w:rPr>
                <w:sz w:val="28"/>
                <w:szCs w:val="28"/>
              </w:rPr>
              <w:t xml:space="preserve">, kā arī </w:t>
            </w:r>
            <w:r w:rsidR="00643033" w:rsidRPr="00667285">
              <w:rPr>
                <w:sz w:val="28"/>
                <w:szCs w:val="28"/>
              </w:rPr>
              <w:t>4</w:t>
            </w:r>
            <w:r w:rsidRPr="00667285">
              <w:rPr>
                <w:sz w:val="28"/>
                <w:szCs w:val="28"/>
              </w:rPr>
              <w:t xml:space="preserve"> </w:t>
            </w:r>
            <w:r w:rsidR="00643033" w:rsidRPr="00667285">
              <w:rPr>
                <w:sz w:val="28"/>
                <w:szCs w:val="28"/>
              </w:rPr>
              <w:t>(</w:t>
            </w:r>
            <w:r w:rsidRPr="00667285">
              <w:rPr>
                <w:sz w:val="28"/>
                <w:szCs w:val="28"/>
              </w:rPr>
              <w:t>četru</w:t>
            </w:r>
            <w:r w:rsidR="00643033" w:rsidRPr="00667285">
              <w:rPr>
                <w:sz w:val="28"/>
                <w:szCs w:val="28"/>
              </w:rPr>
              <w:t>)</w:t>
            </w:r>
            <w:r w:rsidRPr="00667285">
              <w:rPr>
                <w:sz w:val="28"/>
                <w:szCs w:val="28"/>
              </w:rPr>
              <w:t xml:space="preserve"> tautību nosaukumu </w:t>
            </w:r>
            <w:r w:rsidR="003D5D3B">
              <w:rPr>
                <w:sz w:val="28"/>
                <w:szCs w:val="28"/>
              </w:rPr>
              <w:t xml:space="preserve">precizētu </w:t>
            </w:r>
            <w:r w:rsidRPr="00667285">
              <w:rPr>
                <w:sz w:val="28"/>
                <w:szCs w:val="28"/>
              </w:rPr>
              <w:t>redakcij</w:t>
            </w:r>
            <w:r w:rsidR="003D5D3B">
              <w:rPr>
                <w:sz w:val="28"/>
                <w:szCs w:val="28"/>
              </w:rPr>
              <w:t>u</w:t>
            </w:r>
            <w:r w:rsidRPr="00667285">
              <w:rPr>
                <w:sz w:val="28"/>
                <w:szCs w:val="28"/>
              </w:rPr>
              <w:t>.</w:t>
            </w:r>
          </w:p>
        </w:tc>
      </w:tr>
      <w:tr w:rsidR="00EB2ACB" w:rsidRPr="00667285" w:rsidTr="008107EC">
        <w:tc>
          <w:tcPr>
            <w:tcW w:w="550" w:type="dxa"/>
          </w:tcPr>
          <w:p w:rsidR="000078D2" w:rsidRPr="00667285" w:rsidRDefault="00C80B56" w:rsidP="000078D2">
            <w:pPr>
              <w:pStyle w:val="naiskr"/>
              <w:spacing w:before="0" w:after="0"/>
              <w:rPr>
                <w:sz w:val="28"/>
                <w:szCs w:val="28"/>
              </w:rPr>
            </w:pPr>
            <w:r w:rsidRPr="00667285">
              <w:rPr>
                <w:sz w:val="28"/>
                <w:szCs w:val="28"/>
              </w:rPr>
              <w:lastRenderedPageBreak/>
              <w:t>4</w:t>
            </w:r>
            <w:r w:rsidR="000078D2" w:rsidRPr="00667285">
              <w:rPr>
                <w:sz w:val="28"/>
                <w:szCs w:val="28"/>
              </w:rPr>
              <w:t>.</w:t>
            </w:r>
          </w:p>
        </w:tc>
        <w:tc>
          <w:tcPr>
            <w:tcW w:w="2574" w:type="dxa"/>
          </w:tcPr>
          <w:p w:rsidR="000078D2" w:rsidRPr="00667285" w:rsidRDefault="000078D2" w:rsidP="000078D2">
            <w:pPr>
              <w:pStyle w:val="naiskr"/>
              <w:spacing w:before="0" w:after="0"/>
              <w:rPr>
                <w:sz w:val="28"/>
                <w:szCs w:val="28"/>
              </w:rPr>
            </w:pPr>
            <w:r w:rsidRPr="00667285">
              <w:rPr>
                <w:sz w:val="28"/>
                <w:szCs w:val="28"/>
              </w:rPr>
              <w:t>Cita informācija</w:t>
            </w:r>
          </w:p>
        </w:tc>
        <w:tc>
          <w:tcPr>
            <w:tcW w:w="6601" w:type="dxa"/>
          </w:tcPr>
          <w:p w:rsidR="000078D2" w:rsidRPr="00667285" w:rsidRDefault="000078D2" w:rsidP="00D810A6">
            <w:pPr>
              <w:pStyle w:val="naiskr"/>
              <w:ind w:left="142" w:right="81"/>
              <w:rPr>
                <w:sz w:val="28"/>
                <w:szCs w:val="28"/>
              </w:rPr>
            </w:pPr>
            <w:r w:rsidRPr="00667285">
              <w:rPr>
                <w:sz w:val="28"/>
                <w:szCs w:val="28"/>
              </w:rPr>
              <w:t xml:space="preserve">Nav. </w:t>
            </w:r>
          </w:p>
        </w:tc>
      </w:tr>
    </w:tbl>
    <w:p w:rsidR="00C80B56" w:rsidRPr="00667285" w:rsidRDefault="00C80B56" w:rsidP="00A94521">
      <w:pPr>
        <w:pStyle w:val="naisf"/>
        <w:spacing w:before="0" w:after="0"/>
        <w:ind w:firstLine="0"/>
        <w:rPr>
          <w:color w:val="FF0000"/>
          <w:sz w:val="28"/>
          <w:szCs w:val="28"/>
        </w:rPr>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4395"/>
        <w:gridCol w:w="4791"/>
      </w:tblGrid>
      <w:tr w:rsidR="00EB2ACB" w:rsidRPr="00667285" w:rsidTr="00FD2A8A">
        <w:tc>
          <w:tcPr>
            <w:tcW w:w="9758" w:type="dxa"/>
            <w:gridSpan w:val="3"/>
            <w:vAlign w:val="center"/>
          </w:tcPr>
          <w:p w:rsidR="0062298A" w:rsidRPr="00667285" w:rsidRDefault="0062298A" w:rsidP="006C4607">
            <w:pPr>
              <w:pStyle w:val="naisnod"/>
              <w:spacing w:before="0" w:after="0"/>
              <w:rPr>
                <w:sz w:val="28"/>
                <w:szCs w:val="28"/>
              </w:rPr>
            </w:pPr>
            <w:r w:rsidRPr="00667285">
              <w:rPr>
                <w:sz w:val="28"/>
                <w:szCs w:val="28"/>
              </w:rPr>
              <w:t>II</w:t>
            </w:r>
            <w:r w:rsidR="000941C5" w:rsidRPr="00667285">
              <w:rPr>
                <w:sz w:val="28"/>
                <w:szCs w:val="28"/>
              </w:rPr>
              <w:t>.</w:t>
            </w:r>
            <w:r w:rsidRPr="00667285">
              <w:rPr>
                <w:sz w:val="28"/>
                <w:szCs w:val="28"/>
              </w:rPr>
              <w:t xml:space="preserve"> Tiesību akta projekta ietekme uz sabiedrību</w:t>
            </w:r>
            <w:r w:rsidR="00692EA2" w:rsidRPr="00667285">
              <w:rPr>
                <w:sz w:val="28"/>
                <w:szCs w:val="28"/>
              </w:rPr>
              <w:t>, tautsaimniecības attīstību un administratīvo slogu</w:t>
            </w:r>
          </w:p>
        </w:tc>
      </w:tr>
      <w:tr w:rsidR="00EB2ACB" w:rsidRPr="00667285" w:rsidTr="0089529B">
        <w:trPr>
          <w:trHeight w:val="467"/>
        </w:trPr>
        <w:tc>
          <w:tcPr>
            <w:tcW w:w="572" w:type="dxa"/>
          </w:tcPr>
          <w:p w:rsidR="0062298A" w:rsidRPr="00667285" w:rsidRDefault="0062298A" w:rsidP="006C4607">
            <w:pPr>
              <w:pStyle w:val="naiskr"/>
              <w:spacing w:before="0" w:after="0"/>
              <w:rPr>
                <w:sz w:val="28"/>
                <w:szCs w:val="28"/>
              </w:rPr>
            </w:pPr>
            <w:r w:rsidRPr="00667285">
              <w:rPr>
                <w:sz w:val="28"/>
                <w:szCs w:val="28"/>
              </w:rPr>
              <w:t>1.</w:t>
            </w:r>
          </w:p>
        </w:tc>
        <w:tc>
          <w:tcPr>
            <w:tcW w:w="4395" w:type="dxa"/>
          </w:tcPr>
          <w:p w:rsidR="0062298A" w:rsidRPr="00667285" w:rsidRDefault="0062205F" w:rsidP="0062205F">
            <w:pPr>
              <w:pStyle w:val="naiskr"/>
              <w:spacing w:before="0" w:after="0"/>
              <w:jc w:val="both"/>
              <w:rPr>
                <w:sz w:val="28"/>
                <w:szCs w:val="28"/>
              </w:rPr>
            </w:pPr>
            <w:r w:rsidRPr="00667285">
              <w:rPr>
                <w:sz w:val="28"/>
                <w:szCs w:val="28"/>
              </w:rPr>
              <w:t xml:space="preserve">Sabiedrības mērķgrupas, kuras tiesiskais regulējums ietekmē vai varētu ietekmēt </w:t>
            </w:r>
          </w:p>
        </w:tc>
        <w:tc>
          <w:tcPr>
            <w:tcW w:w="4791" w:type="dxa"/>
          </w:tcPr>
          <w:p w:rsidR="0062298A" w:rsidRPr="00667285" w:rsidRDefault="009E12D7" w:rsidP="00643033">
            <w:pPr>
              <w:pStyle w:val="naiskr"/>
              <w:spacing w:before="0" w:after="0"/>
              <w:ind w:hanging="57"/>
              <w:rPr>
                <w:sz w:val="28"/>
                <w:szCs w:val="28"/>
              </w:rPr>
            </w:pPr>
            <w:r w:rsidRPr="00667285">
              <w:rPr>
                <w:iCs/>
                <w:sz w:val="28"/>
                <w:szCs w:val="28"/>
              </w:rPr>
              <w:t> </w:t>
            </w:r>
            <w:r w:rsidR="00643033" w:rsidRPr="00667285">
              <w:rPr>
                <w:sz w:val="28"/>
                <w:szCs w:val="28"/>
              </w:rPr>
              <w:t>Noteikumu projekta tiesiskais regulējums nemaina sabiedrības mērķgrupas tiesības un pienākumus, kā arī veicamās darbības.</w:t>
            </w:r>
          </w:p>
        </w:tc>
      </w:tr>
      <w:tr w:rsidR="00EB2ACB" w:rsidRPr="00667285" w:rsidTr="0089529B">
        <w:trPr>
          <w:trHeight w:val="523"/>
        </w:trPr>
        <w:tc>
          <w:tcPr>
            <w:tcW w:w="572" w:type="dxa"/>
          </w:tcPr>
          <w:p w:rsidR="0062298A" w:rsidRPr="00667285" w:rsidRDefault="0062298A" w:rsidP="006C4607">
            <w:pPr>
              <w:pStyle w:val="naiskr"/>
              <w:spacing w:before="0" w:after="0"/>
              <w:rPr>
                <w:sz w:val="28"/>
                <w:szCs w:val="28"/>
              </w:rPr>
            </w:pPr>
            <w:r w:rsidRPr="00667285">
              <w:rPr>
                <w:sz w:val="28"/>
                <w:szCs w:val="28"/>
              </w:rPr>
              <w:t>2.</w:t>
            </w:r>
          </w:p>
        </w:tc>
        <w:tc>
          <w:tcPr>
            <w:tcW w:w="4395" w:type="dxa"/>
          </w:tcPr>
          <w:p w:rsidR="00C1133D" w:rsidRPr="00667285" w:rsidRDefault="0062205F" w:rsidP="0062205F">
            <w:pPr>
              <w:pStyle w:val="naiskr"/>
              <w:spacing w:before="0" w:after="0"/>
              <w:jc w:val="both"/>
              <w:rPr>
                <w:sz w:val="28"/>
                <w:szCs w:val="28"/>
              </w:rPr>
            </w:pPr>
            <w:r w:rsidRPr="00667285">
              <w:rPr>
                <w:sz w:val="28"/>
                <w:szCs w:val="28"/>
              </w:rPr>
              <w:t>Tiesiskā regulējuma ietekme uz tautsaimniecību un administratīvo slogu</w:t>
            </w:r>
          </w:p>
        </w:tc>
        <w:tc>
          <w:tcPr>
            <w:tcW w:w="4791" w:type="dxa"/>
          </w:tcPr>
          <w:p w:rsidR="00643033" w:rsidRPr="00667285" w:rsidRDefault="00643033" w:rsidP="006C4607">
            <w:pPr>
              <w:pStyle w:val="naiskr"/>
              <w:spacing w:before="0" w:after="0"/>
              <w:rPr>
                <w:sz w:val="28"/>
                <w:szCs w:val="28"/>
              </w:rPr>
            </w:pPr>
            <w:r w:rsidRPr="00667285">
              <w:rPr>
                <w:sz w:val="28"/>
                <w:szCs w:val="28"/>
              </w:rPr>
              <w:t>Noteikumu projekta tiesiskajam regulējumam nav ietekmes uz tautsaimniecību un administratīvo slogu.</w:t>
            </w:r>
            <w:r w:rsidR="003E3097" w:rsidRPr="00667285">
              <w:rPr>
                <w:sz w:val="28"/>
                <w:szCs w:val="28"/>
              </w:rPr>
              <w:t xml:space="preserve"> </w:t>
            </w:r>
          </w:p>
        </w:tc>
      </w:tr>
      <w:tr w:rsidR="00EB2ACB" w:rsidRPr="00667285" w:rsidTr="0089529B">
        <w:trPr>
          <w:trHeight w:val="517"/>
        </w:trPr>
        <w:tc>
          <w:tcPr>
            <w:tcW w:w="572" w:type="dxa"/>
          </w:tcPr>
          <w:p w:rsidR="00EE0FC5" w:rsidRPr="00667285" w:rsidRDefault="00EE0FC5" w:rsidP="006C4607">
            <w:pPr>
              <w:pStyle w:val="naiskr"/>
              <w:spacing w:before="0" w:after="0"/>
              <w:rPr>
                <w:sz w:val="28"/>
                <w:szCs w:val="28"/>
              </w:rPr>
            </w:pPr>
            <w:r w:rsidRPr="00667285">
              <w:rPr>
                <w:sz w:val="28"/>
                <w:szCs w:val="28"/>
              </w:rPr>
              <w:t>3.</w:t>
            </w:r>
          </w:p>
        </w:tc>
        <w:tc>
          <w:tcPr>
            <w:tcW w:w="4395" w:type="dxa"/>
          </w:tcPr>
          <w:p w:rsidR="00EE0FC5" w:rsidRPr="00667285" w:rsidRDefault="0062205F" w:rsidP="0062205F">
            <w:pPr>
              <w:pStyle w:val="naiskr"/>
              <w:spacing w:before="0" w:after="0"/>
              <w:jc w:val="both"/>
              <w:rPr>
                <w:sz w:val="28"/>
                <w:szCs w:val="28"/>
              </w:rPr>
            </w:pPr>
            <w:r w:rsidRPr="00667285">
              <w:rPr>
                <w:sz w:val="28"/>
                <w:szCs w:val="28"/>
              </w:rPr>
              <w:t>Administratīvo izmaksu monetārs novērtējums</w:t>
            </w:r>
          </w:p>
        </w:tc>
        <w:tc>
          <w:tcPr>
            <w:tcW w:w="4791" w:type="dxa"/>
          </w:tcPr>
          <w:p w:rsidR="00EE0FC5" w:rsidRPr="00667285" w:rsidRDefault="00A12B8C" w:rsidP="00975279">
            <w:pPr>
              <w:rPr>
                <w:sz w:val="28"/>
                <w:szCs w:val="28"/>
              </w:rPr>
            </w:pPr>
            <w:r w:rsidRPr="00667285">
              <w:rPr>
                <w:sz w:val="28"/>
                <w:szCs w:val="28"/>
              </w:rPr>
              <w:t>Projekts šo jomu neskar</w:t>
            </w:r>
            <w:r w:rsidR="00F6635C" w:rsidRPr="00667285">
              <w:rPr>
                <w:sz w:val="28"/>
                <w:szCs w:val="28"/>
              </w:rPr>
              <w:t>.</w:t>
            </w:r>
          </w:p>
        </w:tc>
      </w:tr>
      <w:tr w:rsidR="00EB2ACB" w:rsidRPr="00667285" w:rsidTr="0089529B">
        <w:trPr>
          <w:trHeight w:val="517"/>
        </w:trPr>
        <w:tc>
          <w:tcPr>
            <w:tcW w:w="572" w:type="dxa"/>
          </w:tcPr>
          <w:p w:rsidR="00EE0FC5" w:rsidRPr="00667285" w:rsidRDefault="00EE0FC5" w:rsidP="006C4607">
            <w:pPr>
              <w:pStyle w:val="naiskr"/>
              <w:spacing w:before="0" w:after="0"/>
              <w:rPr>
                <w:sz w:val="28"/>
                <w:szCs w:val="28"/>
              </w:rPr>
            </w:pPr>
            <w:r w:rsidRPr="00667285">
              <w:rPr>
                <w:sz w:val="28"/>
                <w:szCs w:val="28"/>
              </w:rPr>
              <w:t>4.</w:t>
            </w:r>
          </w:p>
        </w:tc>
        <w:tc>
          <w:tcPr>
            <w:tcW w:w="4395" w:type="dxa"/>
          </w:tcPr>
          <w:p w:rsidR="00EE0FC5" w:rsidRPr="00667285" w:rsidRDefault="0062205F" w:rsidP="006C4607">
            <w:pPr>
              <w:pStyle w:val="naiskr"/>
              <w:spacing w:before="0" w:after="0"/>
              <w:rPr>
                <w:sz w:val="28"/>
                <w:szCs w:val="28"/>
              </w:rPr>
            </w:pPr>
            <w:r w:rsidRPr="00667285">
              <w:rPr>
                <w:sz w:val="28"/>
                <w:szCs w:val="28"/>
              </w:rPr>
              <w:t>Cita informācija</w:t>
            </w:r>
          </w:p>
        </w:tc>
        <w:tc>
          <w:tcPr>
            <w:tcW w:w="4791" w:type="dxa"/>
          </w:tcPr>
          <w:p w:rsidR="00EE0FC5" w:rsidRPr="00667285" w:rsidRDefault="0062205F" w:rsidP="00B94CBD">
            <w:pPr>
              <w:rPr>
                <w:sz w:val="28"/>
                <w:szCs w:val="28"/>
              </w:rPr>
            </w:pPr>
            <w:r w:rsidRPr="00667285">
              <w:rPr>
                <w:sz w:val="28"/>
                <w:szCs w:val="28"/>
              </w:rPr>
              <w:t>Nav</w:t>
            </w:r>
            <w:r w:rsidR="00F6635C" w:rsidRPr="00667285">
              <w:rPr>
                <w:sz w:val="28"/>
                <w:szCs w:val="28"/>
              </w:rPr>
              <w:t>.</w:t>
            </w:r>
          </w:p>
        </w:tc>
      </w:tr>
    </w:tbl>
    <w:p w:rsidR="00AC315F" w:rsidRPr="00667285" w:rsidRDefault="00AC315F" w:rsidP="006C4607">
      <w:pPr>
        <w:pStyle w:val="naiskr"/>
        <w:tabs>
          <w:tab w:val="left" w:pos="2628"/>
        </w:tabs>
        <w:spacing w:before="0" w:after="0"/>
        <w:rPr>
          <w:i/>
          <w:sz w:val="28"/>
          <w:szCs w:val="28"/>
        </w:rPr>
      </w:pPr>
    </w:p>
    <w:tbl>
      <w:tblPr>
        <w:tblStyle w:val="TableGrid"/>
        <w:tblW w:w="5398" w:type="pct"/>
        <w:tblInd w:w="-289" w:type="dxa"/>
        <w:tblLook w:val="04A0" w:firstRow="1" w:lastRow="0" w:firstColumn="1" w:lastColumn="0" w:noHBand="0" w:noVBand="1"/>
      </w:tblPr>
      <w:tblGrid>
        <w:gridCol w:w="540"/>
        <w:gridCol w:w="4318"/>
        <w:gridCol w:w="4924"/>
      </w:tblGrid>
      <w:tr w:rsidR="00AC70DC" w:rsidRPr="00667285" w:rsidTr="00AC70DC">
        <w:trPr>
          <w:trHeight w:val="420"/>
        </w:trPr>
        <w:tc>
          <w:tcPr>
            <w:tcW w:w="5000" w:type="pct"/>
            <w:gridSpan w:val="3"/>
            <w:hideMark/>
          </w:tcPr>
          <w:p w:rsidR="00AC70DC" w:rsidRPr="00667285" w:rsidRDefault="00AC70DC" w:rsidP="00FE6DBE">
            <w:pPr>
              <w:spacing w:before="100" w:beforeAutospacing="1" w:after="100" w:afterAutospacing="1"/>
              <w:jc w:val="center"/>
              <w:rPr>
                <w:b/>
                <w:bCs/>
                <w:sz w:val="28"/>
                <w:szCs w:val="28"/>
              </w:rPr>
            </w:pPr>
            <w:r w:rsidRPr="00667285">
              <w:rPr>
                <w:b/>
                <w:bCs/>
                <w:sz w:val="28"/>
                <w:szCs w:val="28"/>
              </w:rPr>
              <w:t>VI. Sabiedrības līdzdalība un komunikācijas aktivitātes</w:t>
            </w:r>
          </w:p>
        </w:tc>
      </w:tr>
      <w:tr w:rsidR="00AC70DC" w:rsidRPr="00667285" w:rsidTr="00AC70DC">
        <w:trPr>
          <w:trHeight w:val="540"/>
        </w:trPr>
        <w:tc>
          <w:tcPr>
            <w:tcW w:w="276" w:type="pct"/>
            <w:hideMark/>
          </w:tcPr>
          <w:p w:rsidR="00AC70DC" w:rsidRPr="00667285" w:rsidRDefault="00AC70DC" w:rsidP="00FE6DBE">
            <w:pPr>
              <w:rPr>
                <w:sz w:val="28"/>
                <w:szCs w:val="28"/>
              </w:rPr>
            </w:pPr>
            <w:r w:rsidRPr="00667285">
              <w:rPr>
                <w:sz w:val="28"/>
                <w:szCs w:val="28"/>
              </w:rPr>
              <w:t>1.</w:t>
            </w:r>
          </w:p>
        </w:tc>
        <w:tc>
          <w:tcPr>
            <w:tcW w:w="2207" w:type="pct"/>
            <w:hideMark/>
          </w:tcPr>
          <w:p w:rsidR="00AC70DC" w:rsidRPr="00667285" w:rsidRDefault="00AC70DC" w:rsidP="00FE6DBE">
            <w:pPr>
              <w:rPr>
                <w:sz w:val="28"/>
                <w:szCs w:val="28"/>
              </w:rPr>
            </w:pPr>
            <w:r w:rsidRPr="00667285">
              <w:rPr>
                <w:sz w:val="28"/>
                <w:szCs w:val="28"/>
              </w:rPr>
              <w:t>Plānotās sabiedrības līdzdalības un komunikācijas aktivitātes saistībā ar projektu</w:t>
            </w:r>
          </w:p>
        </w:tc>
        <w:tc>
          <w:tcPr>
            <w:tcW w:w="2517" w:type="pct"/>
            <w:hideMark/>
          </w:tcPr>
          <w:p w:rsidR="00AC70DC" w:rsidRPr="00667285" w:rsidRDefault="004E0FED" w:rsidP="00FE6DBE">
            <w:pPr>
              <w:rPr>
                <w:sz w:val="28"/>
                <w:szCs w:val="28"/>
              </w:rPr>
            </w:pPr>
            <w:r w:rsidRPr="00667285">
              <w:rPr>
                <w:sz w:val="28"/>
                <w:szCs w:val="28"/>
              </w:rPr>
              <w:t>Īpašas sabiedrības līdzdalības un komunikācijas aktivitātes nav plānotas.</w:t>
            </w:r>
          </w:p>
        </w:tc>
      </w:tr>
      <w:tr w:rsidR="00AC70DC" w:rsidRPr="00667285" w:rsidTr="00B94CBD">
        <w:trPr>
          <w:trHeight w:val="330"/>
        </w:trPr>
        <w:tc>
          <w:tcPr>
            <w:tcW w:w="276" w:type="pct"/>
            <w:hideMark/>
          </w:tcPr>
          <w:p w:rsidR="00AC70DC" w:rsidRPr="00667285" w:rsidRDefault="00AC70DC" w:rsidP="00FE6DBE">
            <w:pPr>
              <w:rPr>
                <w:sz w:val="28"/>
                <w:szCs w:val="28"/>
              </w:rPr>
            </w:pPr>
            <w:r w:rsidRPr="00667285">
              <w:rPr>
                <w:sz w:val="28"/>
                <w:szCs w:val="28"/>
              </w:rPr>
              <w:t>2.</w:t>
            </w:r>
          </w:p>
        </w:tc>
        <w:tc>
          <w:tcPr>
            <w:tcW w:w="2207" w:type="pct"/>
            <w:hideMark/>
          </w:tcPr>
          <w:p w:rsidR="00AC70DC" w:rsidRPr="00667285" w:rsidRDefault="00AC70DC" w:rsidP="00FE6DBE">
            <w:pPr>
              <w:rPr>
                <w:sz w:val="28"/>
                <w:szCs w:val="28"/>
              </w:rPr>
            </w:pPr>
            <w:r w:rsidRPr="00667285">
              <w:rPr>
                <w:sz w:val="28"/>
                <w:szCs w:val="28"/>
              </w:rPr>
              <w:t>Sabiedrības līdzdalība projekta izstrādē</w:t>
            </w:r>
          </w:p>
        </w:tc>
        <w:tc>
          <w:tcPr>
            <w:tcW w:w="2517" w:type="pct"/>
          </w:tcPr>
          <w:p w:rsidR="00AC70DC" w:rsidRPr="00667285" w:rsidRDefault="004E0FED" w:rsidP="0072423E">
            <w:pPr>
              <w:rPr>
                <w:sz w:val="28"/>
                <w:szCs w:val="28"/>
              </w:rPr>
            </w:pPr>
            <w:r w:rsidRPr="00667285">
              <w:rPr>
                <w:sz w:val="28"/>
                <w:szCs w:val="28"/>
              </w:rPr>
              <w:t> Lai informētu sabiedrību un nodrošinātu iespēju izteikt viedokļus, noteikumu projekts kopā ar sākotnējās ietekmes novērtējuma ziņojumu tiks ievietots Ekonomikas ministrijas un Centrālās statistikas pārvaldes mājas lapā internetā, aicinot sabiedrību izteikt atsauksmes un viedokļus.</w:t>
            </w:r>
          </w:p>
        </w:tc>
      </w:tr>
      <w:tr w:rsidR="00AC70DC" w:rsidRPr="00667285" w:rsidTr="00AC70DC">
        <w:trPr>
          <w:trHeight w:val="465"/>
        </w:trPr>
        <w:tc>
          <w:tcPr>
            <w:tcW w:w="276" w:type="pct"/>
            <w:hideMark/>
          </w:tcPr>
          <w:p w:rsidR="00AC70DC" w:rsidRPr="00667285" w:rsidRDefault="00AC70DC" w:rsidP="00FE6DBE">
            <w:pPr>
              <w:rPr>
                <w:sz w:val="28"/>
                <w:szCs w:val="28"/>
              </w:rPr>
            </w:pPr>
            <w:r w:rsidRPr="00667285">
              <w:rPr>
                <w:sz w:val="28"/>
                <w:szCs w:val="28"/>
              </w:rPr>
              <w:t>3.</w:t>
            </w:r>
          </w:p>
        </w:tc>
        <w:tc>
          <w:tcPr>
            <w:tcW w:w="2207" w:type="pct"/>
            <w:hideMark/>
          </w:tcPr>
          <w:p w:rsidR="00AC70DC" w:rsidRPr="00667285" w:rsidRDefault="00AC70DC" w:rsidP="00FE6DBE">
            <w:pPr>
              <w:rPr>
                <w:sz w:val="28"/>
                <w:szCs w:val="28"/>
              </w:rPr>
            </w:pPr>
            <w:r w:rsidRPr="00667285">
              <w:rPr>
                <w:sz w:val="28"/>
                <w:szCs w:val="28"/>
              </w:rPr>
              <w:t>Sabiedrības līdzdalības rezultāti</w:t>
            </w:r>
          </w:p>
        </w:tc>
        <w:tc>
          <w:tcPr>
            <w:tcW w:w="2517" w:type="pct"/>
            <w:hideMark/>
          </w:tcPr>
          <w:p w:rsidR="00AC70DC" w:rsidRPr="00667285" w:rsidRDefault="000F7457" w:rsidP="00FE6DBE">
            <w:pPr>
              <w:rPr>
                <w:sz w:val="28"/>
                <w:szCs w:val="28"/>
              </w:rPr>
            </w:pPr>
            <w:r>
              <w:rPr>
                <w:sz w:val="28"/>
                <w:szCs w:val="28"/>
              </w:rPr>
              <w:t>Atsauksmes vai viedokļi par noteikumu projektu netika saņemti.</w:t>
            </w:r>
          </w:p>
        </w:tc>
      </w:tr>
      <w:tr w:rsidR="00AC70DC" w:rsidRPr="00667285" w:rsidTr="00AC70DC">
        <w:trPr>
          <w:trHeight w:val="465"/>
        </w:trPr>
        <w:tc>
          <w:tcPr>
            <w:tcW w:w="276" w:type="pct"/>
            <w:hideMark/>
          </w:tcPr>
          <w:p w:rsidR="00AC70DC" w:rsidRPr="00667285" w:rsidRDefault="00AC70DC" w:rsidP="00FE6DBE">
            <w:pPr>
              <w:rPr>
                <w:sz w:val="28"/>
                <w:szCs w:val="28"/>
              </w:rPr>
            </w:pPr>
            <w:r w:rsidRPr="00667285">
              <w:rPr>
                <w:sz w:val="28"/>
                <w:szCs w:val="28"/>
              </w:rPr>
              <w:t>4.</w:t>
            </w:r>
          </w:p>
        </w:tc>
        <w:tc>
          <w:tcPr>
            <w:tcW w:w="2207" w:type="pct"/>
            <w:hideMark/>
          </w:tcPr>
          <w:p w:rsidR="00AC70DC" w:rsidRPr="00667285" w:rsidRDefault="00AC70DC" w:rsidP="00FE6DBE">
            <w:pPr>
              <w:rPr>
                <w:sz w:val="28"/>
                <w:szCs w:val="28"/>
              </w:rPr>
            </w:pPr>
            <w:r w:rsidRPr="00667285">
              <w:rPr>
                <w:sz w:val="28"/>
                <w:szCs w:val="28"/>
              </w:rPr>
              <w:t>Cita informācija</w:t>
            </w:r>
          </w:p>
        </w:tc>
        <w:tc>
          <w:tcPr>
            <w:tcW w:w="2517" w:type="pct"/>
            <w:hideMark/>
          </w:tcPr>
          <w:p w:rsidR="00AC70DC" w:rsidRPr="00667285" w:rsidRDefault="00AC70DC" w:rsidP="00FE6DBE">
            <w:pPr>
              <w:spacing w:before="100" w:beforeAutospacing="1" w:after="100" w:afterAutospacing="1"/>
              <w:rPr>
                <w:sz w:val="28"/>
                <w:szCs w:val="28"/>
              </w:rPr>
            </w:pPr>
            <w:r w:rsidRPr="00667285">
              <w:rPr>
                <w:sz w:val="28"/>
                <w:szCs w:val="28"/>
              </w:rPr>
              <w:t>Nav</w:t>
            </w:r>
            <w:r w:rsidR="00F6635C" w:rsidRPr="00667285">
              <w:rPr>
                <w:sz w:val="28"/>
                <w:szCs w:val="28"/>
              </w:rPr>
              <w:t>.</w:t>
            </w:r>
          </w:p>
        </w:tc>
      </w:tr>
    </w:tbl>
    <w:p w:rsidR="00AC70DC" w:rsidRPr="00667285" w:rsidRDefault="00AC70DC" w:rsidP="006C4607">
      <w:pPr>
        <w:pStyle w:val="naiskr"/>
        <w:tabs>
          <w:tab w:val="left" w:pos="2628"/>
        </w:tabs>
        <w:spacing w:before="0" w:after="0"/>
        <w:rPr>
          <w:i/>
          <w:sz w:val="28"/>
          <w:szCs w:val="28"/>
        </w:rPr>
      </w:pPr>
    </w:p>
    <w:tbl>
      <w:tblPr>
        <w:tblW w:w="970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4"/>
        <w:gridCol w:w="4256"/>
        <w:gridCol w:w="4888"/>
      </w:tblGrid>
      <w:tr w:rsidR="0023436E" w:rsidRPr="00667285" w:rsidTr="00A94DC2">
        <w:trPr>
          <w:trHeight w:val="275"/>
        </w:trPr>
        <w:tc>
          <w:tcPr>
            <w:tcW w:w="9708" w:type="dxa"/>
            <w:gridSpan w:val="3"/>
            <w:tcBorders>
              <w:top w:val="single" w:sz="4" w:space="0" w:color="auto"/>
            </w:tcBorders>
          </w:tcPr>
          <w:p w:rsidR="0023436E" w:rsidRPr="00667285" w:rsidRDefault="0023436E" w:rsidP="007D099D">
            <w:pPr>
              <w:pStyle w:val="naisnod"/>
              <w:spacing w:before="0" w:after="0"/>
              <w:ind w:left="57" w:right="57"/>
              <w:rPr>
                <w:sz w:val="28"/>
                <w:szCs w:val="28"/>
              </w:rPr>
            </w:pPr>
            <w:r w:rsidRPr="00667285">
              <w:rPr>
                <w:sz w:val="28"/>
                <w:szCs w:val="28"/>
              </w:rPr>
              <w:t>VII</w:t>
            </w:r>
            <w:r w:rsidR="000941C5" w:rsidRPr="00667285">
              <w:rPr>
                <w:sz w:val="28"/>
                <w:szCs w:val="28"/>
              </w:rPr>
              <w:t>.</w:t>
            </w:r>
            <w:r w:rsidRPr="00667285">
              <w:rPr>
                <w:sz w:val="28"/>
                <w:szCs w:val="28"/>
              </w:rPr>
              <w:t xml:space="preserve"> Tiesību akta projekta izpildes nodrošināšana un tās ietekme uz institūcijām</w:t>
            </w:r>
          </w:p>
        </w:tc>
      </w:tr>
      <w:tr w:rsidR="000078D2" w:rsidRPr="00667285" w:rsidTr="0089529B">
        <w:trPr>
          <w:trHeight w:val="434"/>
        </w:trPr>
        <w:tc>
          <w:tcPr>
            <w:tcW w:w="564" w:type="dxa"/>
          </w:tcPr>
          <w:p w:rsidR="000078D2" w:rsidRPr="00667285" w:rsidRDefault="000078D2" w:rsidP="007D099D">
            <w:pPr>
              <w:pStyle w:val="naisnod"/>
              <w:spacing w:before="0" w:after="0"/>
              <w:ind w:left="57" w:right="57"/>
              <w:jc w:val="left"/>
              <w:rPr>
                <w:b w:val="0"/>
                <w:sz w:val="28"/>
                <w:szCs w:val="28"/>
              </w:rPr>
            </w:pPr>
            <w:r w:rsidRPr="00667285">
              <w:rPr>
                <w:b w:val="0"/>
                <w:sz w:val="28"/>
                <w:szCs w:val="28"/>
              </w:rPr>
              <w:t>1.</w:t>
            </w:r>
          </w:p>
        </w:tc>
        <w:tc>
          <w:tcPr>
            <w:tcW w:w="4256" w:type="dxa"/>
          </w:tcPr>
          <w:p w:rsidR="000078D2" w:rsidRPr="00667285" w:rsidRDefault="00A94DC2" w:rsidP="00A94DC2">
            <w:pPr>
              <w:pStyle w:val="naisf"/>
              <w:spacing w:before="0" w:after="0"/>
              <w:ind w:left="57" w:right="57" w:firstLine="0"/>
              <w:rPr>
                <w:sz w:val="28"/>
                <w:szCs w:val="28"/>
              </w:rPr>
            </w:pPr>
            <w:r w:rsidRPr="00667285">
              <w:rPr>
                <w:sz w:val="28"/>
                <w:szCs w:val="28"/>
              </w:rPr>
              <w:t>Projekta izpildē iesaistītās institūcijas</w:t>
            </w:r>
          </w:p>
        </w:tc>
        <w:tc>
          <w:tcPr>
            <w:tcW w:w="4888" w:type="dxa"/>
          </w:tcPr>
          <w:p w:rsidR="000078D2" w:rsidRPr="00667285" w:rsidRDefault="007B00EC" w:rsidP="0072423E">
            <w:pPr>
              <w:pStyle w:val="naiskr"/>
              <w:jc w:val="both"/>
              <w:rPr>
                <w:sz w:val="28"/>
                <w:szCs w:val="28"/>
              </w:rPr>
            </w:pPr>
            <w:r w:rsidRPr="00667285">
              <w:rPr>
                <w:sz w:val="28"/>
                <w:szCs w:val="28"/>
              </w:rPr>
              <w:t>N</w:t>
            </w:r>
            <w:r w:rsidR="000078D2" w:rsidRPr="00667285">
              <w:rPr>
                <w:sz w:val="28"/>
                <w:szCs w:val="28"/>
              </w:rPr>
              <w:t xml:space="preserve">oteikumu projekta izpildi nodrošinās </w:t>
            </w:r>
            <w:r w:rsidR="003E3097" w:rsidRPr="00667285">
              <w:rPr>
                <w:sz w:val="28"/>
                <w:szCs w:val="28"/>
              </w:rPr>
              <w:t xml:space="preserve">PMLP </w:t>
            </w:r>
            <w:r w:rsidR="00B94CBD" w:rsidRPr="00667285">
              <w:rPr>
                <w:sz w:val="28"/>
                <w:szCs w:val="28"/>
              </w:rPr>
              <w:t xml:space="preserve">un </w:t>
            </w:r>
            <w:r w:rsidR="0072423E" w:rsidRPr="00667285">
              <w:rPr>
                <w:sz w:val="28"/>
                <w:szCs w:val="28"/>
              </w:rPr>
              <w:t>P</w:t>
            </w:r>
            <w:r w:rsidR="00B94CBD" w:rsidRPr="00667285">
              <w:rPr>
                <w:sz w:val="28"/>
                <w:szCs w:val="28"/>
              </w:rPr>
              <w:t>ārvalde.</w:t>
            </w:r>
            <w:r w:rsidR="000078D2" w:rsidRPr="00667285">
              <w:rPr>
                <w:sz w:val="28"/>
                <w:szCs w:val="28"/>
              </w:rPr>
              <w:t xml:space="preserve"> </w:t>
            </w:r>
          </w:p>
        </w:tc>
      </w:tr>
      <w:tr w:rsidR="000078D2" w:rsidRPr="00667285" w:rsidTr="0089529B">
        <w:trPr>
          <w:trHeight w:val="471"/>
        </w:trPr>
        <w:tc>
          <w:tcPr>
            <w:tcW w:w="564" w:type="dxa"/>
          </w:tcPr>
          <w:p w:rsidR="000078D2" w:rsidRPr="00667285" w:rsidRDefault="000078D2" w:rsidP="007D099D">
            <w:pPr>
              <w:pStyle w:val="naisnod"/>
              <w:spacing w:before="0" w:after="0"/>
              <w:ind w:left="57" w:right="57"/>
              <w:jc w:val="left"/>
              <w:rPr>
                <w:b w:val="0"/>
                <w:sz w:val="28"/>
                <w:szCs w:val="28"/>
              </w:rPr>
            </w:pPr>
            <w:r w:rsidRPr="00667285">
              <w:rPr>
                <w:b w:val="0"/>
                <w:sz w:val="28"/>
                <w:szCs w:val="28"/>
              </w:rPr>
              <w:lastRenderedPageBreak/>
              <w:t>2.</w:t>
            </w:r>
          </w:p>
        </w:tc>
        <w:tc>
          <w:tcPr>
            <w:tcW w:w="4256" w:type="dxa"/>
          </w:tcPr>
          <w:p w:rsidR="00A94DC2" w:rsidRPr="00667285" w:rsidRDefault="00A94DC2" w:rsidP="00A94DC2">
            <w:pPr>
              <w:jc w:val="both"/>
              <w:rPr>
                <w:sz w:val="28"/>
                <w:szCs w:val="28"/>
              </w:rPr>
            </w:pPr>
            <w:r w:rsidRPr="00667285">
              <w:rPr>
                <w:sz w:val="28"/>
                <w:szCs w:val="28"/>
              </w:rPr>
              <w:t xml:space="preserve">Projekta izpildes ietekme uz pārvaldes funkcijām un institucionālo struktūru. </w:t>
            </w:r>
          </w:p>
          <w:p w:rsidR="00A94DC2" w:rsidRPr="00667285" w:rsidRDefault="00A94DC2" w:rsidP="00A94DC2">
            <w:pPr>
              <w:jc w:val="both"/>
              <w:rPr>
                <w:sz w:val="28"/>
                <w:szCs w:val="28"/>
              </w:rPr>
            </w:pPr>
            <w:r w:rsidRPr="00667285">
              <w:rPr>
                <w:sz w:val="28"/>
                <w:szCs w:val="28"/>
              </w:rPr>
              <w:t>Jaunu institūciju izveide, esošu institūciju likvidācija vai reorganizācija, to ietekme uz institūcijas cilvēkresursiem</w:t>
            </w:r>
          </w:p>
          <w:p w:rsidR="000078D2" w:rsidRPr="00667285" w:rsidRDefault="000078D2" w:rsidP="007D099D">
            <w:pPr>
              <w:pStyle w:val="naisf"/>
              <w:spacing w:before="0" w:after="0"/>
              <w:ind w:left="57" w:right="57" w:firstLine="0"/>
              <w:jc w:val="left"/>
              <w:rPr>
                <w:sz w:val="28"/>
                <w:szCs w:val="28"/>
              </w:rPr>
            </w:pPr>
          </w:p>
        </w:tc>
        <w:tc>
          <w:tcPr>
            <w:tcW w:w="4888" w:type="dxa"/>
          </w:tcPr>
          <w:p w:rsidR="0072423E" w:rsidRPr="00667285" w:rsidRDefault="0072423E" w:rsidP="0072423E">
            <w:pPr>
              <w:spacing w:before="75"/>
              <w:jc w:val="both"/>
              <w:rPr>
                <w:sz w:val="28"/>
                <w:szCs w:val="28"/>
              </w:rPr>
            </w:pPr>
            <w:r w:rsidRPr="00667285">
              <w:rPr>
                <w:color w:val="000000"/>
                <w:sz w:val="28"/>
                <w:szCs w:val="28"/>
              </w:rPr>
              <w:t>Noteikumu projekts nemaina PMLP un Pārvaldes kompetenci un funkcijas, kā arī neparedz jaunu institūciju izveidi, esošo institūciju likvidāciju vai reorganizāciju.</w:t>
            </w:r>
          </w:p>
          <w:p w:rsidR="000078D2" w:rsidRPr="00667285" w:rsidRDefault="000078D2" w:rsidP="004B42A0">
            <w:pPr>
              <w:pStyle w:val="naiskr"/>
              <w:jc w:val="both"/>
              <w:rPr>
                <w:sz w:val="28"/>
                <w:szCs w:val="28"/>
              </w:rPr>
            </w:pPr>
          </w:p>
        </w:tc>
      </w:tr>
      <w:tr w:rsidR="000078D2" w:rsidRPr="00667285" w:rsidTr="0089529B">
        <w:trPr>
          <w:trHeight w:val="737"/>
        </w:trPr>
        <w:tc>
          <w:tcPr>
            <w:tcW w:w="564" w:type="dxa"/>
          </w:tcPr>
          <w:p w:rsidR="000078D2" w:rsidRPr="00667285" w:rsidRDefault="000078D2" w:rsidP="007D099D">
            <w:pPr>
              <w:pStyle w:val="naisnod"/>
              <w:spacing w:before="0" w:after="0"/>
              <w:ind w:left="57" w:right="57"/>
              <w:jc w:val="left"/>
              <w:rPr>
                <w:b w:val="0"/>
                <w:sz w:val="28"/>
                <w:szCs w:val="28"/>
              </w:rPr>
            </w:pPr>
            <w:r w:rsidRPr="00667285">
              <w:rPr>
                <w:b w:val="0"/>
                <w:sz w:val="28"/>
                <w:szCs w:val="28"/>
              </w:rPr>
              <w:t>3.</w:t>
            </w:r>
          </w:p>
        </w:tc>
        <w:tc>
          <w:tcPr>
            <w:tcW w:w="4256" w:type="dxa"/>
          </w:tcPr>
          <w:p w:rsidR="000078D2" w:rsidRPr="00667285" w:rsidRDefault="00A94DC2" w:rsidP="007D099D">
            <w:pPr>
              <w:pStyle w:val="naisf"/>
              <w:spacing w:before="0" w:after="0"/>
              <w:ind w:left="57" w:right="57" w:firstLine="0"/>
              <w:jc w:val="left"/>
              <w:rPr>
                <w:sz w:val="28"/>
                <w:szCs w:val="28"/>
              </w:rPr>
            </w:pPr>
            <w:r w:rsidRPr="00667285">
              <w:rPr>
                <w:sz w:val="28"/>
                <w:szCs w:val="28"/>
              </w:rPr>
              <w:t>Cita informācija</w:t>
            </w:r>
          </w:p>
        </w:tc>
        <w:tc>
          <w:tcPr>
            <w:tcW w:w="4888" w:type="dxa"/>
          </w:tcPr>
          <w:p w:rsidR="000078D2" w:rsidRPr="00667285" w:rsidRDefault="00A94DC2" w:rsidP="004B42A0">
            <w:pPr>
              <w:pStyle w:val="naiskr"/>
              <w:jc w:val="both"/>
              <w:rPr>
                <w:sz w:val="28"/>
                <w:szCs w:val="28"/>
              </w:rPr>
            </w:pPr>
            <w:r w:rsidRPr="00667285">
              <w:rPr>
                <w:sz w:val="28"/>
                <w:szCs w:val="28"/>
              </w:rPr>
              <w:t>Nav</w:t>
            </w:r>
            <w:r w:rsidR="000078D2" w:rsidRPr="00667285">
              <w:rPr>
                <w:sz w:val="28"/>
                <w:szCs w:val="28"/>
              </w:rPr>
              <w:t xml:space="preserve">. </w:t>
            </w:r>
          </w:p>
        </w:tc>
      </w:tr>
    </w:tbl>
    <w:p w:rsidR="0072423E" w:rsidRPr="00667285" w:rsidRDefault="0072423E" w:rsidP="0072423E">
      <w:pPr>
        <w:rPr>
          <w:sz w:val="28"/>
          <w:szCs w:val="28"/>
        </w:rPr>
      </w:pPr>
      <w:r w:rsidRPr="00667285">
        <w:rPr>
          <w:sz w:val="28"/>
          <w:szCs w:val="28"/>
        </w:rPr>
        <w:t xml:space="preserve">Anotācijas III , IV un V sadaļa – </w:t>
      </w:r>
      <w:r w:rsidRPr="00667285">
        <w:rPr>
          <w:bCs/>
          <w:sz w:val="28"/>
          <w:szCs w:val="28"/>
        </w:rPr>
        <w:t>projekts šīs jomas neskar</w:t>
      </w:r>
      <w:r w:rsidRPr="00667285">
        <w:rPr>
          <w:sz w:val="28"/>
          <w:szCs w:val="28"/>
        </w:rPr>
        <w:t>.</w:t>
      </w:r>
    </w:p>
    <w:p w:rsidR="00214094" w:rsidRPr="00667285" w:rsidRDefault="00214094" w:rsidP="006C4607">
      <w:pPr>
        <w:pStyle w:val="naisf"/>
        <w:tabs>
          <w:tab w:val="left" w:pos="5760"/>
        </w:tabs>
        <w:spacing w:before="0" w:after="0"/>
        <w:ind w:firstLine="720"/>
        <w:rPr>
          <w:sz w:val="28"/>
          <w:szCs w:val="28"/>
        </w:rPr>
      </w:pPr>
    </w:p>
    <w:p w:rsidR="00667285" w:rsidRPr="00667285" w:rsidRDefault="00667285" w:rsidP="003101F6">
      <w:pPr>
        <w:jc w:val="both"/>
        <w:rPr>
          <w:bCs/>
          <w:color w:val="000000"/>
          <w:sz w:val="28"/>
          <w:szCs w:val="28"/>
        </w:rPr>
      </w:pPr>
      <w:r w:rsidRPr="00667285">
        <w:rPr>
          <w:bCs/>
          <w:color w:val="000000"/>
          <w:sz w:val="28"/>
          <w:szCs w:val="28"/>
        </w:rPr>
        <w:t>Ministru prezidenta biedrs,</w:t>
      </w:r>
    </w:p>
    <w:p w:rsidR="00667285" w:rsidRPr="00667285" w:rsidRDefault="00667285" w:rsidP="003101F6">
      <w:pPr>
        <w:jc w:val="both"/>
        <w:rPr>
          <w:sz w:val="28"/>
          <w:szCs w:val="28"/>
        </w:rPr>
      </w:pPr>
      <w:r w:rsidRPr="00667285">
        <w:rPr>
          <w:bCs/>
          <w:color w:val="000000"/>
          <w:sz w:val="28"/>
          <w:szCs w:val="28"/>
        </w:rPr>
        <w:t>ekonomikas ministrs</w:t>
      </w:r>
      <w:r w:rsidRPr="00667285">
        <w:rPr>
          <w:bCs/>
          <w:color w:val="000000"/>
          <w:sz w:val="28"/>
          <w:szCs w:val="28"/>
        </w:rPr>
        <w:tab/>
      </w:r>
      <w:r w:rsidRPr="00667285">
        <w:rPr>
          <w:bCs/>
          <w:color w:val="000000"/>
          <w:sz w:val="28"/>
          <w:szCs w:val="28"/>
        </w:rPr>
        <w:tab/>
      </w:r>
      <w:r w:rsidRPr="00667285">
        <w:rPr>
          <w:bCs/>
          <w:color w:val="000000"/>
          <w:sz w:val="28"/>
          <w:szCs w:val="28"/>
        </w:rPr>
        <w:tab/>
      </w:r>
      <w:r w:rsidRPr="00667285">
        <w:rPr>
          <w:bCs/>
          <w:color w:val="000000"/>
          <w:sz w:val="28"/>
          <w:szCs w:val="28"/>
        </w:rPr>
        <w:tab/>
      </w:r>
      <w:r w:rsidRPr="00667285">
        <w:rPr>
          <w:bCs/>
          <w:color w:val="000000"/>
          <w:sz w:val="28"/>
          <w:szCs w:val="28"/>
        </w:rPr>
        <w:tab/>
      </w:r>
      <w:r w:rsidRPr="00667285">
        <w:rPr>
          <w:bCs/>
          <w:color w:val="000000"/>
          <w:sz w:val="28"/>
          <w:szCs w:val="28"/>
        </w:rPr>
        <w:tab/>
      </w:r>
      <w:r w:rsidRPr="00667285">
        <w:rPr>
          <w:sz w:val="28"/>
          <w:szCs w:val="28"/>
        </w:rPr>
        <w:t>A.Ašeradens</w:t>
      </w:r>
    </w:p>
    <w:p w:rsidR="00975279" w:rsidRPr="00667285" w:rsidRDefault="00975279" w:rsidP="00975279">
      <w:pPr>
        <w:pStyle w:val="naisf"/>
        <w:tabs>
          <w:tab w:val="left" w:pos="6804"/>
        </w:tabs>
        <w:rPr>
          <w:sz w:val="28"/>
          <w:szCs w:val="28"/>
        </w:rPr>
      </w:pPr>
    </w:p>
    <w:p w:rsidR="004E0FED" w:rsidRPr="00667285" w:rsidRDefault="00975279" w:rsidP="004E0FED">
      <w:pPr>
        <w:pStyle w:val="Signature"/>
        <w:spacing w:before="0"/>
        <w:ind w:firstLine="0"/>
        <w:rPr>
          <w:sz w:val="28"/>
          <w:szCs w:val="28"/>
        </w:rPr>
      </w:pPr>
      <w:r w:rsidRPr="00667285">
        <w:rPr>
          <w:sz w:val="28"/>
          <w:szCs w:val="28"/>
        </w:rPr>
        <w:t xml:space="preserve">Vīza: </w:t>
      </w:r>
    </w:p>
    <w:p w:rsidR="004E0FED" w:rsidRPr="00667285" w:rsidRDefault="004E0FED" w:rsidP="004E0FED">
      <w:pPr>
        <w:pStyle w:val="Signature"/>
        <w:spacing w:before="0"/>
        <w:ind w:firstLine="0"/>
        <w:rPr>
          <w:sz w:val="28"/>
          <w:szCs w:val="28"/>
        </w:rPr>
      </w:pPr>
      <w:r w:rsidRPr="00667285">
        <w:rPr>
          <w:sz w:val="28"/>
          <w:szCs w:val="28"/>
        </w:rPr>
        <w:t>Valsts sekretāra pienākumu izpildītājs,</w:t>
      </w:r>
    </w:p>
    <w:p w:rsidR="004E0FED" w:rsidRPr="00667285" w:rsidRDefault="004E0FED" w:rsidP="004E0FED">
      <w:pPr>
        <w:keepNext/>
        <w:rPr>
          <w:sz w:val="28"/>
          <w:szCs w:val="28"/>
          <w:lang w:eastAsia="en-US"/>
        </w:rPr>
      </w:pPr>
      <w:r w:rsidRPr="00667285">
        <w:rPr>
          <w:sz w:val="28"/>
          <w:szCs w:val="28"/>
          <w:lang w:eastAsia="en-US"/>
        </w:rPr>
        <w:t>valsts sekretāra vietnieks                                                                                 R.Aleksejenko</w:t>
      </w:r>
    </w:p>
    <w:p w:rsidR="004E0FED" w:rsidRDefault="004E0FED" w:rsidP="004E0FED">
      <w:pPr>
        <w:rPr>
          <w:rFonts w:ascii="Calibri" w:hAnsi="Calibri"/>
          <w:color w:val="1F497D"/>
          <w:sz w:val="28"/>
          <w:szCs w:val="28"/>
          <w:lang w:eastAsia="en-US"/>
        </w:rPr>
      </w:pPr>
    </w:p>
    <w:p w:rsidR="000F7457" w:rsidRDefault="000F7457" w:rsidP="004E0FED">
      <w:pPr>
        <w:rPr>
          <w:rFonts w:ascii="Calibri" w:hAnsi="Calibri"/>
          <w:color w:val="1F497D"/>
          <w:sz w:val="28"/>
          <w:szCs w:val="28"/>
          <w:lang w:eastAsia="en-US"/>
        </w:rPr>
      </w:pPr>
    </w:p>
    <w:p w:rsidR="000F7457" w:rsidRDefault="000F7457" w:rsidP="004E0FED">
      <w:pPr>
        <w:rPr>
          <w:rFonts w:ascii="Calibri" w:hAnsi="Calibri"/>
          <w:color w:val="1F497D"/>
          <w:sz w:val="28"/>
          <w:szCs w:val="28"/>
          <w:lang w:eastAsia="en-US"/>
        </w:rPr>
      </w:pPr>
    </w:p>
    <w:p w:rsidR="000F7457" w:rsidRDefault="000F7457" w:rsidP="004E0FED">
      <w:pPr>
        <w:rPr>
          <w:rFonts w:ascii="Calibri" w:hAnsi="Calibri"/>
          <w:color w:val="1F497D"/>
          <w:sz w:val="28"/>
          <w:szCs w:val="28"/>
          <w:lang w:eastAsia="en-US"/>
        </w:rPr>
      </w:pPr>
    </w:p>
    <w:p w:rsidR="000F7457" w:rsidRPr="00667285" w:rsidRDefault="000F7457" w:rsidP="004E0FED">
      <w:pPr>
        <w:rPr>
          <w:rFonts w:ascii="Calibri" w:hAnsi="Calibri"/>
          <w:color w:val="1F497D"/>
          <w:sz w:val="28"/>
          <w:szCs w:val="28"/>
          <w:lang w:eastAsia="en-US"/>
        </w:rPr>
      </w:pPr>
    </w:p>
    <w:p w:rsidR="00975279" w:rsidRPr="00667285" w:rsidRDefault="000F7457" w:rsidP="00975279">
      <w:pPr>
        <w:tabs>
          <w:tab w:val="right" w:pos="8306"/>
        </w:tabs>
      </w:pPr>
      <w:r>
        <w:t>20.04</w:t>
      </w:r>
      <w:r w:rsidR="00975279" w:rsidRPr="00667285">
        <w:t>.201</w:t>
      </w:r>
      <w:r w:rsidR="006F108D" w:rsidRPr="00667285">
        <w:t>6</w:t>
      </w:r>
    </w:p>
    <w:p w:rsidR="00975279" w:rsidRPr="00667285" w:rsidRDefault="00361F85" w:rsidP="00975279">
      <w:r>
        <w:fldChar w:fldCharType="begin"/>
      </w:r>
      <w:r>
        <w:instrText xml:space="preserve"> NUMWORDS  \* MERGEFORMAT </w:instrText>
      </w:r>
      <w:r>
        <w:fldChar w:fldCharType="separate"/>
      </w:r>
      <w:r w:rsidR="000F7457">
        <w:rPr>
          <w:noProof/>
        </w:rPr>
        <w:t>566</w:t>
      </w:r>
      <w:r>
        <w:rPr>
          <w:noProof/>
        </w:rPr>
        <w:fldChar w:fldCharType="end"/>
      </w:r>
    </w:p>
    <w:p w:rsidR="00A94DC2" w:rsidRPr="00667285" w:rsidRDefault="0069216B" w:rsidP="0072423E">
      <w:r w:rsidRPr="00667285">
        <w:t>I.Začeste</w:t>
      </w:r>
      <w:r w:rsidR="00667285" w:rsidRPr="00667285">
        <w:t xml:space="preserve">, </w:t>
      </w:r>
      <w:r w:rsidR="00975279" w:rsidRPr="00667285">
        <w:t>67366</w:t>
      </w:r>
      <w:r w:rsidRPr="00667285">
        <w:t>897</w:t>
      </w:r>
      <w:r w:rsidR="00667285" w:rsidRPr="00667285">
        <w:t xml:space="preserve">, </w:t>
      </w:r>
      <w:r w:rsidR="00975279" w:rsidRPr="00667285">
        <w:t xml:space="preserve"> </w:t>
      </w:r>
      <w:r w:rsidRPr="00667285">
        <w:t>Ieva.Zaceste</w:t>
      </w:r>
      <w:r w:rsidR="006F108D" w:rsidRPr="00667285">
        <w:t>@csb.gov.lv</w:t>
      </w:r>
    </w:p>
    <w:sectPr w:rsidR="00A94DC2" w:rsidRPr="00667285" w:rsidSect="00667285">
      <w:headerReference w:type="even" r:id="rId8"/>
      <w:headerReference w:type="default" r:id="rId9"/>
      <w:footerReference w:type="default" r:id="rId10"/>
      <w:footerReference w:type="first" r:id="rId11"/>
      <w:pgSz w:w="11906" w:h="16838" w:code="9"/>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F85" w:rsidRDefault="00361F85">
      <w:r>
        <w:separator/>
      </w:r>
    </w:p>
  </w:endnote>
  <w:endnote w:type="continuationSeparator" w:id="0">
    <w:p w:rsidR="00361F85" w:rsidRDefault="0036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BE" w:rsidRPr="00975279" w:rsidRDefault="00FE6DBE" w:rsidP="00667285">
    <w:pPr>
      <w:pStyle w:val="Footer"/>
      <w:tabs>
        <w:tab w:val="clear" w:pos="8306"/>
        <w:tab w:val="left" w:pos="7552"/>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845A85">
      <w:rPr>
        <w:noProof/>
        <w:sz w:val="20"/>
        <w:szCs w:val="20"/>
      </w:rPr>
      <w:t>EMAnot_200416_TK.docx</w:t>
    </w:r>
    <w:r>
      <w:rPr>
        <w:sz w:val="20"/>
        <w:szCs w:val="20"/>
      </w:rPr>
      <w:fldChar w:fldCharType="end"/>
    </w:r>
    <w:r>
      <w:rPr>
        <w:sz w:val="20"/>
        <w:szCs w:val="20"/>
      </w:rPr>
      <w:t xml:space="preserve">; </w:t>
    </w:r>
    <w:r w:rsidRPr="00017A49">
      <w:rPr>
        <w:rFonts w:cs="Arial"/>
        <w:kern w:val="32"/>
        <w:sz w:val="20"/>
        <w:szCs w:val="20"/>
        <w:lang w:eastAsia="en-US"/>
      </w:rPr>
      <w:t>Mini</w:t>
    </w:r>
    <w:r>
      <w:rPr>
        <w:rFonts w:cs="Arial"/>
        <w:kern w:val="32"/>
        <w:sz w:val="20"/>
        <w:szCs w:val="20"/>
        <w:lang w:eastAsia="en-US"/>
      </w:rPr>
      <w:t>stru kabineta noteikumu projekta</w:t>
    </w:r>
    <w:r w:rsidRPr="00017A49">
      <w:rPr>
        <w:rFonts w:cs="Arial"/>
        <w:kern w:val="32"/>
        <w:sz w:val="20"/>
        <w:szCs w:val="20"/>
        <w:lang w:eastAsia="en-US"/>
      </w:rPr>
      <w:t xml:space="preserve"> „</w:t>
    </w:r>
    <w:r>
      <w:rPr>
        <w:sz w:val="20"/>
        <w:szCs w:val="20"/>
      </w:rPr>
      <w:t>Tautību klasifikators”</w:t>
    </w:r>
    <w:r w:rsidRPr="00C0152F">
      <w:rPr>
        <w:sz w:val="20"/>
        <w:szCs w:val="20"/>
      </w:rPr>
      <w:t xml:space="preserve"> </w:t>
    </w:r>
    <w:r w:rsidRPr="00017A49">
      <w:rPr>
        <w:sz w:val="20"/>
        <w:szCs w:val="20"/>
      </w:rPr>
      <w:t>sākotnējās ietekmes novērtējuma ziņojums (anotācija)</w:t>
    </w:r>
  </w:p>
  <w:p w:rsidR="00FE6DBE" w:rsidRPr="00975279" w:rsidRDefault="00FE6DBE" w:rsidP="00975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BE" w:rsidRPr="00975279" w:rsidRDefault="00FE6DBE" w:rsidP="00975279">
    <w:pPr>
      <w:pStyle w:val="Footer"/>
      <w:tabs>
        <w:tab w:val="clear" w:pos="8306"/>
        <w:tab w:val="left" w:pos="7552"/>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845A85">
      <w:rPr>
        <w:noProof/>
        <w:sz w:val="20"/>
        <w:szCs w:val="20"/>
      </w:rPr>
      <w:t>EMAnot_200416_TK.docx</w:t>
    </w:r>
    <w:r>
      <w:rPr>
        <w:sz w:val="20"/>
        <w:szCs w:val="20"/>
      </w:rPr>
      <w:fldChar w:fldCharType="end"/>
    </w:r>
    <w:r>
      <w:rPr>
        <w:sz w:val="20"/>
        <w:szCs w:val="20"/>
      </w:rPr>
      <w:t xml:space="preserve">; </w:t>
    </w:r>
    <w:r w:rsidRPr="00017A49">
      <w:rPr>
        <w:rFonts w:cs="Arial"/>
        <w:kern w:val="32"/>
        <w:sz w:val="20"/>
        <w:szCs w:val="20"/>
        <w:lang w:eastAsia="en-US"/>
      </w:rPr>
      <w:t>Mini</w:t>
    </w:r>
    <w:r>
      <w:rPr>
        <w:rFonts w:cs="Arial"/>
        <w:kern w:val="32"/>
        <w:sz w:val="20"/>
        <w:szCs w:val="20"/>
        <w:lang w:eastAsia="en-US"/>
      </w:rPr>
      <w:t>stru kabineta noteikumu projekta</w:t>
    </w:r>
    <w:r w:rsidRPr="00017A49">
      <w:rPr>
        <w:rFonts w:cs="Arial"/>
        <w:kern w:val="32"/>
        <w:sz w:val="20"/>
        <w:szCs w:val="20"/>
        <w:lang w:eastAsia="en-US"/>
      </w:rPr>
      <w:t xml:space="preserve"> „</w:t>
    </w:r>
    <w:r>
      <w:rPr>
        <w:sz w:val="20"/>
        <w:szCs w:val="20"/>
      </w:rPr>
      <w:t>Tautību klasifikators”</w:t>
    </w:r>
    <w:r w:rsidRPr="00C0152F">
      <w:rPr>
        <w:sz w:val="20"/>
        <w:szCs w:val="20"/>
      </w:rPr>
      <w:t xml:space="preserve"> </w:t>
    </w:r>
    <w:r w:rsidRPr="00017A49">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F85" w:rsidRDefault="00361F85">
      <w:r>
        <w:separator/>
      </w:r>
    </w:p>
  </w:footnote>
  <w:footnote w:type="continuationSeparator" w:id="0">
    <w:p w:rsidR="00361F85" w:rsidRDefault="00361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BE" w:rsidRDefault="00FE6DB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6DBE" w:rsidRDefault="00FE6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BE" w:rsidRDefault="00FE6DBE" w:rsidP="00017A49">
    <w:pPr>
      <w:pStyle w:val="Header"/>
      <w:tabs>
        <w:tab w:val="center" w:pos="4535"/>
        <w:tab w:val="left" w:pos="5940"/>
      </w:tabs>
    </w:pPr>
    <w:r>
      <w:tab/>
    </w:r>
    <w:r>
      <w:tab/>
    </w:r>
    <w:r>
      <w:fldChar w:fldCharType="begin"/>
    </w:r>
    <w:r>
      <w:instrText xml:space="preserve"> PAGE   \* MERGEFORMAT </w:instrText>
    </w:r>
    <w:r>
      <w:fldChar w:fldCharType="separate"/>
    </w:r>
    <w:r w:rsidR="00845A85">
      <w:rPr>
        <w:noProof/>
      </w:rPr>
      <w:t>3</w:t>
    </w:r>
    <w:r>
      <w:rPr>
        <w:noProof/>
      </w:rPr>
      <w:fldChar w:fldCharType="end"/>
    </w:r>
    <w:r>
      <w:rPr>
        <w:noProof/>
      </w:rPr>
      <w:tab/>
    </w:r>
  </w:p>
  <w:p w:rsidR="00FE6DBE" w:rsidRDefault="00FE6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CD6E4E"/>
    <w:multiLevelType w:val="multilevel"/>
    <w:tmpl w:val="8A369D9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6101F58"/>
    <w:multiLevelType w:val="multilevel"/>
    <w:tmpl w:val="E6A271D4"/>
    <w:lvl w:ilvl="0">
      <w:start w:val="1"/>
      <w:numFmt w:val="decimal"/>
      <w:lvlText w:val="%1."/>
      <w:lvlJc w:val="left"/>
      <w:pPr>
        <w:tabs>
          <w:tab w:val="num" w:pos="555"/>
        </w:tabs>
        <w:ind w:left="555" w:hanging="360"/>
      </w:pPr>
    </w:lvl>
    <w:lvl w:ilvl="1">
      <w:start w:val="1"/>
      <w:numFmt w:val="decimal"/>
      <w:isLgl/>
      <w:lvlText w:val="%2."/>
      <w:lvlJc w:val="left"/>
      <w:pPr>
        <w:tabs>
          <w:tab w:val="num" w:pos="555"/>
        </w:tabs>
        <w:ind w:left="555" w:hanging="360"/>
      </w:pPr>
      <w:rPr>
        <w:rFonts w:ascii="Times New Roman" w:eastAsia="Times New Roman" w:hAnsi="Times New Roman" w:cs="Times New Roman"/>
      </w:rPr>
    </w:lvl>
    <w:lvl w:ilvl="2">
      <w:start w:val="1"/>
      <w:numFmt w:val="decimal"/>
      <w:isLgl/>
      <w:lvlText w:val="%1.%2.%3."/>
      <w:lvlJc w:val="left"/>
      <w:pPr>
        <w:tabs>
          <w:tab w:val="num" w:pos="915"/>
        </w:tabs>
        <w:ind w:left="915" w:hanging="720"/>
      </w:pPr>
      <w:rPr>
        <w:rFonts w:hint="default"/>
      </w:rPr>
    </w:lvl>
    <w:lvl w:ilvl="3">
      <w:start w:val="1"/>
      <w:numFmt w:val="decimal"/>
      <w:isLgl/>
      <w:lvlText w:val="%1.%2.%3.%4."/>
      <w:lvlJc w:val="left"/>
      <w:pPr>
        <w:tabs>
          <w:tab w:val="num" w:pos="915"/>
        </w:tabs>
        <w:ind w:left="915" w:hanging="720"/>
      </w:pPr>
      <w:rPr>
        <w:rFonts w:hint="default"/>
      </w:rPr>
    </w:lvl>
    <w:lvl w:ilvl="4">
      <w:start w:val="1"/>
      <w:numFmt w:val="decimal"/>
      <w:isLgl/>
      <w:lvlText w:val="%1.%2.%3.%4.%5."/>
      <w:lvlJc w:val="left"/>
      <w:pPr>
        <w:tabs>
          <w:tab w:val="num" w:pos="1275"/>
        </w:tabs>
        <w:ind w:left="1275" w:hanging="1080"/>
      </w:pPr>
      <w:rPr>
        <w:rFonts w:hint="default"/>
      </w:rPr>
    </w:lvl>
    <w:lvl w:ilvl="5">
      <w:start w:val="1"/>
      <w:numFmt w:val="decimal"/>
      <w:isLgl/>
      <w:lvlText w:val="%1.%2.%3.%4.%5.%6."/>
      <w:lvlJc w:val="left"/>
      <w:pPr>
        <w:tabs>
          <w:tab w:val="num" w:pos="1275"/>
        </w:tabs>
        <w:ind w:left="1275" w:hanging="1080"/>
      </w:pPr>
      <w:rPr>
        <w:rFonts w:hint="default"/>
      </w:rPr>
    </w:lvl>
    <w:lvl w:ilvl="6">
      <w:start w:val="1"/>
      <w:numFmt w:val="decimal"/>
      <w:isLgl/>
      <w:lvlText w:val="%1.%2.%3.%4.%5.%6.%7."/>
      <w:lvlJc w:val="left"/>
      <w:pPr>
        <w:tabs>
          <w:tab w:val="num" w:pos="1635"/>
        </w:tabs>
        <w:ind w:left="1635" w:hanging="1440"/>
      </w:pPr>
      <w:rPr>
        <w:rFonts w:hint="default"/>
      </w:rPr>
    </w:lvl>
    <w:lvl w:ilvl="7">
      <w:start w:val="1"/>
      <w:numFmt w:val="decimal"/>
      <w:isLgl/>
      <w:lvlText w:val="%1.%2.%3.%4.%5.%6.%7.%8."/>
      <w:lvlJc w:val="left"/>
      <w:pPr>
        <w:tabs>
          <w:tab w:val="num" w:pos="1635"/>
        </w:tabs>
        <w:ind w:left="1635" w:hanging="1440"/>
      </w:pPr>
      <w:rPr>
        <w:rFonts w:hint="default"/>
      </w:rPr>
    </w:lvl>
    <w:lvl w:ilvl="8">
      <w:start w:val="1"/>
      <w:numFmt w:val="decimal"/>
      <w:isLgl/>
      <w:lvlText w:val="%1.%2.%3.%4.%5.%6.%7.%8.%9."/>
      <w:lvlJc w:val="left"/>
      <w:pPr>
        <w:tabs>
          <w:tab w:val="num" w:pos="1995"/>
        </w:tabs>
        <w:ind w:left="1995" w:hanging="1800"/>
      </w:pPr>
      <w:rPr>
        <w:rFonts w:hint="default"/>
      </w:rPr>
    </w:lvl>
  </w:abstractNum>
  <w:abstractNum w:abstractNumId="3"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51922309"/>
    <w:multiLevelType w:val="hybridMultilevel"/>
    <w:tmpl w:val="993E681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4"/>
  </w:num>
  <w:num w:numId="3">
    <w:abstractNumId w:val="5"/>
  </w:num>
  <w:num w:numId="4">
    <w:abstractNumId w:val="3"/>
  </w:num>
  <w:num w:numId="5">
    <w:abstractNumId w:val="0"/>
  </w:num>
  <w:num w:numId="6">
    <w:abstractNumId w:val="11"/>
  </w:num>
  <w:num w:numId="7">
    <w:abstractNumId w:val="15"/>
  </w:num>
  <w:num w:numId="8">
    <w:abstractNumId w:val="7"/>
  </w:num>
  <w:num w:numId="9">
    <w:abstractNumId w:val="4"/>
  </w:num>
  <w:num w:numId="10">
    <w:abstractNumId w:val="8"/>
  </w:num>
  <w:num w:numId="11">
    <w:abstractNumId w:val="9"/>
  </w:num>
  <w:num w:numId="12">
    <w:abstractNumId w:val="12"/>
  </w:num>
  <w:num w:numId="13">
    <w:abstractNumId w:val="13"/>
  </w:num>
  <w:num w:numId="14">
    <w:abstractNumId w:val="2"/>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1E4C"/>
    <w:rsid w:val="00002230"/>
    <w:rsid w:val="0000546B"/>
    <w:rsid w:val="000078D2"/>
    <w:rsid w:val="00011D24"/>
    <w:rsid w:val="00012399"/>
    <w:rsid w:val="00013FF4"/>
    <w:rsid w:val="00017A49"/>
    <w:rsid w:val="00020FE1"/>
    <w:rsid w:val="00022E13"/>
    <w:rsid w:val="00032388"/>
    <w:rsid w:val="00035CE2"/>
    <w:rsid w:val="00035F95"/>
    <w:rsid w:val="00037453"/>
    <w:rsid w:val="000519C8"/>
    <w:rsid w:val="0005553B"/>
    <w:rsid w:val="000565E3"/>
    <w:rsid w:val="00057FCA"/>
    <w:rsid w:val="000604D2"/>
    <w:rsid w:val="00060E94"/>
    <w:rsid w:val="000660CC"/>
    <w:rsid w:val="0008465B"/>
    <w:rsid w:val="0009005E"/>
    <w:rsid w:val="00092782"/>
    <w:rsid w:val="000941C5"/>
    <w:rsid w:val="00095EEA"/>
    <w:rsid w:val="000A4208"/>
    <w:rsid w:val="000A4DF4"/>
    <w:rsid w:val="000A6451"/>
    <w:rsid w:val="000B064E"/>
    <w:rsid w:val="000B6528"/>
    <w:rsid w:val="000B69CF"/>
    <w:rsid w:val="000B6A27"/>
    <w:rsid w:val="000C4DFE"/>
    <w:rsid w:val="000C790C"/>
    <w:rsid w:val="000D1FC8"/>
    <w:rsid w:val="000E325E"/>
    <w:rsid w:val="000E69EE"/>
    <w:rsid w:val="000F061D"/>
    <w:rsid w:val="000F31BE"/>
    <w:rsid w:val="000F4794"/>
    <w:rsid w:val="000F662E"/>
    <w:rsid w:val="000F7457"/>
    <w:rsid w:val="001022BC"/>
    <w:rsid w:val="00116A4A"/>
    <w:rsid w:val="00116C90"/>
    <w:rsid w:val="00124F12"/>
    <w:rsid w:val="001307EE"/>
    <w:rsid w:val="001323CF"/>
    <w:rsid w:val="00136DCF"/>
    <w:rsid w:val="00144E3A"/>
    <w:rsid w:val="0015060C"/>
    <w:rsid w:val="0016018A"/>
    <w:rsid w:val="00161F0E"/>
    <w:rsid w:val="00170E2A"/>
    <w:rsid w:val="00172BDD"/>
    <w:rsid w:val="00175542"/>
    <w:rsid w:val="0017624A"/>
    <w:rsid w:val="0017694F"/>
    <w:rsid w:val="00177394"/>
    <w:rsid w:val="001802E4"/>
    <w:rsid w:val="00182C18"/>
    <w:rsid w:val="00183CC2"/>
    <w:rsid w:val="00184705"/>
    <w:rsid w:val="001900E4"/>
    <w:rsid w:val="00190F88"/>
    <w:rsid w:val="00194808"/>
    <w:rsid w:val="0019489E"/>
    <w:rsid w:val="001A4066"/>
    <w:rsid w:val="001A4B81"/>
    <w:rsid w:val="001A6AE4"/>
    <w:rsid w:val="001A7397"/>
    <w:rsid w:val="001B01FD"/>
    <w:rsid w:val="001B3C32"/>
    <w:rsid w:val="001B4A71"/>
    <w:rsid w:val="001D5B54"/>
    <w:rsid w:val="001E1DBF"/>
    <w:rsid w:val="001E4639"/>
    <w:rsid w:val="001E4A7D"/>
    <w:rsid w:val="001F4209"/>
    <w:rsid w:val="001F43A8"/>
    <w:rsid w:val="001F5CD6"/>
    <w:rsid w:val="0021263D"/>
    <w:rsid w:val="00213F0C"/>
    <w:rsid w:val="00214094"/>
    <w:rsid w:val="0021592D"/>
    <w:rsid w:val="00222A5F"/>
    <w:rsid w:val="00222D76"/>
    <w:rsid w:val="0022318A"/>
    <w:rsid w:val="00223EB1"/>
    <w:rsid w:val="002248A2"/>
    <w:rsid w:val="002300B8"/>
    <w:rsid w:val="00231344"/>
    <w:rsid w:val="0023436E"/>
    <w:rsid w:val="002347C0"/>
    <w:rsid w:val="002350E0"/>
    <w:rsid w:val="00241A6C"/>
    <w:rsid w:val="00242D2B"/>
    <w:rsid w:val="002437B1"/>
    <w:rsid w:val="00250323"/>
    <w:rsid w:val="00262E2B"/>
    <w:rsid w:val="00266861"/>
    <w:rsid w:val="00270429"/>
    <w:rsid w:val="002723E9"/>
    <w:rsid w:val="00277929"/>
    <w:rsid w:val="00277DA2"/>
    <w:rsid w:val="00283B82"/>
    <w:rsid w:val="002846E9"/>
    <w:rsid w:val="00284C34"/>
    <w:rsid w:val="0029066C"/>
    <w:rsid w:val="002929C2"/>
    <w:rsid w:val="002A4DF7"/>
    <w:rsid w:val="002B3E86"/>
    <w:rsid w:val="002B50DB"/>
    <w:rsid w:val="002C12AB"/>
    <w:rsid w:val="002C17DA"/>
    <w:rsid w:val="002C3604"/>
    <w:rsid w:val="002C7CAC"/>
    <w:rsid w:val="002D1539"/>
    <w:rsid w:val="002D167F"/>
    <w:rsid w:val="002D19EA"/>
    <w:rsid w:val="002D3306"/>
    <w:rsid w:val="002D48AA"/>
    <w:rsid w:val="002D6A48"/>
    <w:rsid w:val="002D7130"/>
    <w:rsid w:val="002D7861"/>
    <w:rsid w:val="002D7BAA"/>
    <w:rsid w:val="002D7F54"/>
    <w:rsid w:val="002E3FF4"/>
    <w:rsid w:val="002E5991"/>
    <w:rsid w:val="002F78C8"/>
    <w:rsid w:val="002F7D53"/>
    <w:rsid w:val="00301CF3"/>
    <w:rsid w:val="00302A79"/>
    <w:rsid w:val="00303DC9"/>
    <w:rsid w:val="003101F6"/>
    <w:rsid w:val="00314BB0"/>
    <w:rsid w:val="00315700"/>
    <w:rsid w:val="0032430B"/>
    <w:rsid w:val="0032715C"/>
    <w:rsid w:val="0033618D"/>
    <w:rsid w:val="00337CA5"/>
    <w:rsid w:val="00340AD2"/>
    <w:rsid w:val="00341B89"/>
    <w:rsid w:val="00351C6E"/>
    <w:rsid w:val="0035720E"/>
    <w:rsid w:val="00361F85"/>
    <w:rsid w:val="00362478"/>
    <w:rsid w:val="00362F1D"/>
    <w:rsid w:val="0037214C"/>
    <w:rsid w:val="00375B25"/>
    <w:rsid w:val="0038132C"/>
    <w:rsid w:val="0038532A"/>
    <w:rsid w:val="00390D60"/>
    <w:rsid w:val="00394871"/>
    <w:rsid w:val="00396542"/>
    <w:rsid w:val="0039685B"/>
    <w:rsid w:val="003A31A6"/>
    <w:rsid w:val="003A7F0C"/>
    <w:rsid w:val="003A7F79"/>
    <w:rsid w:val="003B4D40"/>
    <w:rsid w:val="003B6404"/>
    <w:rsid w:val="003C18B4"/>
    <w:rsid w:val="003C2606"/>
    <w:rsid w:val="003C449B"/>
    <w:rsid w:val="003C6392"/>
    <w:rsid w:val="003D21FF"/>
    <w:rsid w:val="003D5D3B"/>
    <w:rsid w:val="003D6836"/>
    <w:rsid w:val="003E0C01"/>
    <w:rsid w:val="003E3097"/>
    <w:rsid w:val="003F0112"/>
    <w:rsid w:val="003F071A"/>
    <w:rsid w:val="003F12EC"/>
    <w:rsid w:val="003F160B"/>
    <w:rsid w:val="00400032"/>
    <w:rsid w:val="00400B5B"/>
    <w:rsid w:val="00405A00"/>
    <w:rsid w:val="004068D0"/>
    <w:rsid w:val="00413694"/>
    <w:rsid w:val="0041522D"/>
    <w:rsid w:val="004154BF"/>
    <w:rsid w:val="00420870"/>
    <w:rsid w:val="00426206"/>
    <w:rsid w:val="00430646"/>
    <w:rsid w:val="00432D0C"/>
    <w:rsid w:val="0043791B"/>
    <w:rsid w:val="0044129E"/>
    <w:rsid w:val="00441483"/>
    <w:rsid w:val="00441BCB"/>
    <w:rsid w:val="00445669"/>
    <w:rsid w:val="0045176A"/>
    <w:rsid w:val="00456332"/>
    <w:rsid w:val="00461826"/>
    <w:rsid w:val="00474556"/>
    <w:rsid w:val="00477814"/>
    <w:rsid w:val="004800F9"/>
    <w:rsid w:val="0049134A"/>
    <w:rsid w:val="004923EC"/>
    <w:rsid w:val="004A09C6"/>
    <w:rsid w:val="004A4EC1"/>
    <w:rsid w:val="004A58CB"/>
    <w:rsid w:val="004A5C1C"/>
    <w:rsid w:val="004B1795"/>
    <w:rsid w:val="004B1957"/>
    <w:rsid w:val="004B3C3D"/>
    <w:rsid w:val="004B42A0"/>
    <w:rsid w:val="004B56DD"/>
    <w:rsid w:val="004C020F"/>
    <w:rsid w:val="004C1AFD"/>
    <w:rsid w:val="004C2E21"/>
    <w:rsid w:val="004C558B"/>
    <w:rsid w:val="004D6DC6"/>
    <w:rsid w:val="004E03E8"/>
    <w:rsid w:val="004E0FED"/>
    <w:rsid w:val="004E3B50"/>
    <w:rsid w:val="004F1F88"/>
    <w:rsid w:val="004F5F1B"/>
    <w:rsid w:val="004F5FD9"/>
    <w:rsid w:val="00502374"/>
    <w:rsid w:val="005060A1"/>
    <w:rsid w:val="00512853"/>
    <w:rsid w:val="00516072"/>
    <w:rsid w:val="00516C1C"/>
    <w:rsid w:val="005264D8"/>
    <w:rsid w:val="005332EC"/>
    <w:rsid w:val="00534418"/>
    <w:rsid w:val="005353AB"/>
    <w:rsid w:val="00544304"/>
    <w:rsid w:val="00545819"/>
    <w:rsid w:val="00545AB5"/>
    <w:rsid w:val="005560BC"/>
    <w:rsid w:val="00556839"/>
    <w:rsid w:val="005573BE"/>
    <w:rsid w:val="005717EA"/>
    <w:rsid w:val="00572700"/>
    <w:rsid w:val="005776EF"/>
    <w:rsid w:val="00577ED4"/>
    <w:rsid w:val="00580468"/>
    <w:rsid w:val="00582231"/>
    <w:rsid w:val="0058603B"/>
    <w:rsid w:val="00591258"/>
    <w:rsid w:val="0059431B"/>
    <w:rsid w:val="005A1093"/>
    <w:rsid w:val="005A39CC"/>
    <w:rsid w:val="005A44C4"/>
    <w:rsid w:val="005B09AD"/>
    <w:rsid w:val="005B4730"/>
    <w:rsid w:val="005C4932"/>
    <w:rsid w:val="005C55D5"/>
    <w:rsid w:val="005D721F"/>
    <w:rsid w:val="005E05D7"/>
    <w:rsid w:val="005E41E7"/>
    <w:rsid w:val="005E450F"/>
    <w:rsid w:val="005F7E60"/>
    <w:rsid w:val="0060408E"/>
    <w:rsid w:val="0062205F"/>
    <w:rsid w:val="006223E0"/>
    <w:rsid w:val="0062298A"/>
    <w:rsid w:val="00626514"/>
    <w:rsid w:val="00626589"/>
    <w:rsid w:val="0063047D"/>
    <w:rsid w:val="006339A0"/>
    <w:rsid w:val="00640EF4"/>
    <w:rsid w:val="006413A8"/>
    <w:rsid w:val="00642E56"/>
    <w:rsid w:val="00643033"/>
    <w:rsid w:val="0064478C"/>
    <w:rsid w:val="00651E00"/>
    <w:rsid w:val="00666AF6"/>
    <w:rsid w:val="0066714E"/>
    <w:rsid w:val="00667285"/>
    <w:rsid w:val="00671488"/>
    <w:rsid w:val="006733CE"/>
    <w:rsid w:val="00674572"/>
    <w:rsid w:val="006863DF"/>
    <w:rsid w:val="00687763"/>
    <w:rsid w:val="0069216B"/>
    <w:rsid w:val="00692B0D"/>
    <w:rsid w:val="00692EA2"/>
    <w:rsid w:val="00693E0E"/>
    <w:rsid w:val="00693FAA"/>
    <w:rsid w:val="00696F4B"/>
    <w:rsid w:val="006A1AE3"/>
    <w:rsid w:val="006A1BBF"/>
    <w:rsid w:val="006C30E1"/>
    <w:rsid w:val="006C38A5"/>
    <w:rsid w:val="006C4607"/>
    <w:rsid w:val="006D412A"/>
    <w:rsid w:val="006D48F1"/>
    <w:rsid w:val="006F108D"/>
    <w:rsid w:val="006F11AF"/>
    <w:rsid w:val="006F3477"/>
    <w:rsid w:val="006F45BE"/>
    <w:rsid w:val="007004FC"/>
    <w:rsid w:val="007042AA"/>
    <w:rsid w:val="00706670"/>
    <w:rsid w:val="00711F59"/>
    <w:rsid w:val="0071473A"/>
    <w:rsid w:val="00716348"/>
    <w:rsid w:val="0072417C"/>
    <w:rsid w:val="0072423E"/>
    <w:rsid w:val="00734450"/>
    <w:rsid w:val="00734BF7"/>
    <w:rsid w:val="007357F0"/>
    <w:rsid w:val="00737BE1"/>
    <w:rsid w:val="00745F67"/>
    <w:rsid w:val="0075039E"/>
    <w:rsid w:val="007508E7"/>
    <w:rsid w:val="00752B04"/>
    <w:rsid w:val="00752D9D"/>
    <w:rsid w:val="00754784"/>
    <w:rsid w:val="00757C6E"/>
    <w:rsid w:val="00761E77"/>
    <w:rsid w:val="00762BDA"/>
    <w:rsid w:val="007641B7"/>
    <w:rsid w:val="007655B0"/>
    <w:rsid w:val="007712DD"/>
    <w:rsid w:val="00771639"/>
    <w:rsid w:val="007717D5"/>
    <w:rsid w:val="007752C5"/>
    <w:rsid w:val="007805FD"/>
    <w:rsid w:val="0078406F"/>
    <w:rsid w:val="00784422"/>
    <w:rsid w:val="007929BE"/>
    <w:rsid w:val="007A3F6E"/>
    <w:rsid w:val="007B00EC"/>
    <w:rsid w:val="007B1C15"/>
    <w:rsid w:val="007B2E8B"/>
    <w:rsid w:val="007B3B54"/>
    <w:rsid w:val="007B3FA0"/>
    <w:rsid w:val="007B659E"/>
    <w:rsid w:val="007C0F2C"/>
    <w:rsid w:val="007C240A"/>
    <w:rsid w:val="007C2BCC"/>
    <w:rsid w:val="007C4C2D"/>
    <w:rsid w:val="007C4EF0"/>
    <w:rsid w:val="007D099D"/>
    <w:rsid w:val="007E14C0"/>
    <w:rsid w:val="007E1EEF"/>
    <w:rsid w:val="007E2664"/>
    <w:rsid w:val="007E3ABF"/>
    <w:rsid w:val="007E5BFA"/>
    <w:rsid w:val="007E6689"/>
    <w:rsid w:val="007E731C"/>
    <w:rsid w:val="007F0A03"/>
    <w:rsid w:val="007F0E8C"/>
    <w:rsid w:val="007F2D82"/>
    <w:rsid w:val="00810040"/>
    <w:rsid w:val="008107EC"/>
    <w:rsid w:val="008126F6"/>
    <w:rsid w:val="00817EEE"/>
    <w:rsid w:val="0082023A"/>
    <w:rsid w:val="00821A7A"/>
    <w:rsid w:val="008253F8"/>
    <w:rsid w:val="00825CED"/>
    <w:rsid w:val="008325E4"/>
    <w:rsid w:val="00832A2B"/>
    <w:rsid w:val="00841820"/>
    <w:rsid w:val="00845811"/>
    <w:rsid w:val="00845A85"/>
    <w:rsid w:val="00846994"/>
    <w:rsid w:val="00850451"/>
    <w:rsid w:val="00852042"/>
    <w:rsid w:val="008534C9"/>
    <w:rsid w:val="0085599D"/>
    <w:rsid w:val="00856B1E"/>
    <w:rsid w:val="00862928"/>
    <w:rsid w:val="00871DF4"/>
    <w:rsid w:val="0087510C"/>
    <w:rsid w:val="00882A68"/>
    <w:rsid w:val="0089529B"/>
    <w:rsid w:val="00895732"/>
    <w:rsid w:val="008968D2"/>
    <w:rsid w:val="0089738E"/>
    <w:rsid w:val="008B07DC"/>
    <w:rsid w:val="008B2EBB"/>
    <w:rsid w:val="008B5FDB"/>
    <w:rsid w:val="008C50F4"/>
    <w:rsid w:val="008C5649"/>
    <w:rsid w:val="008D50AF"/>
    <w:rsid w:val="008E1744"/>
    <w:rsid w:val="008E44A2"/>
    <w:rsid w:val="008E697D"/>
    <w:rsid w:val="008F2F80"/>
    <w:rsid w:val="008F75CB"/>
    <w:rsid w:val="00903263"/>
    <w:rsid w:val="00906A21"/>
    <w:rsid w:val="009079C3"/>
    <w:rsid w:val="00910462"/>
    <w:rsid w:val="00915AB1"/>
    <w:rsid w:val="00917532"/>
    <w:rsid w:val="009235BA"/>
    <w:rsid w:val="00924023"/>
    <w:rsid w:val="00924CE2"/>
    <w:rsid w:val="00925B9F"/>
    <w:rsid w:val="00931AED"/>
    <w:rsid w:val="00931B74"/>
    <w:rsid w:val="009341CF"/>
    <w:rsid w:val="009355F5"/>
    <w:rsid w:val="00937B55"/>
    <w:rsid w:val="009405A1"/>
    <w:rsid w:val="009476A3"/>
    <w:rsid w:val="0095334F"/>
    <w:rsid w:val="00965897"/>
    <w:rsid w:val="0096765C"/>
    <w:rsid w:val="009727E4"/>
    <w:rsid w:val="00972875"/>
    <w:rsid w:val="00975279"/>
    <w:rsid w:val="009934C5"/>
    <w:rsid w:val="00994C0F"/>
    <w:rsid w:val="0099673D"/>
    <w:rsid w:val="009978A8"/>
    <w:rsid w:val="009A3C00"/>
    <w:rsid w:val="009A603D"/>
    <w:rsid w:val="009B22D7"/>
    <w:rsid w:val="009B3087"/>
    <w:rsid w:val="009B72ED"/>
    <w:rsid w:val="009B73D6"/>
    <w:rsid w:val="009C0A69"/>
    <w:rsid w:val="009C48AB"/>
    <w:rsid w:val="009C5561"/>
    <w:rsid w:val="009C6DEB"/>
    <w:rsid w:val="009C7123"/>
    <w:rsid w:val="009D6504"/>
    <w:rsid w:val="009E12D7"/>
    <w:rsid w:val="009E4B36"/>
    <w:rsid w:val="009E5D99"/>
    <w:rsid w:val="009E661A"/>
    <w:rsid w:val="009F1DB1"/>
    <w:rsid w:val="009F297F"/>
    <w:rsid w:val="00A03881"/>
    <w:rsid w:val="00A06781"/>
    <w:rsid w:val="00A074C3"/>
    <w:rsid w:val="00A0793F"/>
    <w:rsid w:val="00A1085B"/>
    <w:rsid w:val="00A12B8C"/>
    <w:rsid w:val="00A1509C"/>
    <w:rsid w:val="00A15D9E"/>
    <w:rsid w:val="00A249B9"/>
    <w:rsid w:val="00A25F94"/>
    <w:rsid w:val="00A27660"/>
    <w:rsid w:val="00A3042F"/>
    <w:rsid w:val="00A33BEE"/>
    <w:rsid w:val="00A34260"/>
    <w:rsid w:val="00A41FC1"/>
    <w:rsid w:val="00A533E9"/>
    <w:rsid w:val="00A70CFD"/>
    <w:rsid w:val="00A716C1"/>
    <w:rsid w:val="00A72A0B"/>
    <w:rsid w:val="00A81E42"/>
    <w:rsid w:val="00A83BA5"/>
    <w:rsid w:val="00A864FE"/>
    <w:rsid w:val="00A86518"/>
    <w:rsid w:val="00A86F41"/>
    <w:rsid w:val="00A87D04"/>
    <w:rsid w:val="00A91E79"/>
    <w:rsid w:val="00A92720"/>
    <w:rsid w:val="00A94521"/>
    <w:rsid w:val="00A94DC2"/>
    <w:rsid w:val="00A950C5"/>
    <w:rsid w:val="00A97069"/>
    <w:rsid w:val="00A97E9B"/>
    <w:rsid w:val="00AA1D25"/>
    <w:rsid w:val="00AA7061"/>
    <w:rsid w:val="00AB17B7"/>
    <w:rsid w:val="00AB2B1A"/>
    <w:rsid w:val="00AB326E"/>
    <w:rsid w:val="00AB397F"/>
    <w:rsid w:val="00AB5832"/>
    <w:rsid w:val="00AB62C7"/>
    <w:rsid w:val="00AB7A4C"/>
    <w:rsid w:val="00AC315F"/>
    <w:rsid w:val="00AC38F7"/>
    <w:rsid w:val="00AC51F2"/>
    <w:rsid w:val="00AC70DC"/>
    <w:rsid w:val="00AD3269"/>
    <w:rsid w:val="00AD3C25"/>
    <w:rsid w:val="00AE2012"/>
    <w:rsid w:val="00AE2673"/>
    <w:rsid w:val="00AE5066"/>
    <w:rsid w:val="00AE5E24"/>
    <w:rsid w:val="00AE61B7"/>
    <w:rsid w:val="00AE6CBA"/>
    <w:rsid w:val="00AE733F"/>
    <w:rsid w:val="00AE79AD"/>
    <w:rsid w:val="00AF35E4"/>
    <w:rsid w:val="00AF5CDE"/>
    <w:rsid w:val="00B00291"/>
    <w:rsid w:val="00B068FC"/>
    <w:rsid w:val="00B06A8A"/>
    <w:rsid w:val="00B11A57"/>
    <w:rsid w:val="00B211C3"/>
    <w:rsid w:val="00B226BD"/>
    <w:rsid w:val="00B241F0"/>
    <w:rsid w:val="00B25597"/>
    <w:rsid w:val="00B267B9"/>
    <w:rsid w:val="00B322E2"/>
    <w:rsid w:val="00B32993"/>
    <w:rsid w:val="00B32F99"/>
    <w:rsid w:val="00B33E09"/>
    <w:rsid w:val="00B344E0"/>
    <w:rsid w:val="00B41CBC"/>
    <w:rsid w:val="00B50708"/>
    <w:rsid w:val="00B50C68"/>
    <w:rsid w:val="00B51293"/>
    <w:rsid w:val="00B52B1E"/>
    <w:rsid w:val="00B5371A"/>
    <w:rsid w:val="00B55481"/>
    <w:rsid w:val="00B5615A"/>
    <w:rsid w:val="00B56C32"/>
    <w:rsid w:val="00B57ACF"/>
    <w:rsid w:val="00B64BB1"/>
    <w:rsid w:val="00B73166"/>
    <w:rsid w:val="00B76363"/>
    <w:rsid w:val="00B81619"/>
    <w:rsid w:val="00B818E2"/>
    <w:rsid w:val="00B8426C"/>
    <w:rsid w:val="00B91B8D"/>
    <w:rsid w:val="00B92866"/>
    <w:rsid w:val="00B93A23"/>
    <w:rsid w:val="00B94CBD"/>
    <w:rsid w:val="00B94E90"/>
    <w:rsid w:val="00BA2FDF"/>
    <w:rsid w:val="00BA438C"/>
    <w:rsid w:val="00BB0A82"/>
    <w:rsid w:val="00BB11C6"/>
    <w:rsid w:val="00BB7793"/>
    <w:rsid w:val="00BB7C94"/>
    <w:rsid w:val="00BC0467"/>
    <w:rsid w:val="00BC0A9D"/>
    <w:rsid w:val="00BD1043"/>
    <w:rsid w:val="00BD28EA"/>
    <w:rsid w:val="00BD633E"/>
    <w:rsid w:val="00BF40ED"/>
    <w:rsid w:val="00BF5BC2"/>
    <w:rsid w:val="00C05312"/>
    <w:rsid w:val="00C1133D"/>
    <w:rsid w:val="00C11C88"/>
    <w:rsid w:val="00C15814"/>
    <w:rsid w:val="00C22750"/>
    <w:rsid w:val="00C22AA3"/>
    <w:rsid w:val="00C23DB6"/>
    <w:rsid w:val="00C27A08"/>
    <w:rsid w:val="00C27CC4"/>
    <w:rsid w:val="00C31312"/>
    <w:rsid w:val="00C31E36"/>
    <w:rsid w:val="00C326C6"/>
    <w:rsid w:val="00C35295"/>
    <w:rsid w:val="00C36ADD"/>
    <w:rsid w:val="00C36E74"/>
    <w:rsid w:val="00C40595"/>
    <w:rsid w:val="00C41621"/>
    <w:rsid w:val="00C449FA"/>
    <w:rsid w:val="00C5384F"/>
    <w:rsid w:val="00C53C04"/>
    <w:rsid w:val="00C540F4"/>
    <w:rsid w:val="00C56964"/>
    <w:rsid w:val="00C606EE"/>
    <w:rsid w:val="00C63CF9"/>
    <w:rsid w:val="00C63D84"/>
    <w:rsid w:val="00C643FA"/>
    <w:rsid w:val="00C656D5"/>
    <w:rsid w:val="00C659DB"/>
    <w:rsid w:val="00C65E02"/>
    <w:rsid w:val="00C67103"/>
    <w:rsid w:val="00C71BB9"/>
    <w:rsid w:val="00C80B56"/>
    <w:rsid w:val="00C94C28"/>
    <w:rsid w:val="00C9673C"/>
    <w:rsid w:val="00CA0B96"/>
    <w:rsid w:val="00CA2D78"/>
    <w:rsid w:val="00CA4DB4"/>
    <w:rsid w:val="00CB0247"/>
    <w:rsid w:val="00CB3440"/>
    <w:rsid w:val="00CB363D"/>
    <w:rsid w:val="00CB495E"/>
    <w:rsid w:val="00CC1692"/>
    <w:rsid w:val="00CC3471"/>
    <w:rsid w:val="00CD138B"/>
    <w:rsid w:val="00CD3E31"/>
    <w:rsid w:val="00CD74A3"/>
    <w:rsid w:val="00CE0527"/>
    <w:rsid w:val="00CE5B23"/>
    <w:rsid w:val="00CE6141"/>
    <w:rsid w:val="00CE6322"/>
    <w:rsid w:val="00CE7B52"/>
    <w:rsid w:val="00CF70AD"/>
    <w:rsid w:val="00CF70DD"/>
    <w:rsid w:val="00CF7729"/>
    <w:rsid w:val="00D00059"/>
    <w:rsid w:val="00D107FA"/>
    <w:rsid w:val="00D111D6"/>
    <w:rsid w:val="00D115D1"/>
    <w:rsid w:val="00D12275"/>
    <w:rsid w:val="00D12766"/>
    <w:rsid w:val="00D209D7"/>
    <w:rsid w:val="00D20FF4"/>
    <w:rsid w:val="00D24D2C"/>
    <w:rsid w:val="00D35881"/>
    <w:rsid w:val="00D43093"/>
    <w:rsid w:val="00D810A6"/>
    <w:rsid w:val="00D87DEC"/>
    <w:rsid w:val="00D9626B"/>
    <w:rsid w:val="00DA4A39"/>
    <w:rsid w:val="00DA7DA5"/>
    <w:rsid w:val="00DB073B"/>
    <w:rsid w:val="00DB6B7E"/>
    <w:rsid w:val="00DB78F0"/>
    <w:rsid w:val="00DC0CEA"/>
    <w:rsid w:val="00DC2E43"/>
    <w:rsid w:val="00DC3474"/>
    <w:rsid w:val="00DC3EA3"/>
    <w:rsid w:val="00DD095C"/>
    <w:rsid w:val="00DD1020"/>
    <w:rsid w:val="00DD1330"/>
    <w:rsid w:val="00DD58B8"/>
    <w:rsid w:val="00DD6391"/>
    <w:rsid w:val="00DD64A3"/>
    <w:rsid w:val="00DE0B83"/>
    <w:rsid w:val="00DE1A81"/>
    <w:rsid w:val="00DE1C13"/>
    <w:rsid w:val="00DE4E10"/>
    <w:rsid w:val="00E02ABF"/>
    <w:rsid w:val="00E04DE9"/>
    <w:rsid w:val="00E05F16"/>
    <w:rsid w:val="00E100B4"/>
    <w:rsid w:val="00E1422F"/>
    <w:rsid w:val="00E14995"/>
    <w:rsid w:val="00E160D1"/>
    <w:rsid w:val="00E179CD"/>
    <w:rsid w:val="00E23E8D"/>
    <w:rsid w:val="00E25953"/>
    <w:rsid w:val="00E328FC"/>
    <w:rsid w:val="00E37F98"/>
    <w:rsid w:val="00E44555"/>
    <w:rsid w:val="00E46559"/>
    <w:rsid w:val="00E5236E"/>
    <w:rsid w:val="00E54C13"/>
    <w:rsid w:val="00E5593D"/>
    <w:rsid w:val="00E5789D"/>
    <w:rsid w:val="00E6670C"/>
    <w:rsid w:val="00E776E8"/>
    <w:rsid w:val="00E86264"/>
    <w:rsid w:val="00E92C1F"/>
    <w:rsid w:val="00E95D4B"/>
    <w:rsid w:val="00EA3978"/>
    <w:rsid w:val="00EB199F"/>
    <w:rsid w:val="00EB2ACB"/>
    <w:rsid w:val="00EC0A84"/>
    <w:rsid w:val="00EC23F7"/>
    <w:rsid w:val="00EC4BD8"/>
    <w:rsid w:val="00EC63EB"/>
    <w:rsid w:val="00EC700C"/>
    <w:rsid w:val="00ED412F"/>
    <w:rsid w:val="00ED5782"/>
    <w:rsid w:val="00EE0FC5"/>
    <w:rsid w:val="00EE65B8"/>
    <w:rsid w:val="00EF36B2"/>
    <w:rsid w:val="00EF491C"/>
    <w:rsid w:val="00EF62DE"/>
    <w:rsid w:val="00EF6B32"/>
    <w:rsid w:val="00F03CDE"/>
    <w:rsid w:val="00F1246B"/>
    <w:rsid w:val="00F201EC"/>
    <w:rsid w:val="00F208A9"/>
    <w:rsid w:val="00F2579C"/>
    <w:rsid w:val="00F27A77"/>
    <w:rsid w:val="00F3082B"/>
    <w:rsid w:val="00F41D75"/>
    <w:rsid w:val="00F42BCC"/>
    <w:rsid w:val="00F5139D"/>
    <w:rsid w:val="00F5230F"/>
    <w:rsid w:val="00F62F63"/>
    <w:rsid w:val="00F63DAC"/>
    <w:rsid w:val="00F64A6D"/>
    <w:rsid w:val="00F64EC5"/>
    <w:rsid w:val="00F6635C"/>
    <w:rsid w:val="00F7454F"/>
    <w:rsid w:val="00F77988"/>
    <w:rsid w:val="00F77F48"/>
    <w:rsid w:val="00F9014D"/>
    <w:rsid w:val="00FA3679"/>
    <w:rsid w:val="00FB30F1"/>
    <w:rsid w:val="00FB53E7"/>
    <w:rsid w:val="00FB65F1"/>
    <w:rsid w:val="00FC2A5C"/>
    <w:rsid w:val="00FD2453"/>
    <w:rsid w:val="00FD2A8A"/>
    <w:rsid w:val="00FD5300"/>
    <w:rsid w:val="00FD5339"/>
    <w:rsid w:val="00FD663B"/>
    <w:rsid w:val="00FE6DBE"/>
    <w:rsid w:val="00FF68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DEC82A-3D5A-46D9-BA82-EB3126F5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link w:val="Header"/>
    <w:uiPriority w:val="99"/>
    <w:rsid w:val="00EE0FC5"/>
    <w:rPr>
      <w:sz w:val="24"/>
      <w:szCs w:val="24"/>
    </w:rPr>
  </w:style>
  <w:style w:type="character" w:customStyle="1" w:styleId="highlight">
    <w:name w:val="highlight"/>
    <w:rsid w:val="001B3C32"/>
  </w:style>
  <w:style w:type="paragraph" w:styleId="NormalWeb">
    <w:name w:val="Normal (Web)"/>
    <w:basedOn w:val="Normal"/>
    <w:uiPriority w:val="99"/>
    <w:unhideWhenUsed/>
    <w:rsid w:val="00972875"/>
    <w:pPr>
      <w:spacing w:before="100" w:beforeAutospacing="1" w:after="100" w:afterAutospacing="1"/>
    </w:pPr>
  </w:style>
  <w:style w:type="paragraph" w:customStyle="1" w:styleId="tv2132">
    <w:name w:val="tv2132"/>
    <w:basedOn w:val="Normal"/>
    <w:rsid w:val="0062205F"/>
    <w:pPr>
      <w:spacing w:line="360" w:lineRule="auto"/>
      <w:ind w:firstLine="300"/>
    </w:pPr>
    <w:rPr>
      <w:color w:val="414142"/>
      <w:sz w:val="20"/>
      <w:szCs w:val="20"/>
    </w:rPr>
  </w:style>
  <w:style w:type="paragraph" w:styleId="ListBullet">
    <w:name w:val="List Bullet"/>
    <w:basedOn w:val="Normal"/>
    <w:autoRedefine/>
    <w:rsid w:val="00C540F4"/>
    <w:pPr>
      <w:tabs>
        <w:tab w:val="num" w:pos="360"/>
      </w:tabs>
      <w:spacing w:before="120" w:after="120"/>
      <w:ind w:left="360" w:hanging="360"/>
      <w:jc w:val="both"/>
    </w:pPr>
    <w:rPr>
      <w:lang w:eastAsia="en-US"/>
    </w:rPr>
  </w:style>
  <w:style w:type="paragraph" w:styleId="ListParagraph">
    <w:name w:val="List Paragraph"/>
    <w:basedOn w:val="Normal"/>
    <w:uiPriority w:val="34"/>
    <w:qFormat/>
    <w:rsid w:val="00737BE1"/>
    <w:pPr>
      <w:ind w:left="720"/>
      <w:contextualSpacing/>
    </w:pPr>
  </w:style>
  <w:style w:type="paragraph" w:styleId="Signature">
    <w:name w:val="Signature"/>
    <w:basedOn w:val="Normal"/>
    <w:link w:val="SignatureChar"/>
    <w:uiPriority w:val="99"/>
    <w:semiHidden/>
    <w:unhideWhenUsed/>
    <w:rsid w:val="004E0FED"/>
    <w:pPr>
      <w:keepNext/>
      <w:spacing w:before="600"/>
      <w:ind w:firstLine="720"/>
    </w:pPr>
    <w:rPr>
      <w:sz w:val="26"/>
      <w:szCs w:val="26"/>
      <w:lang w:eastAsia="en-US"/>
    </w:rPr>
  </w:style>
  <w:style w:type="character" w:customStyle="1" w:styleId="SignatureChar">
    <w:name w:val="Signature Char"/>
    <w:basedOn w:val="DefaultParagraphFont"/>
    <w:link w:val="Signature"/>
    <w:uiPriority w:val="99"/>
    <w:semiHidden/>
    <w:rsid w:val="004E0FED"/>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742037">
      <w:bodyDiv w:val="1"/>
      <w:marLeft w:val="0"/>
      <w:marRight w:val="0"/>
      <w:marTop w:val="0"/>
      <w:marBottom w:val="0"/>
      <w:divBdr>
        <w:top w:val="none" w:sz="0" w:space="0" w:color="auto"/>
        <w:left w:val="none" w:sz="0" w:space="0" w:color="auto"/>
        <w:bottom w:val="none" w:sz="0" w:space="0" w:color="auto"/>
        <w:right w:val="none" w:sz="0" w:space="0" w:color="auto"/>
      </w:divBdr>
    </w:div>
    <w:div w:id="476344147">
      <w:bodyDiv w:val="1"/>
      <w:marLeft w:val="0"/>
      <w:marRight w:val="0"/>
      <w:marTop w:val="0"/>
      <w:marBottom w:val="0"/>
      <w:divBdr>
        <w:top w:val="none" w:sz="0" w:space="0" w:color="auto"/>
        <w:left w:val="none" w:sz="0" w:space="0" w:color="auto"/>
        <w:bottom w:val="none" w:sz="0" w:space="0" w:color="auto"/>
        <w:right w:val="none" w:sz="0" w:space="0" w:color="auto"/>
      </w:divBdr>
    </w:div>
    <w:div w:id="655257661">
      <w:bodyDiv w:val="1"/>
      <w:marLeft w:val="0"/>
      <w:marRight w:val="0"/>
      <w:marTop w:val="0"/>
      <w:marBottom w:val="0"/>
      <w:divBdr>
        <w:top w:val="none" w:sz="0" w:space="0" w:color="auto"/>
        <w:left w:val="none" w:sz="0" w:space="0" w:color="auto"/>
        <w:bottom w:val="none" w:sz="0" w:space="0" w:color="auto"/>
        <w:right w:val="none" w:sz="0" w:space="0" w:color="auto"/>
      </w:divBdr>
      <w:divsChild>
        <w:div w:id="1610699272">
          <w:marLeft w:val="0"/>
          <w:marRight w:val="0"/>
          <w:marTop w:val="0"/>
          <w:marBottom w:val="0"/>
          <w:divBdr>
            <w:top w:val="none" w:sz="0" w:space="0" w:color="auto"/>
            <w:left w:val="none" w:sz="0" w:space="0" w:color="auto"/>
            <w:bottom w:val="none" w:sz="0" w:space="0" w:color="auto"/>
            <w:right w:val="none" w:sz="0" w:space="0" w:color="auto"/>
          </w:divBdr>
        </w:div>
      </w:divsChild>
    </w:div>
    <w:div w:id="828643490">
      <w:bodyDiv w:val="1"/>
      <w:marLeft w:val="0"/>
      <w:marRight w:val="0"/>
      <w:marTop w:val="0"/>
      <w:marBottom w:val="0"/>
      <w:divBdr>
        <w:top w:val="none" w:sz="0" w:space="0" w:color="auto"/>
        <w:left w:val="none" w:sz="0" w:space="0" w:color="auto"/>
        <w:bottom w:val="none" w:sz="0" w:space="0" w:color="auto"/>
        <w:right w:val="none" w:sz="0" w:space="0" w:color="auto"/>
      </w:divBdr>
    </w:div>
    <w:div w:id="1008169493">
      <w:bodyDiv w:val="1"/>
      <w:marLeft w:val="0"/>
      <w:marRight w:val="0"/>
      <w:marTop w:val="0"/>
      <w:marBottom w:val="0"/>
      <w:divBdr>
        <w:top w:val="none" w:sz="0" w:space="0" w:color="auto"/>
        <w:left w:val="none" w:sz="0" w:space="0" w:color="auto"/>
        <w:bottom w:val="none" w:sz="0" w:space="0" w:color="auto"/>
        <w:right w:val="none" w:sz="0" w:space="0" w:color="auto"/>
      </w:divBdr>
      <w:divsChild>
        <w:div w:id="335815794">
          <w:marLeft w:val="0"/>
          <w:marRight w:val="0"/>
          <w:marTop w:val="0"/>
          <w:marBottom w:val="0"/>
          <w:divBdr>
            <w:top w:val="none" w:sz="0" w:space="0" w:color="auto"/>
            <w:left w:val="none" w:sz="0" w:space="0" w:color="auto"/>
            <w:bottom w:val="none" w:sz="0" w:space="0" w:color="auto"/>
            <w:right w:val="none" w:sz="0" w:space="0" w:color="auto"/>
          </w:divBdr>
          <w:divsChild>
            <w:div w:id="1827932254">
              <w:marLeft w:val="0"/>
              <w:marRight w:val="0"/>
              <w:marTop w:val="0"/>
              <w:marBottom w:val="0"/>
              <w:divBdr>
                <w:top w:val="none" w:sz="0" w:space="0" w:color="auto"/>
                <w:left w:val="none" w:sz="0" w:space="0" w:color="auto"/>
                <w:bottom w:val="none" w:sz="0" w:space="0" w:color="auto"/>
                <w:right w:val="none" w:sz="0" w:space="0" w:color="auto"/>
              </w:divBdr>
              <w:divsChild>
                <w:div w:id="794763039">
                  <w:marLeft w:val="0"/>
                  <w:marRight w:val="0"/>
                  <w:marTop w:val="0"/>
                  <w:marBottom w:val="0"/>
                  <w:divBdr>
                    <w:top w:val="none" w:sz="0" w:space="0" w:color="auto"/>
                    <w:left w:val="none" w:sz="0" w:space="0" w:color="auto"/>
                    <w:bottom w:val="none" w:sz="0" w:space="0" w:color="auto"/>
                    <w:right w:val="none" w:sz="0" w:space="0" w:color="auto"/>
                  </w:divBdr>
                  <w:divsChild>
                    <w:div w:id="98381848">
                      <w:marLeft w:val="0"/>
                      <w:marRight w:val="0"/>
                      <w:marTop w:val="0"/>
                      <w:marBottom w:val="0"/>
                      <w:divBdr>
                        <w:top w:val="none" w:sz="0" w:space="0" w:color="auto"/>
                        <w:left w:val="none" w:sz="0" w:space="0" w:color="auto"/>
                        <w:bottom w:val="none" w:sz="0" w:space="0" w:color="auto"/>
                        <w:right w:val="none" w:sz="0" w:space="0" w:color="auto"/>
                      </w:divBdr>
                      <w:divsChild>
                        <w:div w:id="2072270144">
                          <w:marLeft w:val="0"/>
                          <w:marRight w:val="0"/>
                          <w:marTop w:val="0"/>
                          <w:marBottom w:val="0"/>
                          <w:divBdr>
                            <w:top w:val="none" w:sz="0" w:space="0" w:color="auto"/>
                            <w:left w:val="none" w:sz="0" w:space="0" w:color="auto"/>
                            <w:bottom w:val="none" w:sz="0" w:space="0" w:color="auto"/>
                            <w:right w:val="none" w:sz="0" w:space="0" w:color="auto"/>
                          </w:divBdr>
                          <w:divsChild>
                            <w:div w:id="12211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02831">
      <w:bodyDiv w:val="1"/>
      <w:marLeft w:val="0"/>
      <w:marRight w:val="0"/>
      <w:marTop w:val="0"/>
      <w:marBottom w:val="0"/>
      <w:divBdr>
        <w:top w:val="none" w:sz="0" w:space="0" w:color="auto"/>
        <w:left w:val="none" w:sz="0" w:space="0" w:color="auto"/>
        <w:bottom w:val="none" w:sz="0" w:space="0" w:color="auto"/>
        <w:right w:val="none" w:sz="0" w:space="0" w:color="auto"/>
      </w:divBdr>
    </w:div>
    <w:div w:id="1919973551">
      <w:bodyDiv w:val="1"/>
      <w:marLeft w:val="0"/>
      <w:marRight w:val="0"/>
      <w:marTop w:val="0"/>
      <w:marBottom w:val="0"/>
      <w:divBdr>
        <w:top w:val="none" w:sz="0" w:space="0" w:color="auto"/>
        <w:left w:val="none" w:sz="0" w:space="0" w:color="auto"/>
        <w:bottom w:val="none" w:sz="0" w:space="0" w:color="auto"/>
        <w:right w:val="none" w:sz="0" w:space="0" w:color="auto"/>
      </w:divBdr>
    </w:div>
    <w:div w:id="2031102967">
      <w:bodyDiv w:val="1"/>
      <w:marLeft w:val="0"/>
      <w:marRight w:val="0"/>
      <w:marTop w:val="0"/>
      <w:marBottom w:val="0"/>
      <w:divBdr>
        <w:top w:val="none" w:sz="0" w:space="0" w:color="auto"/>
        <w:left w:val="none" w:sz="0" w:space="0" w:color="auto"/>
        <w:bottom w:val="none" w:sz="0" w:space="0" w:color="auto"/>
        <w:right w:val="none" w:sz="0" w:space="0" w:color="auto"/>
      </w:divBdr>
      <w:divsChild>
        <w:div w:id="252975602">
          <w:marLeft w:val="0"/>
          <w:marRight w:val="0"/>
          <w:marTop w:val="0"/>
          <w:marBottom w:val="0"/>
          <w:divBdr>
            <w:top w:val="none" w:sz="0" w:space="0" w:color="auto"/>
            <w:left w:val="none" w:sz="0" w:space="0" w:color="auto"/>
            <w:bottom w:val="none" w:sz="0" w:space="0" w:color="auto"/>
            <w:right w:val="none" w:sz="0" w:space="0" w:color="auto"/>
          </w:divBdr>
        </w:div>
        <w:div w:id="534394500">
          <w:marLeft w:val="0"/>
          <w:marRight w:val="0"/>
          <w:marTop w:val="0"/>
          <w:marBottom w:val="0"/>
          <w:divBdr>
            <w:top w:val="none" w:sz="0" w:space="0" w:color="auto"/>
            <w:left w:val="none" w:sz="0" w:space="0" w:color="auto"/>
            <w:bottom w:val="none" w:sz="0" w:space="0" w:color="auto"/>
            <w:right w:val="none" w:sz="0" w:space="0" w:color="auto"/>
          </w:divBdr>
        </w:div>
        <w:div w:id="670792034">
          <w:marLeft w:val="0"/>
          <w:marRight w:val="0"/>
          <w:marTop w:val="0"/>
          <w:marBottom w:val="0"/>
          <w:divBdr>
            <w:top w:val="none" w:sz="0" w:space="0" w:color="auto"/>
            <w:left w:val="none" w:sz="0" w:space="0" w:color="auto"/>
            <w:bottom w:val="none" w:sz="0" w:space="0" w:color="auto"/>
            <w:right w:val="none" w:sz="0" w:space="0" w:color="auto"/>
          </w:divBdr>
        </w:div>
        <w:div w:id="1337415889">
          <w:marLeft w:val="0"/>
          <w:marRight w:val="0"/>
          <w:marTop w:val="0"/>
          <w:marBottom w:val="0"/>
          <w:divBdr>
            <w:top w:val="none" w:sz="0" w:space="0" w:color="auto"/>
            <w:left w:val="none" w:sz="0" w:space="0" w:color="auto"/>
            <w:bottom w:val="none" w:sz="0" w:space="0" w:color="auto"/>
            <w:right w:val="none" w:sz="0" w:space="0" w:color="auto"/>
          </w:divBdr>
        </w:div>
        <w:div w:id="1515461426">
          <w:marLeft w:val="0"/>
          <w:marRight w:val="0"/>
          <w:marTop w:val="0"/>
          <w:marBottom w:val="0"/>
          <w:divBdr>
            <w:top w:val="none" w:sz="0" w:space="0" w:color="auto"/>
            <w:left w:val="none" w:sz="0" w:space="0" w:color="auto"/>
            <w:bottom w:val="none" w:sz="0" w:space="0" w:color="auto"/>
            <w:right w:val="none" w:sz="0" w:space="0" w:color="auto"/>
          </w:divBdr>
        </w:div>
        <w:div w:id="1554001382">
          <w:marLeft w:val="0"/>
          <w:marRight w:val="0"/>
          <w:marTop w:val="0"/>
          <w:marBottom w:val="0"/>
          <w:divBdr>
            <w:top w:val="none" w:sz="0" w:space="0" w:color="auto"/>
            <w:left w:val="none" w:sz="0" w:space="0" w:color="auto"/>
            <w:bottom w:val="none" w:sz="0" w:space="0" w:color="auto"/>
            <w:right w:val="none" w:sz="0" w:space="0" w:color="auto"/>
          </w:divBdr>
        </w:div>
        <w:div w:id="1617323192">
          <w:marLeft w:val="0"/>
          <w:marRight w:val="0"/>
          <w:marTop w:val="0"/>
          <w:marBottom w:val="0"/>
          <w:divBdr>
            <w:top w:val="none" w:sz="0" w:space="0" w:color="auto"/>
            <w:left w:val="none" w:sz="0" w:space="0" w:color="auto"/>
            <w:bottom w:val="none" w:sz="0" w:space="0" w:color="auto"/>
            <w:right w:val="none" w:sz="0" w:space="0" w:color="auto"/>
          </w:divBdr>
        </w:div>
        <w:div w:id="1618633346">
          <w:marLeft w:val="0"/>
          <w:marRight w:val="0"/>
          <w:marTop w:val="0"/>
          <w:marBottom w:val="0"/>
          <w:divBdr>
            <w:top w:val="none" w:sz="0" w:space="0" w:color="auto"/>
            <w:left w:val="none" w:sz="0" w:space="0" w:color="auto"/>
            <w:bottom w:val="none" w:sz="0" w:space="0" w:color="auto"/>
            <w:right w:val="none" w:sz="0" w:space="0" w:color="auto"/>
          </w:divBdr>
        </w:div>
        <w:div w:id="165629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2D986-477D-4760-8FF4-078DECC4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4337</Characters>
  <Application>Microsoft Office Word</Application>
  <DocSecurity>0</DocSecurity>
  <Lines>206</Lines>
  <Paragraphs>117</Paragraphs>
  <ScaleCrop>false</ScaleCrop>
  <HeadingPairs>
    <vt:vector size="2" baseType="variant">
      <vt:variant>
        <vt:lpstr>Title</vt:lpstr>
      </vt:variant>
      <vt:variant>
        <vt:i4>1</vt:i4>
      </vt:variant>
    </vt:vector>
  </HeadingPairs>
  <TitlesOfParts>
    <vt:vector size="1" baseType="lpstr">
      <vt:lpstr>Ministru kabineta noteikumu projekta„Tautību klasifikators” sākotnējās ietekmes novērtējuma ziņojums (anotācija)</vt:lpstr>
    </vt:vector>
  </TitlesOfParts>
  <Company>CSP</Company>
  <LinksUpToDate>false</LinksUpToDate>
  <CharactersWithSpaces>4799</CharactersWithSpaces>
  <SharedDoc>false</SharedDoc>
  <HLinks>
    <vt:vector size="6" baseType="variant">
      <vt:variant>
        <vt:i4>7012359</vt:i4>
      </vt:variant>
      <vt:variant>
        <vt:i4>0</vt:i4>
      </vt:variant>
      <vt:variant>
        <vt:i4>0</vt:i4>
      </vt:variant>
      <vt:variant>
        <vt:i4>5</vt:i4>
      </vt:variant>
      <vt:variant>
        <vt:lpwstr>mailto:Inita.Ruka@mil.lv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projekta„Tautību klasifikators” sākotnējās ietekmes novērtējuma ziņojums (anotācija)</dc:title>
  <dc:subject>Anotācija</dc:subject>
  <dc:creator>Ieva Začeste</dc:creator>
  <dc:description>Ieva.Zaceste@csb.gov.lv
67366897</dc:description>
  <cp:lastModifiedBy>Jānis Ušpelis</cp:lastModifiedBy>
  <cp:revision>2</cp:revision>
  <cp:lastPrinted>2016-04-20T12:49:00Z</cp:lastPrinted>
  <dcterms:created xsi:type="dcterms:W3CDTF">2016-04-20T13:35:00Z</dcterms:created>
  <dcterms:modified xsi:type="dcterms:W3CDTF">2016-04-20T13:35:00Z</dcterms:modified>
</cp:coreProperties>
</file>