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98C4C" w14:textId="77777777" w:rsidR="00EA0636" w:rsidRPr="00BA083F" w:rsidRDefault="00EA0636" w:rsidP="00EA06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8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BA083F">
        <w:rPr>
          <w:rFonts w:ascii="Times New Roman" w:hAnsi="Times New Roman" w:cs="Times New Roman"/>
          <w:sz w:val="28"/>
          <w:szCs w:val="28"/>
        </w:rPr>
        <w:t>pielikums</w:t>
      </w:r>
    </w:p>
    <w:p w14:paraId="0058278A" w14:textId="77777777" w:rsidR="00EA0636" w:rsidRPr="00BA083F" w:rsidRDefault="00EA0636" w:rsidP="00EA06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83F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50F18A23" w14:textId="0A6EC436" w:rsidR="00EA0636" w:rsidRPr="00BA083F" w:rsidRDefault="00EA0636" w:rsidP="00EA06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83F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BA083F">
        <w:rPr>
          <w:rFonts w:ascii="Times New Roman" w:hAnsi="Times New Roman" w:cs="Times New Roman"/>
          <w:sz w:val="28"/>
          <w:szCs w:val="28"/>
        </w:rPr>
        <w:t>gada </w:t>
      </w:r>
      <w:r w:rsidR="00B36EDF">
        <w:rPr>
          <w:rFonts w:ascii="Times New Roman" w:hAnsi="Times New Roman" w:cs="Times New Roman"/>
          <w:sz w:val="28"/>
          <w:szCs w:val="28"/>
        </w:rPr>
        <w:t>7.</w:t>
      </w:r>
      <w:r w:rsidRPr="00BA083F">
        <w:rPr>
          <w:rFonts w:ascii="Times New Roman" w:hAnsi="Times New Roman" w:cs="Times New Roman"/>
          <w:sz w:val="28"/>
          <w:szCs w:val="28"/>
        </w:rPr>
        <w:t> </w:t>
      </w:r>
      <w:r w:rsidR="00B36EDF">
        <w:rPr>
          <w:rFonts w:ascii="Times New Roman" w:hAnsi="Times New Roman" w:cs="Times New Roman"/>
          <w:sz w:val="28"/>
          <w:szCs w:val="28"/>
        </w:rPr>
        <w:t>jūnija</w:t>
      </w:r>
    </w:p>
    <w:p w14:paraId="5D4D329D" w14:textId="0EBBF24E" w:rsidR="00EA0636" w:rsidRPr="00BA083F" w:rsidRDefault="00EA0636" w:rsidP="00EA06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83F">
        <w:rPr>
          <w:rFonts w:ascii="Times New Roman" w:hAnsi="Times New Roman" w:cs="Times New Roman"/>
          <w:sz w:val="28"/>
          <w:szCs w:val="28"/>
        </w:rPr>
        <w:t>noteikumiem Nr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36EDF">
        <w:rPr>
          <w:rFonts w:ascii="Times New Roman" w:hAnsi="Times New Roman" w:cs="Times New Roman"/>
          <w:sz w:val="28"/>
          <w:szCs w:val="28"/>
        </w:rPr>
        <w:t>348</w:t>
      </w:r>
      <w:bookmarkStart w:id="0" w:name="_GoBack"/>
      <w:bookmarkEnd w:id="0"/>
    </w:p>
    <w:p w14:paraId="759B8759" w14:textId="77777777" w:rsidR="00EA0636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AA46B1F" w14:textId="77777777" w:rsidR="00EA0636" w:rsidRPr="00BA083F" w:rsidRDefault="00EA0636" w:rsidP="00EA0636">
      <w:pPr>
        <w:pStyle w:val="ti-grseq-1"/>
        <w:spacing w:before="0" w:beforeAutospacing="0" w:after="0" w:afterAutospacing="0"/>
        <w:jc w:val="center"/>
        <w:rPr>
          <w:rStyle w:val="bold"/>
          <w:b/>
          <w:sz w:val="28"/>
          <w:szCs w:val="28"/>
        </w:rPr>
      </w:pPr>
      <w:r w:rsidRPr="00BA083F">
        <w:rPr>
          <w:rStyle w:val="bold"/>
          <w:b/>
          <w:sz w:val="28"/>
          <w:szCs w:val="28"/>
        </w:rPr>
        <w:t>Spiedieniekārtu iedalījums</w:t>
      </w:r>
      <w:r>
        <w:rPr>
          <w:rStyle w:val="bold"/>
          <w:b/>
          <w:sz w:val="28"/>
          <w:szCs w:val="28"/>
        </w:rPr>
        <w:t xml:space="preserve"> kategori</w:t>
      </w:r>
      <w:r w:rsidRPr="00BA083F">
        <w:rPr>
          <w:rStyle w:val="bold"/>
          <w:b/>
          <w:sz w:val="28"/>
          <w:szCs w:val="28"/>
        </w:rPr>
        <w:t>jās</w:t>
      </w:r>
    </w:p>
    <w:p w14:paraId="40AE85F6" w14:textId="77777777" w:rsidR="00EA0636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2561852" w14:textId="77777777" w:rsidR="00EA0636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A083F">
        <w:rPr>
          <w:sz w:val="28"/>
          <w:szCs w:val="28"/>
        </w:rPr>
        <w:t>Spiedieniekārtas iedala</w:t>
      </w:r>
      <w:r>
        <w:rPr>
          <w:sz w:val="28"/>
          <w:szCs w:val="28"/>
        </w:rPr>
        <w:t xml:space="preserve"> kategori</w:t>
      </w:r>
      <w:r w:rsidRPr="00BA083F">
        <w:rPr>
          <w:sz w:val="28"/>
          <w:szCs w:val="28"/>
        </w:rPr>
        <w:t>jās saskaņā ar š</w:t>
      </w:r>
      <w:r>
        <w:rPr>
          <w:sz w:val="28"/>
          <w:szCs w:val="28"/>
        </w:rPr>
        <w:t>ā</w:t>
      </w:r>
      <w:r w:rsidRPr="00BA083F">
        <w:rPr>
          <w:sz w:val="28"/>
          <w:szCs w:val="28"/>
        </w:rPr>
        <w:t xml:space="preserve"> pielikuma 1</w:t>
      </w:r>
      <w:r>
        <w:rPr>
          <w:sz w:val="28"/>
          <w:szCs w:val="28"/>
        </w:rPr>
        <w:t>.</w:t>
      </w:r>
      <w:r w:rsidRPr="00BA083F">
        <w:rPr>
          <w:sz w:val="28"/>
          <w:szCs w:val="28"/>
        </w:rPr>
        <w:t>, 2</w:t>
      </w:r>
      <w:r>
        <w:rPr>
          <w:sz w:val="28"/>
          <w:szCs w:val="28"/>
        </w:rPr>
        <w:t>.</w:t>
      </w:r>
      <w:r w:rsidRPr="00BA083F">
        <w:rPr>
          <w:sz w:val="28"/>
          <w:szCs w:val="28"/>
        </w:rPr>
        <w:t>, 3</w:t>
      </w:r>
      <w:r>
        <w:rPr>
          <w:sz w:val="28"/>
          <w:szCs w:val="28"/>
        </w:rPr>
        <w:t>.</w:t>
      </w:r>
      <w:r w:rsidRPr="00BA083F">
        <w:rPr>
          <w:sz w:val="28"/>
          <w:szCs w:val="28"/>
        </w:rPr>
        <w:t>, 4</w:t>
      </w:r>
      <w:r>
        <w:rPr>
          <w:sz w:val="28"/>
          <w:szCs w:val="28"/>
        </w:rPr>
        <w:t>.</w:t>
      </w:r>
      <w:r w:rsidRPr="00BA083F">
        <w:rPr>
          <w:sz w:val="28"/>
          <w:szCs w:val="28"/>
        </w:rPr>
        <w:t>, 5</w:t>
      </w:r>
      <w:r>
        <w:rPr>
          <w:sz w:val="28"/>
          <w:szCs w:val="28"/>
        </w:rPr>
        <w:t>.</w:t>
      </w:r>
      <w:r w:rsidRPr="00BA083F">
        <w:rPr>
          <w:sz w:val="28"/>
          <w:szCs w:val="28"/>
        </w:rPr>
        <w:t>, 6</w:t>
      </w:r>
      <w:r>
        <w:rPr>
          <w:sz w:val="28"/>
          <w:szCs w:val="28"/>
        </w:rPr>
        <w:t>.</w:t>
      </w:r>
      <w:r w:rsidRPr="00BA083F">
        <w:rPr>
          <w:sz w:val="28"/>
          <w:szCs w:val="28"/>
        </w:rPr>
        <w:t>, 7</w:t>
      </w:r>
      <w:r>
        <w:rPr>
          <w:sz w:val="28"/>
          <w:szCs w:val="28"/>
        </w:rPr>
        <w:t>.</w:t>
      </w:r>
      <w:r w:rsidRPr="00BA083F">
        <w:rPr>
          <w:sz w:val="28"/>
          <w:szCs w:val="28"/>
        </w:rPr>
        <w:t>, 8</w:t>
      </w:r>
      <w:r>
        <w:rPr>
          <w:sz w:val="28"/>
          <w:szCs w:val="28"/>
        </w:rPr>
        <w:t xml:space="preserve">. </w:t>
      </w:r>
      <w:r w:rsidRPr="00BA083F">
        <w:rPr>
          <w:sz w:val="28"/>
          <w:szCs w:val="28"/>
        </w:rPr>
        <w:t>un 9</w:t>
      </w:r>
      <w:r>
        <w:rPr>
          <w:sz w:val="28"/>
          <w:szCs w:val="28"/>
        </w:rPr>
        <w:t>. </w:t>
      </w:r>
      <w:r w:rsidRPr="00BA083F">
        <w:rPr>
          <w:sz w:val="28"/>
          <w:szCs w:val="28"/>
        </w:rPr>
        <w:t>zīmējumā norādītajām atbilstības novērtēšanas diagrammām</w:t>
      </w:r>
      <w:r>
        <w:rPr>
          <w:sz w:val="28"/>
          <w:szCs w:val="28"/>
        </w:rPr>
        <w:t xml:space="preserve">. </w:t>
      </w:r>
      <w:r w:rsidRPr="00BA083F">
        <w:rPr>
          <w:sz w:val="28"/>
          <w:szCs w:val="28"/>
        </w:rPr>
        <w:t xml:space="preserve">Robežlīnijas </w:t>
      </w:r>
      <w:r>
        <w:rPr>
          <w:sz w:val="28"/>
          <w:szCs w:val="28"/>
        </w:rPr>
        <w:t xml:space="preserve">minētajās </w:t>
      </w:r>
      <w:r w:rsidRPr="00BA083F">
        <w:rPr>
          <w:sz w:val="28"/>
          <w:szCs w:val="28"/>
        </w:rPr>
        <w:t>diagrammās norāda katras</w:t>
      </w:r>
      <w:r>
        <w:rPr>
          <w:sz w:val="28"/>
          <w:szCs w:val="28"/>
        </w:rPr>
        <w:t xml:space="preserve"> kategori</w:t>
      </w:r>
      <w:r w:rsidRPr="00BA083F">
        <w:rPr>
          <w:sz w:val="28"/>
          <w:szCs w:val="28"/>
        </w:rPr>
        <w:t>jas spiedieniekārtu augšējās robežas</w:t>
      </w:r>
      <w:r>
        <w:rPr>
          <w:sz w:val="28"/>
          <w:szCs w:val="28"/>
        </w:rPr>
        <w:t>.</w:t>
      </w:r>
    </w:p>
    <w:p w14:paraId="3BEFAF1F" w14:textId="77777777" w:rsidR="00EA0636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51E0DFB" w14:textId="77777777" w:rsidR="00EA0636" w:rsidRDefault="00EA0636" w:rsidP="00EA0636">
      <w:pPr>
        <w:pStyle w:val="ti-grseq-1"/>
        <w:spacing w:before="0" w:beforeAutospacing="0" w:after="0" w:afterAutospacing="0"/>
        <w:jc w:val="center"/>
        <w:rPr>
          <w:sz w:val="28"/>
          <w:szCs w:val="28"/>
        </w:rPr>
      </w:pPr>
      <w:r w:rsidRPr="001A62F3">
        <w:rPr>
          <w:noProof/>
          <w:sz w:val="28"/>
          <w:szCs w:val="28"/>
        </w:rPr>
        <w:drawing>
          <wp:inline distT="0" distB="0" distL="0" distR="0" wp14:anchorId="66143BE2" wp14:editId="314A38C6">
            <wp:extent cx="4444784" cy="33778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323" cy="33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B3F3C" w14:textId="77777777" w:rsidR="00EA0636" w:rsidRPr="005B14E9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 w:val="20"/>
          <w:szCs w:val="28"/>
        </w:rPr>
      </w:pPr>
    </w:p>
    <w:p w14:paraId="5385ADBF" w14:textId="77777777" w:rsidR="00EA0636" w:rsidRPr="00373863" w:rsidRDefault="00EA0636" w:rsidP="00EA0636">
      <w:pPr>
        <w:pStyle w:val="Normal1"/>
        <w:spacing w:before="0" w:beforeAutospacing="0" w:after="0" w:afterAutospacing="0"/>
        <w:jc w:val="center"/>
        <w:rPr>
          <w:b/>
          <w:szCs w:val="28"/>
        </w:rPr>
      </w:pPr>
      <w:r w:rsidRPr="00373863">
        <w:rPr>
          <w:rStyle w:val="Strong"/>
          <w:b w:val="0"/>
          <w:szCs w:val="28"/>
          <w:bdr w:val="none" w:sz="0" w:space="0" w:color="auto" w:frame="1"/>
          <w:shd w:val="clear" w:color="auto" w:fill="FFFFFF"/>
        </w:rPr>
        <w:t>1. zīm. Noteikumu 8.1.1.1. apakš</w:t>
      </w:r>
      <w:r>
        <w:rPr>
          <w:rStyle w:val="Strong"/>
          <w:b w:val="0"/>
          <w:szCs w:val="28"/>
          <w:bdr w:val="none" w:sz="0" w:space="0" w:color="auto" w:frame="1"/>
          <w:shd w:val="clear" w:color="auto" w:fill="FFFFFF"/>
        </w:rPr>
        <w:t>punktā minēt</w:t>
      </w:r>
      <w:r w:rsidRPr="00373863">
        <w:rPr>
          <w:rStyle w:val="Strong"/>
          <w:b w:val="0"/>
          <w:szCs w:val="28"/>
          <w:bdr w:val="none" w:sz="0" w:space="0" w:color="auto" w:frame="1"/>
          <w:shd w:val="clear" w:color="auto" w:fill="FFFFFF"/>
        </w:rPr>
        <w:t>o tvertņu iedalījums kategorijās</w:t>
      </w:r>
    </w:p>
    <w:p w14:paraId="4A676721" w14:textId="77777777" w:rsidR="00EA0636" w:rsidRPr="00BD537A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Cs w:val="28"/>
        </w:rPr>
      </w:pPr>
    </w:p>
    <w:p w14:paraId="7BEC48A8" w14:textId="77777777" w:rsidR="00EA0636" w:rsidRPr="00373863" w:rsidRDefault="00EA0636" w:rsidP="00EA0636">
      <w:pPr>
        <w:pStyle w:val="Normal1"/>
        <w:spacing w:before="0" w:beforeAutospacing="0" w:after="0" w:afterAutospacing="0"/>
        <w:ind w:firstLine="720"/>
        <w:jc w:val="both"/>
        <w:rPr>
          <w:szCs w:val="28"/>
        </w:rPr>
      </w:pPr>
      <w:r w:rsidRPr="00373863">
        <w:rPr>
          <w:szCs w:val="28"/>
        </w:rPr>
        <w:t>Piezīme. Tvertnes, kas paredzētas nestabilu gāzu saturēšanai un atbilst I vai II kategorijai, klasificējamas III kategorijā.</w:t>
      </w:r>
    </w:p>
    <w:p w14:paraId="32AC55E9" w14:textId="77777777" w:rsidR="00EA0636" w:rsidRPr="00BD537A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8688F4F" w14:textId="77777777" w:rsidR="00EA0636" w:rsidRDefault="00EA0636" w:rsidP="00EA0636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sz w:val="28"/>
          <w:szCs w:val="28"/>
        </w:rPr>
        <w:br w:type="page"/>
      </w:r>
    </w:p>
    <w:p w14:paraId="7E4E7DFF" w14:textId="77777777" w:rsidR="00EA0636" w:rsidRDefault="00EA0636" w:rsidP="00EA0636">
      <w:pPr>
        <w:pStyle w:val="ti-grseq-1"/>
        <w:spacing w:before="0" w:beforeAutospacing="0" w:after="0" w:afterAutospacing="0"/>
        <w:jc w:val="center"/>
        <w:rPr>
          <w:sz w:val="28"/>
          <w:szCs w:val="28"/>
        </w:rPr>
      </w:pPr>
      <w:r w:rsidRPr="001A62F3">
        <w:rPr>
          <w:noProof/>
          <w:sz w:val="28"/>
          <w:szCs w:val="28"/>
        </w:rPr>
        <w:lastRenderedPageBreak/>
        <w:drawing>
          <wp:inline distT="0" distB="0" distL="0" distR="0" wp14:anchorId="0770DE72" wp14:editId="10127F14">
            <wp:extent cx="4667295" cy="3686989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70" cy="369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49799" w14:textId="77777777" w:rsidR="00EA0636" w:rsidRPr="005B14E9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 w:val="20"/>
          <w:szCs w:val="28"/>
        </w:rPr>
      </w:pPr>
    </w:p>
    <w:p w14:paraId="76789B13" w14:textId="77777777" w:rsidR="00EA0636" w:rsidRPr="00BD537A" w:rsidRDefault="00EA0636" w:rsidP="00EA0636">
      <w:pPr>
        <w:pStyle w:val="Normal1"/>
        <w:spacing w:before="0" w:beforeAutospacing="0" w:after="0" w:afterAutospacing="0"/>
        <w:jc w:val="center"/>
        <w:rPr>
          <w:b/>
        </w:rPr>
      </w:pPr>
      <w:r w:rsidRPr="00BD537A">
        <w:rPr>
          <w:rStyle w:val="Strong"/>
          <w:b w:val="0"/>
          <w:bdr w:val="none" w:sz="0" w:space="0" w:color="auto" w:frame="1"/>
        </w:rPr>
        <w:t>2. zīm. Noteikumu 8.1.1.2. apakš</w:t>
      </w:r>
      <w:r>
        <w:rPr>
          <w:rStyle w:val="Strong"/>
          <w:b w:val="0"/>
          <w:bdr w:val="none" w:sz="0" w:space="0" w:color="auto" w:frame="1"/>
        </w:rPr>
        <w:t>punktā minēt</w:t>
      </w:r>
      <w:r w:rsidRPr="00BD537A">
        <w:rPr>
          <w:rStyle w:val="Strong"/>
          <w:b w:val="0"/>
          <w:bdr w:val="none" w:sz="0" w:space="0" w:color="auto" w:frame="1"/>
        </w:rPr>
        <w:t>o tvertņu iedalījums kategorijās</w:t>
      </w:r>
    </w:p>
    <w:p w14:paraId="0BE22795" w14:textId="77777777" w:rsidR="00EA0636" w:rsidRPr="00BD537A" w:rsidRDefault="00EA0636" w:rsidP="00EA0636">
      <w:pPr>
        <w:pStyle w:val="ti-grseq-1"/>
        <w:spacing w:before="0" w:beforeAutospacing="0" w:after="0" w:afterAutospacing="0"/>
        <w:ind w:firstLine="720"/>
        <w:jc w:val="both"/>
      </w:pPr>
    </w:p>
    <w:p w14:paraId="7E154662" w14:textId="77777777" w:rsidR="00EA0636" w:rsidRPr="00373863" w:rsidRDefault="00EA0636" w:rsidP="00EA0636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373863">
        <w:rPr>
          <w:iCs/>
          <w:szCs w:val="28"/>
        </w:rPr>
        <w:t>Piezīme. </w:t>
      </w:r>
      <w:r w:rsidRPr="00373863">
        <w:rPr>
          <w:szCs w:val="28"/>
        </w:rPr>
        <w:t>Pārnēsājamo vai pārvietojamo ugunsdzēsības aparātu tvertnes un tvertnes elpošanas iekārtām klasificējamas ne zemāk par III kategoriju.</w:t>
      </w:r>
    </w:p>
    <w:p w14:paraId="113A13D7" w14:textId="77777777" w:rsidR="00EA0636" w:rsidRPr="00BD537A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C17EADB" w14:textId="77777777" w:rsidR="00EA0636" w:rsidRDefault="00EA0636" w:rsidP="00EA0636">
      <w:pPr>
        <w:pStyle w:val="ti-grseq-1"/>
        <w:spacing w:before="0" w:beforeAutospacing="0" w:after="0" w:afterAutospacing="0"/>
        <w:jc w:val="center"/>
        <w:rPr>
          <w:sz w:val="28"/>
          <w:szCs w:val="28"/>
        </w:rPr>
      </w:pPr>
      <w:r w:rsidRPr="001A62F3">
        <w:rPr>
          <w:noProof/>
          <w:sz w:val="28"/>
          <w:szCs w:val="28"/>
        </w:rPr>
        <w:drawing>
          <wp:inline distT="0" distB="0" distL="0" distR="0" wp14:anchorId="30A1D691" wp14:editId="4BB14A46">
            <wp:extent cx="4667693" cy="34914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70" cy="3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9C5E6" w14:textId="77777777" w:rsidR="00EA0636" w:rsidRPr="005B14E9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 w:val="20"/>
          <w:szCs w:val="28"/>
        </w:rPr>
      </w:pPr>
    </w:p>
    <w:p w14:paraId="7249E996" w14:textId="77777777" w:rsidR="00EA0636" w:rsidRPr="00382788" w:rsidRDefault="00EA0636" w:rsidP="00EA0636">
      <w:pPr>
        <w:pStyle w:val="Normal1"/>
        <w:spacing w:before="0" w:beforeAutospacing="0" w:after="0" w:afterAutospacing="0"/>
        <w:jc w:val="center"/>
        <w:rPr>
          <w:rStyle w:val="Strong"/>
          <w:b w:val="0"/>
          <w:szCs w:val="28"/>
          <w:bdr w:val="none" w:sz="0" w:space="0" w:color="auto" w:frame="1"/>
          <w:shd w:val="clear" w:color="auto" w:fill="FFFFFF"/>
        </w:rPr>
      </w:pPr>
      <w:r w:rsidRPr="00382788">
        <w:rPr>
          <w:rStyle w:val="Strong"/>
          <w:b w:val="0"/>
          <w:szCs w:val="28"/>
          <w:bdr w:val="none" w:sz="0" w:space="0" w:color="auto" w:frame="1"/>
          <w:shd w:val="clear" w:color="auto" w:fill="FFFFFF"/>
        </w:rPr>
        <w:t>3. zīm. Noteikumu 8.1.2.1. apakšpunktā minēto tvertņu iedalījums kategorijās</w:t>
      </w:r>
    </w:p>
    <w:p w14:paraId="189301F3" w14:textId="77777777" w:rsidR="00EA0636" w:rsidRPr="00BD537A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ABE94D4" w14:textId="77777777" w:rsidR="00EA0636" w:rsidRDefault="00EA0636" w:rsidP="00EA0636">
      <w:pPr>
        <w:pStyle w:val="ti-grseq-1"/>
        <w:spacing w:before="0" w:beforeAutospacing="0" w:after="0" w:afterAutospacing="0"/>
        <w:jc w:val="center"/>
        <w:rPr>
          <w:sz w:val="28"/>
          <w:szCs w:val="28"/>
        </w:rPr>
      </w:pPr>
      <w:r w:rsidRPr="001A62F3">
        <w:rPr>
          <w:noProof/>
          <w:sz w:val="28"/>
          <w:szCs w:val="28"/>
        </w:rPr>
        <w:lastRenderedPageBreak/>
        <w:drawing>
          <wp:inline distT="0" distB="0" distL="0" distR="0" wp14:anchorId="6B7B31D9" wp14:editId="70344A8A">
            <wp:extent cx="3939047" cy="3137338"/>
            <wp:effectExtent l="0" t="0" r="444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6" cy="314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062C7" w14:textId="77777777" w:rsidR="00EA0636" w:rsidRPr="005B14E9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 w:val="20"/>
          <w:szCs w:val="28"/>
        </w:rPr>
      </w:pPr>
    </w:p>
    <w:p w14:paraId="78BA5D5B" w14:textId="77777777" w:rsidR="00EA0636" w:rsidRPr="00373863" w:rsidRDefault="00EA0636" w:rsidP="00EA0636">
      <w:pPr>
        <w:pStyle w:val="Normal1"/>
        <w:spacing w:before="0" w:beforeAutospacing="0" w:after="0" w:afterAutospacing="0"/>
        <w:jc w:val="center"/>
        <w:rPr>
          <w:rStyle w:val="Strong"/>
          <w:b w:val="0"/>
          <w:szCs w:val="28"/>
          <w:bdr w:val="none" w:sz="0" w:space="0" w:color="auto" w:frame="1"/>
          <w:shd w:val="clear" w:color="auto" w:fill="FFFFFF"/>
        </w:rPr>
      </w:pPr>
      <w:r w:rsidRPr="00373863">
        <w:rPr>
          <w:rStyle w:val="Strong"/>
          <w:b w:val="0"/>
          <w:szCs w:val="28"/>
          <w:bdr w:val="none" w:sz="0" w:space="0" w:color="auto" w:frame="1"/>
          <w:shd w:val="clear" w:color="auto" w:fill="FFFFFF"/>
        </w:rPr>
        <w:t>4. zīm. Noteikumu 8.1.2.2. apakš</w:t>
      </w:r>
      <w:r>
        <w:rPr>
          <w:rStyle w:val="Strong"/>
          <w:b w:val="0"/>
          <w:szCs w:val="28"/>
          <w:bdr w:val="none" w:sz="0" w:space="0" w:color="auto" w:frame="1"/>
          <w:shd w:val="clear" w:color="auto" w:fill="FFFFFF"/>
        </w:rPr>
        <w:t>punktā minēt</w:t>
      </w:r>
      <w:r w:rsidRPr="00373863">
        <w:rPr>
          <w:rStyle w:val="Strong"/>
          <w:b w:val="0"/>
          <w:szCs w:val="28"/>
          <w:bdr w:val="none" w:sz="0" w:space="0" w:color="auto" w:frame="1"/>
          <w:shd w:val="clear" w:color="auto" w:fill="FFFFFF"/>
        </w:rPr>
        <w:t>o tvertņu iedalījums kategorijās</w:t>
      </w:r>
    </w:p>
    <w:p w14:paraId="209C6FEF" w14:textId="77777777" w:rsidR="00EA0636" w:rsidRPr="00BD537A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Cs w:val="28"/>
        </w:rPr>
      </w:pPr>
    </w:p>
    <w:p w14:paraId="2C7EF1AD" w14:textId="77777777" w:rsidR="00EA0636" w:rsidRPr="00540300" w:rsidRDefault="00EA0636" w:rsidP="00EA0636">
      <w:pPr>
        <w:pStyle w:val="Normal1"/>
        <w:spacing w:before="0" w:beforeAutospacing="0" w:after="0" w:afterAutospacing="0"/>
        <w:ind w:firstLine="720"/>
        <w:jc w:val="both"/>
        <w:rPr>
          <w:spacing w:val="-2"/>
          <w:szCs w:val="28"/>
        </w:rPr>
      </w:pPr>
      <w:r w:rsidRPr="00540300">
        <w:rPr>
          <w:iCs/>
          <w:spacing w:val="-2"/>
          <w:szCs w:val="28"/>
        </w:rPr>
        <w:t>Piezīme. </w:t>
      </w:r>
      <w:r w:rsidRPr="00540300">
        <w:rPr>
          <w:rStyle w:val="apple-converted-space"/>
          <w:spacing w:val="-2"/>
          <w:szCs w:val="28"/>
        </w:rPr>
        <w:t xml:space="preserve">Noteikumu </w:t>
      </w:r>
      <w:r w:rsidRPr="00540300">
        <w:rPr>
          <w:spacing w:val="-2"/>
          <w:szCs w:val="28"/>
        </w:rPr>
        <w:t>9.2. apakšpunktā minētie kompleksi, kas paredzēti silt</w:t>
      </w:r>
      <w:r>
        <w:rPr>
          <w:spacing w:val="-2"/>
          <w:szCs w:val="28"/>
        </w:rPr>
        <w:t>ā</w:t>
      </w:r>
      <w:r w:rsidRPr="00540300">
        <w:rPr>
          <w:spacing w:val="-2"/>
          <w:szCs w:val="28"/>
        </w:rPr>
        <w:t xml:space="preserve"> ūdens ražošanai</w:t>
      </w:r>
      <w:r>
        <w:rPr>
          <w:spacing w:val="-2"/>
          <w:szCs w:val="28"/>
        </w:rPr>
        <w:t>,</w:t>
      </w:r>
      <w:r w:rsidRPr="00540300">
        <w:rPr>
          <w:spacing w:val="-2"/>
          <w:szCs w:val="28"/>
        </w:rPr>
        <w:t xml:space="preserve"> attiecīgi pakļau</w:t>
      </w:r>
      <w:r>
        <w:rPr>
          <w:spacing w:val="-2"/>
          <w:szCs w:val="28"/>
        </w:rPr>
        <w:t>jami</w:t>
      </w:r>
      <w:r w:rsidRPr="00540300">
        <w:rPr>
          <w:spacing w:val="-2"/>
          <w:szCs w:val="28"/>
        </w:rPr>
        <w:t xml:space="preserve"> vai nu projekta tipa pārbaudei (B modulis) attiecībā uz to atbilstību būtiskajām prasībām, kas minētas </w:t>
      </w:r>
      <w:r>
        <w:rPr>
          <w:spacing w:val="-2"/>
          <w:szCs w:val="28"/>
        </w:rPr>
        <w:t>n</w:t>
      </w:r>
      <w:r w:rsidRPr="00540300">
        <w:rPr>
          <w:spacing w:val="-2"/>
          <w:szCs w:val="28"/>
        </w:rPr>
        <w:t>oteikumu 41., 42., 43., 44., 45., 53., 54.</w:t>
      </w:r>
      <w:r>
        <w:rPr>
          <w:spacing w:val="-2"/>
          <w:szCs w:val="28"/>
        </w:rPr>
        <w:t>,</w:t>
      </w:r>
      <w:r w:rsidRPr="00540300">
        <w:rPr>
          <w:spacing w:val="-2"/>
          <w:szCs w:val="28"/>
        </w:rPr>
        <w:t xml:space="preserve"> 55. punktā, 63.1. un 63.4. apakšpunktā, vai visaptverošai kvalitātes nodrošināšanai (H modulis).</w:t>
      </w:r>
    </w:p>
    <w:p w14:paraId="1D0A4920" w14:textId="77777777" w:rsidR="00EA0636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EA40AD8" w14:textId="77777777" w:rsidR="00EA0636" w:rsidRDefault="00EA0636" w:rsidP="00EA0636">
      <w:pPr>
        <w:pStyle w:val="ti-grseq-1"/>
        <w:spacing w:before="0" w:beforeAutospacing="0" w:after="0" w:afterAutospacing="0"/>
        <w:jc w:val="center"/>
        <w:rPr>
          <w:sz w:val="28"/>
          <w:szCs w:val="28"/>
        </w:rPr>
      </w:pPr>
      <w:r w:rsidRPr="001A62F3">
        <w:rPr>
          <w:noProof/>
          <w:sz w:val="28"/>
          <w:szCs w:val="28"/>
        </w:rPr>
        <w:drawing>
          <wp:inline distT="0" distB="0" distL="0" distR="0" wp14:anchorId="211C81F3" wp14:editId="5DB21DD1">
            <wp:extent cx="3896478" cy="3358056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057" cy="338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0DF7A" w14:textId="77777777" w:rsidR="00EA0636" w:rsidRPr="005B14E9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 w:val="20"/>
          <w:szCs w:val="28"/>
        </w:rPr>
      </w:pPr>
    </w:p>
    <w:p w14:paraId="61CA3172" w14:textId="77777777" w:rsidR="00EA0636" w:rsidRPr="00373863" w:rsidRDefault="00EA0636" w:rsidP="00EA0636">
      <w:pPr>
        <w:pStyle w:val="Normal1"/>
        <w:spacing w:before="0" w:beforeAutospacing="0" w:after="0" w:afterAutospacing="0"/>
        <w:jc w:val="center"/>
        <w:rPr>
          <w:szCs w:val="28"/>
        </w:rPr>
      </w:pPr>
      <w:r w:rsidRPr="00373863">
        <w:rPr>
          <w:bCs/>
          <w:szCs w:val="28"/>
        </w:rPr>
        <w:t>5. zīm. Noteikumu 8.2. apakš</w:t>
      </w:r>
      <w:r>
        <w:rPr>
          <w:bCs/>
          <w:szCs w:val="28"/>
        </w:rPr>
        <w:t>punktā minēt</w:t>
      </w:r>
      <w:r w:rsidRPr="00373863">
        <w:rPr>
          <w:bCs/>
          <w:szCs w:val="28"/>
        </w:rPr>
        <w:t>o tvertņu iedalījums kategorijās</w:t>
      </w:r>
    </w:p>
    <w:p w14:paraId="24D7D25C" w14:textId="77777777" w:rsidR="00EA0636" w:rsidRPr="00BD537A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Cs w:val="28"/>
        </w:rPr>
      </w:pPr>
    </w:p>
    <w:p w14:paraId="06ADD523" w14:textId="77777777" w:rsidR="00EA0636" w:rsidRPr="00373863" w:rsidRDefault="00EA0636" w:rsidP="00EA0636">
      <w:pPr>
        <w:pStyle w:val="Normal1"/>
        <w:spacing w:before="0" w:beforeAutospacing="0" w:after="0" w:afterAutospacing="0"/>
        <w:ind w:firstLine="720"/>
        <w:jc w:val="both"/>
        <w:rPr>
          <w:szCs w:val="28"/>
        </w:rPr>
      </w:pPr>
      <w:r w:rsidRPr="003B61FD">
        <w:rPr>
          <w:iCs/>
          <w:szCs w:val="28"/>
        </w:rPr>
        <w:t>Piezīme. </w:t>
      </w:r>
      <w:r w:rsidRPr="00373863">
        <w:rPr>
          <w:szCs w:val="28"/>
        </w:rPr>
        <w:t xml:space="preserve">Mājsaimniecības </w:t>
      </w:r>
      <w:proofErr w:type="spellStart"/>
      <w:r w:rsidRPr="00373863">
        <w:rPr>
          <w:szCs w:val="28"/>
        </w:rPr>
        <w:t>vārkatlu</w:t>
      </w:r>
      <w:proofErr w:type="spellEnd"/>
      <w:r w:rsidRPr="00373863">
        <w:rPr>
          <w:szCs w:val="28"/>
        </w:rPr>
        <w:t xml:space="preserve"> projekti </w:t>
      </w:r>
      <w:r w:rsidRPr="00540300">
        <w:rPr>
          <w:spacing w:val="-2"/>
          <w:szCs w:val="28"/>
        </w:rPr>
        <w:t>pakļau</w:t>
      </w:r>
      <w:r>
        <w:rPr>
          <w:spacing w:val="-2"/>
          <w:szCs w:val="28"/>
        </w:rPr>
        <w:t>jami</w:t>
      </w:r>
      <w:r w:rsidRPr="00540300">
        <w:rPr>
          <w:spacing w:val="-2"/>
          <w:szCs w:val="28"/>
        </w:rPr>
        <w:t xml:space="preserve"> </w:t>
      </w:r>
      <w:r w:rsidRPr="00373863">
        <w:rPr>
          <w:szCs w:val="28"/>
        </w:rPr>
        <w:t xml:space="preserve">atbilstības novērtēšanas procedūrai, kas līdzvērtīga vismaz vienam no </w:t>
      </w:r>
      <w:r>
        <w:rPr>
          <w:szCs w:val="28"/>
        </w:rPr>
        <w:t>n</w:t>
      </w:r>
      <w:r w:rsidRPr="00373863">
        <w:rPr>
          <w:szCs w:val="28"/>
        </w:rPr>
        <w:t xml:space="preserve">oteikumu 112.3. apakšpunktā </w:t>
      </w:r>
      <w:r>
        <w:rPr>
          <w:szCs w:val="28"/>
        </w:rPr>
        <w:t>minē</w:t>
      </w:r>
      <w:r w:rsidRPr="00373863">
        <w:rPr>
          <w:szCs w:val="28"/>
        </w:rPr>
        <w:t>tajiem III kategorijas moduļiem.</w:t>
      </w:r>
    </w:p>
    <w:p w14:paraId="55D65EA7" w14:textId="77777777" w:rsidR="00EA0636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BFA1CB0" w14:textId="77777777" w:rsidR="00EA0636" w:rsidRDefault="00EA0636" w:rsidP="00EA0636">
      <w:pPr>
        <w:pStyle w:val="ti-grseq-1"/>
        <w:spacing w:before="0" w:beforeAutospacing="0" w:after="0" w:afterAutospacing="0"/>
        <w:jc w:val="center"/>
        <w:rPr>
          <w:sz w:val="28"/>
          <w:szCs w:val="28"/>
        </w:rPr>
      </w:pPr>
      <w:r w:rsidRPr="001A62F3">
        <w:rPr>
          <w:noProof/>
          <w:sz w:val="28"/>
          <w:szCs w:val="28"/>
        </w:rPr>
        <w:drawing>
          <wp:inline distT="0" distB="0" distL="0" distR="0" wp14:anchorId="152ED343" wp14:editId="406B803D">
            <wp:extent cx="4308492" cy="338958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667" cy="339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B549E" w14:textId="77777777" w:rsidR="00EA0636" w:rsidRPr="005B14E9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 w:val="20"/>
          <w:szCs w:val="28"/>
        </w:rPr>
      </w:pPr>
    </w:p>
    <w:p w14:paraId="4A5A1295" w14:textId="77777777" w:rsidR="00EA0636" w:rsidRPr="00373863" w:rsidRDefault="00EA0636" w:rsidP="00EA0636">
      <w:pPr>
        <w:pStyle w:val="Normal1"/>
        <w:spacing w:before="0" w:beforeAutospacing="0" w:after="0" w:afterAutospacing="0"/>
        <w:jc w:val="center"/>
        <w:rPr>
          <w:szCs w:val="28"/>
        </w:rPr>
      </w:pPr>
      <w:r w:rsidRPr="00373863">
        <w:rPr>
          <w:bCs/>
          <w:szCs w:val="28"/>
        </w:rPr>
        <w:t>6. zīm. Noteikumu 8.3.1.1. apakš</w:t>
      </w:r>
      <w:r>
        <w:rPr>
          <w:bCs/>
          <w:szCs w:val="28"/>
        </w:rPr>
        <w:t>punktā minēt</w:t>
      </w:r>
      <w:r w:rsidRPr="00373863">
        <w:rPr>
          <w:bCs/>
          <w:szCs w:val="28"/>
        </w:rPr>
        <w:t>o cauruļvadu iedalījums kategorijās</w:t>
      </w:r>
    </w:p>
    <w:p w14:paraId="7C87A828" w14:textId="77777777" w:rsidR="00EA0636" w:rsidRPr="00BD537A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Cs w:val="28"/>
        </w:rPr>
      </w:pPr>
    </w:p>
    <w:p w14:paraId="7B4AF20D" w14:textId="77777777" w:rsidR="00EA0636" w:rsidRPr="00373863" w:rsidRDefault="00EA0636" w:rsidP="00EA0636">
      <w:pPr>
        <w:pStyle w:val="Normal1"/>
        <w:spacing w:before="0" w:beforeAutospacing="0" w:after="0" w:afterAutospacing="0"/>
        <w:ind w:firstLine="720"/>
        <w:jc w:val="both"/>
        <w:rPr>
          <w:szCs w:val="28"/>
        </w:rPr>
      </w:pPr>
      <w:r w:rsidRPr="00162E39">
        <w:rPr>
          <w:iCs/>
          <w:szCs w:val="28"/>
        </w:rPr>
        <w:t>Piezīme. </w:t>
      </w:r>
      <w:r w:rsidRPr="00373863">
        <w:rPr>
          <w:szCs w:val="28"/>
        </w:rPr>
        <w:t>Cauruļvadi nestabilām gāzēm, kas saskaņā ar šo zīmējumu atbilst I vai II kategorijai, klasificējami III kategorijā.</w:t>
      </w:r>
    </w:p>
    <w:p w14:paraId="0534CFBE" w14:textId="77777777" w:rsidR="00EA0636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612589B" w14:textId="77777777" w:rsidR="00EA0636" w:rsidRDefault="00EA0636" w:rsidP="00EA063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A62F3">
        <w:rPr>
          <w:noProof/>
          <w:sz w:val="28"/>
          <w:szCs w:val="28"/>
          <w:lang w:eastAsia="lv-LV"/>
        </w:rPr>
        <w:drawing>
          <wp:inline distT="0" distB="0" distL="0" distR="0" wp14:anchorId="77238843" wp14:editId="292F65F5">
            <wp:extent cx="4264291" cy="3090482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441" cy="310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E0F13" w14:textId="77777777" w:rsidR="00EA0636" w:rsidRPr="005B14E9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 w:val="20"/>
          <w:szCs w:val="28"/>
        </w:rPr>
      </w:pPr>
    </w:p>
    <w:p w14:paraId="19F4FA6F" w14:textId="77777777" w:rsidR="00EA0636" w:rsidRPr="00373863" w:rsidRDefault="00EA0636" w:rsidP="00EA0636">
      <w:pPr>
        <w:pStyle w:val="Normal1"/>
        <w:spacing w:before="0" w:beforeAutospacing="0" w:after="0" w:afterAutospacing="0"/>
        <w:jc w:val="center"/>
        <w:rPr>
          <w:szCs w:val="28"/>
        </w:rPr>
      </w:pPr>
      <w:r w:rsidRPr="00373863">
        <w:rPr>
          <w:bCs/>
          <w:szCs w:val="28"/>
        </w:rPr>
        <w:t>7. zīm. Noteikumu 8.3.1.2. apakš</w:t>
      </w:r>
      <w:r>
        <w:rPr>
          <w:bCs/>
          <w:szCs w:val="28"/>
        </w:rPr>
        <w:t>punktā minēt</w:t>
      </w:r>
      <w:r w:rsidRPr="00373863">
        <w:rPr>
          <w:bCs/>
          <w:szCs w:val="28"/>
        </w:rPr>
        <w:t>o cauruļvadu iedalījums kategorijās</w:t>
      </w:r>
    </w:p>
    <w:p w14:paraId="66384672" w14:textId="77777777" w:rsidR="00EA0636" w:rsidRPr="00BD537A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Cs w:val="28"/>
        </w:rPr>
      </w:pPr>
    </w:p>
    <w:p w14:paraId="17F36041" w14:textId="77777777" w:rsidR="00EA0636" w:rsidRPr="00373863" w:rsidRDefault="00EA0636" w:rsidP="00EA0636">
      <w:pPr>
        <w:pStyle w:val="Normal1"/>
        <w:spacing w:before="0" w:beforeAutospacing="0" w:after="0" w:afterAutospacing="0"/>
        <w:ind w:firstLine="720"/>
        <w:jc w:val="both"/>
        <w:rPr>
          <w:szCs w:val="28"/>
        </w:rPr>
      </w:pPr>
      <w:r w:rsidRPr="00162E39">
        <w:rPr>
          <w:iCs/>
          <w:szCs w:val="28"/>
        </w:rPr>
        <w:t>Piezīme.</w:t>
      </w:r>
      <w:r w:rsidRPr="00373863">
        <w:rPr>
          <w:i/>
          <w:iCs/>
          <w:szCs w:val="28"/>
        </w:rPr>
        <w:t> </w:t>
      </w:r>
      <w:r w:rsidRPr="00373863">
        <w:rPr>
          <w:szCs w:val="28"/>
        </w:rPr>
        <w:t>Visi cauruļvadi, kas satur plūstošas vielas ar temperatūru virs 350 °C un saskaņā ar šo zīmējumu atbilst II kategorijai, klasificējami III kategorijā.</w:t>
      </w:r>
    </w:p>
    <w:p w14:paraId="6EC0531C" w14:textId="77777777" w:rsidR="00EA0636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3414D89" w14:textId="77777777" w:rsidR="00EA0636" w:rsidRDefault="00EA0636" w:rsidP="00EA0636">
      <w:pPr>
        <w:pStyle w:val="ti-grseq-1"/>
        <w:spacing w:before="0" w:beforeAutospacing="0" w:after="0" w:afterAutospacing="0"/>
        <w:jc w:val="center"/>
        <w:rPr>
          <w:sz w:val="28"/>
          <w:szCs w:val="28"/>
        </w:rPr>
      </w:pPr>
      <w:r w:rsidRPr="001A62F3">
        <w:rPr>
          <w:noProof/>
          <w:sz w:val="28"/>
          <w:szCs w:val="28"/>
        </w:rPr>
        <w:lastRenderedPageBreak/>
        <w:drawing>
          <wp:inline distT="0" distB="0" distL="0" distR="0" wp14:anchorId="1A6725F9" wp14:editId="02287D41">
            <wp:extent cx="3962883" cy="30319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zīmējum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660" cy="304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85E0E" w14:textId="77777777" w:rsidR="00EA0636" w:rsidRPr="005B14E9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 w:val="20"/>
          <w:szCs w:val="28"/>
        </w:rPr>
      </w:pPr>
    </w:p>
    <w:p w14:paraId="024D1E66" w14:textId="77777777" w:rsidR="00EA0636" w:rsidRPr="00373863" w:rsidRDefault="00EA0636" w:rsidP="00EA0636">
      <w:pPr>
        <w:pStyle w:val="Normal1"/>
        <w:spacing w:before="0" w:beforeAutospacing="0" w:after="0" w:afterAutospacing="0"/>
        <w:jc w:val="center"/>
        <w:rPr>
          <w:bCs/>
          <w:noProof/>
          <w:szCs w:val="28"/>
        </w:rPr>
      </w:pPr>
      <w:r w:rsidRPr="00373863">
        <w:rPr>
          <w:bCs/>
          <w:noProof/>
          <w:szCs w:val="28"/>
        </w:rPr>
        <w:t>8. zīm. Noteikumu 8.3.2.1. apakš</w:t>
      </w:r>
      <w:r>
        <w:rPr>
          <w:bCs/>
          <w:noProof/>
          <w:szCs w:val="28"/>
        </w:rPr>
        <w:t>punktā minēt</w:t>
      </w:r>
      <w:r w:rsidRPr="00373863">
        <w:rPr>
          <w:bCs/>
          <w:noProof/>
          <w:szCs w:val="28"/>
        </w:rPr>
        <w:t>o cauruļvadu iedalījums kategorijās</w:t>
      </w:r>
    </w:p>
    <w:p w14:paraId="6393E454" w14:textId="77777777" w:rsidR="00EA0636" w:rsidRPr="00BD537A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BAB49FA" w14:textId="77777777" w:rsidR="00EA0636" w:rsidRDefault="00EA0636" w:rsidP="00EA0636">
      <w:pPr>
        <w:pStyle w:val="ti-grseq-1"/>
        <w:spacing w:before="0" w:beforeAutospacing="0" w:after="0" w:afterAutospacing="0"/>
        <w:jc w:val="center"/>
        <w:rPr>
          <w:sz w:val="28"/>
          <w:szCs w:val="28"/>
        </w:rPr>
      </w:pPr>
      <w:r w:rsidRPr="001A62F3">
        <w:rPr>
          <w:noProof/>
          <w:sz w:val="28"/>
          <w:szCs w:val="28"/>
        </w:rPr>
        <w:drawing>
          <wp:inline distT="0" distB="0" distL="0" distR="0" wp14:anchorId="6659D824" wp14:editId="1FC5B965">
            <wp:extent cx="3854619" cy="3296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412" cy="330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1D609" w14:textId="77777777" w:rsidR="00EA0636" w:rsidRPr="005B14E9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 w:val="20"/>
          <w:szCs w:val="28"/>
        </w:rPr>
      </w:pPr>
    </w:p>
    <w:p w14:paraId="39BCE56C" w14:textId="77777777" w:rsidR="00EA0636" w:rsidRPr="00373863" w:rsidRDefault="00EA0636" w:rsidP="00EA0636">
      <w:pPr>
        <w:pStyle w:val="ti-grseq-1"/>
        <w:spacing w:before="0" w:beforeAutospacing="0" w:after="0" w:afterAutospacing="0"/>
        <w:jc w:val="center"/>
        <w:rPr>
          <w:szCs w:val="28"/>
        </w:rPr>
      </w:pPr>
      <w:r w:rsidRPr="00373863">
        <w:rPr>
          <w:bCs/>
          <w:szCs w:val="28"/>
        </w:rPr>
        <w:t>9</w:t>
      </w:r>
      <w:r>
        <w:rPr>
          <w:bCs/>
          <w:szCs w:val="28"/>
        </w:rPr>
        <w:t>. zīm</w:t>
      </w:r>
      <w:r w:rsidRPr="00373863">
        <w:rPr>
          <w:bCs/>
          <w:szCs w:val="28"/>
        </w:rPr>
        <w:t>. Noteikumu 8.3.2.2. apakš</w:t>
      </w:r>
      <w:r>
        <w:rPr>
          <w:bCs/>
          <w:szCs w:val="28"/>
        </w:rPr>
        <w:t>punktā minēt</w:t>
      </w:r>
      <w:r w:rsidRPr="00373863">
        <w:rPr>
          <w:bCs/>
          <w:szCs w:val="28"/>
        </w:rPr>
        <w:t>o cauruļvadu iedalījums kategorijās</w:t>
      </w:r>
    </w:p>
    <w:p w14:paraId="1EBA2505" w14:textId="77777777" w:rsidR="00EA0636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62B00EA" w14:textId="77777777" w:rsidR="00EA0636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ACEF185" w14:textId="77777777" w:rsidR="00EA0636" w:rsidRDefault="00EA0636" w:rsidP="00EA0636">
      <w:pPr>
        <w:pStyle w:val="ti-grseq-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0142CFF" w14:textId="77777777" w:rsidR="00EA0636" w:rsidRPr="00BA083F" w:rsidRDefault="00EA0636" w:rsidP="00EA0636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83F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760CE583" w14:textId="7F6619C6" w:rsidR="00A7488D" w:rsidRPr="00EA0636" w:rsidRDefault="00EA0636" w:rsidP="00EA0636">
      <w:pPr>
        <w:tabs>
          <w:tab w:val="left" w:pos="6521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A083F">
        <w:rPr>
          <w:rFonts w:ascii="Times New Roman" w:hAnsi="Times New Roman" w:cs="Times New Roman"/>
          <w:sz w:val="28"/>
          <w:szCs w:val="28"/>
        </w:rPr>
        <w:t xml:space="preserve">ekonomikas ministrs </w:t>
      </w:r>
      <w:r w:rsidRPr="00BA083F">
        <w:rPr>
          <w:rFonts w:ascii="Times New Roman" w:hAnsi="Times New Roman" w:cs="Times New Roman"/>
          <w:sz w:val="28"/>
          <w:szCs w:val="28"/>
        </w:rPr>
        <w:tab/>
        <w:t xml:space="preserve">Arvils </w:t>
      </w:r>
      <w:proofErr w:type="spellStart"/>
      <w:r w:rsidRPr="00BA083F"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p w14:paraId="22911ED7" w14:textId="77777777" w:rsidR="008D569A" w:rsidRPr="00EA0636" w:rsidRDefault="008D569A">
      <w:pPr>
        <w:tabs>
          <w:tab w:val="left" w:pos="6521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sectPr w:rsidR="008D569A" w:rsidRPr="00EA0636" w:rsidSect="00BA083F">
      <w:headerReference w:type="default" r:id="rId16"/>
      <w:footerReference w:type="default" r:id="rId17"/>
      <w:footerReference w:type="first" r:id="rId1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8CAAB" w14:textId="77777777" w:rsidR="00FB38A2" w:rsidRDefault="00FB38A2" w:rsidP="008C03D1">
      <w:pPr>
        <w:spacing w:after="0" w:line="240" w:lineRule="auto"/>
      </w:pPr>
      <w:r>
        <w:separator/>
      </w:r>
    </w:p>
  </w:endnote>
  <w:endnote w:type="continuationSeparator" w:id="0">
    <w:p w14:paraId="1178633B" w14:textId="77777777" w:rsidR="00FB38A2" w:rsidRDefault="00FB38A2" w:rsidP="008C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1E8EE" w14:textId="2B1A2FE8" w:rsidR="00761C06" w:rsidRPr="00761C06" w:rsidRDefault="00761C06">
    <w:pPr>
      <w:pStyle w:val="Footer"/>
      <w:rPr>
        <w:rFonts w:ascii="Times New Roman" w:hAnsi="Times New Roman" w:cs="Times New Roman"/>
        <w:sz w:val="16"/>
        <w:szCs w:val="16"/>
      </w:rPr>
    </w:pPr>
    <w:r w:rsidRPr="00761C06">
      <w:rPr>
        <w:rFonts w:ascii="Times New Roman" w:hAnsi="Times New Roman" w:cs="Times New Roman"/>
        <w:sz w:val="16"/>
        <w:szCs w:val="16"/>
      </w:rPr>
      <w:t>N0608_6p1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EDD33" w14:textId="61E36EE9" w:rsidR="00EA0636" w:rsidRPr="00EA0636" w:rsidRDefault="00EA0636">
    <w:pPr>
      <w:pStyle w:val="Footer"/>
      <w:rPr>
        <w:rFonts w:ascii="Times New Roman" w:hAnsi="Times New Roman" w:cs="Times New Roman"/>
        <w:sz w:val="16"/>
        <w:szCs w:val="16"/>
      </w:rPr>
    </w:pPr>
    <w:r w:rsidRPr="00761C06">
      <w:rPr>
        <w:rFonts w:ascii="Times New Roman" w:hAnsi="Times New Roman" w:cs="Times New Roman"/>
        <w:sz w:val="16"/>
        <w:szCs w:val="16"/>
      </w:rPr>
      <w:t>N0608_6p1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BEDF7" w14:textId="77777777" w:rsidR="00FB38A2" w:rsidRDefault="00FB38A2" w:rsidP="008C03D1">
      <w:pPr>
        <w:spacing w:after="0" w:line="240" w:lineRule="auto"/>
      </w:pPr>
      <w:r>
        <w:separator/>
      </w:r>
    </w:p>
  </w:footnote>
  <w:footnote w:type="continuationSeparator" w:id="0">
    <w:p w14:paraId="59D05D71" w14:textId="77777777" w:rsidR="00FB38A2" w:rsidRDefault="00FB38A2" w:rsidP="008C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592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1A5D077" w14:textId="751E132E" w:rsidR="000C7CA2" w:rsidRPr="000C7CA2" w:rsidRDefault="000C7CA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7C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7C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7C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6ED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C7CA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DC48F50" w14:textId="77777777" w:rsidR="000C7CA2" w:rsidRDefault="000C7C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D5"/>
    <w:rsid w:val="00000D01"/>
    <w:rsid w:val="00005888"/>
    <w:rsid w:val="000329BF"/>
    <w:rsid w:val="00033C1D"/>
    <w:rsid w:val="00061EFC"/>
    <w:rsid w:val="00064A9D"/>
    <w:rsid w:val="0006771B"/>
    <w:rsid w:val="00067787"/>
    <w:rsid w:val="0007176E"/>
    <w:rsid w:val="000746F4"/>
    <w:rsid w:val="00087E78"/>
    <w:rsid w:val="000A4040"/>
    <w:rsid w:val="000B70F6"/>
    <w:rsid w:val="000C7CA2"/>
    <w:rsid w:val="000D0923"/>
    <w:rsid w:val="000D7EBB"/>
    <w:rsid w:val="000E1424"/>
    <w:rsid w:val="000E5471"/>
    <w:rsid w:val="000F58CB"/>
    <w:rsid w:val="001069DE"/>
    <w:rsid w:val="001317E4"/>
    <w:rsid w:val="00151955"/>
    <w:rsid w:val="00161E29"/>
    <w:rsid w:val="00180FE2"/>
    <w:rsid w:val="001875CC"/>
    <w:rsid w:val="00191CF9"/>
    <w:rsid w:val="001A62F3"/>
    <w:rsid w:val="001B4A69"/>
    <w:rsid w:val="001C043A"/>
    <w:rsid w:val="001C4BB0"/>
    <w:rsid w:val="001D3626"/>
    <w:rsid w:val="001D445D"/>
    <w:rsid w:val="001D48DF"/>
    <w:rsid w:val="001E5688"/>
    <w:rsid w:val="001F048E"/>
    <w:rsid w:val="001F5209"/>
    <w:rsid w:val="00210C98"/>
    <w:rsid w:val="00222571"/>
    <w:rsid w:val="00235E8F"/>
    <w:rsid w:val="00235F57"/>
    <w:rsid w:val="002546AD"/>
    <w:rsid w:val="00266B1A"/>
    <w:rsid w:val="00272796"/>
    <w:rsid w:val="0028242A"/>
    <w:rsid w:val="002867EB"/>
    <w:rsid w:val="0029698D"/>
    <w:rsid w:val="002A4C5B"/>
    <w:rsid w:val="002C1C06"/>
    <w:rsid w:val="002C4839"/>
    <w:rsid w:val="002C48AF"/>
    <w:rsid w:val="002D1E0D"/>
    <w:rsid w:val="002E5491"/>
    <w:rsid w:val="002F5BC6"/>
    <w:rsid w:val="00305496"/>
    <w:rsid w:val="003171D8"/>
    <w:rsid w:val="00317253"/>
    <w:rsid w:val="00333C31"/>
    <w:rsid w:val="00334800"/>
    <w:rsid w:val="003364E3"/>
    <w:rsid w:val="003371C6"/>
    <w:rsid w:val="0034184E"/>
    <w:rsid w:val="0034729A"/>
    <w:rsid w:val="00354E5B"/>
    <w:rsid w:val="00360178"/>
    <w:rsid w:val="00373916"/>
    <w:rsid w:val="00373D0F"/>
    <w:rsid w:val="003B262D"/>
    <w:rsid w:val="003E3A23"/>
    <w:rsid w:val="003E6B13"/>
    <w:rsid w:val="0040057D"/>
    <w:rsid w:val="00401996"/>
    <w:rsid w:val="00402745"/>
    <w:rsid w:val="00402C52"/>
    <w:rsid w:val="0040571D"/>
    <w:rsid w:val="00422024"/>
    <w:rsid w:val="004304FD"/>
    <w:rsid w:val="004375EA"/>
    <w:rsid w:val="0047245A"/>
    <w:rsid w:val="004747FC"/>
    <w:rsid w:val="00480CE2"/>
    <w:rsid w:val="00481FAF"/>
    <w:rsid w:val="00496A59"/>
    <w:rsid w:val="004A0F60"/>
    <w:rsid w:val="004A2552"/>
    <w:rsid w:val="004D5634"/>
    <w:rsid w:val="004E13AC"/>
    <w:rsid w:val="004F50FE"/>
    <w:rsid w:val="00514D3E"/>
    <w:rsid w:val="0051647D"/>
    <w:rsid w:val="00530298"/>
    <w:rsid w:val="00533968"/>
    <w:rsid w:val="00541367"/>
    <w:rsid w:val="00541E88"/>
    <w:rsid w:val="005501F3"/>
    <w:rsid w:val="00561F7E"/>
    <w:rsid w:val="00564E9E"/>
    <w:rsid w:val="00581AFD"/>
    <w:rsid w:val="00581EBE"/>
    <w:rsid w:val="00593831"/>
    <w:rsid w:val="00596456"/>
    <w:rsid w:val="005A2F2B"/>
    <w:rsid w:val="005B4215"/>
    <w:rsid w:val="005C5D36"/>
    <w:rsid w:val="005C682F"/>
    <w:rsid w:val="005D021A"/>
    <w:rsid w:val="005D12A1"/>
    <w:rsid w:val="005E3488"/>
    <w:rsid w:val="00605728"/>
    <w:rsid w:val="00611F13"/>
    <w:rsid w:val="0061257B"/>
    <w:rsid w:val="00634778"/>
    <w:rsid w:val="00650AB9"/>
    <w:rsid w:val="00652FAB"/>
    <w:rsid w:val="00661621"/>
    <w:rsid w:val="00661649"/>
    <w:rsid w:val="00662059"/>
    <w:rsid w:val="00667D69"/>
    <w:rsid w:val="00694B51"/>
    <w:rsid w:val="006D03CD"/>
    <w:rsid w:val="006D1C8F"/>
    <w:rsid w:val="006E1A89"/>
    <w:rsid w:val="006E3965"/>
    <w:rsid w:val="006F3808"/>
    <w:rsid w:val="007024F0"/>
    <w:rsid w:val="00712117"/>
    <w:rsid w:val="00730A11"/>
    <w:rsid w:val="00740195"/>
    <w:rsid w:val="00742494"/>
    <w:rsid w:val="007447AC"/>
    <w:rsid w:val="00754363"/>
    <w:rsid w:val="00754657"/>
    <w:rsid w:val="00761C06"/>
    <w:rsid w:val="00764AB7"/>
    <w:rsid w:val="007741D7"/>
    <w:rsid w:val="00782451"/>
    <w:rsid w:val="007847F7"/>
    <w:rsid w:val="00787C54"/>
    <w:rsid w:val="007932E8"/>
    <w:rsid w:val="00795B12"/>
    <w:rsid w:val="007A00F9"/>
    <w:rsid w:val="007A6BEE"/>
    <w:rsid w:val="007D65AA"/>
    <w:rsid w:val="007E2C52"/>
    <w:rsid w:val="007F0AE3"/>
    <w:rsid w:val="007F2B0A"/>
    <w:rsid w:val="007F4A42"/>
    <w:rsid w:val="007F5252"/>
    <w:rsid w:val="007F730D"/>
    <w:rsid w:val="007F7AE8"/>
    <w:rsid w:val="00820BCE"/>
    <w:rsid w:val="00822F8B"/>
    <w:rsid w:val="00837499"/>
    <w:rsid w:val="008418F9"/>
    <w:rsid w:val="0085387C"/>
    <w:rsid w:val="00861A91"/>
    <w:rsid w:val="00871C46"/>
    <w:rsid w:val="00873E43"/>
    <w:rsid w:val="00885848"/>
    <w:rsid w:val="008869DE"/>
    <w:rsid w:val="008931CA"/>
    <w:rsid w:val="008957BD"/>
    <w:rsid w:val="008A6D20"/>
    <w:rsid w:val="008B2A31"/>
    <w:rsid w:val="008C03D1"/>
    <w:rsid w:val="008C46BB"/>
    <w:rsid w:val="008D13BA"/>
    <w:rsid w:val="008D1940"/>
    <w:rsid w:val="008D569A"/>
    <w:rsid w:val="008E33F3"/>
    <w:rsid w:val="008E4295"/>
    <w:rsid w:val="00903A3D"/>
    <w:rsid w:val="00905B87"/>
    <w:rsid w:val="00917D1E"/>
    <w:rsid w:val="00931EDD"/>
    <w:rsid w:val="00934E54"/>
    <w:rsid w:val="009458A1"/>
    <w:rsid w:val="00950DE8"/>
    <w:rsid w:val="00951363"/>
    <w:rsid w:val="00952CA0"/>
    <w:rsid w:val="00956C57"/>
    <w:rsid w:val="0096145D"/>
    <w:rsid w:val="0096445F"/>
    <w:rsid w:val="00967A2E"/>
    <w:rsid w:val="00972472"/>
    <w:rsid w:val="00987753"/>
    <w:rsid w:val="009B0A5D"/>
    <w:rsid w:val="009B475B"/>
    <w:rsid w:val="009C160E"/>
    <w:rsid w:val="009D50E0"/>
    <w:rsid w:val="009F7A34"/>
    <w:rsid w:val="009F7BD7"/>
    <w:rsid w:val="00A14555"/>
    <w:rsid w:val="00A24901"/>
    <w:rsid w:val="00A33E2B"/>
    <w:rsid w:val="00A34853"/>
    <w:rsid w:val="00A374A2"/>
    <w:rsid w:val="00A424CB"/>
    <w:rsid w:val="00A434E3"/>
    <w:rsid w:val="00A44A20"/>
    <w:rsid w:val="00A46C9E"/>
    <w:rsid w:val="00A5212A"/>
    <w:rsid w:val="00A6545E"/>
    <w:rsid w:val="00A7488D"/>
    <w:rsid w:val="00A74896"/>
    <w:rsid w:val="00A80627"/>
    <w:rsid w:val="00AA1016"/>
    <w:rsid w:val="00AF24F7"/>
    <w:rsid w:val="00B20386"/>
    <w:rsid w:val="00B20BB6"/>
    <w:rsid w:val="00B26F3F"/>
    <w:rsid w:val="00B36EDF"/>
    <w:rsid w:val="00B40610"/>
    <w:rsid w:val="00B524D8"/>
    <w:rsid w:val="00B6420C"/>
    <w:rsid w:val="00B65400"/>
    <w:rsid w:val="00B7431E"/>
    <w:rsid w:val="00B7439C"/>
    <w:rsid w:val="00B7638E"/>
    <w:rsid w:val="00B7691F"/>
    <w:rsid w:val="00B81D34"/>
    <w:rsid w:val="00B84922"/>
    <w:rsid w:val="00B90173"/>
    <w:rsid w:val="00B917DC"/>
    <w:rsid w:val="00B93A22"/>
    <w:rsid w:val="00B93ECF"/>
    <w:rsid w:val="00B970F2"/>
    <w:rsid w:val="00BA083F"/>
    <w:rsid w:val="00BB4771"/>
    <w:rsid w:val="00BB69FD"/>
    <w:rsid w:val="00BF65F5"/>
    <w:rsid w:val="00BF6D06"/>
    <w:rsid w:val="00C000B1"/>
    <w:rsid w:val="00C04D8F"/>
    <w:rsid w:val="00C10F38"/>
    <w:rsid w:val="00C25181"/>
    <w:rsid w:val="00C30838"/>
    <w:rsid w:val="00C36E3C"/>
    <w:rsid w:val="00C61225"/>
    <w:rsid w:val="00C63CCE"/>
    <w:rsid w:val="00C722E8"/>
    <w:rsid w:val="00C73842"/>
    <w:rsid w:val="00C830C7"/>
    <w:rsid w:val="00CA0B79"/>
    <w:rsid w:val="00CA4407"/>
    <w:rsid w:val="00CA7D5B"/>
    <w:rsid w:val="00CC1DB0"/>
    <w:rsid w:val="00CD4177"/>
    <w:rsid w:val="00CD5066"/>
    <w:rsid w:val="00CD5EB1"/>
    <w:rsid w:val="00CD7A5A"/>
    <w:rsid w:val="00CE31BD"/>
    <w:rsid w:val="00CF5AC8"/>
    <w:rsid w:val="00CF7A88"/>
    <w:rsid w:val="00D2082C"/>
    <w:rsid w:val="00D21D53"/>
    <w:rsid w:val="00D23418"/>
    <w:rsid w:val="00D314B0"/>
    <w:rsid w:val="00D36166"/>
    <w:rsid w:val="00D44BD6"/>
    <w:rsid w:val="00D57784"/>
    <w:rsid w:val="00D82BBE"/>
    <w:rsid w:val="00D82E0F"/>
    <w:rsid w:val="00D96366"/>
    <w:rsid w:val="00DA0FD7"/>
    <w:rsid w:val="00DB5C85"/>
    <w:rsid w:val="00DF3F13"/>
    <w:rsid w:val="00E24E9A"/>
    <w:rsid w:val="00E25C21"/>
    <w:rsid w:val="00E4105B"/>
    <w:rsid w:val="00E4113F"/>
    <w:rsid w:val="00E566B0"/>
    <w:rsid w:val="00E65E0F"/>
    <w:rsid w:val="00E67FC2"/>
    <w:rsid w:val="00EA0636"/>
    <w:rsid w:val="00EA25AD"/>
    <w:rsid w:val="00EA2F5B"/>
    <w:rsid w:val="00EA6B20"/>
    <w:rsid w:val="00EB527A"/>
    <w:rsid w:val="00EB5CD2"/>
    <w:rsid w:val="00ED3C1F"/>
    <w:rsid w:val="00EE45B0"/>
    <w:rsid w:val="00EF3CA3"/>
    <w:rsid w:val="00F026E2"/>
    <w:rsid w:val="00F04A22"/>
    <w:rsid w:val="00F05DEA"/>
    <w:rsid w:val="00F148D2"/>
    <w:rsid w:val="00F17302"/>
    <w:rsid w:val="00F22E10"/>
    <w:rsid w:val="00F272EC"/>
    <w:rsid w:val="00F331E4"/>
    <w:rsid w:val="00F54193"/>
    <w:rsid w:val="00FA51D5"/>
    <w:rsid w:val="00FB38A2"/>
    <w:rsid w:val="00FC79BF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F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-grseq-1">
    <w:name w:val="ti-grseq-1"/>
    <w:basedOn w:val="Normal"/>
    <w:rsid w:val="00FA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FA51D5"/>
  </w:style>
  <w:style w:type="paragraph" w:customStyle="1" w:styleId="Normal1">
    <w:name w:val="Normal1"/>
    <w:basedOn w:val="Normal"/>
    <w:rsid w:val="00FA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FA51D5"/>
    <w:rPr>
      <w:b/>
      <w:bCs/>
    </w:rPr>
  </w:style>
  <w:style w:type="paragraph" w:customStyle="1" w:styleId="tvhtml">
    <w:name w:val="tv_html"/>
    <w:basedOn w:val="Normal"/>
    <w:rsid w:val="00FA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A51D5"/>
  </w:style>
  <w:style w:type="paragraph" w:styleId="Header">
    <w:name w:val="header"/>
    <w:basedOn w:val="Normal"/>
    <w:link w:val="HeaderChar"/>
    <w:uiPriority w:val="99"/>
    <w:unhideWhenUsed/>
    <w:rsid w:val="008C03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3D1"/>
  </w:style>
  <w:style w:type="paragraph" w:styleId="Footer">
    <w:name w:val="footer"/>
    <w:basedOn w:val="Normal"/>
    <w:link w:val="FooterChar"/>
    <w:uiPriority w:val="99"/>
    <w:unhideWhenUsed/>
    <w:rsid w:val="008C03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3D1"/>
  </w:style>
  <w:style w:type="character" w:styleId="CommentReference">
    <w:name w:val="annotation reference"/>
    <w:basedOn w:val="DefaultParagraphFont"/>
    <w:uiPriority w:val="99"/>
    <w:semiHidden/>
    <w:unhideWhenUsed/>
    <w:rsid w:val="00F22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-grseq-1">
    <w:name w:val="ti-grseq-1"/>
    <w:basedOn w:val="Normal"/>
    <w:rsid w:val="00FA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FA51D5"/>
  </w:style>
  <w:style w:type="paragraph" w:customStyle="1" w:styleId="Normal1">
    <w:name w:val="Normal1"/>
    <w:basedOn w:val="Normal"/>
    <w:rsid w:val="00FA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FA51D5"/>
    <w:rPr>
      <w:b/>
      <w:bCs/>
    </w:rPr>
  </w:style>
  <w:style w:type="paragraph" w:customStyle="1" w:styleId="tvhtml">
    <w:name w:val="tv_html"/>
    <w:basedOn w:val="Normal"/>
    <w:rsid w:val="00FA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A51D5"/>
  </w:style>
  <w:style w:type="paragraph" w:styleId="Header">
    <w:name w:val="header"/>
    <w:basedOn w:val="Normal"/>
    <w:link w:val="HeaderChar"/>
    <w:uiPriority w:val="99"/>
    <w:unhideWhenUsed/>
    <w:rsid w:val="008C03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3D1"/>
  </w:style>
  <w:style w:type="paragraph" w:styleId="Footer">
    <w:name w:val="footer"/>
    <w:basedOn w:val="Normal"/>
    <w:link w:val="FooterChar"/>
    <w:uiPriority w:val="99"/>
    <w:unhideWhenUsed/>
    <w:rsid w:val="008C03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3D1"/>
  </w:style>
  <w:style w:type="character" w:styleId="CommentReference">
    <w:name w:val="annotation reference"/>
    <w:basedOn w:val="DefaultParagraphFont"/>
    <w:uiPriority w:val="99"/>
    <w:semiHidden/>
    <w:unhideWhenUsed/>
    <w:rsid w:val="00F22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Freibergs</dc:creator>
  <cp:keywords/>
  <dc:description/>
  <cp:lastModifiedBy>Leontīne Babkina</cp:lastModifiedBy>
  <cp:revision>11</cp:revision>
  <cp:lastPrinted>2016-05-27T09:36:00Z</cp:lastPrinted>
  <dcterms:created xsi:type="dcterms:W3CDTF">2016-03-18T11:49:00Z</dcterms:created>
  <dcterms:modified xsi:type="dcterms:W3CDTF">2016-06-08T07:33:00Z</dcterms:modified>
</cp:coreProperties>
</file>