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A1A60" w14:textId="78975760" w:rsidR="00171D36" w:rsidRPr="00A7675C" w:rsidRDefault="00843AFD" w:rsidP="00B241FD">
      <w:pPr>
        <w:tabs>
          <w:tab w:val="left" w:pos="6663"/>
        </w:tabs>
        <w:spacing w:after="0" w:line="240" w:lineRule="auto"/>
        <w:jc w:val="center"/>
        <w:rPr>
          <w:rFonts w:ascii="Times New Roman" w:hAnsi="Times New Roman"/>
          <w:b/>
          <w:sz w:val="24"/>
          <w:szCs w:val="24"/>
        </w:rPr>
      </w:pPr>
      <w:r w:rsidRPr="00A7675C">
        <w:rPr>
          <w:rFonts w:ascii="Times New Roman" w:hAnsi="Times New Roman"/>
          <w:b/>
          <w:sz w:val="24"/>
          <w:szCs w:val="24"/>
        </w:rPr>
        <w:t>Likum</w:t>
      </w:r>
      <w:r w:rsidR="00B241FD" w:rsidRPr="00A7675C">
        <w:rPr>
          <w:rFonts w:ascii="Times New Roman" w:hAnsi="Times New Roman"/>
          <w:b/>
          <w:sz w:val="24"/>
          <w:szCs w:val="24"/>
        </w:rPr>
        <w:t xml:space="preserve">projekta </w:t>
      </w:r>
      <w:r w:rsidR="0049194D" w:rsidRPr="00A7675C">
        <w:rPr>
          <w:rFonts w:ascii="Times New Roman" w:hAnsi="Times New Roman"/>
          <w:b/>
          <w:sz w:val="24"/>
          <w:szCs w:val="24"/>
        </w:rPr>
        <w:t>“</w:t>
      </w:r>
      <w:r w:rsidR="00244042" w:rsidRPr="00A7675C">
        <w:rPr>
          <w:rFonts w:ascii="Times New Roman" w:hAnsi="Times New Roman"/>
          <w:b/>
          <w:sz w:val="24"/>
          <w:szCs w:val="24"/>
        </w:rPr>
        <w:t>Grozījumi Pievienotās vērtības nodokļa likumā</w:t>
      </w:r>
      <w:r w:rsidRPr="00A7675C">
        <w:rPr>
          <w:rFonts w:ascii="Times New Roman" w:hAnsi="Times New Roman"/>
          <w:b/>
          <w:sz w:val="24"/>
          <w:szCs w:val="24"/>
        </w:rPr>
        <w:t xml:space="preserve">” </w:t>
      </w:r>
      <w:r w:rsidR="00B241FD" w:rsidRPr="00A7675C">
        <w:rPr>
          <w:rFonts w:ascii="Times New Roman" w:hAnsi="Times New Roman"/>
          <w:b/>
          <w:sz w:val="24"/>
          <w:szCs w:val="24"/>
        </w:rPr>
        <w:t>sākotnējās ietekmes novērtējuma ziņojums (anotācija)</w:t>
      </w:r>
    </w:p>
    <w:p w14:paraId="0912922C" w14:textId="2FC383A1" w:rsidR="005B0D8C" w:rsidRPr="00A7675C" w:rsidRDefault="005B0D8C" w:rsidP="00171D36">
      <w:pPr>
        <w:pStyle w:val="naisf"/>
        <w:spacing w:before="0" w:beforeAutospacing="0" w:after="0" w:afterAutospacing="0"/>
        <w:jc w:val="right"/>
      </w:pPr>
    </w:p>
    <w:tbl>
      <w:tblPr>
        <w:tblpPr w:leftFromText="180" w:rightFromText="180" w:vertAnchor="text" w:horzAnchor="margin" w:tblpXSpec="center" w:tblpY="149"/>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4"/>
        <w:gridCol w:w="3187"/>
        <w:gridCol w:w="5222"/>
      </w:tblGrid>
      <w:tr w:rsidR="00DA6C86" w:rsidRPr="00A7675C" w14:paraId="0F3A3D38" w14:textId="77777777" w:rsidTr="008E1F3D">
        <w:trPr>
          <w:trHeight w:val="419"/>
        </w:trPr>
        <w:tc>
          <w:tcPr>
            <w:tcW w:w="5000" w:type="pct"/>
            <w:gridSpan w:val="3"/>
            <w:vAlign w:val="center"/>
          </w:tcPr>
          <w:p w14:paraId="287E456D" w14:textId="77777777" w:rsidR="00DA6C86" w:rsidRPr="00A7675C" w:rsidRDefault="00DA6C86" w:rsidP="00176CB2">
            <w:pPr>
              <w:pStyle w:val="naisnod"/>
              <w:spacing w:before="0" w:beforeAutospacing="0" w:after="0" w:afterAutospacing="0"/>
              <w:ind w:right="57"/>
              <w:jc w:val="center"/>
              <w:rPr>
                <w:b/>
              </w:rPr>
            </w:pPr>
            <w:r w:rsidRPr="00A7675C">
              <w:rPr>
                <w:b/>
              </w:rPr>
              <w:t>I. Tiesību akta projekta izstrādes nepieciešamība</w:t>
            </w:r>
          </w:p>
        </w:tc>
      </w:tr>
      <w:tr w:rsidR="00DA6C86" w:rsidRPr="00A7675C" w14:paraId="0761318F" w14:textId="77777777" w:rsidTr="007E5C26">
        <w:trPr>
          <w:trHeight w:val="1125"/>
        </w:trPr>
        <w:tc>
          <w:tcPr>
            <w:tcW w:w="224" w:type="pct"/>
          </w:tcPr>
          <w:p w14:paraId="484B3FEC" w14:textId="77777777" w:rsidR="00DA6C86" w:rsidRPr="00A7675C" w:rsidRDefault="00DA6C86" w:rsidP="00176CB2">
            <w:pPr>
              <w:pStyle w:val="naiskr"/>
              <w:spacing w:before="0" w:beforeAutospacing="0" w:after="0" w:afterAutospacing="0"/>
              <w:ind w:right="57"/>
              <w:jc w:val="center"/>
            </w:pPr>
            <w:r w:rsidRPr="00A7675C">
              <w:t>1.</w:t>
            </w:r>
          </w:p>
        </w:tc>
        <w:tc>
          <w:tcPr>
            <w:tcW w:w="1810" w:type="pct"/>
          </w:tcPr>
          <w:p w14:paraId="09E00B84" w14:textId="77777777" w:rsidR="00900304" w:rsidRPr="00A7675C" w:rsidRDefault="00DA6C86" w:rsidP="00F57E68">
            <w:pPr>
              <w:pStyle w:val="naiskr"/>
              <w:spacing w:before="0" w:beforeAutospacing="0" w:after="0" w:afterAutospacing="0"/>
              <w:ind w:left="57" w:right="57"/>
            </w:pPr>
            <w:r w:rsidRPr="00A7675C">
              <w:t>Pamatojums</w:t>
            </w:r>
          </w:p>
          <w:p w14:paraId="73268511" w14:textId="77777777" w:rsidR="00DA6C86" w:rsidRPr="00A7675C" w:rsidRDefault="00DA6C86" w:rsidP="00900304">
            <w:pPr>
              <w:ind w:firstLine="720"/>
              <w:rPr>
                <w:sz w:val="24"/>
                <w:szCs w:val="24"/>
              </w:rPr>
            </w:pPr>
          </w:p>
        </w:tc>
        <w:tc>
          <w:tcPr>
            <w:tcW w:w="2966" w:type="pct"/>
          </w:tcPr>
          <w:p w14:paraId="2778960D" w14:textId="5102E7DB" w:rsidR="002A0447" w:rsidRDefault="008C028A" w:rsidP="0055290D">
            <w:pPr>
              <w:pStyle w:val="ListParagraph"/>
              <w:spacing w:line="240" w:lineRule="auto"/>
              <w:ind w:left="100" w:right="161"/>
              <w:jc w:val="both"/>
              <w:rPr>
                <w:rFonts w:ascii="Times New Roman" w:hAnsi="Times New Roman" w:cs="Times New Roman"/>
                <w:sz w:val="24"/>
                <w:szCs w:val="24"/>
              </w:rPr>
            </w:pPr>
            <w:r w:rsidRPr="00A7675C">
              <w:rPr>
                <w:rFonts w:ascii="Times New Roman" w:hAnsi="Times New Roman" w:cs="Times New Roman"/>
                <w:sz w:val="24"/>
                <w:szCs w:val="24"/>
              </w:rPr>
              <w:t xml:space="preserve">Likumprojekts </w:t>
            </w:r>
            <w:r w:rsidR="002A0447" w:rsidRPr="00A7675C">
              <w:rPr>
                <w:rFonts w:ascii="Times New Roman" w:hAnsi="Times New Roman" w:cs="Times New Roman"/>
                <w:sz w:val="24"/>
                <w:szCs w:val="24"/>
              </w:rPr>
              <w:t>“</w:t>
            </w:r>
            <w:r w:rsidRPr="00A7675C">
              <w:rPr>
                <w:rFonts w:ascii="Times New Roman" w:hAnsi="Times New Roman" w:cs="Times New Roman"/>
                <w:sz w:val="24"/>
                <w:szCs w:val="24"/>
              </w:rPr>
              <w:t>Grozījumi Pievienotās vērtības nodokļa likumā” (turpmāk – likumprojekts) izstrādāts</w:t>
            </w:r>
            <w:r w:rsidR="00200138">
              <w:rPr>
                <w:rFonts w:ascii="Times New Roman" w:hAnsi="Times New Roman" w:cs="Times New Roman"/>
                <w:sz w:val="24"/>
                <w:szCs w:val="24"/>
              </w:rPr>
              <w:t xml:space="preserve"> saskaņā ar </w:t>
            </w:r>
            <w:proofErr w:type="spellStart"/>
            <w:r w:rsidR="0055290D">
              <w:rPr>
                <w:rFonts w:ascii="Times New Roman" w:hAnsi="Times New Roman" w:cs="Times New Roman"/>
                <w:sz w:val="24"/>
                <w:szCs w:val="24"/>
              </w:rPr>
              <w:t>M.Kučinska</w:t>
            </w:r>
            <w:proofErr w:type="spellEnd"/>
            <w:r w:rsidR="0055290D">
              <w:rPr>
                <w:rFonts w:ascii="Times New Roman" w:hAnsi="Times New Roman" w:cs="Times New Roman"/>
                <w:sz w:val="24"/>
                <w:szCs w:val="24"/>
              </w:rPr>
              <w:t xml:space="preserve"> V</w:t>
            </w:r>
            <w:r w:rsidR="00200138">
              <w:rPr>
                <w:rFonts w:ascii="Times New Roman" w:hAnsi="Times New Roman" w:cs="Times New Roman"/>
                <w:sz w:val="24"/>
                <w:szCs w:val="24"/>
              </w:rPr>
              <w:t>aldības rīcības plānā doto uzdevumu (29.1.pasākums)</w:t>
            </w:r>
            <w:r w:rsidRPr="00A7675C">
              <w:rPr>
                <w:rFonts w:ascii="Times New Roman" w:hAnsi="Times New Roman" w:cs="Times New Roman"/>
                <w:sz w:val="24"/>
                <w:szCs w:val="24"/>
              </w:rPr>
              <w:t xml:space="preserve">, </w:t>
            </w:r>
            <w:r w:rsidR="005F6144">
              <w:rPr>
                <w:rFonts w:ascii="Times New Roman" w:hAnsi="Times New Roman" w:cs="Times New Roman"/>
                <w:sz w:val="24"/>
                <w:szCs w:val="24"/>
              </w:rPr>
              <w:t>ar kuru uzdots</w:t>
            </w:r>
            <w:r w:rsidR="00200138">
              <w:rPr>
                <w:rFonts w:ascii="Times New Roman" w:hAnsi="Times New Roman" w:cs="Times New Roman"/>
                <w:sz w:val="24"/>
                <w:szCs w:val="24"/>
              </w:rPr>
              <w:t xml:space="preserve"> paplašināt </w:t>
            </w:r>
            <w:r w:rsidR="00200138" w:rsidRPr="00A7675C">
              <w:rPr>
                <w:rFonts w:ascii="Times New Roman" w:eastAsia="Times New Roman" w:hAnsi="Times New Roman" w:cs="Times New Roman"/>
                <w:sz w:val="24"/>
                <w:szCs w:val="24"/>
              </w:rPr>
              <w:t>īpaš</w:t>
            </w:r>
            <w:r w:rsidR="0055290D">
              <w:rPr>
                <w:rFonts w:ascii="Times New Roman" w:eastAsia="Times New Roman" w:hAnsi="Times New Roman" w:cs="Times New Roman"/>
                <w:sz w:val="24"/>
                <w:szCs w:val="24"/>
              </w:rPr>
              <w:t>ā</w:t>
            </w:r>
            <w:r w:rsidR="00200138" w:rsidRPr="00A7675C">
              <w:rPr>
                <w:rFonts w:ascii="Times New Roman" w:eastAsia="Times New Roman" w:hAnsi="Times New Roman" w:cs="Times New Roman"/>
                <w:sz w:val="24"/>
                <w:szCs w:val="24"/>
              </w:rPr>
              <w:t xml:space="preserve"> PVN režīm</w:t>
            </w:r>
            <w:r w:rsidR="00200138">
              <w:rPr>
                <w:rFonts w:ascii="Times New Roman" w:eastAsia="Times New Roman" w:hAnsi="Times New Roman" w:cs="Times New Roman"/>
                <w:sz w:val="24"/>
                <w:szCs w:val="24"/>
              </w:rPr>
              <w:t>a</w:t>
            </w:r>
            <w:r w:rsidR="00200138" w:rsidRPr="00A7675C">
              <w:rPr>
                <w:rFonts w:ascii="Times New Roman" w:eastAsia="Times New Roman" w:hAnsi="Times New Roman" w:cs="Times New Roman"/>
                <w:sz w:val="24"/>
                <w:szCs w:val="24"/>
              </w:rPr>
              <w:t xml:space="preserve"> </w:t>
            </w:r>
            <w:r w:rsidR="00200138" w:rsidRPr="00A7675C">
              <w:rPr>
                <w:rFonts w:ascii="Times New Roman" w:eastAsia="Times New Roman" w:hAnsi="Times New Roman" w:cs="Times New Roman"/>
                <w:color w:val="000000"/>
                <w:sz w:val="24"/>
                <w:szCs w:val="24"/>
              </w:rPr>
              <w:t>(tā saucam</w:t>
            </w:r>
            <w:r w:rsidR="00200138">
              <w:rPr>
                <w:rFonts w:ascii="Times New Roman" w:eastAsia="Times New Roman" w:hAnsi="Times New Roman" w:cs="Times New Roman"/>
                <w:color w:val="000000"/>
                <w:sz w:val="24"/>
                <w:szCs w:val="24"/>
              </w:rPr>
              <w:t>ās</w:t>
            </w:r>
            <w:r w:rsidR="00200138" w:rsidRPr="00A7675C">
              <w:rPr>
                <w:rFonts w:ascii="Times New Roman" w:eastAsia="Times New Roman" w:hAnsi="Times New Roman" w:cs="Times New Roman"/>
                <w:color w:val="000000"/>
                <w:sz w:val="24"/>
                <w:szCs w:val="24"/>
              </w:rPr>
              <w:t xml:space="preserve"> PVN apgriezt</w:t>
            </w:r>
            <w:r w:rsidR="00200138">
              <w:rPr>
                <w:rFonts w:ascii="Times New Roman" w:eastAsia="Times New Roman" w:hAnsi="Times New Roman" w:cs="Times New Roman"/>
                <w:color w:val="000000"/>
                <w:sz w:val="24"/>
                <w:szCs w:val="24"/>
              </w:rPr>
              <w:t>ās</w:t>
            </w:r>
            <w:r w:rsidR="00200138" w:rsidRPr="00A7675C">
              <w:rPr>
                <w:rFonts w:ascii="Times New Roman" w:eastAsia="Times New Roman" w:hAnsi="Times New Roman" w:cs="Times New Roman"/>
                <w:color w:val="000000"/>
                <w:sz w:val="24"/>
                <w:szCs w:val="24"/>
              </w:rPr>
              <w:t xml:space="preserve"> maksāšanas kārtīb</w:t>
            </w:r>
            <w:r w:rsidR="00200138">
              <w:rPr>
                <w:rFonts w:ascii="Times New Roman" w:eastAsia="Times New Roman" w:hAnsi="Times New Roman" w:cs="Times New Roman"/>
                <w:color w:val="000000"/>
                <w:sz w:val="24"/>
                <w:szCs w:val="24"/>
              </w:rPr>
              <w:t>as</w:t>
            </w:r>
            <w:r w:rsidR="00200138" w:rsidRPr="00A7675C">
              <w:rPr>
                <w:rFonts w:ascii="Times New Roman" w:eastAsia="Times New Roman" w:hAnsi="Times New Roman" w:cs="Times New Roman"/>
                <w:color w:val="000000"/>
                <w:sz w:val="24"/>
                <w:szCs w:val="24"/>
              </w:rPr>
              <w:t>)</w:t>
            </w:r>
            <w:r w:rsidR="00200138">
              <w:rPr>
                <w:rFonts w:ascii="Times New Roman" w:eastAsia="Times New Roman" w:hAnsi="Times New Roman" w:cs="Times New Roman"/>
                <w:color w:val="000000"/>
                <w:sz w:val="24"/>
                <w:szCs w:val="24"/>
              </w:rPr>
              <w:t xml:space="preserve"> </w:t>
            </w:r>
            <w:r w:rsidR="00200138">
              <w:rPr>
                <w:rFonts w:ascii="Times New Roman" w:eastAsia="Times New Roman" w:hAnsi="Times New Roman" w:cs="Times New Roman"/>
                <w:sz w:val="24"/>
                <w:szCs w:val="24"/>
              </w:rPr>
              <w:t xml:space="preserve">piemērošanu un </w:t>
            </w:r>
            <w:r w:rsidR="00200138">
              <w:rPr>
                <w:rFonts w:ascii="Times New Roman" w:hAnsi="Times New Roman" w:cs="Times New Roman"/>
                <w:sz w:val="24"/>
                <w:szCs w:val="24"/>
              </w:rPr>
              <w:t>i</w:t>
            </w:r>
            <w:r w:rsidR="00200138" w:rsidRPr="00200138">
              <w:rPr>
                <w:rFonts w:ascii="Times New Roman" w:hAnsi="Times New Roman" w:cs="Times New Roman"/>
                <w:sz w:val="24"/>
                <w:szCs w:val="24"/>
              </w:rPr>
              <w:t xml:space="preserve">eviest </w:t>
            </w:r>
            <w:r w:rsidR="00200138" w:rsidRPr="00A7675C">
              <w:rPr>
                <w:rFonts w:ascii="Times New Roman" w:eastAsia="Times New Roman" w:hAnsi="Times New Roman" w:cs="Times New Roman"/>
                <w:color w:val="000000"/>
                <w:sz w:val="24"/>
                <w:szCs w:val="24"/>
              </w:rPr>
              <w:t>PVN apgriezto maksāšanas kārtību</w:t>
            </w:r>
            <w:r w:rsidR="00200138">
              <w:rPr>
                <w:rFonts w:ascii="Times New Roman" w:eastAsia="Times New Roman" w:hAnsi="Times New Roman" w:cs="Times New Roman"/>
                <w:color w:val="000000"/>
                <w:sz w:val="24"/>
                <w:szCs w:val="24"/>
              </w:rPr>
              <w:t xml:space="preserve"> </w:t>
            </w:r>
            <w:r w:rsidR="00200138" w:rsidRPr="00200138">
              <w:rPr>
                <w:rFonts w:ascii="Times New Roman" w:hAnsi="Times New Roman" w:cs="Times New Roman"/>
                <w:sz w:val="24"/>
                <w:szCs w:val="24"/>
              </w:rPr>
              <w:t>graud</w:t>
            </w:r>
            <w:r w:rsidR="001D55F6">
              <w:rPr>
                <w:rFonts w:ascii="Times New Roman" w:hAnsi="Times New Roman" w:cs="Times New Roman"/>
                <w:sz w:val="24"/>
                <w:szCs w:val="24"/>
              </w:rPr>
              <w:t>augu</w:t>
            </w:r>
            <w:r w:rsidR="00200138" w:rsidRPr="00200138">
              <w:rPr>
                <w:rFonts w:ascii="Times New Roman" w:hAnsi="Times New Roman" w:cs="Times New Roman"/>
                <w:sz w:val="24"/>
                <w:szCs w:val="24"/>
              </w:rPr>
              <w:t xml:space="preserve"> nozarē atbilstoši </w:t>
            </w:r>
            <w:r w:rsidR="00200138" w:rsidRPr="00A7675C">
              <w:rPr>
                <w:rFonts w:ascii="Times New Roman" w:eastAsia="Times New Roman" w:hAnsi="Times New Roman" w:cs="Times New Roman"/>
                <w:sz w:val="24"/>
                <w:szCs w:val="24"/>
                <w:lang w:eastAsia="en-US"/>
              </w:rPr>
              <w:t>Padomes 2006.gada 28.novembra direktīv</w:t>
            </w:r>
            <w:r w:rsidR="003F7BF0">
              <w:rPr>
                <w:rFonts w:ascii="Times New Roman" w:eastAsia="Times New Roman" w:hAnsi="Times New Roman" w:cs="Times New Roman"/>
                <w:sz w:val="24"/>
                <w:szCs w:val="24"/>
                <w:lang w:eastAsia="en-US"/>
              </w:rPr>
              <w:t>as</w:t>
            </w:r>
            <w:r w:rsidR="00200138" w:rsidRPr="00A7675C">
              <w:rPr>
                <w:rFonts w:ascii="Times New Roman" w:eastAsia="Times New Roman" w:hAnsi="Times New Roman" w:cs="Times New Roman"/>
                <w:sz w:val="24"/>
                <w:szCs w:val="24"/>
                <w:lang w:eastAsia="en-US"/>
              </w:rPr>
              <w:t xml:space="preserve"> 2006/112/EK par kopējo </w:t>
            </w:r>
            <w:r w:rsidR="00200138" w:rsidRPr="00A7675C">
              <w:rPr>
                <w:rFonts w:ascii="Times New Roman" w:eastAsia="Calibri" w:hAnsi="Times New Roman" w:cs="Times New Roman"/>
                <w:sz w:val="24"/>
                <w:szCs w:val="24"/>
                <w:lang w:eastAsia="en-US"/>
              </w:rPr>
              <w:t>pievienotās vērtības nodokļa</w:t>
            </w:r>
            <w:r w:rsidR="00200138" w:rsidRPr="00A7675C">
              <w:rPr>
                <w:rFonts w:ascii="Times New Roman" w:eastAsia="Times New Roman" w:hAnsi="Times New Roman" w:cs="Times New Roman"/>
                <w:sz w:val="24"/>
                <w:szCs w:val="24"/>
                <w:lang w:eastAsia="en-US"/>
              </w:rPr>
              <w:t xml:space="preserve"> sistēmu (turpmāk – PVN direktīva)</w:t>
            </w:r>
            <w:r w:rsidR="00200138" w:rsidRPr="00200138">
              <w:rPr>
                <w:rFonts w:ascii="Times New Roman" w:hAnsi="Times New Roman" w:cs="Times New Roman"/>
                <w:sz w:val="24"/>
                <w:szCs w:val="24"/>
              </w:rPr>
              <w:t xml:space="preserve"> 199</w:t>
            </w:r>
            <w:r w:rsidR="00200138">
              <w:rPr>
                <w:rFonts w:ascii="Times New Roman" w:hAnsi="Times New Roman" w:cs="Times New Roman"/>
                <w:sz w:val="24"/>
                <w:szCs w:val="24"/>
              </w:rPr>
              <w:t>.a panta 1.punkta “</w:t>
            </w:r>
            <w:proofErr w:type="spellStart"/>
            <w:r w:rsidR="00200138">
              <w:rPr>
                <w:rFonts w:ascii="Times New Roman" w:hAnsi="Times New Roman" w:cs="Times New Roman"/>
                <w:sz w:val="24"/>
                <w:szCs w:val="24"/>
              </w:rPr>
              <w:t>i”</w:t>
            </w:r>
            <w:r w:rsidR="00200138" w:rsidRPr="00200138">
              <w:rPr>
                <w:rFonts w:ascii="Times New Roman" w:hAnsi="Times New Roman" w:cs="Times New Roman"/>
                <w:sz w:val="24"/>
                <w:szCs w:val="24"/>
              </w:rPr>
              <w:t>apakšpunktam</w:t>
            </w:r>
            <w:proofErr w:type="spellEnd"/>
            <w:r w:rsidR="00200138" w:rsidRPr="00200138">
              <w:rPr>
                <w:rFonts w:ascii="Times New Roman" w:hAnsi="Times New Roman" w:cs="Times New Roman"/>
                <w:sz w:val="24"/>
                <w:szCs w:val="24"/>
              </w:rPr>
              <w:t>.</w:t>
            </w:r>
            <w:r w:rsidR="0055290D">
              <w:rPr>
                <w:rFonts w:ascii="Times New Roman" w:hAnsi="Times New Roman" w:cs="Times New Roman"/>
                <w:sz w:val="24"/>
                <w:szCs w:val="24"/>
              </w:rPr>
              <w:t xml:space="preserve"> Pasākuma izpildes termiņš ir noteikts 2016.gada 31.decembris.</w:t>
            </w:r>
          </w:p>
          <w:p w14:paraId="1FF7FAE7" w14:textId="2D674FBF" w:rsidR="0055290D" w:rsidRPr="001D55F6" w:rsidRDefault="0055290D" w:rsidP="0055290D">
            <w:pPr>
              <w:pStyle w:val="ListParagraph"/>
              <w:spacing w:line="240" w:lineRule="auto"/>
              <w:ind w:left="100" w:right="161"/>
              <w:jc w:val="both"/>
              <w:rPr>
                <w:rFonts w:ascii="Times New Roman" w:hAnsi="Times New Roman" w:cs="Times New Roman"/>
                <w:sz w:val="24"/>
                <w:szCs w:val="24"/>
              </w:rPr>
            </w:pPr>
            <w:r w:rsidRPr="002C4538">
              <w:rPr>
                <w:rFonts w:ascii="Times New Roman" w:hAnsi="Times New Roman"/>
                <w:iCs/>
                <w:sz w:val="24"/>
                <w:szCs w:val="24"/>
              </w:rPr>
              <w:t xml:space="preserve">Analīzes rezultātā ir konstatēts, ka ir pieauguši PVN </w:t>
            </w:r>
            <w:proofErr w:type="spellStart"/>
            <w:r w:rsidRPr="002C4538">
              <w:rPr>
                <w:rFonts w:ascii="Times New Roman" w:hAnsi="Times New Roman"/>
                <w:iCs/>
                <w:sz w:val="24"/>
                <w:szCs w:val="24"/>
              </w:rPr>
              <w:t>krāpniecības</w:t>
            </w:r>
            <w:proofErr w:type="spellEnd"/>
            <w:r w:rsidRPr="002C4538">
              <w:rPr>
                <w:rFonts w:ascii="Times New Roman" w:hAnsi="Times New Roman"/>
                <w:iCs/>
                <w:sz w:val="24"/>
                <w:szCs w:val="24"/>
              </w:rPr>
              <w:t xml:space="preserve"> riski graudaugu nozarē un drīz tiks uzsākti graudu ražas novākšanas darbus, tādēļ ir nepieciešama tūlītēja rīcība.</w:t>
            </w:r>
          </w:p>
        </w:tc>
      </w:tr>
      <w:tr w:rsidR="00DA6C86" w:rsidRPr="00A7675C" w14:paraId="1D39A736" w14:textId="77777777" w:rsidTr="00B45B52">
        <w:trPr>
          <w:trHeight w:val="699"/>
        </w:trPr>
        <w:tc>
          <w:tcPr>
            <w:tcW w:w="224" w:type="pct"/>
          </w:tcPr>
          <w:p w14:paraId="36B6F2EC" w14:textId="56F0D364" w:rsidR="00DA6C86" w:rsidRPr="00A7675C" w:rsidRDefault="00DA6C86" w:rsidP="00176CB2">
            <w:pPr>
              <w:pStyle w:val="naiskr"/>
              <w:spacing w:before="0" w:beforeAutospacing="0" w:after="0" w:afterAutospacing="0"/>
              <w:ind w:right="57"/>
              <w:jc w:val="center"/>
            </w:pPr>
            <w:r w:rsidRPr="00A7675C">
              <w:t>2.</w:t>
            </w:r>
          </w:p>
        </w:tc>
        <w:tc>
          <w:tcPr>
            <w:tcW w:w="1810" w:type="pct"/>
          </w:tcPr>
          <w:p w14:paraId="23921583" w14:textId="7B11EA72" w:rsidR="008C028A" w:rsidRPr="00A7675C" w:rsidRDefault="00502937" w:rsidP="00B45B52">
            <w:pPr>
              <w:pStyle w:val="naiskr"/>
              <w:tabs>
                <w:tab w:val="left" w:pos="170"/>
              </w:tabs>
              <w:spacing w:before="0" w:beforeAutospacing="0" w:after="0" w:afterAutospacing="0"/>
              <w:ind w:left="57" w:right="57"/>
            </w:pPr>
            <w:r w:rsidRPr="00A7675C">
              <w:t>Pašreizējā situācija un problēmas, kuru risināšanai tiesību akta projekts izstrādāts, tiesiskā regulējuma mērķis un būtība</w:t>
            </w:r>
          </w:p>
        </w:tc>
        <w:tc>
          <w:tcPr>
            <w:tcW w:w="2966" w:type="pct"/>
            <w:shd w:val="clear" w:color="auto" w:fill="auto"/>
          </w:tcPr>
          <w:p w14:paraId="1DB3C42A" w14:textId="6A943CF5" w:rsidR="0068707F" w:rsidRPr="00A7675C" w:rsidRDefault="0068707F" w:rsidP="00A1100E">
            <w:pPr>
              <w:pStyle w:val="NoSpacing"/>
              <w:numPr>
                <w:ilvl w:val="0"/>
                <w:numId w:val="4"/>
              </w:numPr>
              <w:ind w:left="100" w:right="161" w:firstLine="0"/>
              <w:jc w:val="both"/>
              <w:rPr>
                <w:rFonts w:ascii="Times New Roman" w:hAnsi="Times New Roman" w:cs="Times New Roman"/>
                <w:sz w:val="24"/>
                <w:szCs w:val="24"/>
                <w:lang w:eastAsia="en-US"/>
              </w:rPr>
            </w:pPr>
            <w:r w:rsidRPr="00A7675C">
              <w:rPr>
                <w:rFonts w:ascii="Times New Roman" w:hAnsi="Times New Roman" w:cs="Times New Roman"/>
                <w:sz w:val="24"/>
                <w:szCs w:val="24"/>
                <w:lang w:eastAsia="en-US"/>
              </w:rPr>
              <w:t>Neatkarīgs p</w:t>
            </w:r>
            <w:r w:rsidRPr="00A7675C">
              <w:rPr>
                <w:rFonts w:ascii="Times New Roman" w:eastAsia="Times New Roman" w:hAnsi="Times New Roman" w:cs="Times New Roman"/>
                <w:color w:val="000000"/>
                <w:sz w:val="24"/>
                <w:szCs w:val="24"/>
              </w:rPr>
              <w:t xml:space="preserve">ētnieks </w:t>
            </w:r>
            <w:r w:rsidR="006067AE" w:rsidRPr="00A7675C">
              <w:rPr>
                <w:rFonts w:ascii="Times New Roman" w:eastAsia="Times New Roman" w:hAnsi="Times New Roman" w:cs="Times New Roman"/>
                <w:color w:val="000000"/>
                <w:sz w:val="24"/>
                <w:szCs w:val="24"/>
              </w:rPr>
              <w:t>SIA “</w:t>
            </w:r>
            <w:hyperlink r:id="rId11" w:history="1">
              <w:r w:rsidR="006067AE" w:rsidRPr="00A7675C">
                <w:rPr>
                  <w:rFonts w:ascii="Times New Roman" w:eastAsia="Times New Roman" w:hAnsi="Times New Roman" w:cs="Times New Roman"/>
                  <w:color w:val="000000"/>
                  <w:sz w:val="24"/>
                  <w:szCs w:val="24"/>
                </w:rPr>
                <w:t>PricewaterhouseCoopers</w:t>
              </w:r>
            </w:hyperlink>
            <w:r w:rsidR="006067AE" w:rsidRPr="00A7675C">
              <w:rPr>
                <w:rFonts w:ascii="Times New Roman" w:eastAsia="Times New Roman" w:hAnsi="Times New Roman" w:cs="Times New Roman"/>
                <w:color w:val="000000"/>
                <w:sz w:val="24"/>
                <w:szCs w:val="24"/>
              </w:rPr>
              <w:t xml:space="preserve">” </w:t>
            </w:r>
            <w:r w:rsidRPr="00A7675C">
              <w:rPr>
                <w:rFonts w:ascii="Times New Roman" w:eastAsia="Times New Roman" w:hAnsi="Times New Roman" w:cs="Times New Roman"/>
                <w:color w:val="000000"/>
                <w:sz w:val="24"/>
                <w:szCs w:val="24"/>
              </w:rPr>
              <w:t xml:space="preserve">ziņojumā </w:t>
            </w:r>
            <w:r w:rsidRPr="00A7675C">
              <w:rPr>
                <w:rFonts w:ascii="Times New Roman" w:hAnsi="Times New Roman" w:cs="Times New Roman"/>
                <w:sz w:val="24"/>
                <w:szCs w:val="24"/>
                <w:lang w:eastAsia="en-US"/>
              </w:rPr>
              <w:t xml:space="preserve">“Par spēkā esošo PVN apgrieztās maksāšanas kārtības efektivitāti un iespēju to piemērot citās nozarēs” </w:t>
            </w:r>
            <w:r w:rsidRPr="00A7675C">
              <w:rPr>
                <w:rFonts w:ascii="Times New Roman" w:eastAsia="Times New Roman" w:hAnsi="Times New Roman" w:cs="Times New Roman"/>
                <w:color w:val="000000"/>
                <w:sz w:val="24"/>
                <w:szCs w:val="24"/>
              </w:rPr>
              <w:t>ir nonācis pie secinājuma, ka viena no nozarēm, kurā ir augsts PVN nemaksāšanas risks</w:t>
            </w:r>
            <w:r w:rsidRPr="00A7675C">
              <w:rPr>
                <w:rFonts w:ascii="Times New Roman" w:hAnsi="Times New Roman" w:cs="Times New Roman"/>
                <w:sz w:val="24"/>
                <w:szCs w:val="24"/>
                <w:lang w:eastAsia="en-US"/>
              </w:rPr>
              <w:t xml:space="preserve"> </w:t>
            </w:r>
            <w:r w:rsidRPr="00A7675C">
              <w:rPr>
                <w:rFonts w:ascii="Times New Roman" w:eastAsia="Times New Roman" w:hAnsi="Times New Roman" w:cs="Times New Roman"/>
                <w:color w:val="000000"/>
                <w:sz w:val="24"/>
                <w:szCs w:val="24"/>
              </w:rPr>
              <w:t xml:space="preserve">ir labības un graudaugu </w:t>
            </w:r>
            <w:r w:rsidRPr="00A7675C">
              <w:rPr>
                <w:rFonts w:ascii="Times New Roman" w:eastAsia="Times New Roman" w:hAnsi="Times New Roman" w:cs="Times New Roman"/>
                <w:sz w:val="24"/>
                <w:szCs w:val="24"/>
              </w:rPr>
              <w:t>nozare, tādējādi šajā nozarē</w:t>
            </w:r>
            <w:r w:rsidRPr="00A7675C">
              <w:rPr>
                <w:rFonts w:ascii="Times New Roman" w:eastAsia="Times New Roman" w:hAnsi="Times New Roman" w:cs="Times New Roman"/>
                <w:color w:val="000000"/>
                <w:sz w:val="24"/>
                <w:szCs w:val="24"/>
              </w:rPr>
              <w:t xml:space="preserve"> ir vēlams ieviest PVN apgriezto maksāšanas kārtību. </w:t>
            </w:r>
            <w:r w:rsidRPr="00A7675C">
              <w:rPr>
                <w:rFonts w:ascii="Times New Roman" w:hAnsi="Times New Roman" w:cs="Times New Roman"/>
                <w:sz w:val="24"/>
                <w:szCs w:val="24"/>
                <w:lang w:eastAsia="en-US"/>
              </w:rPr>
              <w:t>Balstoties uz šā ziņojuma rezultātiem,</w:t>
            </w:r>
            <w:r w:rsidRPr="00A7675C">
              <w:rPr>
                <w:rFonts w:ascii="Times New Roman" w:eastAsia="Calibri" w:hAnsi="Times New Roman" w:cs="Times New Roman"/>
                <w:sz w:val="24"/>
                <w:szCs w:val="24"/>
              </w:rPr>
              <w:t xml:space="preserve"> ar mērķi mazināt krāpšanos PVN jomā</w:t>
            </w:r>
            <w:r w:rsidRPr="00A7675C">
              <w:rPr>
                <w:rFonts w:ascii="Times New Roman" w:hAnsi="Times New Roman" w:cs="Times New Roman"/>
                <w:sz w:val="24"/>
                <w:szCs w:val="24"/>
                <w:lang w:eastAsia="en-US"/>
              </w:rPr>
              <w:t xml:space="preserve"> minētājā nozarē</w:t>
            </w:r>
            <w:r w:rsidRPr="00A7675C">
              <w:rPr>
                <w:rFonts w:ascii="Times New Roman" w:eastAsia="Times New Roman" w:hAnsi="Times New Roman" w:cs="Times New Roman"/>
                <w:color w:val="000000"/>
                <w:sz w:val="24"/>
                <w:szCs w:val="24"/>
              </w:rPr>
              <w:t xml:space="preserve"> PVN likumā ir nepieciešams noteikt </w:t>
            </w:r>
            <w:r w:rsidR="00A1100E" w:rsidRPr="00A7675C">
              <w:rPr>
                <w:rFonts w:ascii="Times New Roman" w:eastAsia="Times New Roman" w:hAnsi="Times New Roman" w:cs="Times New Roman"/>
                <w:color w:val="000000"/>
                <w:sz w:val="24"/>
                <w:szCs w:val="24"/>
              </w:rPr>
              <w:t xml:space="preserve">iepriekšminēto </w:t>
            </w:r>
            <w:r w:rsidR="001D55F6" w:rsidRPr="00A7675C">
              <w:rPr>
                <w:rFonts w:ascii="Times New Roman" w:eastAsia="Times New Roman" w:hAnsi="Times New Roman" w:cs="Times New Roman"/>
                <w:color w:val="000000"/>
                <w:sz w:val="24"/>
                <w:szCs w:val="24"/>
              </w:rPr>
              <w:t>PVN apgriezto maksāšanas kārtību</w:t>
            </w:r>
            <w:r w:rsidR="001D55F6" w:rsidRPr="00A7675C">
              <w:rPr>
                <w:rFonts w:ascii="Times New Roman" w:eastAsia="Times New Roman" w:hAnsi="Times New Roman" w:cs="Times New Roman"/>
                <w:sz w:val="24"/>
                <w:szCs w:val="24"/>
                <w:lang w:eastAsia="en-US"/>
              </w:rPr>
              <w:t xml:space="preserve"> </w:t>
            </w:r>
            <w:r w:rsidRPr="00A7675C">
              <w:rPr>
                <w:rFonts w:ascii="Times New Roman" w:eastAsia="Times New Roman" w:hAnsi="Times New Roman" w:cs="Times New Roman"/>
                <w:sz w:val="24"/>
                <w:szCs w:val="24"/>
              </w:rPr>
              <w:t>graudaugu un tehnisko kultūru,</w:t>
            </w:r>
            <w:r w:rsidR="006D4C35" w:rsidRPr="00A7675C">
              <w:rPr>
                <w:rFonts w:ascii="Times New Roman" w:eastAsia="Times New Roman" w:hAnsi="Times New Roman" w:cs="Times New Roman"/>
                <w:color w:val="000000"/>
                <w:sz w:val="24"/>
                <w:szCs w:val="24"/>
              </w:rPr>
              <w:t xml:space="preserve"> to</w:t>
            </w:r>
            <w:r w:rsidRPr="00A7675C">
              <w:rPr>
                <w:rFonts w:ascii="Times New Roman" w:eastAsia="Times New Roman" w:hAnsi="Times New Roman" w:cs="Times New Roman"/>
                <w:color w:val="000000"/>
                <w:sz w:val="24"/>
                <w:szCs w:val="24"/>
              </w:rPr>
              <w:t xml:space="preserve">starp eļļas augu sēklu, ko </w:t>
            </w:r>
            <w:proofErr w:type="spellStart"/>
            <w:r w:rsidRPr="00A7675C">
              <w:rPr>
                <w:rFonts w:ascii="Times New Roman" w:eastAsia="Times New Roman" w:hAnsi="Times New Roman" w:cs="Times New Roman"/>
                <w:color w:val="000000"/>
                <w:sz w:val="24"/>
                <w:szCs w:val="24"/>
              </w:rPr>
              <w:t>galapatēriņa</w:t>
            </w:r>
            <w:proofErr w:type="spellEnd"/>
            <w:r w:rsidRPr="00A7675C">
              <w:rPr>
                <w:rFonts w:ascii="Times New Roman" w:eastAsia="Times New Roman" w:hAnsi="Times New Roman" w:cs="Times New Roman"/>
                <w:color w:val="000000"/>
                <w:sz w:val="24"/>
                <w:szCs w:val="24"/>
              </w:rPr>
              <w:t xml:space="preserve"> stadijā parasti neizmanto neizmainītā stāvoklī,</w:t>
            </w:r>
            <w:r w:rsidRPr="00A7675C">
              <w:rPr>
                <w:rFonts w:ascii="Times New Roman" w:eastAsia="Times New Roman" w:hAnsi="Times New Roman" w:cs="Times New Roman"/>
                <w:sz w:val="24"/>
                <w:szCs w:val="24"/>
              </w:rPr>
              <w:t xml:space="preserve"> piegādēm. Minētais neatkarīgā pētnieka ziņojums ir pieejams </w:t>
            </w:r>
            <w:r w:rsidRPr="00A7675C">
              <w:rPr>
                <w:rFonts w:ascii="Times New Roman" w:eastAsia="Times New Roman" w:hAnsi="Times New Roman" w:cs="Times New Roman"/>
                <w:color w:val="000000"/>
                <w:sz w:val="24"/>
                <w:szCs w:val="24"/>
              </w:rPr>
              <w:t xml:space="preserve">Finanšu ministrijas mājas lapā </w:t>
            </w:r>
            <w:hyperlink r:id="rId12" w:history="1">
              <w:r w:rsidRPr="00A7675C">
                <w:rPr>
                  <w:rFonts w:ascii="Times New Roman" w:eastAsia="Times New Roman" w:hAnsi="Times New Roman" w:cs="Times New Roman"/>
                  <w:color w:val="0563C1"/>
                  <w:sz w:val="24"/>
                  <w:szCs w:val="24"/>
                  <w:u w:val="single"/>
                </w:rPr>
                <w:t>http://www.fm.gov.lv/files/nodoklupolitika/18-12-2015_PwC%20Zinojums.pdf</w:t>
              </w:r>
            </w:hyperlink>
            <w:r w:rsidRPr="00A7675C">
              <w:rPr>
                <w:rFonts w:ascii="Times New Roman" w:hAnsi="Times New Roman" w:cs="Times New Roman"/>
                <w:sz w:val="24"/>
                <w:szCs w:val="24"/>
                <w:lang w:eastAsia="en-US"/>
              </w:rPr>
              <w:t xml:space="preserve">. </w:t>
            </w:r>
          </w:p>
          <w:p w14:paraId="157028BE" w14:textId="2A396900" w:rsidR="0068707F" w:rsidRPr="00A7675C" w:rsidRDefault="001D55F6" w:rsidP="0068707F">
            <w:pPr>
              <w:spacing w:after="0" w:line="240" w:lineRule="auto"/>
              <w:ind w:left="100"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color w:val="000000"/>
                <w:sz w:val="24"/>
                <w:szCs w:val="24"/>
              </w:rPr>
              <w:t>PVN apgriezt</w:t>
            </w:r>
            <w:r>
              <w:rPr>
                <w:rFonts w:ascii="Times New Roman" w:eastAsia="Times New Roman" w:hAnsi="Times New Roman" w:cs="Times New Roman"/>
                <w:color w:val="000000"/>
                <w:sz w:val="24"/>
                <w:szCs w:val="24"/>
              </w:rPr>
              <w:t>ā</w:t>
            </w:r>
            <w:r w:rsidRPr="00A7675C">
              <w:rPr>
                <w:rFonts w:ascii="Times New Roman" w:eastAsia="Times New Roman" w:hAnsi="Times New Roman" w:cs="Times New Roman"/>
                <w:color w:val="000000"/>
                <w:sz w:val="24"/>
                <w:szCs w:val="24"/>
              </w:rPr>
              <w:t xml:space="preserve"> maksāšanas kārtīb</w:t>
            </w:r>
            <w:r>
              <w:rPr>
                <w:rFonts w:ascii="Times New Roman" w:eastAsia="Times New Roman" w:hAnsi="Times New Roman" w:cs="Times New Roman"/>
                <w:color w:val="000000"/>
                <w:sz w:val="24"/>
                <w:szCs w:val="24"/>
              </w:rPr>
              <w:t>a</w:t>
            </w:r>
            <w:r w:rsidRPr="00A7675C">
              <w:rPr>
                <w:rFonts w:ascii="Times New Roman" w:eastAsia="Times New Roman" w:hAnsi="Times New Roman" w:cs="Times New Roman"/>
                <w:color w:val="000000"/>
                <w:sz w:val="24"/>
                <w:szCs w:val="24"/>
              </w:rPr>
              <w:t xml:space="preserve"> </w:t>
            </w:r>
            <w:r w:rsidR="0068707F" w:rsidRPr="00A7675C">
              <w:rPr>
                <w:rFonts w:ascii="Times New Roman" w:eastAsia="Times New Roman" w:hAnsi="Times New Roman" w:cs="Times New Roman"/>
                <w:color w:val="000000"/>
                <w:sz w:val="24"/>
                <w:szCs w:val="24"/>
              </w:rPr>
              <w:t xml:space="preserve">ir terminēts pasākums cīņā pret </w:t>
            </w:r>
            <w:proofErr w:type="spellStart"/>
            <w:r w:rsidR="0068707F" w:rsidRPr="00A7675C">
              <w:rPr>
                <w:rFonts w:ascii="Times New Roman" w:eastAsia="Times New Roman" w:hAnsi="Times New Roman" w:cs="Times New Roman"/>
                <w:color w:val="000000"/>
                <w:sz w:val="24"/>
                <w:szCs w:val="24"/>
              </w:rPr>
              <w:t>krāpniecības</w:t>
            </w:r>
            <w:proofErr w:type="spellEnd"/>
            <w:r w:rsidR="0068707F" w:rsidRPr="00A7675C">
              <w:rPr>
                <w:rFonts w:ascii="Times New Roman" w:eastAsia="Times New Roman" w:hAnsi="Times New Roman" w:cs="Times New Roman"/>
                <w:color w:val="000000"/>
                <w:sz w:val="24"/>
                <w:szCs w:val="24"/>
              </w:rPr>
              <w:t xml:space="preserve"> apkarošanu nozarē un viens no pasākumiem </w:t>
            </w:r>
            <w:r w:rsidR="002417B5" w:rsidRPr="00A7675C">
              <w:rPr>
                <w:rFonts w:ascii="Times New Roman" w:eastAsia="Times New Roman" w:hAnsi="Times New Roman" w:cs="Times New Roman"/>
                <w:color w:val="000000"/>
                <w:sz w:val="24"/>
                <w:szCs w:val="24"/>
              </w:rPr>
              <w:t>godīga</w:t>
            </w:r>
            <w:r w:rsidR="0068707F" w:rsidRPr="00A7675C">
              <w:rPr>
                <w:rFonts w:ascii="Times New Roman" w:eastAsia="Times New Roman" w:hAnsi="Times New Roman" w:cs="Times New Roman"/>
                <w:color w:val="000000"/>
                <w:sz w:val="24"/>
                <w:szCs w:val="24"/>
              </w:rPr>
              <w:t xml:space="preserve"> biznesa aizsargāšanai no krāpniekiem un negodīgas konkurences samazināšanai nozarē. </w:t>
            </w:r>
            <w:r w:rsidR="00EA67EC" w:rsidRPr="00A7675C">
              <w:rPr>
                <w:rFonts w:ascii="Times New Roman" w:eastAsia="Times New Roman" w:hAnsi="Times New Roman" w:cs="Times New Roman"/>
                <w:color w:val="000000"/>
                <w:sz w:val="24"/>
                <w:szCs w:val="24"/>
              </w:rPr>
              <w:t>Tomēr l</w:t>
            </w:r>
            <w:r w:rsidR="0068707F" w:rsidRPr="00A7675C">
              <w:rPr>
                <w:rFonts w:ascii="Times New Roman" w:eastAsia="Times New Roman" w:hAnsi="Times New Roman" w:cs="Times New Roman"/>
                <w:color w:val="000000"/>
                <w:sz w:val="24"/>
                <w:szCs w:val="24"/>
              </w:rPr>
              <w:t xml:space="preserve">abāku un efektīvāku rezultātu sasniegšanai </w:t>
            </w:r>
            <w:proofErr w:type="spellStart"/>
            <w:r w:rsidR="0068707F" w:rsidRPr="00A7675C">
              <w:rPr>
                <w:rFonts w:ascii="Times New Roman" w:eastAsia="Times New Roman" w:hAnsi="Times New Roman" w:cs="Times New Roman"/>
                <w:color w:val="000000"/>
                <w:sz w:val="24"/>
                <w:szCs w:val="24"/>
              </w:rPr>
              <w:t>krāpniecības</w:t>
            </w:r>
            <w:proofErr w:type="spellEnd"/>
            <w:r w:rsidR="0068707F" w:rsidRPr="00A7675C">
              <w:rPr>
                <w:rFonts w:ascii="Times New Roman" w:eastAsia="Times New Roman" w:hAnsi="Times New Roman" w:cs="Times New Roman"/>
                <w:color w:val="000000"/>
                <w:sz w:val="24"/>
                <w:szCs w:val="24"/>
              </w:rPr>
              <w:t xml:space="preserve"> iezīmju apkarošanā nozarē ir nepieciešams ieviest administratīvu un kontroles pasākumu kopumu. </w:t>
            </w:r>
            <w:r w:rsidR="00AB52B1" w:rsidRPr="00A7675C">
              <w:rPr>
                <w:rFonts w:ascii="Times New Roman" w:eastAsia="Times New Roman" w:hAnsi="Times New Roman" w:cs="Times New Roman"/>
                <w:sz w:val="24"/>
                <w:szCs w:val="24"/>
              </w:rPr>
              <w:t>Pamatojoties uz PVN direktīvas 199.a</w:t>
            </w:r>
            <w:r w:rsidR="00717343" w:rsidRPr="00A7675C">
              <w:rPr>
                <w:rFonts w:ascii="Times New Roman" w:eastAsia="Times New Roman" w:hAnsi="Times New Roman" w:cs="Times New Roman"/>
                <w:sz w:val="24"/>
                <w:szCs w:val="24"/>
              </w:rPr>
              <w:t> </w:t>
            </w:r>
            <w:r w:rsidR="00AB52B1" w:rsidRPr="00A7675C">
              <w:rPr>
                <w:rFonts w:ascii="Times New Roman" w:eastAsia="Times New Roman" w:hAnsi="Times New Roman" w:cs="Times New Roman"/>
                <w:sz w:val="24"/>
                <w:szCs w:val="24"/>
              </w:rPr>
              <w:t xml:space="preserve">panta 1.punktu, </w:t>
            </w:r>
            <w:r w:rsidRPr="00A7675C">
              <w:rPr>
                <w:rFonts w:ascii="Times New Roman" w:eastAsia="Times New Roman" w:hAnsi="Times New Roman" w:cs="Times New Roman"/>
                <w:color w:val="000000"/>
                <w:sz w:val="24"/>
                <w:szCs w:val="24"/>
              </w:rPr>
              <w:t>PVN apgriezto maksāšanas kārtību</w:t>
            </w:r>
            <w:r w:rsidRPr="00A7675C">
              <w:rPr>
                <w:rFonts w:ascii="Times New Roman" w:eastAsia="Times New Roman" w:hAnsi="Times New Roman" w:cs="Times New Roman"/>
                <w:sz w:val="24"/>
                <w:szCs w:val="24"/>
              </w:rPr>
              <w:t xml:space="preserve"> </w:t>
            </w:r>
            <w:r w:rsidR="004A4B6A" w:rsidRPr="00A7675C">
              <w:rPr>
                <w:rFonts w:ascii="Times New Roman" w:eastAsia="Times New Roman" w:hAnsi="Times New Roman" w:cs="Times New Roman"/>
                <w:sz w:val="24"/>
                <w:szCs w:val="24"/>
              </w:rPr>
              <w:t xml:space="preserve">var </w:t>
            </w:r>
            <w:r w:rsidR="004A4B6A" w:rsidRPr="00A7675C">
              <w:rPr>
                <w:rFonts w:ascii="Times New Roman" w:eastAsia="Times New Roman" w:hAnsi="Times New Roman" w:cs="Times New Roman"/>
                <w:sz w:val="24"/>
                <w:szCs w:val="24"/>
              </w:rPr>
              <w:lastRenderedPageBreak/>
              <w:t>ieviest</w:t>
            </w:r>
            <w:r w:rsidR="00C64F29" w:rsidRPr="00A7675C">
              <w:rPr>
                <w:rFonts w:ascii="Times New Roman" w:eastAsia="Times New Roman" w:hAnsi="Times New Roman" w:cs="Times New Roman"/>
                <w:sz w:val="24"/>
                <w:szCs w:val="24"/>
              </w:rPr>
              <w:t xml:space="preserve"> uz ierobežotu</w:t>
            </w:r>
            <w:r w:rsidR="002E768A" w:rsidRPr="00A7675C">
              <w:rPr>
                <w:rFonts w:ascii="Times New Roman" w:eastAsia="Times New Roman" w:hAnsi="Times New Roman" w:cs="Times New Roman"/>
                <w:sz w:val="24"/>
                <w:szCs w:val="24"/>
              </w:rPr>
              <w:t xml:space="preserve"> laika periodu </w:t>
            </w:r>
            <w:r w:rsidR="0068707F" w:rsidRPr="00A7675C">
              <w:rPr>
                <w:rFonts w:ascii="Times New Roman" w:eastAsia="Times New Roman" w:hAnsi="Times New Roman" w:cs="Times New Roman"/>
                <w:sz w:val="24"/>
                <w:szCs w:val="24"/>
              </w:rPr>
              <w:t>graudaugu un tehnisko kultūru</w:t>
            </w:r>
            <w:r w:rsidR="00253D3A" w:rsidRPr="00A7675C">
              <w:rPr>
                <w:rFonts w:ascii="Times New Roman" w:eastAsia="Times New Roman" w:hAnsi="Times New Roman" w:cs="Times New Roman"/>
                <w:color w:val="000000"/>
                <w:sz w:val="24"/>
                <w:szCs w:val="24"/>
              </w:rPr>
              <w:t xml:space="preserve"> </w:t>
            </w:r>
            <w:r w:rsidR="00AB52B1" w:rsidRPr="00A7675C">
              <w:rPr>
                <w:rFonts w:ascii="Times New Roman" w:eastAsia="Times New Roman" w:hAnsi="Times New Roman" w:cs="Times New Roman"/>
                <w:color w:val="000000"/>
                <w:sz w:val="24"/>
                <w:szCs w:val="24"/>
              </w:rPr>
              <w:t>(</w:t>
            </w:r>
            <w:r w:rsidR="00253D3A" w:rsidRPr="00A7675C">
              <w:rPr>
                <w:rFonts w:ascii="Times New Roman" w:eastAsia="Times New Roman" w:hAnsi="Times New Roman" w:cs="Times New Roman"/>
                <w:color w:val="000000"/>
                <w:sz w:val="24"/>
                <w:szCs w:val="24"/>
              </w:rPr>
              <w:t>to</w:t>
            </w:r>
            <w:r w:rsidR="0068707F" w:rsidRPr="00A7675C">
              <w:rPr>
                <w:rFonts w:ascii="Times New Roman" w:eastAsia="Times New Roman" w:hAnsi="Times New Roman" w:cs="Times New Roman"/>
                <w:color w:val="000000"/>
                <w:sz w:val="24"/>
                <w:szCs w:val="24"/>
              </w:rPr>
              <w:t>starp eļļas augu sēklu</w:t>
            </w:r>
            <w:r w:rsidR="00AB52B1" w:rsidRPr="00A7675C">
              <w:rPr>
                <w:rFonts w:ascii="Times New Roman" w:eastAsia="Times New Roman" w:hAnsi="Times New Roman" w:cs="Times New Roman"/>
                <w:color w:val="000000"/>
                <w:sz w:val="24"/>
                <w:szCs w:val="24"/>
              </w:rPr>
              <w:t>)</w:t>
            </w:r>
            <w:r w:rsidR="0068707F" w:rsidRPr="00A7675C">
              <w:rPr>
                <w:rFonts w:ascii="Times New Roman" w:eastAsia="Times New Roman" w:hAnsi="Times New Roman" w:cs="Times New Roman"/>
                <w:color w:val="000000"/>
                <w:sz w:val="24"/>
                <w:szCs w:val="24"/>
              </w:rPr>
              <w:t xml:space="preserve">, </w:t>
            </w:r>
            <w:r w:rsidR="00AB52B1" w:rsidRPr="00A7675C">
              <w:rPr>
                <w:rFonts w:ascii="Times New Roman" w:eastAsia="Times New Roman" w:hAnsi="Times New Roman" w:cs="Times New Roman"/>
                <w:color w:val="000000"/>
                <w:sz w:val="24"/>
                <w:szCs w:val="24"/>
              </w:rPr>
              <w:t>tai skaitā šo preču maisījum</w:t>
            </w:r>
            <w:r w:rsidR="00717343" w:rsidRPr="00A7675C">
              <w:rPr>
                <w:rFonts w:ascii="Times New Roman" w:eastAsia="Times New Roman" w:hAnsi="Times New Roman" w:cs="Times New Roman"/>
                <w:color w:val="000000"/>
                <w:sz w:val="24"/>
                <w:szCs w:val="24"/>
              </w:rPr>
              <w:t>u</w:t>
            </w:r>
            <w:r w:rsidR="00AB52B1" w:rsidRPr="00A7675C">
              <w:rPr>
                <w:rFonts w:ascii="Times New Roman" w:eastAsia="Times New Roman" w:hAnsi="Times New Roman" w:cs="Times New Roman"/>
                <w:color w:val="000000"/>
                <w:sz w:val="24"/>
                <w:szCs w:val="24"/>
              </w:rPr>
              <w:t xml:space="preserve">, kuri neizmainītā stāvoklī parasti nav paredzēti </w:t>
            </w:r>
            <w:proofErr w:type="spellStart"/>
            <w:r w:rsidR="00AB52B1" w:rsidRPr="00A7675C">
              <w:rPr>
                <w:rFonts w:ascii="Times New Roman" w:eastAsia="Times New Roman" w:hAnsi="Times New Roman" w:cs="Times New Roman"/>
                <w:color w:val="000000"/>
                <w:sz w:val="24"/>
                <w:szCs w:val="24"/>
              </w:rPr>
              <w:t>galapatēriņam</w:t>
            </w:r>
            <w:proofErr w:type="spellEnd"/>
            <w:r w:rsidR="00AB52B1" w:rsidRPr="00A7675C">
              <w:rPr>
                <w:rFonts w:ascii="Times New Roman" w:eastAsia="Times New Roman" w:hAnsi="Times New Roman" w:cs="Times New Roman"/>
                <w:color w:val="000000"/>
                <w:sz w:val="24"/>
                <w:szCs w:val="24"/>
              </w:rPr>
              <w:t xml:space="preserve">, </w:t>
            </w:r>
            <w:r w:rsidR="002E768A" w:rsidRPr="00A7675C">
              <w:rPr>
                <w:rFonts w:ascii="Times New Roman" w:eastAsia="Times New Roman" w:hAnsi="Times New Roman" w:cs="Times New Roman"/>
                <w:color w:val="000000"/>
                <w:sz w:val="24"/>
                <w:szCs w:val="24"/>
              </w:rPr>
              <w:t>piegādēm.</w:t>
            </w:r>
          </w:p>
          <w:p w14:paraId="5155EC81" w14:textId="7D9EB549" w:rsidR="00556C1B" w:rsidRPr="00A7675C" w:rsidRDefault="001D55F6" w:rsidP="0068707F">
            <w:pPr>
              <w:pStyle w:val="NoSpacing"/>
              <w:ind w:left="100"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color w:val="000000"/>
                <w:sz w:val="24"/>
                <w:szCs w:val="24"/>
              </w:rPr>
              <w:t>PVN apgriezt</w:t>
            </w:r>
            <w:r>
              <w:rPr>
                <w:rFonts w:ascii="Times New Roman" w:eastAsia="Times New Roman" w:hAnsi="Times New Roman" w:cs="Times New Roman"/>
                <w:color w:val="000000"/>
                <w:sz w:val="24"/>
                <w:szCs w:val="24"/>
              </w:rPr>
              <w:t>ā</w:t>
            </w:r>
            <w:r w:rsidRPr="00A7675C">
              <w:rPr>
                <w:rFonts w:ascii="Times New Roman" w:eastAsia="Times New Roman" w:hAnsi="Times New Roman" w:cs="Times New Roman"/>
                <w:color w:val="000000"/>
                <w:sz w:val="24"/>
                <w:szCs w:val="24"/>
              </w:rPr>
              <w:t xml:space="preserve"> maksāšanas kārtīb</w:t>
            </w:r>
            <w:r>
              <w:rPr>
                <w:rFonts w:ascii="Times New Roman" w:eastAsia="Times New Roman" w:hAnsi="Times New Roman" w:cs="Times New Roman"/>
                <w:color w:val="000000"/>
                <w:sz w:val="24"/>
                <w:szCs w:val="24"/>
              </w:rPr>
              <w:t>a,</w:t>
            </w:r>
            <w:r w:rsidR="004323E6" w:rsidRPr="00A7675C">
              <w:rPr>
                <w:rFonts w:ascii="Times New Roman" w:eastAsia="Times New Roman" w:hAnsi="Times New Roman" w:cs="Times New Roman"/>
                <w:sz w:val="24"/>
                <w:szCs w:val="24"/>
              </w:rPr>
              <w:t xml:space="preserve"> ņemot vērā Padomes </w:t>
            </w:r>
            <w:r w:rsidR="003F5DA0" w:rsidRPr="00A7675C">
              <w:rPr>
                <w:rFonts w:ascii="Times New Roman" w:eastAsia="Times New Roman" w:hAnsi="Times New Roman" w:cs="Times New Roman"/>
                <w:sz w:val="24"/>
                <w:szCs w:val="24"/>
              </w:rPr>
              <w:t>1987.gada 23.jūlija r</w:t>
            </w:r>
            <w:r w:rsidR="004323E6" w:rsidRPr="00A7675C">
              <w:rPr>
                <w:rFonts w:ascii="Times New Roman" w:eastAsia="Times New Roman" w:hAnsi="Times New Roman" w:cs="Times New Roman"/>
                <w:sz w:val="24"/>
                <w:szCs w:val="24"/>
              </w:rPr>
              <w:t xml:space="preserve">egulas (EEK) Nr.2658/87 </w:t>
            </w:r>
            <w:r w:rsidR="003F5DA0" w:rsidRPr="00A7675C">
              <w:rPr>
                <w:rFonts w:ascii="Times New Roman" w:eastAsia="Times New Roman" w:hAnsi="Times New Roman" w:cs="Times New Roman"/>
                <w:sz w:val="24"/>
                <w:szCs w:val="24"/>
              </w:rPr>
              <w:t xml:space="preserve">par tarifu un statistikas nomenklatūru un kopējo muitas tarifu </w:t>
            </w:r>
            <w:r w:rsidR="004323E6" w:rsidRPr="00A7675C">
              <w:rPr>
                <w:rFonts w:ascii="Times New Roman" w:eastAsia="Times New Roman" w:hAnsi="Times New Roman" w:cs="Times New Roman"/>
                <w:sz w:val="24"/>
                <w:szCs w:val="24"/>
              </w:rPr>
              <w:t>I pielikuma kombinētās nomenklatūras kodus,</w:t>
            </w:r>
            <w:r>
              <w:rPr>
                <w:rFonts w:ascii="Times New Roman" w:eastAsia="Times New Roman" w:hAnsi="Times New Roman" w:cs="Times New Roman"/>
                <w:sz w:val="24"/>
                <w:szCs w:val="24"/>
              </w:rPr>
              <w:t xml:space="preserve"> ir piemērojama</w:t>
            </w:r>
            <w:r w:rsidR="0068707F" w:rsidRPr="00A7675C">
              <w:rPr>
                <w:rFonts w:ascii="Times New Roman" w:eastAsia="Times New Roman" w:hAnsi="Times New Roman" w:cs="Times New Roman"/>
                <w:sz w:val="24"/>
                <w:szCs w:val="24"/>
              </w:rPr>
              <w:t xml:space="preserve"> šādu graudaugu un tehnisko kultūru </w:t>
            </w:r>
            <w:r w:rsidR="00AB52B1" w:rsidRPr="00A7675C">
              <w:rPr>
                <w:rFonts w:ascii="Times New Roman" w:eastAsia="Times New Roman" w:hAnsi="Times New Roman" w:cs="Times New Roman"/>
                <w:sz w:val="24"/>
                <w:szCs w:val="24"/>
              </w:rPr>
              <w:t>(</w:t>
            </w:r>
            <w:r w:rsidR="0068707F" w:rsidRPr="00A7675C">
              <w:rPr>
                <w:rFonts w:ascii="Times New Roman" w:eastAsia="Times New Roman" w:hAnsi="Times New Roman" w:cs="Times New Roman"/>
                <w:sz w:val="24"/>
                <w:szCs w:val="24"/>
              </w:rPr>
              <w:t>tostarp eļļas augu sēklu</w:t>
            </w:r>
            <w:r w:rsidR="00AB52B1" w:rsidRPr="00A7675C">
              <w:rPr>
                <w:rFonts w:ascii="Times New Roman" w:eastAsia="Times New Roman" w:hAnsi="Times New Roman" w:cs="Times New Roman"/>
                <w:sz w:val="24"/>
                <w:szCs w:val="24"/>
              </w:rPr>
              <w:t>)</w:t>
            </w:r>
            <w:r w:rsidR="0068707F" w:rsidRPr="00A7675C">
              <w:rPr>
                <w:rFonts w:ascii="Times New Roman" w:eastAsia="Times New Roman" w:hAnsi="Times New Roman" w:cs="Times New Roman"/>
                <w:sz w:val="24"/>
                <w:szCs w:val="24"/>
              </w:rPr>
              <w:t>,</w:t>
            </w:r>
            <w:r w:rsidR="004A4B6A" w:rsidRPr="00A7675C">
              <w:rPr>
                <w:rFonts w:ascii="Times New Roman" w:eastAsia="Times New Roman" w:hAnsi="Times New Roman" w:cs="Times New Roman"/>
                <w:sz w:val="24"/>
                <w:szCs w:val="24"/>
              </w:rPr>
              <w:t xml:space="preserve"> tai skaitā šo</w:t>
            </w:r>
            <w:r w:rsidR="00AB52B1" w:rsidRPr="00A7675C">
              <w:rPr>
                <w:rFonts w:ascii="Times New Roman" w:eastAsia="Times New Roman" w:hAnsi="Times New Roman" w:cs="Times New Roman"/>
                <w:sz w:val="24"/>
                <w:szCs w:val="24"/>
              </w:rPr>
              <w:t xml:space="preserve"> preču maisījumiem,</w:t>
            </w:r>
            <w:r w:rsidR="0068707F" w:rsidRPr="00A7675C">
              <w:rPr>
                <w:rFonts w:ascii="Times New Roman" w:eastAsia="Times New Roman" w:hAnsi="Times New Roman" w:cs="Times New Roman"/>
                <w:sz w:val="24"/>
                <w:szCs w:val="24"/>
              </w:rPr>
              <w:t xml:space="preserve"> ko neizmainītā stāvoklī parasti neizmanto </w:t>
            </w:r>
            <w:proofErr w:type="spellStart"/>
            <w:r w:rsidR="0068707F" w:rsidRPr="00A7675C">
              <w:rPr>
                <w:rFonts w:ascii="Times New Roman" w:eastAsia="Times New Roman" w:hAnsi="Times New Roman" w:cs="Times New Roman"/>
                <w:sz w:val="24"/>
                <w:szCs w:val="24"/>
              </w:rPr>
              <w:t>galapatēriņam</w:t>
            </w:r>
            <w:proofErr w:type="spellEnd"/>
            <w:r w:rsidR="0068707F" w:rsidRPr="00A7675C">
              <w:rPr>
                <w:rFonts w:ascii="Times New Roman" w:eastAsia="Times New Roman" w:hAnsi="Times New Roman" w:cs="Times New Roman"/>
                <w:sz w:val="24"/>
                <w:szCs w:val="24"/>
              </w:rPr>
              <w:t>, piegād</w:t>
            </w:r>
            <w:r w:rsidR="002E768A" w:rsidRPr="00A7675C">
              <w:rPr>
                <w:rFonts w:ascii="Times New Roman" w:eastAsia="Times New Roman" w:hAnsi="Times New Roman" w:cs="Times New Roman"/>
                <w:sz w:val="24"/>
                <w:szCs w:val="24"/>
              </w:rPr>
              <w:t>ēm</w:t>
            </w:r>
            <w:r w:rsidR="0068707F" w:rsidRPr="00A7675C">
              <w:rPr>
                <w:rFonts w:ascii="Times New Roman" w:eastAsia="Times New Roman" w:hAnsi="Times New Roman" w:cs="Times New Roman"/>
                <w:sz w:val="24"/>
                <w:szCs w:val="24"/>
              </w:rPr>
              <w:t>:</w:t>
            </w:r>
          </w:p>
          <w:p w14:paraId="6DD9DA60" w14:textId="77777777" w:rsidR="0068707F" w:rsidRPr="00A7675C" w:rsidRDefault="0068707F" w:rsidP="0068707F">
            <w:pPr>
              <w:pStyle w:val="NoSpacing"/>
              <w:ind w:left="100" w:right="161"/>
              <w:jc w:val="both"/>
              <w:rPr>
                <w:rFonts w:ascii="Times New Roman" w:hAnsi="Times New Roman" w:cs="Times New Roman"/>
                <w:sz w:val="24"/>
                <w:szCs w:val="24"/>
                <w:lang w:eastAsia="en-US"/>
              </w:rPr>
            </w:pPr>
          </w:p>
          <w:tbl>
            <w:tblPr>
              <w:tblStyle w:val="TableGrid"/>
              <w:tblW w:w="0" w:type="auto"/>
              <w:tblLayout w:type="fixed"/>
              <w:tblLook w:val="04A0" w:firstRow="1" w:lastRow="0" w:firstColumn="1" w:lastColumn="0" w:noHBand="0" w:noVBand="1"/>
            </w:tblPr>
            <w:tblGrid>
              <w:gridCol w:w="2601"/>
              <w:gridCol w:w="2601"/>
            </w:tblGrid>
            <w:tr w:rsidR="0068707F" w:rsidRPr="00A7675C" w14:paraId="1EAEAE22" w14:textId="77777777" w:rsidTr="00E26BFA">
              <w:tc>
                <w:tcPr>
                  <w:tcW w:w="2601" w:type="dxa"/>
                </w:tcPr>
                <w:p w14:paraId="344BF57F"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Kombinētās nomenklatūras kods</w:t>
                  </w:r>
                </w:p>
              </w:tc>
              <w:tc>
                <w:tcPr>
                  <w:tcW w:w="2601" w:type="dxa"/>
                </w:tcPr>
                <w:p w14:paraId="6115DC3B"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 xml:space="preserve">Produkts </w:t>
                  </w:r>
                </w:p>
              </w:tc>
            </w:tr>
            <w:tr w:rsidR="0068707F" w:rsidRPr="00A7675C" w14:paraId="29397B97" w14:textId="77777777" w:rsidTr="00E26BFA">
              <w:tc>
                <w:tcPr>
                  <w:tcW w:w="2601" w:type="dxa"/>
                </w:tcPr>
                <w:p w14:paraId="2E5B1B01"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1001</w:t>
                  </w:r>
                </w:p>
              </w:tc>
              <w:tc>
                <w:tcPr>
                  <w:tcW w:w="2601" w:type="dxa"/>
                </w:tcPr>
                <w:p w14:paraId="7827C83B" w14:textId="144F02D2"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Kvieši</w:t>
                  </w:r>
                </w:p>
              </w:tc>
            </w:tr>
            <w:tr w:rsidR="0068707F" w:rsidRPr="00A7675C" w14:paraId="238A90BA" w14:textId="77777777" w:rsidTr="00E26BFA">
              <w:tc>
                <w:tcPr>
                  <w:tcW w:w="2601" w:type="dxa"/>
                </w:tcPr>
                <w:p w14:paraId="1D4728F3"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1002</w:t>
                  </w:r>
                </w:p>
              </w:tc>
              <w:tc>
                <w:tcPr>
                  <w:tcW w:w="2601" w:type="dxa"/>
                </w:tcPr>
                <w:p w14:paraId="4DFAA4A1"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Rudzi</w:t>
                  </w:r>
                </w:p>
              </w:tc>
            </w:tr>
            <w:tr w:rsidR="0068707F" w:rsidRPr="00A7675C" w14:paraId="6FD9A9BA" w14:textId="77777777" w:rsidTr="00E26BFA">
              <w:tc>
                <w:tcPr>
                  <w:tcW w:w="2601" w:type="dxa"/>
                </w:tcPr>
                <w:p w14:paraId="15DEFA0D"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1003</w:t>
                  </w:r>
                </w:p>
              </w:tc>
              <w:tc>
                <w:tcPr>
                  <w:tcW w:w="2601" w:type="dxa"/>
                </w:tcPr>
                <w:p w14:paraId="262B8D54"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Mieži</w:t>
                  </w:r>
                </w:p>
              </w:tc>
            </w:tr>
            <w:tr w:rsidR="0068707F" w:rsidRPr="00A7675C" w14:paraId="7C3E1342" w14:textId="77777777" w:rsidTr="00E26BFA">
              <w:tc>
                <w:tcPr>
                  <w:tcW w:w="2601" w:type="dxa"/>
                </w:tcPr>
                <w:p w14:paraId="0C513916"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1004</w:t>
                  </w:r>
                </w:p>
              </w:tc>
              <w:tc>
                <w:tcPr>
                  <w:tcW w:w="2601" w:type="dxa"/>
                </w:tcPr>
                <w:p w14:paraId="2307C5DA"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Auzas</w:t>
                  </w:r>
                </w:p>
              </w:tc>
            </w:tr>
            <w:tr w:rsidR="0068707F" w:rsidRPr="00A7675C" w14:paraId="6000FA38" w14:textId="77777777" w:rsidTr="00E26BFA">
              <w:tc>
                <w:tcPr>
                  <w:tcW w:w="2601" w:type="dxa"/>
                </w:tcPr>
                <w:p w14:paraId="7475CDB9"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1005</w:t>
                  </w:r>
                </w:p>
              </w:tc>
              <w:tc>
                <w:tcPr>
                  <w:tcW w:w="2601" w:type="dxa"/>
                </w:tcPr>
                <w:p w14:paraId="6662310F"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Kukurūza</w:t>
                  </w:r>
                </w:p>
              </w:tc>
            </w:tr>
            <w:tr w:rsidR="0068707F" w:rsidRPr="00A7675C" w14:paraId="1E64E0FC" w14:textId="77777777" w:rsidTr="00E26BFA">
              <w:tc>
                <w:tcPr>
                  <w:tcW w:w="2601" w:type="dxa"/>
                </w:tcPr>
                <w:p w14:paraId="208C1428"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1008 10 00</w:t>
                  </w:r>
                </w:p>
              </w:tc>
              <w:tc>
                <w:tcPr>
                  <w:tcW w:w="2601" w:type="dxa"/>
                </w:tcPr>
                <w:p w14:paraId="38EE05E4"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Griķi</w:t>
                  </w:r>
                </w:p>
              </w:tc>
            </w:tr>
            <w:tr w:rsidR="0068707F" w:rsidRPr="00A7675C" w14:paraId="47074E8F" w14:textId="77777777" w:rsidTr="00E26BFA">
              <w:tc>
                <w:tcPr>
                  <w:tcW w:w="2601" w:type="dxa"/>
                </w:tcPr>
                <w:p w14:paraId="1F17DF44"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1008 60 00</w:t>
                  </w:r>
                </w:p>
              </w:tc>
              <w:tc>
                <w:tcPr>
                  <w:tcW w:w="2601" w:type="dxa"/>
                </w:tcPr>
                <w:p w14:paraId="71DD049F"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Tritikāle</w:t>
                  </w:r>
                </w:p>
              </w:tc>
            </w:tr>
            <w:tr w:rsidR="0068707F" w:rsidRPr="00A7675C" w14:paraId="5EA1974F" w14:textId="77777777" w:rsidTr="00E26BFA">
              <w:tc>
                <w:tcPr>
                  <w:tcW w:w="2601" w:type="dxa"/>
                </w:tcPr>
                <w:p w14:paraId="7E5D9518"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1201</w:t>
                  </w:r>
                </w:p>
              </w:tc>
              <w:tc>
                <w:tcPr>
                  <w:tcW w:w="2601" w:type="dxa"/>
                </w:tcPr>
                <w:p w14:paraId="672DAF0E"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Sojas pupas, arī šķeltas</w:t>
                  </w:r>
                </w:p>
              </w:tc>
            </w:tr>
            <w:tr w:rsidR="0068707F" w:rsidRPr="00A7675C" w14:paraId="5B75B058" w14:textId="77777777" w:rsidTr="00E26BFA">
              <w:tc>
                <w:tcPr>
                  <w:tcW w:w="2601" w:type="dxa"/>
                </w:tcPr>
                <w:p w14:paraId="783688C3"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1204</w:t>
                  </w:r>
                </w:p>
              </w:tc>
              <w:tc>
                <w:tcPr>
                  <w:tcW w:w="2601" w:type="dxa"/>
                </w:tcPr>
                <w:p w14:paraId="5F29A397"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Linsēklas, arī šķeltas</w:t>
                  </w:r>
                </w:p>
              </w:tc>
            </w:tr>
            <w:tr w:rsidR="0068707F" w:rsidRPr="00A7675C" w14:paraId="24A5206E" w14:textId="77777777" w:rsidTr="00E26BFA">
              <w:tc>
                <w:tcPr>
                  <w:tcW w:w="2601" w:type="dxa"/>
                </w:tcPr>
                <w:p w14:paraId="4CFB0DAA"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1205</w:t>
                  </w:r>
                </w:p>
              </w:tc>
              <w:tc>
                <w:tcPr>
                  <w:tcW w:w="2601" w:type="dxa"/>
                </w:tcPr>
                <w:p w14:paraId="56480999" w14:textId="77777777" w:rsidR="0068707F" w:rsidRPr="00A7675C" w:rsidRDefault="0068707F" w:rsidP="00B4238C">
                  <w:pPr>
                    <w:framePr w:hSpace="180" w:wrap="around" w:vAnchor="text" w:hAnchor="margin" w:xAlign="center" w:y="149"/>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Rapšu vai ripšu sēklas, arī šķeltas</w:t>
                  </w:r>
                </w:p>
              </w:tc>
            </w:tr>
          </w:tbl>
          <w:p w14:paraId="03F8631B" w14:textId="77777777" w:rsidR="00B45B52" w:rsidRPr="00A7675C" w:rsidRDefault="00B45B52" w:rsidP="00556C1B">
            <w:pPr>
              <w:spacing w:after="0" w:line="240" w:lineRule="auto"/>
              <w:ind w:left="100" w:right="161"/>
              <w:jc w:val="both"/>
              <w:rPr>
                <w:rFonts w:ascii="Times New Roman" w:eastAsia="Calibri" w:hAnsi="Times New Roman" w:cs="Times New Roman"/>
                <w:sz w:val="24"/>
                <w:szCs w:val="24"/>
              </w:rPr>
            </w:pPr>
          </w:p>
          <w:p w14:paraId="1E5B962D" w14:textId="16080F07" w:rsidR="00556C1B" w:rsidRPr="00A7675C" w:rsidRDefault="00B45B52" w:rsidP="00556C1B">
            <w:pPr>
              <w:spacing w:after="0" w:line="240" w:lineRule="auto"/>
              <w:ind w:left="100" w:right="161"/>
              <w:jc w:val="both"/>
              <w:rPr>
                <w:rFonts w:ascii="Times New Roman" w:eastAsia="Calibri" w:hAnsi="Times New Roman" w:cs="Times New Roman"/>
                <w:sz w:val="24"/>
                <w:szCs w:val="24"/>
              </w:rPr>
            </w:pPr>
            <w:r w:rsidRPr="00A7675C">
              <w:rPr>
                <w:rFonts w:ascii="Times New Roman" w:eastAsia="Calibri" w:hAnsi="Times New Roman" w:cs="Times New Roman"/>
                <w:sz w:val="24"/>
                <w:szCs w:val="24"/>
              </w:rPr>
              <w:t>I</w:t>
            </w:r>
            <w:r w:rsidR="00556C1B" w:rsidRPr="00A7675C">
              <w:rPr>
                <w:rFonts w:ascii="Times New Roman" w:eastAsia="Calibri" w:hAnsi="Times New Roman" w:cs="Times New Roman"/>
                <w:sz w:val="24"/>
                <w:szCs w:val="24"/>
              </w:rPr>
              <w:t xml:space="preserve">eviešot </w:t>
            </w:r>
            <w:r w:rsidR="001D55F6" w:rsidRPr="00A7675C">
              <w:rPr>
                <w:rFonts w:ascii="Times New Roman" w:eastAsia="Times New Roman" w:hAnsi="Times New Roman" w:cs="Times New Roman"/>
                <w:color w:val="000000"/>
                <w:sz w:val="24"/>
                <w:szCs w:val="24"/>
              </w:rPr>
              <w:t>PVN apgriezto maksāšanas kārtību</w:t>
            </w:r>
            <w:r w:rsidRPr="00A7675C">
              <w:rPr>
                <w:rFonts w:ascii="Times New Roman" w:eastAsia="Calibri" w:hAnsi="Times New Roman" w:cs="Times New Roman"/>
                <w:sz w:val="24"/>
                <w:szCs w:val="24"/>
              </w:rPr>
              <w:t>, dalībvalstij</w:t>
            </w:r>
            <w:r w:rsidR="00556C1B" w:rsidRPr="00A7675C">
              <w:rPr>
                <w:rFonts w:ascii="Times New Roman" w:eastAsia="Calibri" w:hAnsi="Times New Roman" w:cs="Times New Roman"/>
                <w:sz w:val="24"/>
                <w:szCs w:val="24"/>
              </w:rPr>
              <w:t xml:space="preserve"> ir pienākums informēt </w:t>
            </w:r>
            <w:r w:rsidR="00EE60F2" w:rsidRPr="00A7675C">
              <w:rPr>
                <w:rFonts w:ascii="Times New Roman" w:eastAsia="Calibri" w:hAnsi="Times New Roman" w:cs="Times New Roman"/>
                <w:sz w:val="24"/>
                <w:szCs w:val="24"/>
              </w:rPr>
              <w:t>p</w:t>
            </w:r>
            <w:r w:rsidR="00556C1B" w:rsidRPr="00A7675C">
              <w:rPr>
                <w:rFonts w:ascii="Times New Roman" w:eastAsia="Calibri" w:hAnsi="Times New Roman" w:cs="Times New Roman"/>
                <w:sz w:val="24"/>
                <w:szCs w:val="24"/>
              </w:rPr>
              <w:t>adomdevēj</w:t>
            </w:r>
            <w:r w:rsidR="00EE60F2" w:rsidRPr="00A7675C">
              <w:rPr>
                <w:rFonts w:ascii="Times New Roman" w:eastAsia="Calibri" w:hAnsi="Times New Roman" w:cs="Times New Roman"/>
                <w:sz w:val="24"/>
                <w:szCs w:val="24"/>
              </w:rPr>
              <w:t>a</w:t>
            </w:r>
            <w:r w:rsidR="00556C1B" w:rsidRPr="00A7675C">
              <w:rPr>
                <w:rFonts w:ascii="Times New Roman" w:eastAsia="Calibri" w:hAnsi="Times New Roman" w:cs="Times New Roman"/>
                <w:sz w:val="24"/>
                <w:szCs w:val="24"/>
              </w:rPr>
              <w:t xml:space="preserve"> komiteju </w:t>
            </w:r>
            <w:r w:rsidR="00EE60F2" w:rsidRPr="00A7675C">
              <w:rPr>
                <w:rFonts w:ascii="Times New Roman" w:eastAsia="Calibri" w:hAnsi="Times New Roman" w:cs="Times New Roman"/>
                <w:sz w:val="24"/>
                <w:szCs w:val="24"/>
              </w:rPr>
              <w:t>PVN</w:t>
            </w:r>
            <w:r w:rsidR="00556C1B" w:rsidRPr="00A7675C">
              <w:rPr>
                <w:rFonts w:ascii="Times New Roman" w:eastAsia="Calibri" w:hAnsi="Times New Roman" w:cs="Times New Roman"/>
                <w:sz w:val="24"/>
                <w:szCs w:val="24"/>
              </w:rPr>
              <w:t xml:space="preserve"> jautājumos </w:t>
            </w:r>
            <w:r w:rsidR="00CF070C" w:rsidRPr="00A7675C">
              <w:rPr>
                <w:rFonts w:ascii="Times New Roman" w:eastAsia="Calibri" w:hAnsi="Times New Roman" w:cs="Times New Roman"/>
                <w:sz w:val="24"/>
                <w:szCs w:val="24"/>
              </w:rPr>
              <w:t xml:space="preserve">(tā saukto PVN komitēju) </w:t>
            </w:r>
            <w:r w:rsidR="00556C1B" w:rsidRPr="00A7675C">
              <w:rPr>
                <w:rFonts w:ascii="Times New Roman" w:eastAsia="Calibri" w:hAnsi="Times New Roman" w:cs="Times New Roman"/>
                <w:sz w:val="24"/>
                <w:szCs w:val="24"/>
              </w:rPr>
              <w:t>par PVN apgrieztās maksāšanas kārtības piemērošanu, aprakstot kārtības darbības jomu, krāpšanās veidus un iezīmes, veicamos saistītos kontroles pasākumus, kā arī vērtēšanas kritērijus, kas ļauj salīdzināt krāpšanās apjomu pirms un pēc sistēmas ieviešanas. Tāpat da</w:t>
            </w:r>
            <w:r w:rsidR="00FE5A39" w:rsidRPr="00A7675C">
              <w:rPr>
                <w:rFonts w:ascii="Times New Roman" w:eastAsia="Calibri" w:hAnsi="Times New Roman" w:cs="Times New Roman"/>
                <w:sz w:val="24"/>
                <w:szCs w:val="24"/>
              </w:rPr>
              <w:t>lībvalstij, kas saskaņā ar PVN d</w:t>
            </w:r>
            <w:r w:rsidR="00556C1B" w:rsidRPr="00A7675C">
              <w:rPr>
                <w:rFonts w:ascii="Times New Roman" w:eastAsia="Calibri" w:hAnsi="Times New Roman" w:cs="Times New Roman"/>
                <w:sz w:val="24"/>
                <w:szCs w:val="24"/>
              </w:rPr>
              <w:t xml:space="preserve">irektīvas 199.a pantu ievieš </w:t>
            </w:r>
            <w:r w:rsidR="004A4B6A" w:rsidRPr="00A7675C">
              <w:rPr>
                <w:rFonts w:ascii="Times New Roman" w:eastAsia="Calibri" w:hAnsi="Times New Roman" w:cs="Times New Roman"/>
                <w:sz w:val="24"/>
                <w:szCs w:val="24"/>
              </w:rPr>
              <w:t xml:space="preserve">īpašu </w:t>
            </w:r>
            <w:r w:rsidR="00556C1B" w:rsidRPr="00A7675C">
              <w:rPr>
                <w:rFonts w:ascii="Times New Roman" w:eastAsia="Calibri" w:hAnsi="Times New Roman" w:cs="Times New Roman"/>
                <w:sz w:val="24"/>
                <w:szCs w:val="24"/>
              </w:rPr>
              <w:t xml:space="preserve">PVN </w:t>
            </w:r>
            <w:r w:rsidR="004A4B6A" w:rsidRPr="00A7675C">
              <w:rPr>
                <w:rFonts w:ascii="Times New Roman" w:eastAsia="Calibri" w:hAnsi="Times New Roman" w:cs="Times New Roman"/>
                <w:sz w:val="24"/>
                <w:szCs w:val="24"/>
              </w:rPr>
              <w:t>piemērošanas režīmu</w:t>
            </w:r>
            <w:r w:rsidR="00556C1B" w:rsidRPr="00A7675C">
              <w:rPr>
                <w:rFonts w:ascii="Times New Roman" w:eastAsia="Calibri" w:hAnsi="Times New Roman" w:cs="Times New Roman"/>
                <w:sz w:val="24"/>
                <w:szCs w:val="24"/>
              </w:rPr>
              <w:t>, līdz 2017.gada 30.jūnijam Eiropas Komisijai ir jāiesniedz ziņojums, kurā detalizēti novērtē ieviestās kārtības efektivitāti un lietderību.</w:t>
            </w:r>
          </w:p>
          <w:p w14:paraId="79EE1908" w14:textId="6314B53E" w:rsidR="005C1FB7" w:rsidRPr="00A7675C" w:rsidRDefault="00B4238C" w:rsidP="000A38B5">
            <w:pPr>
              <w:pStyle w:val="NoSpacing"/>
              <w:numPr>
                <w:ilvl w:val="0"/>
                <w:numId w:val="4"/>
              </w:numPr>
              <w:tabs>
                <w:tab w:val="left" w:pos="383"/>
              </w:tabs>
              <w:ind w:left="100" w:right="161" w:hanging="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Tā kā </w:t>
            </w:r>
            <w:bookmarkStart w:id="0" w:name="_GoBack"/>
            <w:bookmarkEnd w:id="0"/>
            <w:r w:rsidR="005C1FB7" w:rsidRPr="00A7675C">
              <w:rPr>
                <w:rFonts w:ascii="Times New Roman" w:hAnsi="Times New Roman" w:cs="Times New Roman"/>
                <w:sz w:val="24"/>
                <w:szCs w:val="24"/>
                <w:lang w:eastAsia="en-US"/>
              </w:rPr>
              <w:t>mazinās riski attiecībā uz pārmaksātā PVN summas atmaksu</w:t>
            </w:r>
            <w:r>
              <w:rPr>
                <w:rFonts w:ascii="Times New Roman" w:hAnsi="Times New Roman" w:cs="Times New Roman"/>
                <w:sz w:val="24"/>
                <w:szCs w:val="24"/>
                <w:lang w:eastAsia="en-US"/>
              </w:rPr>
              <w:t xml:space="preserve"> graudaugu nozarē</w:t>
            </w:r>
            <w:r w:rsidR="005C1FB7" w:rsidRPr="00A7675C">
              <w:rPr>
                <w:rFonts w:ascii="Times New Roman" w:hAnsi="Times New Roman" w:cs="Times New Roman"/>
                <w:sz w:val="24"/>
                <w:szCs w:val="24"/>
                <w:lang w:eastAsia="en-US"/>
              </w:rPr>
              <w:t xml:space="preserve">, ja tiek piemērota PVN apgrieztā maksāšanas kārtība, tad ir konstatēts, ka varētu samazināt </w:t>
            </w:r>
            <w:r w:rsidR="000A38B5" w:rsidRPr="00A7675C">
              <w:rPr>
                <w:rFonts w:ascii="Times New Roman" w:hAnsi="Times New Roman" w:cs="Times New Roman"/>
                <w:sz w:val="24"/>
                <w:szCs w:val="24"/>
                <w:lang w:eastAsia="en-US"/>
              </w:rPr>
              <w:t xml:space="preserve">slieksni, uz ko attiecas </w:t>
            </w:r>
            <w:r w:rsidR="005C1FB7" w:rsidRPr="00A7675C">
              <w:rPr>
                <w:rFonts w:ascii="Times New Roman" w:hAnsi="Times New Roman" w:cs="Times New Roman"/>
                <w:sz w:val="24"/>
                <w:szCs w:val="24"/>
                <w:lang w:eastAsia="en-US"/>
              </w:rPr>
              <w:t>pārmaksātā P</w:t>
            </w:r>
            <w:r w:rsidR="000A38B5" w:rsidRPr="00A7675C">
              <w:rPr>
                <w:rFonts w:ascii="Times New Roman" w:hAnsi="Times New Roman" w:cs="Times New Roman"/>
                <w:sz w:val="24"/>
                <w:szCs w:val="24"/>
                <w:lang w:eastAsia="en-US"/>
              </w:rPr>
              <w:t>VN summas, kura izveidojusies veicot darījumus, kam piemērojama PV</w:t>
            </w:r>
            <w:r w:rsidR="00AC4BE2">
              <w:rPr>
                <w:rFonts w:ascii="Times New Roman" w:hAnsi="Times New Roman" w:cs="Times New Roman"/>
                <w:sz w:val="24"/>
                <w:szCs w:val="24"/>
                <w:lang w:eastAsia="en-US"/>
              </w:rPr>
              <w:t>N apgrieztā maksāšanas kārtība.</w:t>
            </w:r>
          </w:p>
          <w:p w14:paraId="20905396" w14:textId="77777777" w:rsidR="0050259D" w:rsidRPr="00A7675C" w:rsidRDefault="0050259D" w:rsidP="000F4A5C">
            <w:pPr>
              <w:shd w:val="clear" w:color="auto" w:fill="FFFFFF"/>
              <w:spacing w:after="0" w:line="240" w:lineRule="auto"/>
              <w:ind w:right="57"/>
              <w:jc w:val="both"/>
              <w:outlineLvl w:val="2"/>
              <w:rPr>
                <w:rFonts w:ascii="Times New Roman" w:eastAsia="Times New Roman" w:hAnsi="Times New Roman" w:cs="Times New Roman"/>
                <w:bCs/>
                <w:sz w:val="24"/>
                <w:szCs w:val="24"/>
              </w:rPr>
            </w:pPr>
          </w:p>
          <w:p w14:paraId="455A95BE" w14:textId="77777777" w:rsidR="00760969" w:rsidRPr="00A7675C" w:rsidRDefault="00A82C30" w:rsidP="00836F7D">
            <w:pPr>
              <w:spacing w:after="0" w:line="240" w:lineRule="auto"/>
              <w:ind w:left="100"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bCs/>
                <w:sz w:val="24"/>
                <w:szCs w:val="24"/>
              </w:rPr>
              <w:t>Likumprojekta mērķis ir</w:t>
            </w:r>
            <w:r w:rsidRPr="00A7675C">
              <w:rPr>
                <w:rFonts w:ascii="Times New Roman" w:eastAsia="Times New Roman" w:hAnsi="Times New Roman" w:cs="Times New Roman"/>
                <w:sz w:val="24"/>
                <w:szCs w:val="24"/>
              </w:rPr>
              <w:t xml:space="preserve"> mazināt krāpšanos PVN jomā</w:t>
            </w:r>
            <w:r w:rsidR="00836F7D" w:rsidRPr="00A7675C">
              <w:rPr>
                <w:rFonts w:ascii="Times New Roman" w:eastAsia="Times New Roman" w:hAnsi="Times New Roman" w:cs="Times New Roman"/>
                <w:sz w:val="24"/>
                <w:szCs w:val="24"/>
              </w:rPr>
              <w:t xml:space="preserve">. </w:t>
            </w:r>
          </w:p>
          <w:p w14:paraId="7D7F71B2" w14:textId="5D35DE2B" w:rsidR="004B52D2" w:rsidRPr="00A7675C" w:rsidRDefault="00836F7D" w:rsidP="005E532F">
            <w:pPr>
              <w:spacing w:after="0" w:line="240" w:lineRule="auto"/>
              <w:ind w:left="100" w:right="161"/>
              <w:jc w:val="both"/>
              <w:rPr>
                <w:rFonts w:ascii="Times New Roman" w:eastAsia="Times New Roman" w:hAnsi="Times New Roman" w:cs="Times New Roman"/>
                <w:bCs/>
                <w:sz w:val="24"/>
                <w:szCs w:val="24"/>
              </w:rPr>
            </w:pPr>
            <w:r w:rsidRPr="00A7675C">
              <w:rPr>
                <w:rFonts w:ascii="Times New Roman" w:eastAsia="Times New Roman" w:hAnsi="Times New Roman" w:cs="Times New Roman"/>
                <w:sz w:val="24"/>
                <w:szCs w:val="24"/>
              </w:rPr>
              <w:lastRenderedPageBreak/>
              <w:t>Tādējādi grozījumi paredz p</w:t>
            </w:r>
            <w:r w:rsidR="00BE3943" w:rsidRPr="00A7675C">
              <w:rPr>
                <w:rFonts w:ascii="Times New Roman" w:eastAsia="Times New Roman" w:hAnsi="Times New Roman" w:cs="Times New Roman"/>
                <w:bCs/>
                <w:sz w:val="24"/>
                <w:szCs w:val="24"/>
              </w:rPr>
              <w:t>apildināt</w:t>
            </w:r>
            <w:r w:rsidRPr="00A7675C">
              <w:rPr>
                <w:rFonts w:ascii="Times New Roman" w:eastAsia="Times New Roman" w:hAnsi="Times New Roman" w:cs="Times New Roman"/>
                <w:bCs/>
                <w:sz w:val="24"/>
                <w:szCs w:val="24"/>
              </w:rPr>
              <w:t xml:space="preserve"> PVN likumu</w:t>
            </w:r>
            <w:r w:rsidR="00BE3943" w:rsidRPr="00A7675C">
              <w:rPr>
                <w:rFonts w:ascii="Times New Roman" w:eastAsia="Times New Roman" w:hAnsi="Times New Roman" w:cs="Times New Roman"/>
                <w:bCs/>
                <w:sz w:val="24"/>
                <w:szCs w:val="24"/>
              </w:rPr>
              <w:t xml:space="preserve"> </w:t>
            </w:r>
            <w:r w:rsidR="00D62544" w:rsidRPr="00A7675C">
              <w:rPr>
                <w:rFonts w:ascii="Times New Roman" w:eastAsia="Times New Roman" w:hAnsi="Times New Roman" w:cs="Times New Roman"/>
                <w:bCs/>
                <w:sz w:val="24"/>
                <w:szCs w:val="24"/>
              </w:rPr>
              <w:t xml:space="preserve">ar </w:t>
            </w:r>
            <w:r w:rsidR="00B9516C" w:rsidRPr="00A7675C">
              <w:rPr>
                <w:rFonts w:ascii="Times New Roman" w:eastAsia="Calibri" w:hAnsi="Times New Roman" w:cs="Times New Roman"/>
                <w:sz w:val="24"/>
                <w:szCs w:val="24"/>
              </w:rPr>
              <w:t>143</w:t>
            </w:r>
            <w:r w:rsidR="00B9516C" w:rsidRPr="00A7675C">
              <w:rPr>
                <w:rFonts w:ascii="Times New Roman" w:eastAsia="Times New Roman" w:hAnsi="Times New Roman" w:cs="Times New Roman"/>
                <w:bCs/>
                <w:sz w:val="24"/>
                <w:szCs w:val="24"/>
              </w:rPr>
              <w:t>.</w:t>
            </w:r>
            <w:r w:rsidR="00B9516C" w:rsidRPr="00A7675C">
              <w:rPr>
                <w:rFonts w:ascii="Times New Roman" w:eastAsia="Times New Roman" w:hAnsi="Times New Roman" w:cs="Times New Roman"/>
                <w:bCs/>
                <w:sz w:val="24"/>
                <w:szCs w:val="24"/>
                <w:vertAlign w:val="superscript"/>
              </w:rPr>
              <w:t>2</w:t>
            </w:r>
            <w:r w:rsidR="00700AD9" w:rsidRPr="00A7675C">
              <w:rPr>
                <w:rFonts w:ascii="Times New Roman" w:eastAsia="Times New Roman" w:hAnsi="Times New Roman" w:cs="Times New Roman"/>
                <w:bCs/>
                <w:sz w:val="24"/>
                <w:szCs w:val="24"/>
                <w:vertAlign w:val="superscript"/>
              </w:rPr>
              <w:t> </w:t>
            </w:r>
            <w:r w:rsidR="00B9516C" w:rsidRPr="00A7675C">
              <w:rPr>
                <w:rFonts w:ascii="Times New Roman" w:eastAsia="Times New Roman" w:hAnsi="Times New Roman" w:cs="Times New Roman"/>
                <w:bCs/>
                <w:sz w:val="24"/>
                <w:szCs w:val="24"/>
              </w:rPr>
              <w:t xml:space="preserve">pantu, </w:t>
            </w:r>
            <w:r w:rsidR="00B9516C" w:rsidRPr="00A7675C">
              <w:rPr>
                <w:rFonts w:ascii="Times New Roman" w:eastAsia="Times New Roman" w:hAnsi="Times New Roman" w:cs="Times New Roman"/>
                <w:sz w:val="24"/>
                <w:szCs w:val="24"/>
              </w:rPr>
              <w:t>ar kuru ti</w:t>
            </w:r>
            <w:r w:rsidR="00D62544" w:rsidRPr="00A7675C">
              <w:rPr>
                <w:rFonts w:ascii="Times New Roman" w:eastAsia="Times New Roman" w:hAnsi="Times New Roman" w:cs="Times New Roman"/>
                <w:sz w:val="24"/>
                <w:szCs w:val="24"/>
              </w:rPr>
              <w:t>e</w:t>
            </w:r>
            <w:r w:rsidR="00B9516C" w:rsidRPr="00A7675C">
              <w:rPr>
                <w:rFonts w:ascii="Times New Roman" w:eastAsia="Times New Roman" w:hAnsi="Times New Roman" w:cs="Times New Roman"/>
                <w:sz w:val="24"/>
                <w:szCs w:val="24"/>
              </w:rPr>
              <w:t>k ieviest</w:t>
            </w:r>
            <w:r w:rsidR="00700AD9" w:rsidRPr="00A7675C">
              <w:rPr>
                <w:rFonts w:ascii="Times New Roman" w:eastAsia="Times New Roman" w:hAnsi="Times New Roman" w:cs="Times New Roman"/>
                <w:sz w:val="24"/>
                <w:szCs w:val="24"/>
              </w:rPr>
              <w:t>s īpašs</w:t>
            </w:r>
            <w:r w:rsidR="00B9516C" w:rsidRPr="00A7675C">
              <w:rPr>
                <w:rFonts w:ascii="Times New Roman" w:eastAsia="Times New Roman" w:hAnsi="Times New Roman" w:cs="Times New Roman"/>
                <w:sz w:val="24"/>
                <w:szCs w:val="24"/>
              </w:rPr>
              <w:t xml:space="preserve"> PVN </w:t>
            </w:r>
            <w:r w:rsidR="00700AD9" w:rsidRPr="00A7675C">
              <w:rPr>
                <w:rFonts w:ascii="Times New Roman" w:eastAsia="Times New Roman" w:hAnsi="Times New Roman" w:cs="Times New Roman"/>
                <w:sz w:val="24"/>
                <w:szCs w:val="24"/>
              </w:rPr>
              <w:t>piemērošanas režīms</w:t>
            </w:r>
            <w:r w:rsidR="00B9516C" w:rsidRPr="00A7675C">
              <w:rPr>
                <w:rFonts w:ascii="Times New Roman" w:eastAsia="Times New Roman" w:hAnsi="Times New Roman" w:cs="Times New Roman"/>
                <w:sz w:val="24"/>
                <w:szCs w:val="24"/>
              </w:rPr>
              <w:t xml:space="preserve"> </w:t>
            </w:r>
            <w:r w:rsidR="00700AD9" w:rsidRPr="00A7675C">
              <w:rPr>
                <w:rFonts w:ascii="Times New Roman" w:eastAsia="Times New Roman" w:hAnsi="Times New Roman" w:cs="Times New Roman"/>
                <w:sz w:val="24"/>
                <w:szCs w:val="24"/>
              </w:rPr>
              <w:t xml:space="preserve">noteikto </w:t>
            </w:r>
            <w:r w:rsidR="00B9516C" w:rsidRPr="00A7675C">
              <w:rPr>
                <w:rFonts w:ascii="Times New Roman" w:eastAsia="Times New Roman" w:hAnsi="Times New Roman" w:cs="Times New Roman"/>
                <w:sz w:val="24"/>
                <w:szCs w:val="24"/>
              </w:rPr>
              <w:t>graudaugu un tehnisko kultūru</w:t>
            </w:r>
            <w:r w:rsidR="00700AD9" w:rsidRPr="00A7675C">
              <w:rPr>
                <w:rFonts w:ascii="Times New Roman" w:eastAsia="Times New Roman" w:hAnsi="Times New Roman" w:cs="Times New Roman"/>
                <w:sz w:val="24"/>
                <w:szCs w:val="24"/>
              </w:rPr>
              <w:t xml:space="preserve"> (tostarp eļļas augu sēklu), tai skaitā šo preču maisījumiem,</w:t>
            </w:r>
            <w:r w:rsidR="00B45B52" w:rsidRPr="00A7675C">
              <w:rPr>
                <w:rFonts w:ascii="Times New Roman" w:eastAsia="Times New Roman" w:hAnsi="Times New Roman" w:cs="Times New Roman"/>
                <w:sz w:val="24"/>
                <w:szCs w:val="24"/>
              </w:rPr>
              <w:t xml:space="preserve"> ko </w:t>
            </w:r>
            <w:proofErr w:type="spellStart"/>
            <w:r w:rsidR="00B45B52" w:rsidRPr="00A7675C">
              <w:rPr>
                <w:rFonts w:ascii="Times New Roman" w:eastAsia="Times New Roman" w:hAnsi="Times New Roman" w:cs="Times New Roman"/>
                <w:sz w:val="24"/>
                <w:szCs w:val="24"/>
              </w:rPr>
              <w:t>galapatēriņa</w:t>
            </w:r>
            <w:proofErr w:type="spellEnd"/>
            <w:r w:rsidR="00B45B52" w:rsidRPr="00A7675C">
              <w:rPr>
                <w:rFonts w:ascii="Times New Roman" w:eastAsia="Times New Roman" w:hAnsi="Times New Roman" w:cs="Times New Roman"/>
                <w:sz w:val="24"/>
                <w:szCs w:val="24"/>
              </w:rPr>
              <w:t xml:space="preserve"> stadijā neizmanto neizmainītā stāvoklī,</w:t>
            </w:r>
            <w:r w:rsidR="00B9516C" w:rsidRPr="00A7675C">
              <w:rPr>
                <w:rFonts w:ascii="Times New Roman" w:eastAsia="Times New Roman" w:hAnsi="Times New Roman" w:cs="Times New Roman"/>
                <w:sz w:val="24"/>
                <w:szCs w:val="24"/>
              </w:rPr>
              <w:t xml:space="preserve"> piegādēm</w:t>
            </w:r>
            <w:r w:rsidR="004567C1" w:rsidRPr="00A7675C">
              <w:rPr>
                <w:rFonts w:ascii="Times New Roman" w:eastAsia="Times New Roman" w:hAnsi="Times New Roman" w:cs="Times New Roman"/>
                <w:sz w:val="24"/>
                <w:szCs w:val="24"/>
              </w:rPr>
              <w:t>.</w:t>
            </w:r>
            <w:r w:rsidRPr="00A7675C">
              <w:rPr>
                <w:rFonts w:ascii="Times New Roman" w:eastAsia="Times New Roman" w:hAnsi="Times New Roman" w:cs="Times New Roman"/>
                <w:sz w:val="24"/>
                <w:szCs w:val="24"/>
              </w:rPr>
              <w:t xml:space="preserve"> </w:t>
            </w:r>
            <w:r w:rsidR="00760969" w:rsidRPr="00A7675C">
              <w:rPr>
                <w:rFonts w:ascii="Times New Roman" w:eastAsia="Times New Roman" w:hAnsi="Times New Roman" w:cs="Times New Roman"/>
                <w:sz w:val="24"/>
                <w:szCs w:val="24"/>
              </w:rPr>
              <w:t xml:space="preserve">Tāpat tiek samazināts slieksnis, no kura taksācijas gada laikā atmaksā pārmaksāto PVN summu bankas kontā. </w:t>
            </w:r>
            <w:r w:rsidRPr="00A7675C">
              <w:rPr>
                <w:rFonts w:ascii="Times New Roman" w:eastAsia="Times New Roman" w:hAnsi="Times New Roman" w:cs="Times New Roman"/>
                <w:sz w:val="24"/>
                <w:szCs w:val="24"/>
              </w:rPr>
              <w:t>Tiek paredz</w:t>
            </w:r>
            <w:r w:rsidR="00760969" w:rsidRPr="00A7675C">
              <w:rPr>
                <w:rFonts w:ascii="Times New Roman" w:eastAsia="Times New Roman" w:hAnsi="Times New Roman" w:cs="Times New Roman"/>
                <w:sz w:val="24"/>
                <w:szCs w:val="24"/>
              </w:rPr>
              <w:t>ēts, ka</w:t>
            </w:r>
            <w:r w:rsidRPr="00A7675C">
              <w:rPr>
                <w:rFonts w:ascii="Times New Roman" w:eastAsia="Times New Roman" w:hAnsi="Times New Roman" w:cs="Times New Roman"/>
                <w:sz w:val="24"/>
                <w:szCs w:val="24"/>
              </w:rPr>
              <w:t xml:space="preserve"> </w:t>
            </w:r>
            <w:r w:rsidR="004A4140" w:rsidRPr="00A7675C">
              <w:rPr>
                <w:rFonts w:ascii="Times New Roman" w:eastAsia="Times New Roman" w:hAnsi="Times New Roman" w:cs="Times New Roman"/>
                <w:sz w:val="24"/>
                <w:szCs w:val="24"/>
              </w:rPr>
              <w:t>grozījumi</w:t>
            </w:r>
            <w:r w:rsidRPr="00A7675C">
              <w:rPr>
                <w:rFonts w:ascii="Times New Roman" w:eastAsia="Times New Roman" w:hAnsi="Times New Roman" w:cs="Times New Roman"/>
                <w:sz w:val="24"/>
                <w:szCs w:val="24"/>
              </w:rPr>
              <w:t xml:space="preserve"> stājas spēkā 2016.gada 1.jūlijā.</w:t>
            </w:r>
          </w:p>
        </w:tc>
      </w:tr>
      <w:tr w:rsidR="00DA6C86" w:rsidRPr="00A7675C" w14:paraId="45248477" w14:textId="77777777" w:rsidTr="008E1F3D">
        <w:trPr>
          <w:trHeight w:val="476"/>
        </w:trPr>
        <w:tc>
          <w:tcPr>
            <w:tcW w:w="224" w:type="pct"/>
          </w:tcPr>
          <w:p w14:paraId="47D08BAC" w14:textId="3E433CB8" w:rsidR="00DA6C86" w:rsidRPr="00A7675C" w:rsidRDefault="00DA6C86" w:rsidP="00176CB2">
            <w:pPr>
              <w:pStyle w:val="naiskr"/>
              <w:spacing w:before="0" w:beforeAutospacing="0" w:after="0" w:afterAutospacing="0"/>
              <w:ind w:right="57"/>
              <w:jc w:val="center"/>
            </w:pPr>
            <w:r w:rsidRPr="00A7675C">
              <w:lastRenderedPageBreak/>
              <w:t>3.</w:t>
            </w:r>
          </w:p>
        </w:tc>
        <w:tc>
          <w:tcPr>
            <w:tcW w:w="1810" w:type="pct"/>
          </w:tcPr>
          <w:p w14:paraId="268B2326" w14:textId="77777777" w:rsidR="00DA6C86" w:rsidRPr="00A7675C" w:rsidRDefault="00DA6C86" w:rsidP="005E532F">
            <w:pPr>
              <w:pStyle w:val="naiskr"/>
              <w:spacing w:before="0" w:beforeAutospacing="0" w:after="0" w:afterAutospacing="0"/>
              <w:ind w:left="57" w:right="57"/>
            </w:pPr>
            <w:r w:rsidRPr="00A7675C">
              <w:t>Projekta izstrādē iesaistītās institūcijas</w:t>
            </w:r>
          </w:p>
        </w:tc>
        <w:tc>
          <w:tcPr>
            <w:tcW w:w="2966" w:type="pct"/>
          </w:tcPr>
          <w:p w14:paraId="42D01E3B" w14:textId="09907DB0" w:rsidR="006036EF" w:rsidRPr="00A7675C" w:rsidRDefault="008B26DA" w:rsidP="005E532F">
            <w:pPr>
              <w:spacing w:after="0" w:line="240" w:lineRule="auto"/>
              <w:ind w:left="57" w:right="57"/>
              <w:jc w:val="both"/>
              <w:rPr>
                <w:rFonts w:ascii="Times New Roman" w:hAnsi="Times New Roman" w:cs="Times New Roman"/>
                <w:sz w:val="24"/>
                <w:szCs w:val="24"/>
              </w:rPr>
            </w:pPr>
            <w:r w:rsidRPr="00A7675C">
              <w:rPr>
                <w:rFonts w:ascii="Times New Roman" w:hAnsi="Times New Roman" w:cs="Times New Roman"/>
                <w:sz w:val="24"/>
                <w:szCs w:val="24"/>
              </w:rPr>
              <w:t>Projekta izstrādē ir iesaistīts</w:t>
            </w:r>
            <w:r w:rsidR="00FA6FE9" w:rsidRPr="00A7675C">
              <w:rPr>
                <w:rFonts w:ascii="Times New Roman" w:hAnsi="Times New Roman" w:cs="Times New Roman"/>
                <w:sz w:val="24"/>
                <w:szCs w:val="24"/>
              </w:rPr>
              <w:t xml:space="preserve"> Valsts ieņēmumu dienests (turpmāk –</w:t>
            </w:r>
            <w:r w:rsidRPr="00A7675C">
              <w:rPr>
                <w:rFonts w:ascii="Times New Roman" w:hAnsi="Times New Roman" w:cs="Times New Roman"/>
                <w:sz w:val="24"/>
                <w:szCs w:val="24"/>
              </w:rPr>
              <w:t xml:space="preserve"> </w:t>
            </w:r>
            <w:r w:rsidR="00EB03A5" w:rsidRPr="00A7675C">
              <w:rPr>
                <w:rFonts w:ascii="Times New Roman" w:hAnsi="Times New Roman" w:cs="Times New Roman"/>
                <w:sz w:val="24"/>
                <w:szCs w:val="24"/>
              </w:rPr>
              <w:t>VID</w:t>
            </w:r>
            <w:r w:rsidR="00FA6FE9" w:rsidRPr="00A7675C">
              <w:rPr>
                <w:rFonts w:ascii="Times New Roman" w:hAnsi="Times New Roman" w:cs="Times New Roman"/>
                <w:sz w:val="24"/>
                <w:szCs w:val="24"/>
              </w:rPr>
              <w:t>)</w:t>
            </w:r>
            <w:r w:rsidR="005409BA" w:rsidRPr="00A7675C">
              <w:rPr>
                <w:rFonts w:ascii="Times New Roman" w:hAnsi="Times New Roman" w:cs="Times New Roman"/>
                <w:sz w:val="24"/>
                <w:szCs w:val="24"/>
              </w:rPr>
              <w:t xml:space="preserve"> un Zemkopības ministrija</w:t>
            </w:r>
          </w:p>
        </w:tc>
      </w:tr>
      <w:tr w:rsidR="00DA6C86" w:rsidRPr="00A7675C" w14:paraId="681DCF3A" w14:textId="77777777" w:rsidTr="002546D2">
        <w:trPr>
          <w:trHeight w:val="581"/>
        </w:trPr>
        <w:tc>
          <w:tcPr>
            <w:tcW w:w="224" w:type="pct"/>
          </w:tcPr>
          <w:p w14:paraId="24FAAA90" w14:textId="72B5B54E" w:rsidR="00DA6C86" w:rsidRPr="00A7675C" w:rsidRDefault="00DA6C86" w:rsidP="005E532F">
            <w:pPr>
              <w:pStyle w:val="naiskr"/>
              <w:spacing w:before="0" w:beforeAutospacing="0" w:after="0" w:afterAutospacing="0"/>
              <w:ind w:right="57"/>
              <w:jc w:val="center"/>
            </w:pPr>
            <w:r w:rsidRPr="00A7675C">
              <w:t>4.</w:t>
            </w:r>
          </w:p>
        </w:tc>
        <w:tc>
          <w:tcPr>
            <w:tcW w:w="1810" w:type="pct"/>
          </w:tcPr>
          <w:p w14:paraId="3F6E2E47" w14:textId="77777777" w:rsidR="00DA6C86" w:rsidRPr="00A7675C" w:rsidRDefault="00DA6C86" w:rsidP="005E532F">
            <w:pPr>
              <w:pStyle w:val="naiskr"/>
              <w:spacing w:before="0" w:beforeAutospacing="0" w:after="0" w:afterAutospacing="0"/>
              <w:ind w:left="57" w:right="57"/>
            </w:pPr>
            <w:r w:rsidRPr="00A7675C">
              <w:t>Cita informācija</w:t>
            </w:r>
          </w:p>
        </w:tc>
        <w:tc>
          <w:tcPr>
            <w:tcW w:w="2966" w:type="pct"/>
          </w:tcPr>
          <w:p w14:paraId="00F23D14" w14:textId="2C62C3CC" w:rsidR="00500067" w:rsidRPr="00A7675C" w:rsidRDefault="002546D2" w:rsidP="005E532F">
            <w:pPr>
              <w:spacing w:after="0" w:line="240" w:lineRule="auto"/>
              <w:ind w:left="57" w:right="57"/>
              <w:jc w:val="both"/>
              <w:rPr>
                <w:sz w:val="24"/>
                <w:szCs w:val="24"/>
              </w:rPr>
            </w:pPr>
            <w:r w:rsidRPr="00A7675C">
              <w:rPr>
                <w:rFonts w:ascii="Times New Roman" w:hAnsi="Times New Roman" w:cs="Times New Roman"/>
                <w:sz w:val="24"/>
                <w:szCs w:val="24"/>
              </w:rPr>
              <w:t>Nav</w:t>
            </w:r>
          </w:p>
        </w:tc>
      </w:tr>
    </w:tbl>
    <w:p w14:paraId="5AA3CF4B" w14:textId="77777777" w:rsidR="00BE3ED6" w:rsidRPr="00A7675C" w:rsidRDefault="00BE3ED6">
      <w:pPr>
        <w:rPr>
          <w:sz w:val="24"/>
          <w:szCs w:val="24"/>
        </w:rPr>
      </w:pPr>
    </w:p>
    <w:tbl>
      <w:tblPr>
        <w:tblStyle w:val="TableGrid"/>
        <w:tblW w:w="8789" w:type="dxa"/>
        <w:tblInd w:w="-122" w:type="dxa"/>
        <w:tblLook w:val="04A0" w:firstRow="1" w:lastRow="0" w:firstColumn="1" w:lastColumn="0" w:noHBand="0" w:noVBand="1"/>
      </w:tblPr>
      <w:tblGrid>
        <w:gridCol w:w="432"/>
        <w:gridCol w:w="3402"/>
        <w:gridCol w:w="4955"/>
      </w:tblGrid>
      <w:tr w:rsidR="00900304" w:rsidRPr="00A7675C" w14:paraId="6006F176" w14:textId="77777777" w:rsidTr="00A9511E">
        <w:trPr>
          <w:trHeight w:val="632"/>
        </w:trPr>
        <w:tc>
          <w:tcPr>
            <w:tcW w:w="8789" w:type="dxa"/>
            <w:gridSpan w:val="3"/>
          </w:tcPr>
          <w:p w14:paraId="595452C7" w14:textId="77777777" w:rsidR="00900304" w:rsidRPr="00A7675C" w:rsidRDefault="00900304" w:rsidP="00C171CB">
            <w:pPr>
              <w:ind w:right="57"/>
              <w:jc w:val="center"/>
              <w:rPr>
                <w:rFonts w:ascii="Times New Roman" w:eastAsia="Times New Roman" w:hAnsi="Times New Roman" w:cs="Times New Roman"/>
                <w:b/>
                <w:sz w:val="24"/>
                <w:szCs w:val="24"/>
              </w:rPr>
            </w:pPr>
            <w:r w:rsidRPr="00A7675C">
              <w:rPr>
                <w:rFonts w:ascii="Times New Roman" w:eastAsia="Times New Roman" w:hAnsi="Times New Roman" w:cs="Times New Roman"/>
                <w:b/>
                <w:sz w:val="24"/>
                <w:szCs w:val="24"/>
              </w:rPr>
              <w:t>II. Tiesību akta projekta ietekme uz sabiedrību, tautsaimniecības attīstību</w:t>
            </w:r>
          </w:p>
          <w:p w14:paraId="12F870AA" w14:textId="77777777" w:rsidR="00900304" w:rsidRPr="00A7675C" w:rsidRDefault="00900304" w:rsidP="00C171CB">
            <w:pPr>
              <w:jc w:val="center"/>
              <w:rPr>
                <w:rFonts w:ascii="Times New Roman" w:hAnsi="Times New Roman" w:cs="Times New Roman"/>
                <w:sz w:val="24"/>
                <w:szCs w:val="24"/>
              </w:rPr>
            </w:pPr>
            <w:r w:rsidRPr="00A7675C">
              <w:rPr>
                <w:rFonts w:ascii="Times New Roman" w:eastAsia="Times New Roman" w:hAnsi="Times New Roman" w:cs="Times New Roman"/>
                <w:b/>
                <w:sz w:val="24"/>
                <w:szCs w:val="24"/>
              </w:rPr>
              <w:t>un administratīvo slogu</w:t>
            </w:r>
          </w:p>
        </w:tc>
      </w:tr>
      <w:tr w:rsidR="00F56EA8" w:rsidRPr="00A7675C" w14:paraId="4139A355" w14:textId="77777777" w:rsidTr="00A9511E">
        <w:tc>
          <w:tcPr>
            <w:tcW w:w="432" w:type="dxa"/>
          </w:tcPr>
          <w:p w14:paraId="056A358E" w14:textId="77777777" w:rsidR="00F56EA8" w:rsidRPr="00A7675C" w:rsidRDefault="00F56EA8" w:rsidP="00F56EA8">
            <w:pPr>
              <w:rPr>
                <w:rFonts w:ascii="Times New Roman" w:hAnsi="Times New Roman" w:cs="Times New Roman"/>
                <w:sz w:val="24"/>
                <w:szCs w:val="24"/>
              </w:rPr>
            </w:pPr>
            <w:r w:rsidRPr="00A7675C">
              <w:rPr>
                <w:rFonts w:ascii="Times New Roman" w:eastAsia="Times New Roman" w:hAnsi="Times New Roman" w:cs="Times New Roman"/>
                <w:sz w:val="24"/>
                <w:szCs w:val="24"/>
              </w:rPr>
              <w:t>1.</w:t>
            </w:r>
          </w:p>
        </w:tc>
        <w:tc>
          <w:tcPr>
            <w:tcW w:w="3402" w:type="dxa"/>
          </w:tcPr>
          <w:p w14:paraId="56953B76" w14:textId="77777777" w:rsidR="00F56EA8" w:rsidRPr="00A7675C" w:rsidRDefault="00F56EA8" w:rsidP="00F56EA8">
            <w:pPr>
              <w:rPr>
                <w:rFonts w:ascii="Times New Roman" w:hAnsi="Times New Roman" w:cs="Times New Roman"/>
                <w:sz w:val="24"/>
                <w:szCs w:val="24"/>
              </w:rPr>
            </w:pPr>
            <w:r w:rsidRPr="00A7675C">
              <w:rPr>
                <w:rFonts w:ascii="Times New Roman" w:eastAsia="Times New Roman" w:hAnsi="Times New Roman" w:cs="Times New Roman"/>
                <w:sz w:val="24"/>
                <w:szCs w:val="24"/>
              </w:rPr>
              <w:t xml:space="preserve">Sabiedrības </w:t>
            </w:r>
            <w:proofErr w:type="spellStart"/>
            <w:r w:rsidRPr="00A7675C">
              <w:rPr>
                <w:rFonts w:ascii="Times New Roman" w:eastAsia="Times New Roman" w:hAnsi="Times New Roman" w:cs="Times New Roman"/>
                <w:sz w:val="24"/>
                <w:szCs w:val="24"/>
              </w:rPr>
              <w:t>mērķgrupas</w:t>
            </w:r>
            <w:proofErr w:type="spellEnd"/>
            <w:r w:rsidRPr="00A7675C">
              <w:rPr>
                <w:rFonts w:ascii="Times New Roman" w:eastAsia="Times New Roman" w:hAnsi="Times New Roman" w:cs="Times New Roman"/>
                <w:sz w:val="24"/>
                <w:szCs w:val="24"/>
              </w:rPr>
              <w:t>, kuras tiesiskais regulējums ietekmē vai varētu ietekmēt</w:t>
            </w:r>
          </w:p>
        </w:tc>
        <w:tc>
          <w:tcPr>
            <w:tcW w:w="4955" w:type="dxa"/>
          </w:tcPr>
          <w:p w14:paraId="1CE8A476" w14:textId="47C85B81" w:rsidR="00EB03A5" w:rsidRPr="00A7675C" w:rsidRDefault="00EB03A5" w:rsidP="00700AD9">
            <w:pPr>
              <w:spacing w:line="276" w:lineRule="auto"/>
              <w:ind w:left="23" w:right="57"/>
              <w:jc w:val="both"/>
              <w:rPr>
                <w:rFonts w:ascii="Times New Roman" w:hAnsi="Times New Roman" w:cs="Times New Roman"/>
                <w:sz w:val="24"/>
                <w:szCs w:val="24"/>
              </w:rPr>
            </w:pPr>
            <w:r w:rsidRPr="00A7675C">
              <w:rPr>
                <w:rFonts w:ascii="Times New Roman" w:hAnsi="Times New Roman" w:cs="Times New Roman"/>
                <w:sz w:val="24"/>
                <w:szCs w:val="24"/>
              </w:rPr>
              <w:t>Likumprojekta tiesiskais regulējums skar:</w:t>
            </w:r>
          </w:p>
          <w:p w14:paraId="0DFCAE9E" w14:textId="3537D66F" w:rsidR="005A0C20" w:rsidRPr="00A7675C" w:rsidRDefault="005A0C20" w:rsidP="00C1727C">
            <w:pPr>
              <w:pStyle w:val="ListParagraph"/>
              <w:numPr>
                <w:ilvl w:val="0"/>
                <w:numId w:val="2"/>
              </w:numPr>
              <w:ind w:left="3" w:right="57" w:firstLine="20"/>
              <w:jc w:val="both"/>
              <w:rPr>
                <w:rFonts w:ascii="Times New Roman" w:hAnsi="Times New Roman" w:cs="Times New Roman"/>
                <w:sz w:val="24"/>
                <w:szCs w:val="24"/>
              </w:rPr>
            </w:pPr>
            <w:r w:rsidRPr="00A7675C">
              <w:rPr>
                <w:rFonts w:ascii="Times New Roman" w:hAnsi="Times New Roman" w:cs="Times New Roman"/>
                <w:sz w:val="24"/>
                <w:szCs w:val="24"/>
              </w:rPr>
              <w:t>reģistrētu</w:t>
            </w:r>
            <w:r w:rsidR="00700AD9" w:rsidRPr="00A7675C">
              <w:rPr>
                <w:rFonts w:ascii="Times New Roman" w:hAnsi="Times New Roman" w:cs="Times New Roman"/>
                <w:sz w:val="24"/>
                <w:szCs w:val="24"/>
              </w:rPr>
              <w:t>s</w:t>
            </w:r>
            <w:r w:rsidRPr="00A7675C">
              <w:rPr>
                <w:rFonts w:ascii="Times New Roman" w:hAnsi="Times New Roman" w:cs="Times New Roman"/>
                <w:sz w:val="24"/>
                <w:szCs w:val="24"/>
              </w:rPr>
              <w:t xml:space="preserve"> PVN maksātāju</w:t>
            </w:r>
            <w:r w:rsidR="00700AD9" w:rsidRPr="00A7675C">
              <w:rPr>
                <w:rFonts w:ascii="Times New Roman" w:hAnsi="Times New Roman" w:cs="Times New Roman"/>
                <w:sz w:val="24"/>
                <w:szCs w:val="24"/>
              </w:rPr>
              <w:t>s</w:t>
            </w:r>
            <w:r w:rsidR="00075663" w:rsidRPr="00A7675C">
              <w:rPr>
                <w:rFonts w:ascii="Times New Roman" w:hAnsi="Times New Roman" w:cs="Times New Roman"/>
                <w:sz w:val="24"/>
                <w:szCs w:val="24"/>
              </w:rPr>
              <w:t xml:space="preserve">, kam jāpiemēro </w:t>
            </w:r>
            <w:r w:rsidR="00075663" w:rsidRPr="00A7675C">
              <w:rPr>
                <w:rFonts w:ascii="Times New Roman" w:hAnsi="Times New Roman" w:cs="Times New Roman"/>
                <w:sz w:val="24"/>
                <w:szCs w:val="24"/>
                <w:lang w:eastAsia="en-US"/>
              </w:rPr>
              <w:t>PVN apgrieztā maksāšanas kārtība</w:t>
            </w:r>
            <w:r w:rsidRPr="00A7675C">
              <w:rPr>
                <w:rFonts w:ascii="Times New Roman" w:hAnsi="Times New Roman" w:cs="Times New Roman"/>
                <w:sz w:val="24"/>
                <w:szCs w:val="24"/>
              </w:rPr>
              <w:t>;</w:t>
            </w:r>
          </w:p>
          <w:p w14:paraId="7CDCE492" w14:textId="60121743" w:rsidR="00291829" w:rsidRPr="00A7675C" w:rsidRDefault="00A11C90" w:rsidP="005E532F">
            <w:pPr>
              <w:pStyle w:val="ListParagraph"/>
              <w:numPr>
                <w:ilvl w:val="0"/>
                <w:numId w:val="2"/>
              </w:numPr>
              <w:ind w:left="3" w:right="57" w:firstLine="20"/>
              <w:jc w:val="both"/>
              <w:rPr>
                <w:rFonts w:ascii="Times New Roman" w:hAnsi="Times New Roman" w:cs="Times New Roman"/>
                <w:sz w:val="24"/>
                <w:szCs w:val="24"/>
              </w:rPr>
            </w:pPr>
            <w:r w:rsidRPr="00A7675C">
              <w:rPr>
                <w:rFonts w:ascii="Times New Roman" w:hAnsi="Times New Roman" w:cs="Times New Roman"/>
                <w:sz w:val="24"/>
                <w:szCs w:val="24"/>
              </w:rPr>
              <w:t>reģistrētu</w:t>
            </w:r>
            <w:r w:rsidR="00700AD9" w:rsidRPr="00A7675C">
              <w:rPr>
                <w:rFonts w:ascii="Times New Roman" w:hAnsi="Times New Roman" w:cs="Times New Roman"/>
                <w:sz w:val="24"/>
                <w:szCs w:val="24"/>
              </w:rPr>
              <w:t>s</w:t>
            </w:r>
            <w:r w:rsidRPr="00A7675C">
              <w:rPr>
                <w:rFonts w:ascii="Times New Roman" w:hAnsi="Times New Roman" w:cs="Times New Roman"/>
                <w:sz w:val="24"/>
                <w:szCs w:val="24"/>
              </w:rPr>
              <w:t xml:space="preserve"> PVN maksātāju</w:t>
            </w:r>
            <w:r w:rsidR="00700AD9" w:rsidRPr="00A7675C">
              <w:rPr>
                <w:rFonts w:ascii="Times New Roman" w:hAnsi="Times New Roman" w:cs="Times New Roman"/>
                <w:sz w:val="24"/>
                <w:szCs w:val="24"/>
              </w:rPr>
              <w:t>s</w:t>
            </w:r>
            <w:r w:rsidR="0049379D" w:rsidRPr="00A7675C">
              <w:rPr>
                <w:rFonts w:ascii="Times New Roman" w:hAnsi="Times New Roman" w:cs="Times New Roman"/>
                <w:sz w:val="24"/>
                <w:szCs w:val="24"/>
              </w:rPr>
              <w:t>, kas piegādā</w:t>
            </w:r>
            <w:r w:rsidR="00415348" w:rsidRPr="00A7675C">
              <w:rPr>
                <w:rFonts w:ascii="Times New Roman" w:hAnsi="Times New Roman" w:cs="Times New Roman"/>
                <w:sz w:val="24"/>
                <w:szCs w:val="24"/>
              </w:rPr>
              <w:t xml:space="preserve"> vai saņem</w:t>
            </w:r>
            <w:r w:rsidR="0049379D" w:rsidRPr="00A7675C">
              <w:rPr>
                <w:rFonts w:ascii="Times New Roman" w:hAnsi="Times New Roman" w:cs="Times New Roman"/>
                <w:sz w:val="24"/>
                <w:szCs w:val="24"/>
              </w:rPr>
              <w:t xml:space="preserve"> </w:t>
            </w:r>
            <w:r w:rsidR="00C74BA6" w:rsidRPr="00A7675C">
              <w:rPr>
                <w:rFonts w:ascii="Times New Roman" w:eastAsia="Times New Roman" w:hAnsi="Times New Roman" w:cs="Times New Roman"/>
                <w:sz w:val="24"/>
                <w:szCs w:val="24"/>
              </w:rPr>
              <w:t>noteiktos graudaugus un tehniskās kultūras (tostarp eļļas augu sēklu), tai skaitā šo preču maisījumus</w:t>
            </w:r>
            <w:r w:rsidR="00415348" w:rsidRPr="00A7675C">
              <w:rPr>
                <w:rFonts w:ascii="Times New Roman" w:eastAsia="Times New Roman" w:hAnsi="Times New Roman" w:cs="Times New Roman"/>
                <w:sz w:val="24"/>
                <w:szCs w:val="24"/>
                <w:lang w:eastAsia="en-US"/>
              </w:rPr>
              <w:t>.</w:t>
            </w:r>
          </w:p>
        </w:tc>
      </w:tr>
      <w:tr w:rsidR="00F56EA8" w:rsidRPr="00A7675C" w14:paraId="778DD0C3" w14:textId="77777777" w:rsidTr="00A9511E">
        <w:tc>
          <w:tcPr>
            <w:tcW w:w="432" w:type="dxa"/>
          </w:tcPr>
          <w:p w14:paraId="5B3BDC1A" w14:textId="31C3898A" w:rsidR="00F56EA8" w:rsidRPr="00A7675C" w:rsidRDefault="00F56EA8" w:rsidP="00F56EA8">
            <w:pPr>
              <w:rPr>
                <w:rFonts w:ascii="Times New Roman" w:hAnsi="Times New Roman" w:cs="Times New Roman"/>
                <w:sz w:val="24"/>
                <w:szCs w:val="24"/>
              </w:rPr>
            </w:pPr>
            <w:r w:rsidRPr="00A7675C">
              <w:rPr>
                <w:rFonts w:ascii="Times New Roman" w:eastAsia="Times New Roman" w:hAnsi="Times New Roman" w:cs="Times New Roman"/>
                <w:sz w:val="24"/>
                <w:szCs w:val="24"/>
              </w:rPr>
              <w:t>2.</w:t>
            </w:r>
          </w:p>
        </w:tc>
        <w:tc>
          <w:tcPr>
            <w:tcW w:w="3402" w:type="dxa"/>
          </w:tcPr>
          <w:p w14:paraId="2277C4B0" w14:textId="77777777" w:rsidR="00F56EA8" w:rsidRPr="00A7675C" w:rsidRDefault="00F56EA8" w:rsidP="00F56EA8">
            <w:pPr>
              <w:rPr>
                <w:rFonts w:ascii="Times New Roman" w:hAnsi="Times New Roman" w:cs="Times New Roman"/>
                <w:sz w:val="24"/>
                <w:szCs w:val="24"/>
              </w:rPr>
            </w:pPr>
            <w:r w:rsidRPr="00A7675C">
              <w:rPr>
                <w:rFonts w:ascii="Times New Roman" w:eastAsia="Times New Roman" w:hAnsi="Times New Roman" w:cs="Times New Roman"/>
                <w:sz w:val="24"/>
                <w:szCs w:val="24"/>
              </w:rPr>
              <w:t>Tiesiskā regulējuma ietekme uz tautsaimniecību un administratīvo slogu</w:t>
            </w:r>
          </w:p>
        </w:tc>
        <w:tc>
          <w:tcPr>
            <w:tcW w:w="4955" w:type="dxa"/>
          </w:tcPr>
          <w:p w14:paraId="7EF4271F" w14:textId="4FA7E600" w:rsidR="004919AC" w:rsidRPr="00A7675C" w:rsidRDefault="007B3FC3" w:rsidP="006934D6">
            <w:pPr>
              <w:jc w:val="both"/>
              <w:rPr>
                <w:rFonts w:ascii="Times New Roman" w:hAnsi="Times New Roman" w:cs="Times New Roman"/>
                <w:sz w:val="24"/>
                <w:szCs w:val="24"/>
              </w:rPr>
            </w:pPr>
            <w:r w:rsidRPr="00A7675C">
              <w:rPr>
                <w:rFonts w:ascii="Times New Roman" w:hAnsi="Times New Roman" w:cs="Times New Roman"/>
                <w:sz w:val="24"/>
                <w:szCs w:val="24"/>
              </w:rPr>
              <w:t>Likumprojekta ieviešana kopumā pozitīvi ietekmēs uzņēmējdarbības vidi, jo</w:t>
            </w:r>
            <w:r w:rsidR="000F4A5C" w:rsidRPr="00A7675C">
              <w:rPr>
                <w:rFonts w:ascii="Times New Roman" w:hAnsi="Times New Roman" w:cs="Times New Roman"/>
                <w:sz w:val="24"/>
                <w:szCs w:val="24"/>
              </w:rPr>
              <w:t xml:space="preserve"> sagaidāms, ka tā</w:t>
            </w:r>
            <w:r w:rsidRPr="00A7675C">
              <w:rPr>
                <w:rFonts w:ascii="Times New Roman" w:hAnsi="Times New Roman" w:cs="Times New Roman"/>
                <w:sz w:val="24"/>
                <w:szCs w:val="24"/>
              </w:rPr>
              <w:t xml:space="preserve"> </w:t>
            </w:r>
            <w:r w:rsidR="000F4A5C" w:rsidRPr="00A7675C">
              <w:rPr>
                <w:rFonts w:ascii="Times New Roman" w:eastAsia="Calibri" w:hAnsi="Times New Roman" w:cs="Times New Roman"/>
                <w:sz w:val="24"/>
                <w:szCs w:val="24"/>
                <w:lang w:eastAsia="en-US"/>
              </w:rPr>
              <w:t xml:space="preserve">mazinās </w:t>
            </w:r>
            <w:r w:rsidR="000F4A5C" w:rsidRPr="00A7675C">
              <w:rPr>
                <w:rFonts w:ascii="Times New Roman" w:eastAsia="Times New Roman" w:hAnsi="Times New Roman" w:cs="Times New Roman"/>
                <w:color w:val="000000"/>
                <w:sz w:val="24"/>
                <w:szCs w:val="24"/>
              </w:rPr>
              <w:t xml:space="preserve">PVN nemaksāšanas risku graudaugu </w:t>
            </w:r>
            <w:r w:rsidR="000F4A5C" w:rsidRPr="00A7675C">
              <w:rPr>
                <w:rFonts w:ascii="Times New Roman" w:eastAsia="Times New Roman" w:hAnsi="Times New Roman" w:cs="Times New Roman"/>
                <w:sz w:val="24"/>
                <w:szCs w:val="24"/>
              </w:rPr>
              <w:t>nozarē</w:t>
            </w:r>
            <w:r w:rsidR="006934D6" w:rsidRPr="00A7675C">
              <w:rPr>
                <w:rFonts w:ascii="Times New Roman" w:hAnsi="Times New Roman" w:cs="Times New Roman"/>
                <w:sz w:val="24"/>
                <w:szCs w:val="24"/>
              </w:rPr>
              <w:t>, kā arī uzlabos uzņēmējdarbības vidi, jo likumprojektā noteiktajā gadījumā pārmaksātā PVN summa tiks atmaksāta taksācijas gada laikā reģistrētā PVN maksātāja bankas kontā.</w:t>
            </w:r>
          </w:p>
        </w:tc>
      </w:tr>
      <w:tr w:rsidR="002546D2" w:rsidRPr="00A7675C" w14:paraId="48717892" w14:textId="77777777" w:rsidTr="002546D2">
        <w:tc>
          <w:tcPr>
            <w:tcW w:w="432" w:type="dxa"/>
          </w:tcPr>
          <w:p w14:paraId="168EB676" w14:textId="77777777" w:rsidR="002546D2" w:rsidRPr="00A7675C" w:rsidRDefault="002546D2" w:rsidP="002546D2">
            <w:pPr>
              <w:rPr>
                <w:rFonts w:ascii="Times New Roman" w:hAnsi="Times New Roman" w:cs="Times New Roman"/>
                <w:sz w:val="24"/>
                <w:szCs w:val="24"/>
              </w:rPr>
            </w:pPr>
            <w:r w:rsidRPr="00A7675C">
              <w:rPr>
                <w:rFonts w:ascii="Times New Roman" w:eastAsia="Times New Roman" w:hAnsi="Times New Roman" w:cs="Times New Roman"/>
                <w:sz w:val="24"/>
                <w:szCs w:val="24"/>
              </w:rPr>
              <w:t>3.</w:t>
            </w:r>
          </w:p>
        </w:tc>
        <w:tc>
          <w:tcPr>
            <w:tcW w:w="3402" w:type="dxa"/>
          </w:tcPr>
          <w:p w14:paraId="7BFA9CD0" w14:textId="77777777" w:rsidR="002546D2" w:rsidRPr="00A7675C" w:rsidRDefault="002546D2" w:rsidP="002546D2">
            <w:pPr>
              <w:rPr>
                <w:rFonts w:ascii="Times New Roman" w:hAnsi="Times New Roman" w:cs="Times New Roman"/>
                <w:sz w:val="24"/>
                <w:szCs w:val="24"/>
              </w:rPr>
            </w:pPr>
            <w:r w:rsidRPr="00A7675C">
              <w:rPr>
                <w:rFonts w:ascii="Times New Roman" w:eastAsia="Times New Roman" w:hAnsi="Times New Roman" w:cs="Times New Roman"/>
                <w:sz w:val="24"/>
                <w:szCs w:val="24"/>
              </w:rPr>
              <w:t>Administratīvo izmaksu monetārs novērtējums</w:t>
            </w:r>
          </w:p>
        </w:tc>
        <w:tc>
          <w:tcPr>
            <w:tcW w:w="4955" w:type="dxa"/>
            <w:vAlign w:val="center"/>
          </w:tcPr>
          <w:p w14:paraId="585ED07F" w14:textId="218811CE" w:rsidR="002546D2" w:rsidRPr="00A7675C" w:rsidRDefault="002546D2" w:rsidP="002546D2">
            <w:pPr>
              <w:rPr>
                <w:rFonts w:ascii="Times New Roman" w:hAnsi="Times New Roman" w:cs="Times New Roman"/>
                <w:sz w:val="24"/>
                <w:szCs w:val="24"/>
              </w:rPr>
            </w:pPr>
            <w:r w:rsidRPr="00A7675C">
              <w:rPr>
                <w:rFonts w:ascii="Times New Roman" w:hAnsi="Times New Roman" w:cs="Times New Roman"/>
                <w:sz w:val="24"/>
                <w:szCs w:val="24"/>
              </w:rPr>
              <w:t>Nav</w:t>
            </w:r>
          </w:p>
        </w:tc>
      </w:tr>
      <w:tr w:rsidR="002546D2" w:rsidRPr="00A7675C" w14:paraId="5D57FA45" w14:textId="77777777" w:rsidTr="00A9511E">
        <w:tc>
          <w:tcPr>
            <w:tcW w:w="432" w:type="dxa"/>
          </w:tcPr>
          <w:p w14:paraId="442B4A1D" w14:textId="6BE0C7E6" w:rsidR="002546D2" w:rsidRPr="00A7675C" w:rsidRDefault="002546D2" w:rsidP="002546D2">
            <w:pPr>
              <w:rPr>
                <w:rFonts w:ascii="Times New Roman" w:hAnsi="Times New Roman" w:cs="Times New Roman"/>
                <w:sz w:val="24"/>
                <w:szCs w:val="24"/>
              </w:rPr>
            </w:pPr>
            <w:r w:rsidRPr="00A7675C">
              <w:rPr>
                <w:rFonts w:ascii="Times New Roman" w:eastAsia="Times New Roman" w:hAnsi="Times New Roman" w:cs="Times New Roman"/>
                <w:sz w:val="24"/>
                <w:szCs w:val="24"/>
              </w:rPr>
              <w:t>4.</w:t>
            </w:r>
          </w:p>
        </w:tc>
        <w:tc>
          <w:tcPr>
            <w:tcW w:w="3402" w:type="dxa"/>
          </w:tcPr>
          <w:p w14:paraId="4BC7028A" w14:textId="77777777" w:rsidR="002546D2" w:rsidRPr="00A7675C" w:rsidRDefault="002546D2" w:rsidP="002546D2">
            <w:pPr>
              <w:rPr>
                <w:rFonts w:ascii="Times New Roman" w:hAnsi="Times New Roman" w:cs="Times New Roman"/>
                <w:sz w:val="24"/>
                <w:szCs w:val="24"/>
              </w:rPr>
            </w:pPr>
            <w:r w:rsidRPr="00A7675C">
              <w:rPr>
                <w:rFonts w:ascii="Times New Roman" w:eastAsia="Times New Roman" w:hAnsi="Times New Roman" w:cs="Times New Roman"/>
                <w:sz w:val="24"/>
                <w:szCs w:val="24"/>
              </w:rPr>
              <w:t>Cita informācija</w:t>
            </w:r>
          </w:p>
        </w:tc>
        <w:tc>
          <w:tcPr>
            <w:tcW w:w="4955" w:type="dxa"/>
          </w:tcPr>
          <w:p w14:paraId="2CB95754" w14:textId="4AB3D1AD" w:rsidR="002546D2" w:rsidRPr="00A7675C" w:rsidRDefault="002546D2" w:rsidP="002546D2">
            <w:pPr>
              <w:jc w:val="both"/>
              <w:rPr>
                <w:b/>
                <w:sz w:val="24"/>
                <w:szCs w:val="24"/>
              </w:rPr>
            </w:pPr>
            <w:r w:rsidRPr="00A7675C">
              <w:rPr>
                <w:rFonts w:ascii="Times New Roman" w:hAnsi="Times New Roman" w:cs="Times New Roman"/>
                <w:sz w:val="24"/>
                <w:szCs w:val="24"/>
              </w:rPr>
              <w:t>Nav</w:t>
            </w:r>
          </w:p>
        </w:tc>
      </w:tr>
    </w:tbl>
    <w:p w14:paraId="468CA86B" w14:textId="77777777" w:rsidR="006A0C55" w:rsidRPr="00A7675C" w:rsidRDefault="006A0C55" w:rsidP="006A0C55">
      <w:pPr>
        <w:rPr>
          <w:rFonts w:ascii="Times New Roman" w:hAnsi="Times New Roman" w:cs="Times New Roman"/>
          <w:sz w:val="24"/>
          <w:szCs w:val="24"/>
        </w:rPr>
      </w:pPr>
    </w:p>
    <w:tbl>
      <w:tblPr>
        <w:tblpPr w:leftFromText="180" w:rightFromText="180" w:vertAnchor="text" w:horzAnchor="margin" w:tblpX="-120" w:tblpY="371"/>
        <w:tblW w:w="878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35"/>
        <w:gridCol w:w="1157"/>
        <w:gridCol w:w="1276"/>
        <w:gridCol w:w="1134"/>
        <w:gridCol w:w="1134"/>
        <w:gridCol w:w="1253"/>
      </w:tblGrid>
      <w:tr w:rsidR="00304983" w:rsidRPr="00A7675C" w14:paraId="10639AA3" w14:textId="77777777" w:rsidTr="002546D2">
        <w:trPr>
          <w:trHeight w:val="394"/>
          <w:tblCellSpacing w:w="0" w:type="dxa"/>
        </w:trPr>
        <w:tc>
          <w:tcPr>
            <w:tcW w:w="8789" w:type="dxa"/>
            <w:gridSpan w:val="6"/>
            <w:tcBorders>
              <w:top w:val="outset" w:sz="6" w:space="0" w:color="auto"/>
              <w:left w:val="outset" w:sz="6" w:space="0" w:color="auto"/>
              <w:bottom w:val="outset" w:sz="6" w:space="0" w:color="auto"/>
              <w:right w:val="outset" w:sz="6" w:space="0" w:color="auto"/>
            </w:tcBorders>
            <w:vAlign w:val="center"/>
            <w:hideMark/>
          </w:tcPr>
          <w:p w14:paraId="70CD55DB" w14:textId="77777777" w:rsidR="00304983" w:rsidRPr="00A7675C" w:rsidRDefault="00304983" w:rsidP="002546D2">
            <w:pPr>
              <w:jc w:val="center"/>
              <w:rPr>
                <w:rFonts w:ascii="Times New Roman" w:eastAsia="Times New Roman" w:hAnsi="Times New Roman" w:cs="Times New Roman"/>
                <w:b/>
                <w:sz w:val="24"/>
                <w:szCs w:val="24"/>
              </w:rPr>
            </w:pPr>
            <w:r w:rsidRPr="00A7675C">
              <w:rPr>
                <w:rFonts w:ascii="Times New Roman" w:eastAsia="Times New Roman" w:hAnsi="Times New Roman" w:cs="Times New Roman"/>
                <w:b/>
                <w:sz w:val="24"/>
                <w:szCs w:val="24"/>
              </w:rPr>
              <w:t>III. Tiesību akta projekta ietekme uz valsts budžetu un pašvaldību budžetiem</w:t>
            </w:r>
          </w:p>
        </w:tc>
      </w:tr>
      <w:tr w:rsidR="00304983" w:rsidRPr="00A7675C" w14:paraId="4D832048" w14:textId="77777777" w:rsidTr="002546D2">
        <w:trPr>
          <w:tblCellSpacing w:w="0" w:type="dxa"/>
        </w:trPr>
        <w:tc>
          <w:tcPr>
            <w:tcW w:w="2835" w:type="dxa"/>
            <w:vMerge w:val="restart"/>
            <w:tcBorders>
              <w:top w:val="outset" w:sz="6" w:space="0" w:color="auto"/>
              <w:left w:val="outset" w:sz="6" w:space="0" w:color="auto"/>
              <w:bottom w:val="outset" w:sz="6" w:space="0" w:color="auto"/>
              <w:right w:val="outset" w:sz="6" w:space="0" w:color="auto"/>
            </w:tcBorders>
            <w:vAlign w:val="center"/>
            <w:hideMark/>
          </w:tcPr>
          <w:p w14:paraId="58301E3A" w14:textId="77777777" w:rsidR="00304983" w:rsidRPr="00A7675C" w:rsidRDefault="00304983" w:rsidP="002546D2">
            <w:pPr>
              <w:jc w:val="center"/>
              <w:rPr>
                <w:rFonts w:ascii="Times New Roman" w:eastAsia="Times New Roman" w:hAnsi="Times New Roman" w:cs="Times New Roman"/>
                <w:sz w:val="24"/>
                <w:szCs w:val="24"/>
              </w:rPr>
            </w:pPr>
            <w:r w:rsidRPr="00A7675C">
              <w:rPr>
                <w:rFonts w:ascii="Times New Roman" w:eastAsia="Times New Roman" w:hAnsi="Times New Roman" w:cs="Times New Roman"/>
                <w:b/>
                <w:bCs/>
                <w:sz w:val="24"/>
                <w:szCs w:val="24"/>
              </w:rPr>
              <w:t>Rādītāji</w:t>
            </w:r>
          </w:p>
        </w:tc>
        <w:tc>
          <w:tcPr>
            <w:tcW w:w="243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9048E0E" w14:textId="2B537472" w:rsidR="00304983" w:rsidRPr="00A7675C" w:rsidRDefault="00304983" w:rsidP="002546D2">
            <w:pPr>
              <w:spacing w:after="0"/>
              <w:jc w:val="center"/>
              <w:rPr>
                <w:rFonts w:ascii="Times New Roman" w:eastAsia="Times New Roman" w:hAnsi="Times New Roman" w:cs="Times New Roman"/>
                <w:sz w:val="24"/>
                <w:szCs w:val="24"/>
              </w:rPr>
            </w:pPr>
            <w:r w:rsidRPr="00A7675C">
              <w:rPr>
                <w:rFonts w:ascii="Times New Roman" w:eastAsia="Times New Roman" w:hAnsi="Times New Roman" w:cs="Times New Roman"/>
                <w:bCs/>
                <w:sz w:val="24"/>
                <w:szCs w:val="24"/>
              </w:rPr>
              <w:t>2016</w:t>
            </w:r>
          </w:p>
        </w:tc>
        <w:tc>
          <w:tcPr>
            <w:tcW w:w="3521" w:type="dxa"/>
            <w:gridSpan w:val="3"/>
            <w:tcBorders>
              <w:top w:val="outset" w:sz="6" w:space="0" w:color="auto"/>
              <w:left w:val="outset" w:sz="6" w:space="0" w:color="auto"/>
              <w:bottom w:val="outset" w:sz="6" w:space="0" w:color="auto"/>
              <w:right w:val="outset" w:sz="6" w:space="0" w:color="auto"/>
            </w:tcBorders>
            <w:vAlign w:val="center"/>
            <w:hideMark/>
          </w:tcPr>
          <w:p w14:paraId="4ECA9A02" w14:textId="4109D669" w:rsidR="00304983" w:rsidRPr="00A7675C" w:rsidRDefault="0068003D" w:rsidP="002546D2">
            <w:pPr>
              <w:spacing w:after="0"/>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 xml:space="preserve">Turpmākie trīs gadi </w:t>
            </w:r>
            <w:r w:rsidRPr="00A7675C">
              <w:rPr>
                <w:rFonts w:ascii="Times New Roman" w:eastAsia="Times New Roman" w:hAnsi="Times New Roman" w:cs="Times New Roman"/>
                <w:i/>
                <w:sz w:val="24"/>
                <w:szCs w:val="24"/>
              </w:rPr>
              <w:t>(</w:t>
            </w:r>
            <w:proofErr w:type="spellStart"/>
            <w:r w:rsidR="006A0C55" w:rsidRPr="00A7675C">
              <w:rPr>
                <w:rFonts w:ascii="Times New Roman" w:eastAsia="Times New Roman" w:hAnsi="Times New Roman" w:cs="Times New Roman"/>
                <w:i/>
                <w:sz w:val="24"/>
                <w:szCs w:val="24"/>
              </w:rPr>
              <w:t>eu</w:t>
            </w:r>
            <w:r w:rsidRPr="00A7675C">
              <w:rPr>
                <w:rFonts w:ascii="Times New Roman" w:eastAsia="Times New Roman" w:hAnsi="Times New Roman" w:cs="Times New Roman"/>
                <w:i/>
                <w:sz w:val="24"/>
                <w:szCs w:val="24"/>
              </w:rPr>
              <w:t>ro</w:t>
            </w:r>
            <w:proofErr w:type="spellEnd"/>
            <w:r w:rsidRPr="00A7675C">
              <w:rPr>
                <w:rFonts w:ascii="Times New Roman" w:eastAsia="Times New Roman" w:hAnsi="Times New Roman" w:cs="Times New Roman"/>
                <w:i/>
                <w:sz w:val="24"/>
                <w:szCs w:val="24"/>
              </w:rPr>
              <w:t>)</w:t>
            </w:r>
          </w:p>
        </w:tc>
      </w:tr>
      <w:tr w:rsidR="00F23634" w:rsidRPr="00A7675C" w14:paraId="19B7069D" w14:textId="77777777" w:rsidTr="002546D2">
        <w:trPr>
          <w:trHeight w:val="196"/>
          <w:tblCellSpacing w:w="0" w:type="dxa"/>
        </w:trPr>
        <w:tc>
          <w:tcPr>
            <w:tcW w:w="2835" w:type="dxa"/>
            <w:vMerge/>
            <w:tcBorders>
              <w:top w:val="outset" w:sz="6" w:space="0" w:color="auto"/>
              <w:left w:val="outset" w:sz="6" w:space="0" w:color="auto"/>
              <w:bottom w:val="outset" w:sz="6" w:space="0" w:color="auto"/>
              <w:right w:val="outset" w:sz="6" w:space="0" w:color="auto"/>
            </w:tcBorders>
            <w:vAlign w:val="center"/>
            <w:hideMark/>
          </w:tcPr>
          <w:p w14:paraId="3A7A5707" w14:textId="77777777" w:rsidR="00304983" w:rsidRPr="00A7675C" w:rsidRDefault="00304983" w:rsidP="002546D2">
            <w:pPr>
              <w:rPr>
                <w:rFonts w:ascii="Times New Roman" w:eastAsia="Times New Roman" w:hAnsi="Times New Roman" w:cs="Times New Roman"/>
                <w:sz w:val="24"/>
                <w:szCs w:val="24"/>
              </w:rPr>
            </w:pPr>
          </w:p>
        </w:tc>
        <w:tc>
          <w:tcPr>
            <w:tcW w:w="2433" w:type="dxa"/>
            <w:gridSpan w:val="2"/>
            <w:vMerge/>
            <w:tcBorders>
              <w:top w:val="outset" w:sz="6" w:space="0" w:color="auto"/>
              <w:left w:val="outset" w:sz="6" w:space="0" w:color="auto"/>
              <w:bottom w:val="outset" w:sz="6" w:space="0" w:color="auto"/>
              <w:right w:val="outset" w:sz="6" w:space="0" w:color="auto"/>
            </w:tcBorders>
            <w:vAlign w:val="center"/>
            <w:hideMark/>
          </w:tcPr>
          <w:p w14:paraId="02697E77" w14:textId="77777777" w:rsidR="00304983" w:rsidRPr="00A7675C" w:rsidRDefault="00304983" w:rsidP="002546D2">
            <w:pPr>
              <w:spacing w:after="0"/>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24254352" w14:textId="0F3C4899" w:rsidR="00304983" w:rsidRPr="00A7675C" w:rsidRDefault="00304983" w:rsidP="002546D2">
            <w:pPr>
              <w:spacing w:after="0"/>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2017</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4945B16" w14:textId="6F1884FE" w:rsidR="00304983" w:rsidRPr="00A7675C" w:rsidRDefault="00304983" w:rsidP="002546D2">
            <w:pPr>
              <w:spacing w:after="0"/>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2018</w:t>
            </w:r>
          </w:p>
        </w:tc>
        <w:tc>
          <w:tcPr>
            <w:tcW w:w="1253" w:type="dxa"/>
            <w:tcBorders>
              <w:top w:val="outset" w:sz="6" w:space="0" w:color="auto"/>
              <w:left w:val="outset" w:sz="6" w:space="0" w:color="auto"/>
              <w:bottom w:val="outset" w:sz="6" w:space="0" w:color="auto"/>
              <w:right w:val="outset" w:sz="6" w:space="0" w:color="auto"/>
            </w:tcBorders>
            <w:vAlign w:val="center"/>
            <w:hideMark/>
          </w:tcPr>
          <w:p w14:paraId="0A77319D" w14:textId="5CF6D9B9" w:rsidR="00304983" w:rsidRPr="00A7675C" w:rsidRDefault="00304983" w:rsidP="002546D2">
            <w:pPr>
              <w:spacing w:after="0"/>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2019</w:t>
            </w:r>
          </w:p>
        </w:tc>
      </w:tr>
      <w:tr w:rsidR="00F23634" w:rsidRPr="00A7675C" w14:paraId="2C7E753E" w14:textId="77777777" w:rsidTr="002546D2">
        <w:trPr>
          <w:trHeight w:val="454"/>
          <w:tblCellSpacing w:w="0" w:type="dxa"/>
        </w:trPr>
        <w:tc>
          <w:tcPr>
            <w:tcW w:w="2835" w:type="dxa"/>
            <w:vMerge/>
            <w:tcBorders>
              <w:top w:val="outset" w:sz="6" w:space="0" w:color="auto"/>
              <w:left w:val="outset" w:sz="6" w:space="0" w:color="auto"/>
              <w:bottom w:val="outset" w:sz="6" w:space="0" w:color="auto"/>
              <w:right w:val="outset" w:sz="6" w:space="0" w:color="auto"/>
            </w:tcBorders>
            <w:vAlign w:val="center"/>
            <w:hideMark/>
          </w:tcPr>
          <w:p w14:paraId="1D857FD1" w14:textId="77777777" w:rsidR="00304983" w:rsidRPr="00A7675C" w:rsidRDefault="00304983" w:rsidP="002546D2">
            <w:pPr>
              <w:rPr>
                <w:rFonts w:ascii="Times New Roman" w:eastAsia="Times New Roman" w:hAnsi="Times New Roman" w:cs="Times New Roman"/>
                <w:sz w:val="24"/>
                <w:szCs w:val="24"/>
              </w:rPr>
            </w:pPr>
          </w:p>
        </w:tc>
        <w:tc>
          <w:tcPr>
            <w:tcW w:w="1157" w:type="dxa"/>
            <w:tcBorders>
              <w:top w:val="outset" w:sz="6" w:space="0" w:color="auto"/>
              <w:left w:val="outset" w:sz="6" w:space="0" w:color="auto"/>
              <w:bottom w:val="outset" w:sz="6" w:space="0" w:color="auto"/>
              <w:right w:val="outset" w:sz="6" w:space="0" w:color="auto"/>
            </w:tcBorders>
            <w:vAlign w:val="center"/>
            <w:hideMark/>
          </w:tcPr>
          <w:p w14:paraId="2585330B" w14:textId="77777777" w:rsidR="00304983" w:rsidRPr="00A7675C" w:rsidRDefault="00304983" w:rsidP="002546D2">
            <w:pPr>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203F6BB" w14:textId="4CE69B52" w:rsidR="00304983" w:rsidRPr="00A7675C" w:rsidRDefault="00304983" w:rsidP="002546D2">
            <w:pPr>
              <w:spacing w:after="0"/>
              <w:ind w:right="68"/>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 xml:space="preserve">Izmaiņas kārtējā gadā, salīdzinot ar budžetu kārtējam </w:t>
            </w:r>
            <w:r w:rsidR="006A0C55" w:rsidRPr="00A7675C">
              <w:rPr>
                <w:rFonts w:ascii="Times New Roman" w:eastAsia="Times New Roman" w:hAnsi="Times New Roman" w:cs="Times New Roman"/>
                <w:sz w:val="24"/>
                <w:szCs w:val="24"/>
              </w:rPr>
              <w:t>gadam</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D1D0D37" w14:textId="77777777" w:rsidR="00304983" w:rsidRPr="00A7675C" w:rsidRDefault="00304983" w:rsidP="002546D2">
            <w:pPr>
              <w:ind w:left="43" w:hanging="43"/>
              <w:jc w:val="center"/>
              <w:rPr>
                <w:rFonts w:ascii="Times New Roman" w:eastAsia="Times New Roman" w:hAnsi="Times New Roman" w:cs="Times New Roman"/>
                <w:sz w:val="24"/>
                <w:szCs w:val="24"/>
              </w:rPr>
            </w:pPr>
            <w:r w:rsidRPr="00A7675C">
              <w:rPr>
                <w:rFonts w:ascii="Times New Roman" w:hAnsi="Times New Roman" w:cs="Times New Roman"/>
                <w:sz w:val="24"/>
                <w:szCs w:val="24"/>
              </w:rPr>
              <w:t>Izmaiņas, salīdzinot ar kārtējo (n) gadu</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E90FA69" w14:textId="77777777" w:rsidR="00304983" w:rsidRPr="00A7675C" w:rsidRDefault="00304983" w:rsidP="002546D2">
            <w:pPr>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Izmaiņas, salīdzinot ar kārtējo (n) gadu</w:t>
            </w:r>
          </w:p>
        </w:tc>
        <w:tc>
          <w:tcPr>
            <w:tcW w:w="1253" w:type="dxa"/>
            <w:tcBorders>
              <w:top w:val="outset" w:sz="6" w:space="0" w:color="auto"/>
              <w:left w:val="outset" w:sz="6" w:space="0" w:color="auto"/>
              <w:bottom w:val="outset" w:sz="6" w:space="0" w:color="auto"/>
              <w:right w:val="outset" w:sz="6" w:space="0" w:color="auto"/>
            </w:tcBorders>
            <w:vAlign w:val="center"/>
            <w:hideMark/>
          </w:tcPr>
          <w:p w14:paraId="6AE34943" w14:textId="77777777" w:rsidR="00304983" w:rsidRPr="00A7675C" w:rsidRDefault="00304983" w:rsidP="002546D2">
            <w:pPr>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Izmaiņas, salīdzinot ar kārtējo (n) gadu</w:t>
            </w:r>
          </w:p>
        </w:tc>
      </w:tr>
      <w:tr w:rsidR="00F23634" w:rsidRPr="00A7675C" w14:paraId="2C9FC0CD" w14:textId="77777777" w:rsidTr="002546D2">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14:paraId="0A64A691" w14:textId="77777777" w:rsidR="00304983" w:rsidRPr="00A7675C" w:rsidRDefault="00304983" w:rsidP="002546D2">
            <w:pPr>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lastRenderedPageBreak/>
              <w:t>1</w:t>
            </w:r>
          </w:p>
        </w:tc>
        <w:tc>
          <w:tcPr>
            <w:tcW w:w="1157" w:type="dxa"/>
            <w:tcBorders>
              <w:top w:val="outset" w:sz="6" w:space="0" w:color="auto"/>
              <w:left w:val="outset" w:sz="6" w:space="0" w:color="auto"/>
              <w:bottom w:val="outset" w:sz="6" w:space="0" w:color="auto"/>
              <w:right w:val="outset" w:sz="6" w:space="0" w:color="auto"/>
            </w:tcBorders>
            <w:vAlign w:val="center"/>
          </w:tcPr>
          <w:p w14:paraId="5256B063" w14:textId="6E0C80A6" w:rsidR="00304983" w:rsidRPr="00A7675C" w:rsidRDefault="00304983" w:rsidP="002546D2">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vAlign w:val="center"/>
          </w:tcPr>
          <w:p w14:paraId="62B9AA24" w14:textId="045C8FFD" w:rsidR="00304983" w:rsidRPr="00A7675C" w:rsidRDefault="00304983"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tcPr>
          <w:p w14:paraId="07C121AA" w14:textId="4F803420" w:rsidR="00304983" w:rsidRPr="00A7675C" w:rsidRDefault="00304983"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tcPr>
          <w:p w14:paraId="17353088" w14:textId="389BE3D5" w:rsidR="00304983" w:rsidRPr="00A7675C" w:rsidRDefault="00304983" w:rsidP="002546D2">
            <w:pPr>
              <w:jc w:val="center"/>
              <w:rPr>
                <w:rFonts w:ascii="Times New Roman" w:eastAsia="Times New Roman" w:hAnsi="Times New Roman" w:cs="Times New Roman"/>
                <w:sz w:val="24"/>
                <w:szCs w:val="24"/>
              </w:rPr>
            </w:pPr>
          </w:p>
        </w:tc>
        <w:tc>
          <w:tcPr>
            <w:tcW w:w="1253" w:type="dxa"/>
            <w:tcBorders>
              <w:top w:val="outset" w:sz="6" w:space="0" w:color="auto"/>
              <w:left w:val="outset" w:sz="6" w:space="0" w:color="auto"/>
              <w:bottom w:val="outset" w:sz="6" w:space="0" w:color="auto"/>
              <w:right w:val="outset" w:sz="6" w:space="0" w:color="auto"/>
            </w:tcBorders>
            <w:vAlign w:val="center"/>
          </w:tcPr>
          <w:p w14:paraId="6E93869A" w14:textId="0AECC706" w:rsidR="00304983" w:rsidRPr="00A7675C" w:rsidRDefault="00304983" w:rsidP="002546D2">
            <w:pPr>
              <w:jc w:val="center"/>
              <w:rPr>
                <w:rFonts w:ascii="Times New Roman" w:eastAsia="Times New Roman" w:hAnsi="Times New Roman" w:cs="Times New Roman"/>
                <w:sz w:val="24"/>
                <w:szCs w:val="24"/>
              </w:rPr>
            </w:pPr>
          </w:p>
        </w:tc>
      </w:tr>
      <w:tr w:rsidR="00AC4BE2" w:rsidRPr="00A7675C" w14:paraId="2CEF6C10" w14:textId="77777777" w:rsidTr="002546D2">
        <w:trPr>
          <w:trHeight w:val="234"/>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hideMark/>
          </w:tcPr>
          <w:p w14:paraId="07B43FE2" w14:textId="77777777" w:rsidR="00AC4BE2" w:rsidRPr="00A7675C" w:rsidRDefault="00AC4BE2" w:rsidP="00AC4BE2">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 Budžeta ieņēmumi:</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2903788D" w14:textId="061310B1" w:rsidR="00AC4BE2" w:rsidRPr="00A7675C" w:rsidRDefault="00AC4BE2" w:rsidP="00AC4BE2">
            <w:pPr>
              <w:jc w:val="center"/>
              <w:rPr>
                <w:rFonts w:ascii="Times New Roman" w:eastAsia="Times New Roman" w:hAnsi="Times New Roman" w:cs="Times New Roman"/>
                <w:sz w:val="24"/>
                <w:szCs w:val="24"/>
              </w:rPr>
            </w:pPr>
            <w:r w:rsidRPr="00A7675C">
              <w:rPr>
                <w:rFonts w:ascii="Times New Roman" w:hAnsi="Times New Roman"/>
                <w:sz w:val="24"/>
                <w:szCs w:val="24"/>
              </w:rPr>
              <w:t>0</w:t>
            </w: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05347C96" w14:textId="69575227" w:rsidR="00AC4BE2" w:rsidRPr="00A7675C" w:rsidRDefault="00AC4BE2" w:rsidP="00AC4BE2">
            <w:pPr>
              <w:jc w:val="center"/>
              <w:rPr>
                <w:rFonts w:ascii="Times New Roman" w:eastAsia="Times New Roman" w:hAnsi="Times New Roman" w:cs="Times New Roman"/>
                <w:sz w:val="24"/>
                <w:szCs w:val="24"/>
              </w:rPr>
            </w:pPr>
            <w:r>
              <w:rPr>
                <w:rFonts w:ascii="Times New Roman" w:hAnsi="Times New Roman"/>
                <w:sz w:val="24"/>
                <w:szCs w:val="24"/>
              </w:rPr>
              <w:t>+2 300 000</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499C4548" w14:textId="0A745E51" w:rsidR="00AC4BE2" w:rsidRPr="00A7675C" w:rsidRDefault="00AC4BE2" w:rsidP="00AC4BE2">
            <w:pPr>
              <w:jc w:val="center"/>
              <w:rPr>
                <w:rFonts w:ascii="Times New Roman" w:eastAsia="Times New Roman" w:hAnsi="Times New Roman" w:cs="Times New Roman"/>
                <w:sz w:val="24"/>
                <w:szCs w:val="24"/>
              </w:rPr>
            </w:pPr>
            <w:r w:rsidRPr="00A7675C">
              <w:rPr>
                <w:rFonts w:ascii="Times New Roman" w:hAnsi="Times New Roman"/>
                <w:sz w:val="24"/>
                <w:szCs w:val="24"/>
              </w:rPr>
              <w:t>+</w:t>
            </w:r>
            <w:r w:rsidRPr="00A7675C">
              <w:rPr>
                <w:sz w:val="24"/>
                <w:szCs w:val="24"/>
              </w:rPr>
              <w:t xml:space="preserve"> </w:t>
            </w:r>
            <w:r w:rsidRPr="00A7675C">
              <w:rPr>
                <w:rFonts w:ascii="Times New Roman" w:hAnsi="Times New Roman"/>
                <w:sz w:val="24"/>
                <w:szCs w:val="24"/>
              </w:rPr>
              <w:t>5 120 000</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0B1ABD3E" w14:textId="3A527C57" w:rsidR="00AC4BE2" w:rsidRPr="00A7675C" w:rsidRDefault="00AC4BE2" w:rsidP="00AC4BE2">
            <w:pPr>
              <w:jc w:val="center"/>
              <w:rPr>
                <w:rFonts w:ascii="Times New Roman" w:eastAsia="Times New Roman" w:hAnsi="Times New Roman" w:cs="Times New Roman"/>
                <w:sz w:val="24"/>
                <w:szCs w:val="24"/>
              </w:rPr>
            </w:pPr>
            <w:r w:rsidRPr="00A7675C">
              <w:rPr>
                <w:rFonts w:ascii="Times New Roman" w:hAnsi="Times New Roman"/>
                <w:sz w:val="24"/>
                <w:szCs w:val="24"/>
              </w:rPr>
              <w:t>+</w:t>
            </w:r>
            <w:r w:rsidRPr="00A7675C">
              <w:rPr>
                <w:sz w:val="24"/>
                <w:szCs w:val="24"/>
              </w:rPr>
              <w:t xml:space="preserve"> </w:t>
            </w:r>
            <w:r w:rsidRPr="00A7675C">
              <w:rPr>
                <w:rFonts w:ascii="Times New Roman" w:hAnsi="Times New Roman"/>
                <w:sz w:val="24"/>
                <w:szCs w:val="24"/>
              </w:rPr>
              <w:t>5 027 000</w:t>
            </w:r>
          </w:p>
        </w:tc>
        <w:tc>
          <w:tcPr>
            <w:tcW w:w="1253" w:type="dxa"/>
            <w:tcBorders>
              <w:top w:val="outset" w:sz="6" w:space="0" w:color="auto"/>
              <w:left w:val="outset" w:sz="6" w:space="0" w:color="auto"/>
              <w:bottom w:val="outset" w:sz="6" w:space="0" w:color="auto"/>
              <w:right w:val="outset" w:sz="6" w:space="0" w:color="auto"/>
            </w:tcBorders>
            <w:shd w:val="clear" w:color="auto" w:fill="auto"/>
          </w:tcPr>
          <w:p w14:paraId="1BDA9E16" w14:textId="6C2BFAC1" w:rsidR="00AC4BE2" w:rsidRPr="00A7675C" w:rsidRDefault="00AC4BE2" w:rsidP="00AC4BE2">
            <w:pPr>
              <w:jc w:val="center"/>
              <w:rPr>
                <w:rFonts w:ascii="Times New Roman" w:eastAsia="Times New Roman" w:hAnsi="Times New Roman" w:cs="Times New Roman"/>
                <w:sz w:val="24"/>
                <w:szCs w:val="24"/>
              </w:rPr>
            </w:pPr>
            <w:r w:rsidRPr="00A7675C">
              <w:rPr>
                <w:rFonts w:ascii="Times New Roman" w:hAnsi="Times New Roman"/>
                <w:sz w:val="24"/>
                <w:szCs w:val="24"/>
              </w:rPr>
              <w:t>+</w:t>
            </w:r>
            <w:r w:rsidRPr="00A7675C">
              <w:rPr>
                <w:sz w:val="24"/>
                <w:szCs w:val="24"/>
              </w:rPr>
              <w:t xml:space="preserve"> </w:t>
            </w:r>
            <w:r w:rsidRPr="00A7675C">
              <w:rPr>
                <w:rFonts w:ascii="Times New Roman" w:hAnsi="Times New Roman"/>
                <w:sz w:val="24"/>
                <w:szCs w:val="24"/>
              </w:rPr>
              <w:t>4 394 000</w:t>
            </w:r>
          </w:p>
        </w:tc>
      </w:tr>
      <w:tr w:rsidR="00AC4BE2" w:rsidRPr="00A7675C" w14:paraId="25441603" w14:textId="77777777" w:rsidTr="002546D2">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hideMark/>
          </w:tcPr>
          <w:p w14:paraId="781172E2" w14:textId="77777777" w:rsidR="00AC4BE2" w:rsidRPr="00A7675C" w:rsidRDefault="00AC4BE2" w:rsidP="00AC4BE2">
            <w:pPr>
              <w:ind w:left="142"/>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1.1. valsts pamatbudžets, tai skaitā ieņēmumi no maksas pakalpojumiem un citi pašu ieņēmumi</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50713678" w14:textId="31A1C808" w:rsidR="00AC4BE2" w:rsidRPr="00A7675C" w:rsidRDefault="00AC4BE2" w:rsidP="00AC4BE2">
            <w:pPr>
              <w:jc w:val="center"/>
              <w:rPr>
                <w:rFonts w:ascii="Times New Roman" w:eastAsia="Times New Roman" w:hAnsi="Times New Roman" w:cs="Times New Roman"/>
                <w:sz w:val="24"/>
                <w:szCs w:val="24"/>
              </w:rPr>
            </w:pPr>
            <w:r w:rsidRPr="00A7675C">
              <w:rPr>
                <w:rFonts w:ascii="Times New Roman" w:hAnsi="Times New Roman"/>
                <w:sz w:val="24"/>
                <w:szCs w:val="24"/>
              </w:rPr>
              <w:t>0</w:t>
            </w: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13E65603" w14:textId="149930AA" w:rsidR="00AC4BE2" w:rsidRPr="00A7675C" w:rsidRDefault="00AC4BE2" w:rsidP="00AC4BE2">
            <w:pPr>
              <w:jc w:val="center"/>
              <w:rPr>
                <w:rFonts w:ascii="Times New Roman" w:eastAsia="Times New Roman" w:hAnsi="Times New Roman" w:cs="Times New Roman"/>
                <w:sz w:val="24"/>
                <w:szCs w:val="24"/>
              </w:rPr>
            </w:pPr>
            <w:r w:rsidRPr="00564055">
              <w:rPr>
                <w:rFonts w:ascii="Times New Roman" w:hAnsi="Times New Roman"/>
                <w:sz w:val="24"/>
                <w:szCs w:val="24"/>
              </w:rPr>
              <w:t>+2 300 000</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067E6EC2" w14:textId="551CAD2A" w:rsidR="00AC4BE2" w:rsidRPr="00A7675C" w:rsidRDefault="00AC4BE2" w:rsidP="00AC4BE2">
            <w:pPr>
              <w:jc w:val="center"/>
              <w:rPr>
                <w:rFonts w:ascii="Times New Roman" w:eastAsia="Times New Roman" w:hAnsi="Times New Roman" w:cs="Times New Roman"/>
                <w:sz w:val="24"/>
                <w:szCs w:val="24"/>
              </w:rPr>
            </w:pPr>
            <w:r w:rsidRPr="00A7675C">
              <w:rPr>
                <w:rFonts w:ascii="Times New Roman" w:hAnsi="Times New Roman"/>
                <w:sz w:val="24"/>
                <w:szCs w:val="24"/>
              </w:rPr>
              <w:t>+</w:t>
            </w:r>
            <w:r w:rsidRPr="00A7675C">
              <w:rPr>
                <w:sz w:val="24"/>
                <w:szCs w:val="24"/>
              </w:rPr>
              <w:t xml:space="preserve"> </w:t>
            </w:r>
            <w:r w:rsidRPr="00A7675C">
              <w:rPr>
                <w:rFonts w:ascii="Times New Roman" w:hAnsi="Times New Roman"/>
                <w:sz w:val="24"/>
                <w:szCs w:val="24"/>
              </w:rPr>
              <w:t>5 120 000</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3B6BCEC3" w14:textId="5A471C2F" w:rsidR="00AC4BE2" w:rsidRPr="00A7675C" w:rsidRDefault="00AC4BE2" w:rsidP="00AC4BE2">
            <w:pPr>
              <w:jc w:val="center"/>
              <w:rPr>
                <w:rFonts w:ascii="Times New Roman" w:eastAsia="Times New Roman" w:hAnsi="Times New Roman" w:cs="Times New Roman"/>
                <w:sz w:val="24"/>
                <w:szCs w:val="24"/>
              </w:rPr>
            </w:pPr>
            <w:r w:rsidRPr="00A7675C">
              <w:rPr>
                <w:rFonts w:ascii="Times New Roman" w:hAnsi="Times New Roman"/>
                <w:sz w:val="24"/>
                <w:szCs w:val="24"/>
              </w:rPr>
              <w:t>+</w:t>
            </w:r>
            <w:r w:rsidRPr="00A7675C">
              <w:rPr>
                <w:sz w:val="24"/>
                <w:szCs w:val="24"/>
              </w:rPr>
              <w:t xml:space="preserve"> </w:t>
            </w:r>
            <w:r w:rsidRPr="00A7675C">
              <w:rPr>
                <w:rFonts w:ascii="Times New Roman" w:hAnsi="Times New Roman"/>
                <w:sz w:val="24"/>
                <w:szCs w:val="24"/>
              </w:rPr>
              <w:t>5 027 000</w:t>
            </w:r>
          </w:p>
        </w:tc>
        <w:tc>
          <w:tcPr>
            <w:tcW w:w="1253" w:type="dxa"/>
            <w:tcBorders>
              <w:top w:val="outset" w:sz="6" w:space="0" w:color="auto"/>
              <w:left w:val="outset" w:sz="6" w:space="0" w:color="auto"/>
              <w:bottom w:val="outset" w:sz="6" w:space="0" w:color="auto"/>
              <w:right w:val="outset" w:sz="6" w:space="0" w:color="auto"/>
            </w:tcBorders>
            <w:shd w:val="clear" w:color="auto" w:fill="auto"/>
          </w:tcPr>
          <w:p w14:paraId="31E7D0DA" w14:textId="2DA29193" w:rsidR="00AC4BE2" w:rsidRPr="00A7675C" w:rsidRDefault="00AC4BE2" w:rsidP="00AC4BE2">
            <w:pPr>
              <w:jc w:val="center"/>
              <w:rPr>
                <w:rFonts w:ascii="Times New Roman" w:eastAsia="Times New Roman" w:hAnsi="Times New Roman" w:cs="Times New Roman"/>
                <w:sz w:val="24"/>
                <w:szCs w:val="24"/>
              </w:rPr>
            </w:pPr>
            <w:r w:rsidRPr="00A7675C">
              <w:rPr>
                <w:rFonts w:ascii="Times New Roman" w:hAnsi="Times New Roman"/>
                <w:sz w:val="24"/>
                <w:szCs w:val="24"/>
              </w:rPr>
              <w:t>+</w:t>
            </w:r>
            <w:r w:rsidRPr="00A7675C">
              <w:rPr>
                <w:sz w:val="24"/>
                <w:szCs w:val="24"/>
              </w:rPr>
              <w:t xml:space="preserve"> </w:t>
            </w:r>
            <w:r w:rsidRPr="00A7675C">
              <w:rPr>
                <w:rFonts w:ascii="Times New Roman" w:hAnsi="Times New Roman"/>
                <w:sz w:val="24"/>
                <w:szCs w:val="24"/>
              </w:rPr>
              <w:t>4 394 000</w:t>
            </w:r>
          </w:p>
        </w:tc>
      </w:tr>
      <w:tr w:rsidR="00AC4BE2" w:rsidRPr="00A7675C" w14:paraId="3E5E58DF" w14:textId="77777777" w:rsidTr="002546D2">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tcPr>
          <w:p w14:paraId="49615C9B" w14:textId="7752101E" w:rsidR="00AC4BE2" w:rsidRPr="00A7675C" w:rsidRDefault="00AC4BE2" w:rsidP="00AC4BE2">
            <w:pPr>
              <w:ind w:left="142"/>
              <w:rPr>
                <w:rFonts w:ascii="Times New Roman" w:eastAsia="Times New Roman" w:hAnsi="Times New Roman" w:cs="Times New Roman"/>
                <w:i/>
                <w:sz w:val="24"/>
                <w:szCs w:val="24"/>
              </w:rPr>
            </w:pPr>
            <w:r w:rsidRPr="00A7675C">
              <w:rPr>
                <w:rFonts w:ascii="Times New Roman" w:eastAsia="Times New Roman" w:hAnsi="Times New Roman" w:cs="Times New Roman"/>
                <w:i/>
                <w:sz w:val="24"/>
                <w:szCs w:val="24"/>
              </w:rPr>
              <w:t>t.sk. pievienotās vērtības nodoklis</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372A791B" w14:textId="4AC9DF9D" w:rsidR="00AC4BE2" w:rsidRPr="00A7675C" w:rsidRDefault="00AC4BE2" w:rsidP="00AC4BE2">
            <w:pPr>
              <w:jc w:val="center"/>
              <w:rPr>
                <w:rFonts w:ascii="Times New Roman" w:eastAsia="Times New Roman" w:hAnsi="Times New Roman" w:cs="Times New Roman"/>
                <w:sz w:val="24"/>
                <w:szCs w:val="24"/>
              </w:rPr>
            </w:pPr>
            <w:r w:rsidRPr="00A7675C">
              <w:rPr>
                <w:rFonts w:ascii="Times New Roman" w:hAnsi="Times New Roman"/>
                <w:sz w:val="24"/>
                <w:szCs w:val="24"/>
              </w:rPr>
              <w:t>0</w:t>
            </w: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7374CFA1" w14:textId="3ADC8FFE" w:rsidR="00AC4BE2" w:rsidRPr="00A7675C" w:rsidRDefault="00AC4BE2" w:rsidP="00AC4BE2">
            <w:pPr>
              <w:jc w:val="center"/>
              <w:rPr>
                <w:rFonts w:ascii="Times New Roman" w:eastAsia="Times New Roman" w:hAnsi="Times New Roman" w:cs="Times New Roman"/>
                <w:sz w:val="24"/>
                <w:szCs w:val="24"/>
              </w:rPr>
            </w:pPr>
            <w:r w:rsidRPr="00564055">
              <w:rPr>
                <w:rFonts w:ascii="Times New Roman" w:hAnsi="Times New Roman"/>
                <w:sz w:val="24"/>
                <w:szCs w:val="24"/>
              </w:rPr>
              <w:t>+2 300 000</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634E56FC" w14:textId="77C5E026" w:rsidR="00AC4BE2" w:rsidRPr="00A7675C" w:rsidRDefault="00AC4BE2" w:rsidP="00AC4BE2">
            <w:pPr>
              <w:jc w:val="center"/>
              <w:rPr>
                <w:rFonts w:ascii="Times New Roman" w:eastAsia="Times New Roman" w:hAnsi="Times New Roman" w:cs="Times New Roman"/>
                <w:sz w:val="24"/>
                <w:szCs w:val="24"/>
              </w:rPr>
            </w:pPr>
            <w:r w:rsidRPr="00A7675C">
              <w:rPr>
                <w:rFonts w:ascii="Times New Roman" w:hAnsi="Times New Roman"/>
                <w:sz w:val="24"/>
                <w:szCs w:val="24"/>
              </w:rPr>
              <w:t>+</w:t>
            </w:r>
            <w:r w:rsidRPr="00A7675C">
              <w:rPr>
                <w:sz w:val="24"/>
                <w:szCs w:val="24"/>
              </w:rPr>
              <w:t xml:space="preserve"> </w:t>
            </w:r>
            <w:r w:rsidRPr="00A7675C">
              <w:rPr>
                <w:rFonts w:ascii="Times New Roman" w:hAnsi="Times New Roman"/>
                <w:sz w:val="24"/>
                <w:szCs w:val="24"/>
              </w:rPr>
              <w:t>5 120 000</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4F6BF95B" w14:textId="78C13FE1" w:rsidR="00AC4BE2" w:rsidRPr="00A7675C" w:rsidRDefault="00AC4BE2" w:rsidP="00AC4BE2">
            <w:pPr>
              <w:jc w:val="center"/>
              <w:rPr>
                <w:rFonts w:ascii="Times New Roman" w:eastAsia="Times New Roman" w:hAnsi="Times New Roman" w:cs="Times New Roman"/>
                <w:sz w:val="24"/>
                <w:szCs w:val="24"/>
              </w:rPr>
            </w:pPr>
            <w:r w:rsidRPr="00A7675C">
              <w:rPr>
                <w:rFonts w:ascii="Times New Roman" w:hAnsi="Times New Roman"/>
                <w:sz w:val="24"/>
                <w:szCs w:val="24"/>
              </w:rPr>
              <w:t>+</w:t>
            </w:r>
            <w:r w:rsidRPr="00A7675C">
              <w:rPr>
                <w:sz w:val="24"/>
                <w:szCs w:val="24"/>
              </w:rPr>
              <w:t xml:space="preserve"> </w:t>
            </w:r>
            <w:r w:rsidRPr="00A7675C">
              <w:rPr>
                <w:rFonts w:ascii="Times New Roman" w:hAnsi="Times New Roman"/>
                <w:sz w:val="24"/>
                <w:szCs w:val="24"/>
              </w:rPr>
              <w:t>5 027 000</w:t>
            </w:r>
          </w:p>
        </w:tc>
        <w:tc>
          <w:tcPr>
            <w:tcW w:w="1253" w:type="dxa"/>
            <w:tcBorders>
              <w:top w:val="outset" w:sz="6" w:space="0" w:color="auto"/>
              <w:left w:val="outset" w:sz="6" w:space="0" w:color="auto"/>
              <w:bottom w:val="outset" w:sz="6" w:space="0" w:color="auto"/>
              <w:right w:val="outset" w:sz="6" w:space="0" w:color="auto"/>
            </w:tcBorders>
            <w:shd w:val="clear" w:color="auto" w:fill="auto"/>
          </w:tcPr>
          <w:p w14:paraId="7C4A02E7" w14:textId="6776D6F3" w:rsidR="00AC4BE2" w:rsidRPr="00A7675C" w:rsidRDefault="00AC4BE2" w:rsidP="00AC4BE2">
            <w:pPr>
              <w:jc w:val="center"/>
              <w:rPr>
                <w:rFonts w:ascii="Times New Roman" w:eastAsia="Times New Roman" w:hAnsi="Times New Roman" w:cs="Times New Roman"/>
                <w:sz w:val="24"/>
                <w:szCs w:val="24"/>
              </w:rPr>
            </w:pPr>
            <w:r w:rsidRPr="00A7675C">
              <w:rPr>
                <w:rFonts w:ascii="Times New Roman" w:hAnsi="Times New Roman"/>
                <w:sz w:val="24"/>
                <w:szCs w:val="24"/>
              </w:rPr>
              <w:t>+</w:t>
            </w:r>
            <w:r w:rsidRPr="00A7675C">
              <w:rPr>
                <w:sz w:val="24"/>
                <w:szCs w:val="24"/>
              </w:rPr>
              <w:t xml:space="preserve"> </w:t>
            </w:r>
            <w:r w:rsidRPr="00A7675C">
              <w:rPr>
                <w:rFonts w:ascii="Times New Roman" w:hAnsi="Times New Roman"/>
                <w:sz w:val="24"/>
                <w:szCs w:val="24"/>
              </w:rPr>
              <w:t>4 394 000</w:t>
            </w:r>
          </w:p>
        </w:tc>
      </w:tr>
      <w:tr w:rsidR="00323B21" w:rsidRPr="00A7675C" w14:paraId="304F7625" w14:textId="77777777" w:rsidTr="002546D2">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hideMark/>
          </w:tcPr>
          <w:p w14:paraId="400D2A43" w14:textId="77777777" w:rsidR="00323B21" w:rsidRPr="00A7675C" w:rsidRDefault="00323B21" w:rsidP="002546D2">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1.2. valsts speciālais budžets</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541B1685" w14:textId="1FA28D53" w:rsidR="00323B21" w:rsidRPr="00A7675C" w:rsidRDefault="00323B21" w:rsidP="002546D2">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2E3BBF6A" w14:textId="041B1FE0"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452B09D8" w14:textId="01F7378F"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1F25701F" w14:textId="4E6E8BD5" w:rsidR="00323B21" w:rsidRPr="00A7675C" w:rsidRDefault="00323B21" w:rsidP="002546D2">
            <w:pPr>
              <w:jc w:val="center"/>
              <w:rPr>
                <w:rFonts w:ascii="Times New Roman" w:eastAsia="Times New Roman" w:hAnsi="Times New Roman" w:cs="Times New Roman"/>
                <w:sz w:val="24"/>
                <w:szCs w:val="24"/>
              </w:rPr>
            </w:pPr>
          </w:p>
        </w:tc>
        <w:tc>
          <w:tcPr>
            <w:tcW w:w="1253" w:type="dxa"/>
            <w:tcBorders>
              <w:top w:val="outset" w:sz="6" w:space="0" w:color="auto"/>
              <w:left w:val="outset" w:sz="6" w:space="0" w:color="auto"/>
              <w:bottom w:val="outset" w:sz="6" w:space="0" w:color="auto"/>
              <w:right w:val="outset" w:sz="6" w:space="0" w:color="auto"/>
            </w:tcBorders>
            <w:shd w:val="clear" w:color="auto" w:fill="auto"/>
          </w:tcPr>
          <w:p w14:paraId="7A4B2821" w14:textId="0F912614" w:rsidR="00323B21" w:rsidRPr="00A7675C" w:rsidRDefault="00323B21" w:rsidP="002546D2">
            <w:pPr>
              <w:jc w:val="center"/>
              <w:rPr>
                <w:rFonts w:ascii="Times New Roman" w:eastAsia="Times New Roman" w:hAnsi="Times New Roman" w:cs="Times New Roman"/>
                <w:sz w:val="24"/>
                <w:szCs w:val="24"/>
              </w:rPr>
            </w:pPr>
          </w:p>
        </w:tc>
      </w:tr>
      <w:tr w:rsidR="00323B21" w:rsidRPr="00A7675C" w14:paraId="6E7098BB" w14:textId="77777777" w:rsidTr="002546D2">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hideMark/>
          </w:tcPr>
          <w:p w14:paraId="73744287" w14:textId="77777777" w:rsidR="00323B21" w:rsidRPr="00A7675C" w:rsidRDefault="00323B21" w:rsidP="002546D2">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1.3. pašvaldību budžets</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4E29341F" w14:textId="03416671" w:rsidR="00323B21" w:rsidRPr="00A7675C" w:rsidRDefault="00323B21" w:rsidP="002546D2">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1DC16580" w14:textId="46AD5923"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1F5FA9FB" w14:textId="40959CCE"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3408CACA" w14:textId="3DE97761" w:rsidR="00323B21" w:rsidRPr="00A7675C" w:rsidRDefault="00323B21" w:rsidP="002546D2">
            <w:pPr>
              <w:jc w:val="center"/>
              <w:rPr>
                <w:rFonts w:ascii="Times New Roman" w:eastAsia="Times New Roman" w:hAnsi="Times New Roman" w:cs="Times New Roman"/>
                <w:sz w:val="24"/>
                <w:szCs w:val="24"/>
              </w:rPr>
            </w:pPr>
          </w:p>
        </w:tc>
        <w:tc>
          <w:tcPr>
            <w:tcW w:w="1253" w:type="dxa"/>
            <w:tcBorders>
              <w:top w:val="outset" w:sz="6" w:space="0" w:color="auto"/>
              <w:left w:val="outset" w:sz="6" w:space="0" w:color="auto"/>
              <w:bottom w:val="outset" w:sz="6" w:space="0" w:color="auto"/>
              <w:right w:val="outset" w:sz="6" w:space="0" w:color="auto"/>
            </w:tcBorders>
            <w:shd w:val="clear" w:color="auto" w:fill="auto"/>
          </w:tcPr>
          <w:p w14:paraId="50588199" w14:textId="3A14756C" w:rsidR="00323B21" w:rsidRPr="00A7675C" w:rsidRDefault="00323B21" w:rsidP="002546D2">
            <w:pPr>
              <w:jc w:val="center"/>
              <w:rPr>
                <w:rFonts w:ascii="Times New Roman" w:eastAsia="Times New Roman" w:hAnsi="Times New Roman" w:cs="Times New Roman"/>
                <w:sz w:val="24"/>
                <w:szCs w:val="24"/>
              </w:rPr>
            </w:pPr>
          </w:p>
        </w:tc>
      </w:tr>
      <w:tr w:rsidR="00323B21" w:rsidRPr="00A7675C" w14:paraId="07CAFB72" w14:textId="77777777" w:rsidTr="002546D2">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hideMark/>
          </w:tcPr>
          <w:p w14:paraId="70A02914" w14:textId="77777777" w:rsidR="00323B21" w:rsidRPr="00A7675C" w:rsidRDefault="00323B21" w:rsidP="002546D2">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 2. Budžeta izdevumi:</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4B54DAE0" w14:textId="40AB3BAE" w:rsidR="00323B21" w:rsidRPr="00A7675C" w:rsidRDefault="00323B21" w:rsidP="002546D2">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115DB1E6" w14:textId="72584DBD"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527E74F5" w14:textId="3EC3A330"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5859C1E1" w14:textId="48E61BC1" w:rsidR="00323B21" w:rsidRPr="00A7675C" w:rsidRDefault="00323B21" w:rsidP="002546D2">
            <w:pPr>
              <w:jc w:val="center"/>
              <w:rPr>
                <w:rFonts w:ascii="Times New Roman" w:eastAsia="Times New Roman" w:hAnsi="Times New Roman" w:cs="Times New Roman"/>
                <w:sz w:val="24"/>
                <w:szCs w:val="24"/>
              </w:rPr>
            </w:pPr>
          </w:p>
        </w:tc>
        <w:tc>
          <w:tcPr>
            <w:tcW w:w="1253" w:type="dxa"/>
            <w:tcBorders>
              <w:top w:val="outset" w:sz="6" w:space="0" w:color="auto"/>
              <w:left w:val="outset" w:sz="6" w:space="0" w:color="auto"/>
              <w:bottom w:val="outset" w:sz="6" w:space="0" w:color="auto"/>
              <w:right w:val="outset" w:sz="6" w:space="0" w:color="auto"/>
            </w:tcBorders>
            <w:shd w:val="clear" w:color="auto" w:fill="auto"/>
          </w:tcPr>
          <w:p w14:paraId="066FBDA4" w14:textId="7F039E8A" w:rsidR="00323B21" w:rsidRPr="00A7675C" w:rsidRDefault="00323B21" w:rsidP="002546D2">
            <w:pPr>
              <w:jc w:val="center"/>
              <w:rPr>
                <w:rFonts w:ascii="Times New Roman" w:eastAsia="Times New Roman" w:hAnsi="Times New Roman" w:cs="Times New Roman"/>
                <w:sz w:val="24"/>
                <w:szCs w:val="24"/>
              </w:rPr>
            </w:pPr>
          </w:p>
        </w:tc>
      </w:tr>
      <w:tr w:rsidR="00323B21" w:rsidRPr="00A7675C" w14:paraId="75B388F2" w14:textId="77777777" w:rsidTr="002546D2">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hideMark/>
          </w:tcPr>
          <w:p w14:paraId="111D071A" w14:textId="77777777" w:rsidR="00323B21" w:rsidRPr="00A7675C" w:rsidRDefault="00323B21" w:rsidP="002546D2">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2.1. valsts pamatbudžets</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21A63D40" w14:textId="2538C021" w:rsidR="00323B21" w:rsidRPr="00A7675C" w:rsidRDefault="00323B21" w:rsidP="002546D2">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01887AB3" w14:textId="6569C1B2"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6BD7CC36" w14:textId="75D41D02"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50C233BF" w14:textId="72D1CDE1" w:rsidR="00323B21" w:rsidRPr="00A7675C" w:rsidRDefault="00323B21" w:rsidP="002546D2">
            <w:pPr>
              <w:jc w:val="center"/>
              <w:rPr>
                <w:rFonts w:ascii="Times New Roman" w:eastAsia="Times New Roman" w:hAnsi="Times New Roman" w:cs="Times New Roman"/>
                <w:sz w:val="24"/>
                <w:szCs w:val="24"/>
              </w:rPr>
            </w:pPr>
          </w:p>
        </w:tc>
        <w:tc>
          <w:tcPr>
            <w:tcW w:w="1253" w:type="dxa"/>
            <w:tcBorders>
              <w:top w:val="outset" w:sz="6" w:space="0" w:color="auto"/>
              <w:left w:val="outset" w:sz="6" w:space="0" w:color="auto"/>
              <w:bottom w:val="outset" w:sz="6" w:space="0" w:color="auto"/>
              <w:right w:val="outset" w:sz="6" w:space="0" w:color="auto"/>
            </w:tcBorders>
            <w:shd w:val="clear" w:color="auto" w:fill="auto"/>
          </w:tcPr>
          <w:p w14:paraId="4547FCA1" w14:textId="041D4AF8" w:rsidR="00323B21" w:rsidRPr="00A7675C" w:rsidRDefault="00323B21" w:rsidP="002546D2">
            <w:pPr>
              <w:jc w:val="center"/>
              <w:rPr>
                <w:rFonts w:ascii="Times New Roman" w:eastAsia="Times New Roman" w:hAnsi="Times New Roman" w:cs="Times New Roman"/>
                <w:sz w:val="24"/>
                <w:szCs w:val="24"/>
              </w:rPr>
            </w:pPr>
          </w:p>
        </w:tc>
      </w:tr>
      <w:tr w:rsidR="00323B21" w:rsidRPr="00A7675C" w14:paraId="7FEF6F66" w14:textId="77777777" w:rsidTr="002546D2">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hideMark/>
          </w:tcPr>
          <w:p w14:paraId="0399B1AA" w14:textId="77777777" w:rsidR="00323B21" w:rsidRPr="00A7675C" w:rsidRDefault="00323B21" w:rsidP="002546D2">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2.2. valsts speciālais budžets</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3A418313" w14:textId="5629A56E" w:rsidR="00323B21" w:rsidRPr="00A7675C" w:rsidRDefault="00323B21" w:rsidP="002546D2">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7E4E5234" w14:textId="79FC111E"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1DB4A115" w14:textId="0B37E294"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359476C6" w14:textId="6F542C64" w:rsidR="00323B21" w:rsidRPr="00A7675C" w:rsidRDefault="00323B21" w:rsidP="002546D2">
            <w:pPr>
              <w:jc w:val="center"/>
              <w:rPr>
                <w:rFonts w:ascii="Times New Roman" w:eastAsia="Times New Roman" w:hAnsi="Times New Roman" w:cs="Times New Roman"/>
                <w:sz w:val="24"/>
                <w:szCs w:val="24"/>
              </w:rPr>
            </w:pPr>
          </w:p>
        </w:tc>
        <w:tc>
          <w:tcPr>
            <w:tcW w:w="1253" w:type="dxa"/>
            <w:tcBorders>
              <w:top w:val="outset" w:sz="6" w:space="0" w:color="auto"/>
              <w:left w:val="outset" w:sz="6" w:space="0" w:color="auto"/>
              <w:bottom w:val="outset" w:sz="6" w:space="0" w:color="auto"/>
              <w:right w:val="outset" w:sz="6" w:space="0" w:color="auto"/>
            </w:tcBorders>
            <w:shd w:val="clear" w:color="auto" w:fill="auto"/>
          </w:tcPr>
          <w:p w14:paraId="1B9D6319" w14:textId="0D2F6C23" w:rsidR="00323B21" w:rsidRPr="00A7675C" w:rsidRDefault="00323B21" w:rsidP="002546D2">
            <w:pPr>
              <w:jc w:val="center"/>
              <w:rPr>
                <w:rFonts w:ascii="Times New Roman" w:eastAsia="Times New Roman" w:hAnsi="Times New Roman" w:cs="Times New Roman"/>
                <w:sz w:val="24"/>
                <w:szCs w:val="24"/>
              </w:rPr>
            </w:pPr>
          </w:p>
        </w:tc>
      </w:tr>
      <w:tr w:rsidR="00323B21" w:rsidRPr="00A7675C" w14:paraId="476DA723" w14:textId="77777777" w:rsidTr="002546D2">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hideMark/>
          </w:tcPr>
          <w:p w14:paraId="1F919A89" w14:textId="77777777" w:rsidR="00323B21" w:rsidRPr="00A7675C" w:rsidRDefault="00323B21" w:rsidP="002546D2">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2.3. pašvaldību budžets</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2FE244A0" w14:textId="31B3CD24" w:rsidR="00323B21" w:rsidRPr="00A7675C" w:rsidRDefault="00323B21" w:rsidP="002546D2">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166F7336" w14:textId="7586067D"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4CA3A43A" w14:textId="5BE4D9D7"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3CE01518" w14:textId="538CCEC2" w:rsidR="00323B21" w:rsidRPr="00A7675C" w:rsidRDefault="00323B21" w:rsidP="002546D2">
            <w:pPr>
              <w:jc w:val="center"/>
              <w:rPr>
                <w:rFonts w:ascii="Times New Roman" w:eastAsia="Times New Roman" w:hAnsi="Times New Roman" w:cs="Times New Roman"/>
                <w:sz w:val="24"/>
                <w:szCs w:val="24"/>
              </w:rPr>
            </w:pPr>
          </w:p>
        </w:tc>
        <w:tc>
          <w:tcPr>
            <w:tcW w:w="1253" w:type="dxa"/>
            <w:tcBorders>
              <w:top w:val="outset" w:sz="6" w:space="0" w:color="auto"/>
              <w:left w:val="outset" w:sz="6" w:space="0" w:color="auto"/>
              <w:bottom w:val="outset" w:sz="6" w:space="0" w:color="auto"/>
              <w:right w:val="outset" w:sz="6" w:space="0" w:color="auto"/>
            </w:tcBorders>
            <w:shd w:val="clear" w:color="auto" w:fill="auto"/>
          </w:tcPr>
          <w:p w14:paraId="7B961341" w14:textId="16BC5EC8" w:rsidR="00323B21" w:rsidRPr="00A7675C" w:rsidRDefault="00323B21" w:rsidP="002546D2">
            <w:pPr>
              <w:jc w:val="center"/>
              <w:rPr>
                <w:rFonts w:ascii="Times New Roman" w:eastAsia="Times New Roman" w:hAnsi="Times New Roman" w:cs="Times New Roman"/>
                <w:sz w:val="24"/>
                <w:szCs w:val="24"/>
              </w:rPr>
            </w:pPr>
          </w:p>
        </w:tc>
      </w:tr>
      <w:tr w:rsidR="00AC4BE2" w:rsidRPr="00A7675C" w14:paraId="7A5D826B" w14:textId="77777777" w:rsidTr="002546D2">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hideMark/>
          </w:tcPr>
          <w:p w14:paraId="54B1D3BD" w14:textId="77777777" w:rsidR="00AC4BE2" w:rsidRPr="00A7675C" w:rsidRDefault="00AC4BE2" w:rsidP="00AC4BE2">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3. Finansiālā ietekme:</w:t>
            </w:r>
          </w:p>
        </w:tc>
        <w:tc>
          <w:tcPr>
            <w:tcW w:w="1157" w:type="dxa"/>
            <w:tcBorders>
              <w:top w:val="outset" w:sz="6" w:space="0" w:color="auto"/>
              <w:left w:val="outset" w:sz="6" w:space="0" w:color="auto"/>
              <w:bottom w:val="outset" w:sz="6" w:space="0" w:color="auto"/>
              <w:right w:val="outset" w:sz="6" w:space="0" w:color="auto"/>
            </w:tcBorders>
            <w:shd w:val="clear" w:color="auto" w:fill="auto"/>
            <w:vAlign w:val="center"/>
          </w:tcPr>
          <w:p w14:paraId="4514D453" w14:textId="35060E46" w:rsidR="00AC4BE2" w:rsidRPr="00A7675C" w:rsidRDefault="00AC4BE2" w:rsidP="00AC4BE2">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4B2245C0" w14:textId="16EC166D" w:rsidR="00AC4BE2" w:rsidRPr="00A7675C" w:rsidRDefault="00AC4BE2" w:rsidP="00AC4BE2">
            <w:pPr>
              <w:jc w:val="center"/>
              <w:rPr>
                <w:rFonts w:ascii="Times New Roman" w:eastAsia="Times New Roman" w:hAnsi="Times New Roman" w:cs="Times New Roman"/>
                <w:sz w:val="24"/>
                <w:szCs w:val="24"/>
              </w:rPr>
            </w:pPr>
            <w:r w:rsidRPr="00564055">
              <w:rPr>
                <w:rFonts w:ascii="Times New Roman" w:eastAsia="Times New Roman" w:hAnsi="Times New Roman" w:cs="Times New Roman"/>
                <w:sz w:val="24"/>
                <w:szCs w:val="24"/>
              </w:rPr>
              <w:t>+2 300 000</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7CDAA92B" w14:textId="102C6AF9" w:rsidR="00AC4BE2" w:rsidRPr="00A7675C" w:rsidRDefault="00AC4BE2" w:rsidP="00AC4BE2">
            <w:pPr>
              <w:jc w:val="center"/>
              <w:rPr>
                <w:rFonts w:ascii="Times New Roman" w:eastAsia="Times New Roman" w:hAnsi="Times New Roman" w:cs="Times New Roman"/>
                <w:sz w:val="24"/>
                <w:szCs w:val="24"/>
              </w:rPr>
            </w:pPr>
            <w:r w:rsidRPr="00A7675C">
              <w:rPr>
                <w:rFonts w:ascii="Times New Roman" w:hAnsi="Times New Roman"/>
                <w:sz w:val="24"/>
                <w:szCs w:val="24"/>
              </w:rPr>
              <w:t>+</w:t>
            </w:r>
            <w:r w:rsidRPr="00A7675C">
              <w:rPr>
                <w:sz w:val="24"/>
                <w:szCs w:val="24"/>
              </w:rPr>
              <w:t xml:space="preserve"> </w:t>
            </w:r>
            <w:r w:rsidRPr="00A7675C">
              <w:rPr>
                <w:rFonts w:ascii="Times New Roman" w:hAnsi="Times New Roman"/>
                <w:sz w:val="24"/>
                <w:szCs w:val="24"/>
              </w:rPr>
              <w:t>5 120 000</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6B98CF54" w14:textId="7A7F040C" w:rsidR="00AC4BE2" w:rsidRPr="00A7675C" w:rsidRDefault="00AC4BE2" w:rsidP="00AC4BE2">
            <w:pPr>
              <w:jc w:val="center"/>
              <w:rPr>
                <w:rFonts w:ascii="Times New Roman" w:eastAsia="Times New Roman" w:hAnsi="Times New Roman" w:cs="Times New Roman"/>
                <w:sz w:val="24"/>
                <w:szCs w:val="24"/>
              </w:rPr>
            </w:pPr>
            <w:r w:rsidRPr="00A7675C">
              <w:rPr>
                <w:rFonts w:ascii="Times New Roman" w:hAnsi="Times New Roman"/>
                <w:sz w:val="24"/>
                <w:szCs w:val="24"/>
              </w:rPr>
              <w:t>+</w:t>
            </w:r>
            <w:r w:rsidRPr="00A7675C">
              <w:rPr>
                <w:sz w:val="24"/>
                <w:szCs w:val="24"/>
              </w:rPr>
              <w:t xml:space="preserve"> </w:t>
            </w:r>
            <w:r w:rsidRPr="00A7675C">
              <w:rPr>
                <w:rFonts w:ascii="Times New Roman" w:hAnsi="Times New Roman"/>
                <w:sz w:val="24"/>
                <w:szCs w:val="24"/>
              </w:rPr>
              <w:t>5 027 000</w:t>
            </w:r>
          </w:p>
        </w:tc>
        <w:tc>
          <w:tcPr>
            <w:tcW w:w="1253" w:type="dxa"/>
            <w:tcBorders>
              <w:top w:val="outset" w:sz="6" w:space="0" w:color="auto"/>
              <w:left w:val="outset" w:sz="6" w:space="0" w:color="auto"/>
              <w:bottom w:val="outset" w:sz="6" w:space="0" w:color="auto"/>
              <w:right w:val="outset" w:sz="6" w:space="0" w:color="auto"/>
            </w:tcBorders>
            <w:shd w:val="clear" w:color="auto" w:fill="auto"/>
          </w:tcPr>
          <w:p w14:paraId="6056BB54" w14:textId="0FF77764" w:rsidR="00AC4BE2" w:rsidRPr="00A7675C" w:rsidRDefault="00AC4BE2" w:rsidP="00AC4BE2">
            <w:pPr>
              <w:jc w:val="center"/>
              <w:rPr>
                <w:rFonts w:ascii="Times New Roman" w:eastAsia="Times New Roman" w:hAnsi="Times New Roman" w:cs="Times New Roman"/>
                <w:sz w:val="24"/>
                <w:szCs w:val="24"/>
              </w:rPr>
            </w:pPr>
            <w:r w:rsidRPr="00A7675C">
              <w:rPr>
                <w:rFonts w:ascii="Times New Roman" w:hAnsi="Times New Roman"/>
                <w:sz w:val="24"/>
                <w:szCs w:val="24"/>
              </w:rPr>
              <w:t>+</w:t>
            </w:r>
            <w:r w:rsidRPr="00A7675C">
              <w:rPr>
                <w:sz w:val="24"/>
                <w:szCs w:val="24"/>
              </w:rPr>
              <w:t xml:space="preserve"> </w:t>
            </w:r>
            <w:r w:rsidRPr="00A7675C">
              <w:rPr>
                <w:rFonts w:ascii="Times New Roman" w:hAnsi="Times New Roman"/>
                <w:sz w:val="24"/>
                <w:szCs w:val="24"/>
              </w:rPr>
              <w:t>4 394 000</w:t>
            </w:r>
          </w:p>
        </w:tc>
      </w:tr>
      <w:tr w:rsidR="00AC4BE2" w:rsidRPr="00A7675C" w14:paraId="449B9211" w14:textId="77777777" w:rsidTr="002546D2">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hideMark/>
          </w:tcPr>
          <w:p w14:paraId="70613B34" w14:textId="77777777" w:rsidR="00AC4BE2" w:rsidRPr="00A7675C" w:rsidRDefault="00AC4BE2" w:rsidP="00AC4BE2">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3.1. valsts pamatbudžets</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5D292F4D" w14:textId="70AD889C" w:rsidR="00AC4BE2" w:rsidRPr="00A7675C" w:rsidRDefault="00AC4BE2" w:rsidP="00AC4BE2">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10088F17" w14:textId="7A251382" w:rsidR="00AC4BE2" w:rsidRPr="00A7675C" w:rsidRDefault="00AC4BE2" w:rsidP="00AC4BE2">
            <w:pPr>
              <w:jc w:val="center"/>
              <w:rPr>
                <w:rFonts w:ascii="Times New Roman" w:eastAsia="Times New Roman" w:hAnsi="Times New Roman" w:cs="Times New Roman"/>
                <w:sz w:val="24"/>
                <w:szCs w:val="24"/>
              </w:rPr>
            </w:pPr>
            <w:r w:rsidRPr="00564055">
              <w:rPr>
                <w:rFonts w:ascii="Times New Roman" w:eastAsia="Times New Roman" w:hAnsi="Times New Roman" w:cs="Times New Roman"/>
                <w:sz w:val="24"/>
                <w:szCs w:val="24"/>
              </w:rPr>
              <w:t>+2 300 000</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33663155" w14:textId="6E5C79F9" w:rsidR="00AC4BE2" w:rsidRPr="00A7675C" w:rsidRDefault="00AC4BE2" w:rsidP="00AC4BE2">
            <w:pPr>
              <w:jc w:val="center"/>
              <w:rPr>
                <w:rFonts w:ascii="Times New Roman" w:eastAsia="Times New Roman" w:hAnsi="Times New Roman" w:cs="Times New Roman"/>
                <w:sz w:val="24"/>
                <w:szCs w:val="24"/>
              </w:rPr>
            </w:pPr>
            <w:r w:rsidRPr="00A7675C">
              <w:rPr>
                <w:rFonts w:ascii="Times New Roman" w:hAnsi="Times New Roman"/>
                <w:sz w:val="24"/>
                <w:szCs w:val="24"/>
              </w:rPr>
              <w:t>+</w:t>
            </w:r>
            <w:r w:rsidRPr="00A7675C">
              <w:rPr>
                <w:sz w:val="24"/>
                <w:szCs w:val="24"/>
              </w:rPr>
              <w:t xml:space="preserve"> </w:t>
            </w:r>
            <w:r w:rsidRPr="00A7675C">
              <w:rPr>
                <w:rFonts w:ascii="Times New Roman" w:hAnsi="Times New Roman"/>
                <w:sz w:val="24"/>
                <w:szCs w:val="24"/>
              </w:rPr>
              <w:t>5 120 000</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727F6AC2" w14:textId="237D2157" w:rsidR="00AC4BE2" w:rsidRPr="00A7675C" w:rsidRDefault="00AC4BE2" w:rsidP="00AC4BE2">
            <w:pPr>
              <w:jc w:val="center"/>
              <w:rPr>
                <w:rFonts w:ascii="Times New Roman" w:eastAsia="Times New Roman" w:hAnsi="Times New Roman" w:cs="Times New Roman"/>
                <w:sz w:val="24"/>
                <w:szCs w:val="24"/>
              </w:rPr>
            </w:pPr>
            <w:r w:rsidRPr="00A7675C">
              <w:rPr>
                <w:rFonts w:ascii="Times New Roman" w:hAnsi="Times New Roman"/>
                <w:sz w:val="24"/>
                <w:szCs w:val="24"/>
              </w:rPr>
              <w:t>+</w:t>
            </w:r>
            <w:r w:rsidRPr="00A7675C">
              <w:rPr>
                <w:sz w:val="24"/>
                <w:szCs w:val="24"/>
              </w:rPr>
              <w:t xml:space="preserve"> </w:t>
            </w:r>
            <w:r w:rsidRPr="00A7675C">
              <w:rPr>
                <w:rFonts w:ascii="Times New Roman" w:hAnsi="Times New Roman"/>
                <w:sz w:val="24"/>
                <w:szCs w:val="24"/>
              </w:rPr>
              <w:t>5 027 000</w:t>
            </w:r>
          </w:p>
        </w:tc>
        <w:tc>
          <w:tcPr>
            <w:tcW w:w="1253" w:type="dxa"/>
            <w:tcBorders>
              <w:top w:val="outset" w:sz="6" w:space="0" w:color="auto"/>
              <w:left w:val="outset" w:sz="6" w:space="0" w:color="auto"/>
              <w:bottom w:val="outset" w:sz="6" w:space="0" w:color="auto"/>
              <w:right w:val="outset" w:sz="6" w:space="0" w:color="auto"/>
            </w:tcBorders>
            <w:shd w:val="clear" w:color="auto" w:fill="auto"/>
          </w:tcPr>
          <w:p w14:paraId="1D2F8F5D" w14:textId="235E45F1" w:rsidR="00AC4BE2" w:rsidRPr="00A7675C" w:rsidRDefault="00AC4BE2" w:rsidP="00AC4BE2">
            <w:pPr>
              <w:jc w:val="center"/>
              <w:rPr>
                <w:rFonts w:ascii="Times New Roman" w:eastAsia="Times New Roman" w:hAnsi="Times New Roman" w:cs="Times New Roman"/>
                <w:sz w:val="24"/>
                <w:szCs w:val="24"/>
              </w:rPr>
            </w:pPr>
            <w:r w:rsidRPr="00A7675C">
              <w:rPr>
                <w:rFonts w:ascii="Times New Roman" w:hAnsi="Times New Roman"/>
                <w:sz w:val="24"/>
                <w:szCs w:val="24"/>
              </w:rPr>
              <w:t>+</w:t>
            </w:r>
            <w:r w:rsidRPr="00A7675C">
              <w:rPr>
                <w:sz w:val="24"/>
                <w:szCs w:val="24"/>
              </w:rPr>
              <w:t xml:space="preserve"> </w:t>
            </w:r>
            <w:r w:rsidRPr="00A7675C">
              <w:rPr>
                <w:rFonts w:ascii="Times New Roman" w:hAnsi="Times New Roman"/>
                <w:sz w:val="24"/>
                <w:szCs w:val="24"/>
              </w:rPr>
              <w:t>4 394 000</w:t>
            </w:r>
          </w:p>
        </w:tc>
      </w:tr>
      <w:tr w:rsidR="00323B21" w:rsidRPr="00A7675C" w14:paraId="5D6DA40B" w14:textId="77777777" w:rsidTr="002546D2">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hideMark/>
          </w:tcPr>
          <w:p w14:paraId="1F3F6142" w14:textId="77777777" w:rsidR="00323B21" w:rsidRPr="00A7675C" w:rsidRDefault="00323B21" w:rsidP="002546D2">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3.2. speciālais budžets</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5D82D49A" w14:textId="5B690E8B" w:rsidR="00323B21" w:rsidRPr="00A7675C" w:rsidRDefault="00323B21" w:rsidP="002546D2">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7F22F78D" w14:textId="39B477EA"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7B7FD3BB" w14:textId="627B929D"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71EAA258" w14:textId="69DD1BAC" w:rsidR="00323B21" w:rsidRPr="00A7675C" w:rsidRDefault="00323B21" w:rsidP="002546D2">
            <w:pPr>
              <w:jc w:val="center"/>
              <w:rPr>
                <w:rFonts w:ascii="Times New Roman" w:eastAsia="Times New Roman" w:hAnsi="Times New Roman" w:cs="Times New Roman"/>
                <w:sz w:val="24"/>
                <w:szCs w:val="24"/>
              </w:rPr>
            </w:pPr>
          </w:p>
        </w:tc>
        <w:tc>
          <w:tcPr>
            <w:tcW w:w="1253" w:type="dxa"/>
            <w:tcBorders>
              <w:top w:val="outset" w:sz="6" w:space="0" w:color="auto"/>
              <w:left w:val="outset" w:sz="6" w:space="0" w:color="auto"/>
              <w:bottom w:val="outset" w:sz="6" w:space="0" w:color="auto"/>
              <w:right w:val="outset" w:sz="6" w:space="0" w:color="auto"/>
            </w:tcBorders>
            <w:shd w:val="clear" w:color="auto" w:fill="auto"/>
          </w:tcPr>
          <w:p w14:paraId="5162FC15" w14:textId="4C5EBF48" w:rsidR="00323B21" w:rsidRPr="00A7675C" w:rsidRDefault="00323B21" w:rsidP="002546D2">
            <w:pPr>
              <w:jc w:val="center"/>
              <w:rPr>
                <w:rFonts w:ascii="Times New Roman" w:eastAsia="Times New Roman" w:hAnsi="Times New Roman" w:cs="Times New Roman"/>
                <w:sz w:val="24"/>
                <w:szCs w:val="24"/>
              </w:rPr>
            </w:pPr>
          </w:p>
        </w:tc>
      </w:tr>
      <w:tr w:rsidR="00323B21" w:rsidRPr="00A7675C" w14:paraId="720C3506" w14:textId="77777777" w:rsidTr="002546D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14:paraId="523B21D9" w14:textId="77777777" w:rsidR="00323B21" w:rsidRPr="00A7675C" w:rsidRDefault="00323B21" w:rsidP="002546D2">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3.3. pašvaldību budžets</w:t>
            </w:r>
          </w:p>
        </w:tc>
        <w:tc>
          <w:tcPr>
            <w:tcW w:w="1157" w:type="dxa"/>
            <w:tcBorders>
              <w:top w:val="outset" w:sz="6" w:space="0" w:color="auto"/>
              <w:left w:val="outset" w:sz="6" w:space="0" w:color="auto"/>
              <w:bottom w:val="outset" w:sz="6" w:space="0" w:color="auto"/>
              <w:right w:val="outset" w:sz="6" w:space="0" w:color="auto"/>
            </w:tcBorders>
          </w:tcPr>
          <w:p w14:paraId="418E523B" w14:textId="13C21300" w:rsidR="00323B21" w:rsidRPr="00A7675C" w:rsidRDefault="00323B21" w:rsidP="002546D2">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tcPr>
          <w:p w14:paraId="0BF57774" w14:textId="01A0E01B"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62F464B2" w14:textId="20F211C8"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54C7EC69" w14:textId="3EB0D542" w:rsidR="00323B21" w:rsidRPr="00A7675C" w:rsidRDefault="00323B21" w:rsidP="002546D2">
            <w:pPr>
              <w:jc w:val="center"/>
              <w:rPr>
                <w:rFonts w:ascii="Times New Roman" w:eastAsia="Times New Roman" w:hAnsi="Times New Roman" w:cs="Times New Roman"/>
                <w:sz w:val="24"/>
                <w:szCs w:val="24"/>
              </w:rPr>
            </w:pPr>
          </w:p>
        </w:tc>
        <w:tc>
          <w:tcPr>
            <w:tcW w:w="1253" w:type="dxa"/>
            <w:tcBorders>
              <w:top w:val="outset" w:sz="6" w:space="0" w:color="auto"/>
              <w:left w:val="outset" w:sz="6" w:space="0" w:color="auto"/>
              <w:bottom w:val="outset" w:sz="6" w:space="0" w:color="auto"/>
              <w:right w:val="outset" w:sz="6" w:space="0" w:color="auto"/>
            </w:tcBorders>
          </w:tcPr>
          <w:p w14:paraId="14C559A1" w14:textId="685FCFB9" w:rsidR="00323B21" w:rsidRPr="00A7675C" w:rsidRDefault="00323B21" w:rsidP="002546D2">
            <w:pPr>
              <w:jc w:val="center"/>
              <w:rPr>
                <w:rFonts w:ascii="Times New Roman" w:eastAsia="Times New Roman" w:hAnsi="Times New Roman" w:cs="Times New Roman"/>
                <w:sz w:val="24"/>
                <w:szCs w:val="24"/>
              </w:rPr>
            </w:pPr>
          </w:p>
        </w:tc>
      </w:tr>
      <w:tr w:rsidR="00323B21" w:rsidRPr="00A7675C" w14:paraId="6B9F1007" w14:textId="77777777" w:rsidTr="002546D2">
        <w:trPr>
          <w:tblCellSpacing w:w="0" w:type="dxa"/>
        </w:trPr>
        <w:tc>
          <w:tcPr>
            <w:tcW w:w="2835" w:type="dxa"/>
            <w:tcBorders>
              <w:top w:val="outset" w:sz="6" w:space="0" w:color="auto"/>
              <w:left w:val="outset" w:sz="6" w:space="0" w:color="auto"/>
              <w:bottom w:val="outset" w:sz="6" w:space="0" w:color="auto"/>
              <w:right w:val="outset" w:sz="6" w:space="0" w:color="auto"/>
            </w:tcBorders>
          </w:tcPr>
          <w:p w14:paraId="595B2894" w14:textId="77777777" w:rsidR="00323B21" w:rsidRPr="00A7675C" w:rsidRDefault="00323B21" w:rsidP="002546D2">
            <w:pPr>
              <w:ind w:left="142"/>
              <w:jc w:val="both"/>
              <w:rPr>
                <w:rFonts w:ascii="Times New Roman" w:eastAsia="Times New Roman" w:hAnsi="Times New Roman" w:cs="Times New Roman"/>
                <w:sz w:val="24"/>
                <w:szCs w:val="24"/>
              </w:rPr>
            </w:pPr>
            <w:r w:rsidRPr="00A7675C">
              <w:rPr>
                <w:rFonts w:ascii="Times New Roman" w:hAnsi="Times New Roman" w:cs="Times New Roman"/>
                <w:sz w:val="24"/>
                <w:szCs w:val="24"/>
              </w:rPr>
              <w:t>4. Finanšu līdzekļi papildu izde</w:t>
            </w:r>
            <w:r w:rsidRPr="00A7675C">
              <w:rPr>
                <w:rFonts w:ascii="Times New Roman" w:hAnsi="Times New Roman" w:cs="Times New Roman"/>
                <w:sz w:val="24"/>
                <w:szCs w:val="24"/>
              </w:rPr>
              <w:softHyphen/>
              <w:t>vumu finansēšanai (kompensējošu izdevumu samazinājumu norāda ar "+" zīmi)</w:t>
            </w:r>
          </w:p>
        </w:tc>
        <w:tc>
          <w:tcPr>
            <w:tcW w:w="1157" w:type="dxa"/>
            <w:tcBorders>
              <w:top w:val="outset" w:sz="6" w:space="0" w:color="auto"/>
              <w:left w:val="outset" w:sz="6" w:space="0" w:color="auto"/>
              <w:bottom w:val="outset" w:sz="6" w:space="0" w:color="auto"/>
              <w:right w:val="outset" w:sz="6" w:space="0" w:color="auto"/>
            </w:tcBorders>
          </w:tcPr>
          <w:p w14:paraId="1930AA48" w14:textId="5C68521E" w:rsidR="00323B21" w:rsidRPr="00A7675C" w:rsidRDefault="00323B21" w:rsidP="002546D2">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tcPr>
          <w:p w14:paraId="7B0150F0" w14:textId="2234BDF6"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7C8AFDA5" w14:textId="7B69BAEB"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7B31A9E2" w14:textId="49B3379F" w:rsidR="00323B21" w:rsidRPr="00A7675C" w:rsidRDefault="00323B21" w:rsidP="002546D2">
            <w:pPr>
              <w:jc w:val="center"/>
              <w:rPr>
                <w:rFonts w:ascii="Times New Roman" w:eastAsia="Times New Roman" w:hAnsi="Times New Roman" w:cs="Times New Roman"/>
                <w:sz w:val="24"/>
                <w:szCs w:val="24"/>
              </w:rPr>
            </w:pPr>
          </w:p>
        </w:tc>
        <w:tc>
          <w:tcPr>
            <w:tcW w:w="1253" w:type="dxa"/>
            <w:tcBorders>
              <w:top w:val="outset" w:sz="6" w:space="0" w:color="auto"/>
              <w:left w:val="outset" w:sz="6" w:space="0" w:color="auto"/>
              <w:bottom w:val="outset" w:sz="6" w:space="0" w:color="auto"/>
              <w:right w:val="outset" w:sz="6" w:space="0" w:color="auto"/>
            </w:tcBorders>
          </w:tcPr>
          <w:p w14:paraId="3B4F488D" w14:textId="175F9A68" w:rsidR="00323B21" w:rsidRPr="00A7675C" w:rsidRDefault="00323B21" w:rsidP="002546D2">
            <w:pPr>
              <w:jc w:val="center"/>
              <w:rPr>
                <w:rFonts w:ascii="Times New Roman" w:eastAsia="Times New Roman" w:hAnsi="Times New Roman" w:cs="Times New Roman"/>
                <w:sz w:val="24"/>
                <w:szCs w:val="24"/>
              </w:rPr>
            </w:pPr>
          </w:p>
        </w:tc>
      </w:tr>
      <w:tr w:rsidR="00323B21" w:rsidRPr="00A7675C" w14:paraId="68426B53" w14:textId="77777777" w:rsidTr="002546D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14:paraId="5036CF55" w14:textId="77777777" w:rsidR="00323B21" w:rsidRPr="00A7675C" w:rsidRDefault="00323B21" w:rsidP="002546D2">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5. Precizēta finansiālā ietekme:</w:t>
            </w:r>
          </w:p>
        </w:tc>
        <w:tc>
          <w:tcPr>
            <w:tcW w:w="1157" w:type="dxa"/>
            <w:vMerge w:val="restart"/>
            <w:tcBorders>
              <w:top w:val="outset" w:sz="6" w:space="0" w:color="auto"/>
              <w:left w:val="outset" w:sz="6" w:space="0" w:color="auto"/>
              <w:bottom w:val="outset" w:sz="6" w:space="0" w:color="auto"/>
              <w:right w:val="outset" w:sz="6" w:space="0" w:color="auto"/>
            </w:tcBorders>
          </w:tcPr>
          <w:p w14:paraId="61BCD435" w14:textId="3E90CFA9" w:rsidR="00323B21" w:rsidRPr="00A7675C" w:rsidRDefault="00323B21" w:rsidP="002546D2">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tcPr>
          <w:p w14:paraId="2425D769" w14:textId="4B420399"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5AC5AF09" w14:textId="0B049E85"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6CD8C894" w14:textId="47A4740B" w:rsidR="00323B21" w:rsidRPr="00A7675C" w:rsidRDefault="00323B21" w:rsidP="002546D2">
            <w:pPr>
              <w:jc w:val="center"/>
              <w:rPr>
                <w:rFonts w:ascii="Times New Roman" w:eastAsia="Times New Roman" w:hAnsi="Times New Roman" w:cs="Times New Roman"/>
                <w:sz w:val="24"/>
                <w:szCs w:val="24"/>
              </w:rPr>
            </w:pPr>
          </w:p>
        </w:tc>
        <w:tc>
          <w:tcPr>
            <w:tcW w:w="1253" w:type="dxa"/>
            <w:tcBorders>
              <w:top w:val="outset" w:sz="6" w:space="0" w:color="auto"/>
              <w:left w:val="outset" w:sz="6" w:space="0" w:color="auto"/>
              <w:bottom w:val="outset" w:sz="6" w:space="0" w:color="auto"/>
              <w:right w:val="outset" w:sz="6" w:space="0" w:color="auto"/>
            </w:tcBorders>
          </w:tcPr>
          <w:p w14:paraId="5393CD93" w14:textId="29233B3E" w:rsidR="00323B21" w:rsidRPr="00A7675C" w:rsidRDefault="00323B21" w:rsidP="002546D2">
            <w:pPr>
              <w:jc w:val="center"/>
              <w:rPr>
                <w:rFonts w:ascii="Times New Roman" w:eastAsia="Times New Roman" w:hAnsi="Times New Roman" w:cs="Times New Roman"/>
                <w:sz w:val="24"/>
                <w:szCs w:val="24"/>
              </w:rPr>
            </w:pPr>
          </w:p>
        </w:tc>
      </w:tr>
      <w:tr w:rsidR="00323B21" w:rsidRPr="00A7675C" w14:paraId="367722DA" w14:textId="77777777" w:rsidTr="002546D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14:paraId="571C30B5" w14:textId="77777777" w:rsidR="00323B21" w:rsidRPr="00A7675C" w:rsidRDefault="00323B21" w:rsidP="002546D2">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5.1. valsts pamatbudžets</w:t>
            </w:r>
          </w:p>
        </w:tc>
        <w:tc>
          <w:tcPr>
            <w:tcW w:w="1157" w:type="dxa"/>
            <w:vMerge/>
            <w:tcBorders>
              <w:top w:val="outset" w:sz="6" w:space="0" w:color="auto"/>
              <w:left w:val="outset" w:sz="6" w:space="0" w:color="auto"/>
              <w:bottom w:val="outset" w:sz="6" w:space="0" w:color="auto"/>
              <w:right w:val="outset" w:sz="6" w:space="0" w:color="auto"/>
            </w:tcBorders>
            <w:vAlign w:val="center"/>
          </w:tcPr>
          <w:p w14:paraId="6F857C9F" w14:textId="77777777" w:rsidR="00323B21" w:rsidRPr="00A7675C" w:rsidRDefault="00323B21" w:rsidP="002546D2">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tcPr>
          <w:p w14:paraId="6F0ADD0A" w14:textId="07D19D2E"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0ECEBD73" w14:textId="16103BC4"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2C469F26" w14:textId="1C2D6F36" w:rsidR="00323B21" w:rsidRPr="00A7675C" w:rsidRDefault="00323B21" w:rsidP="002546D2">
            <w:pPr>
              <w:jc w:val="center"/>
              <w:rPr>
                <w:rFonts w:ascii="Times New Roman" w:eastAsia="Times New Roman" w:hAnsi="Times New Roman" w:cs="Times New Roman"/>
                <w:sz w:val="24"/>
                <w:szCs w:val="24"/>
              </w:rPr>
            </w:pPr>
          </w:p>
        </w:tc>
        <w:tc>
          <w:tcPr>
            <w:tcW w:w="1253" w:type="dxa"/>
            <w:tcBorders>
              <w:top w:val="outset" w:sz="6" w:space="0" w:color="auto"/>
              <w:left w:val="outset" w:sz="6" w:space="0" w:color="auto"/>
              <w:bottom w:val="outset" w:sz="6" w:space="0" w:color="auto"/>
              <w:right w:val="outset" w:sz="6" w:space="0" w:color="auto"/>
            </w:tcBorders>
          </w:tcPr>
          <w:p w14:paraId="2C543B63" w14:textId="547B6062" w:rsidR="00323B21" w:rsidRPr="00A7675C" w:rsidRDefault="00323B21" w:rsidP="002546D2">
            <w:pPr>
              <w:jc w:val="center"/>
              <w:rPr>
                <w:rFonts w:ascii="Times New Roman" w:eastAsia="Times New Roman" w:hAnsi="Times New Roman" w:cs="Times New Roman"/>
                <w:sz w:val="24"/>
                <w:szCs w:val="24"/>
              </w:rPr>
            </w:pPr>
          </w:p>
        </w:tc>
      </w:tr>
      <w:tr w:rsidR="00323B21" w:rsidRPr="00A7675C" w14:paraId="4E85C027" w14:textId="77777777" w:rsidTr="002546D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14:paraId="1380CF87" w14:textId="77777777" w:rsidR="00323B21" w:rsidRPr="00A7675C" w:rsidRDefault="00323B21" w:rsidP="002546D2">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5.2. speciālais budžets</w:t>
            </w:r>
          </w:p>
        </w:tc>
        <w:tc>
          <w:tcPr>
            <w:tcW w:w="1157" w:type="dxa"/>
            <w:vMerge/>
            <w:tcBorders>
              <w:top w:val="outset" w:sz="6" w:space="0" w:color="auto"/>
              <w:left w:val="outset" w:sz="6" w:space="0" w:color="auto"/>
              <w:bottom w:val="outset" w:sz="6" w:space="0" w:color="auto"/>
              <w:right w:val="outset" w:sz="6" w:space="0" w:color="auto"/>
            </w:tcBorders>
            <w:vAlign w:val="center"/>
          </w:tcPr>
          <w:p w14:paraId="4FA628B6" w14:textId="77777777" w:rsidR="00323B21" w:rsidRPr="00A7675C" w:rsidRDefault="00323B21" w:rsidP="002546D2">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tcPr>
          <w:p w14:paraId="3474B093" w14:textId="2AE0F02D"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7BA6C4CD" w14:textId="6F65AE69"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47D8DEAA" w14:textId="63D4A25D" w:rsidR="00323B21" w:rsidRPr="00A7675C" w:rsidRDefault="00323B21" w:rsidP="002546D2">
            <w:pPr>
              <w:jc w:val="center"/>
              <w:rPr>
                <w:rFonts w:ascii="Times New Roman" w:eastAsia="Times New Roman" w:hAnsi="Times New Roman" w:cs="Times New Roman"/>
                <w:sz w:val="24"/>
                <w:szCs w:val="24"/>
              </w:rPr>
            </w:pPr>
          </w:p>
        </w:tc>
        <w:tc>
          <w:tcPr>
            <w:tcW w:w="1253" w:type="dxa"/>
            <w:tcBorders>
              <w:top w:val="outset" w:sz="6" w:space="0" w:color="auto"/>
              <w:left w:val="outset" w:sz="6" w:space="0" w:color="auto"/>
              <w:bottom w:val="outset" w:sz="6" w:space="0" w:color="auto"/>
              <w:right w:val="single" w:sz="4" w:space="0" w:color="auto"/>
            </w:tcBorders>
          </w:tcPr>
          <w:p w14:paraId="65E2F2B4" w14:textId="0F87B26C" w:rsidR="00323B21" w:rsidRPr="00A7675C" w:rsidRDefault="00323B21" w:rsidP="002546D2">
            <w:pPr>
              <w:jc w:val="center"/>
              <w:rPr>
                <w:rFonts w:ascii="Times New Roman" w:eastAsia="Times New Roman" w:hAnsi="Times New Roman" w:cs="Times New Roman"/>
                <w:sz w:val="24"/>
                <w:szCs w:val="24"/>
              </w:rPr>
            </w:pPr>
          </w:p>
        </w:tc>
      </w:tr>
      <w:tr w:rsidR="00323B21" w:rsidRPr="00A7675C" w14:paraId="10314040" w14:textId="77777777" w:rsidTr="002546D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14:paraId="7C296D0F" w14:textId="77777777" w:rsidR="00323B21" w:rsidRPr="00A7675C" w:rsidRDefault="00323B21" w:rsidP="002546D2">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lastRenderedPageBreak/>
              <w:t>5.3. pašvaldību budžets</w:t>
            </w:r>
          </w:p>
        </w:tc>
        <w:tc>
          <w:tcPr>
            <w:tcW w:w="1157" w:type="dxa"/>
            <w:vMerge/>
            <w:tcBorders>
              <w:top w:val="outset" w:sz="6" w:space="0" w:color="auto"/>
              <w:left w:val="outset" w:sz="6" w:space="0" w:color="auto"/>
              <w:bottom w:val="outset" w:sz="6" w:space="0" w:color="auto"/>
              <w:right w:val="outset" w:sz="6" w:space="0" w:color="auto"/>
            </w:tcBorders>
            <w:vAlign w:val="center"/>
          </w:tcPr>
          <w:p w14:paraId="5C49D0EF" w14:textId="77777777" w:rsidR="00323B21" w:rsidRPr="00A7675C" w:rsidRDefault="00323B21" w:rsidP="002546D2">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tcPr>
          <w:p w14:paraId="16E13DAA" w14:textId="397C3310"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5A075841" w14:textId="522A3D3D" w:rsidR="00323B21" w:rsidRPr="00A7675C" w:rsidRDefault="00323B21"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66D1A9FA" w14:textId="22D14AAB" w:rsidR="00323B21" w:rsidRPr="00A7675C" w:rsidRDefault="00323B21" w:rsidP="002546D2">
            <w:pPr>
              <w:jc w:val="center"/>
              <w:rPr>
                <w:rFonts w:ascii="Times New Roman" w:eastAsia="Times New Roman" w:hAnsi="Times New Roman" w:cs="Times New Roman"/>
                <w:sz w:val="24"/>
                <w:szCs w:val="24"/>
              </w:rPr>
            </w:pPr>
          </w:p>
        </w:tc>
        <w:tc>
          <w:tcPr>
            <w:tcW w:w="1253" w:type="dxa"/>
            <w:tcBorders>
              <w:top w:val="outset" w:sz="6" w:space="0" w:color="auto"/>
              <w:left w:val="outset" w:sz="6" w:space="0" w:color="auto"/>
              <w:bottom w:val="outset" w:sz="6" w:space="0" w:color="auto"/>
              <w:right w:val="outset" w:sz="6" w:space="0" w:color="auto"/>
            </w:tcBorders>
          </w:tcPr>
          <w:p w14:paraId="1472B909" w14:textId="126AB5E8" w:rsidR="00323B21" w:rsidRPr="00A7675C" w:rsidRDefault="00323B21" w:rsidP="002546D2">
            <w:pPr>
              <w:jc w:val="center"/>
              <w:rPr>
                <w:rFonts w:ascii="Times New Roman" w:eastAsia="Times New Roman" w:hAnsi="Times New Roman" w:cs="Times New Roman"/>
                <w:sz w:val="24"/>
                <w:szCs w:val="24"/>
              </w:rPr>
            </w:pPr>
          </w:p>
        </w:tc>
      </w:tr>
      <w:tr w:rsidR="00323B21" w:rsidRPr="00A7675C" w14:paraId="39D13680" w14:textId="77777777" w:rsidTr="002546D2">
        <w:trPr>
          <w:trHeight w:val="689"/>
          <w:tblCellSpacing w:w="0" w:type="dxa"/>
        </w:trPr>
        <w:tc>
          <w:tcPr>
            <w:tcW w:w="2835" w:type="dxa"/>
            <w:tcBorders>
              <w:top w:val="outset" w:sz="6" w:space="0" w:color="auto"/>
              <w:left w:val="outset" w:sz="6" w:space="0" w:color="auto"/>
              <w:bottom w:val="outset" w:sz="6" w:space="0" w:color="auto"/>
              <w:right w:val="outset" w:sz="6" w:space="0" w:color="auto"/>
            </w:tcBorders>
            <w:hideMark/>
          </w:tcPr>
          <w:p w14:paraId="4C7A90A5" w14:textId="77777777" w:rsidR="00323B21" w:rsidRPr="00A7675C" w:rsidRDefault="00323B21" w:rsidP="002546D2">
            <w:pPr>
              <w:ind w:left="142" w:right="-157"/>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6. Detalizēts ieņēmumu un izdevu</w:t>
            </w:r>
            <w:r w:rsidRPr="00A7675C">
              <w:rPr>
                <w:rFonts w:ascii="Times New Roman" w:eastAsia="Times New Roman" w:hAnsi="Times New Roman" w:cs="Times New Roman"/>
                <w:sz w:val="24"/>
                <w:szCs w:val="24"/>
              </w:rPr>
              <w:softHyphen/>
              <w:t>mu aprēķins (ja nepieciešams, detalizētu ieņēmumu un izdevumu aprēķinu var pievienot anotācijas pielikumā):</w:t>
            </w:r>
          </w:p>
        </w:tc>
        <w:tc>
          <w:tcPr>
            <w:tcW w:w="5954" w:type="dxa"/>
            <w:gridSpan w:val="5"/>
            <w:tcBorders>
              <w:top w:val="outset" w:sz="6" w:space="0" w:color="auto"/>
              <w:left w:val="outset" w:sz="6" w:space="0" w:color="auto"/>
              <w:bottom w:val="outset" w:sz="6" w:space="0" w:color="auto"/>
              <w:right w:val="outset" w:sz="6" w:space="0" w:color="auto"/>
            </w:tcBorders>
            <w:vAlign w:val="center"/>
          </w:tcPr>
          <w:p w14:paraId="245F1055" w14:textId="5B7BAA3C" w:rsidR="00323B21" w:rsidRPr="00A7675C" w:rsidRDefault="001D55F6" w:rsidP="00DC4F9A">
            <w:pPr>
              <w:spacing w:after="0" w:line="240" w:lineRule="auto"/>
              <w:ind w:left="127" w:right="125"/>
              <w:jc w:val="both"/>
              <w:rPr>
                <w:rFonts w:ascii="Times New Roman" w:hAnsi="Times New Roman"/>
                <w:sz w:val="24"/>
                <w:szCs w:val="24"/>
              </w:rPr>
            </w:pPr>
            <w:r>
              <w:rPr>
                <w:rFonts w:ascii="Times New Roman" w:eastAsia="Times New Roman" w:hAnsi="Times New Roman" w:cs="Times New Roman"/>
                <w:color w:val="000000"/>
                <w:sz w:val="24"/>
                <w:szCs w:val="24"/>
              </w:rPr>
              <w:t>PVN apgrieztās maksāšanas kārtības</w:t>
            </w:r>
            <w:r w:rsidR="00616AEA" w:rsidRPr="00A7675C">
              <w:rPr>
                <w:rFonts w:ascii="Times New Roman" w:eastAsia="Times New Roman" w:hAnsi="Times New Roman" w:cs="Times New Roman"/>
                <w:sz w:val="24"/>
                <w:szCs w:val="24"/>
              </w:rPr>
              <w:t xml:space="preserve"> </w:t>
            </w:r>
            <w:r w:rsidR="00323B21" w:rsidRPr="00A7675C">
              <w:rPr>
                <w:rFonts w:ascii="Times New Roman" w:eastAsia="Times New Roman" w:hAnsi="Times New Roman" w:cs="Times New Roman"/>
                <w:sz w:val="24"/>
                <w:szCs w:val="24"/>
              </w:rPr>
              <w:t xml:space="preserve">ieviešana </w:t>
            </w:r>
            <w:r w:rsidR="00323B21" w:rsidRPr="00A7675C">
              <w:rPr>
                <w:rFonts w:ascii="Times New Roman" w:hAnsi="Times New Roman"/>
                <w:sz w:val="24"/>
                <w:szCs w:val="24"/>
              </w:rPr>
              <w:t xml:space="preserve">graudaugu un tehnisko kultūru </w:t>
            </w:r>
            <w:r w:rsidR="002E768A" w:rsidRPr="00A7675C">
              <w:rPr>
                <w:rFonts w:ascii="Times New Roman" w:hAnsi="Times New Roman"/>
                <w:sz w:val="24"/>
                <w:szCs w:val="24"/>
              </w:rPr>
              <w:t>(</w:t>
            </w:r>
            <w:r w:rsidR="006D4C35" w:rsidRPr="00A7675C">
              <w:rPr>
                <w:rFonts w:ascii="Times New Roman" w:hAnsi="Times New Roman"/>
                <w:sz w:val="24"/>
                <w:szCs w:val="24"/>
              </w:rPr>
              <w:t>to</w:t>
            </w:r>
            <w:r w:rsidR="00323B21" w:rsidRPr="00A7675C">
              <w:rPr>
                <w:rFonts w:ascii="Times New Roman" w:hAnsi="Times New Roman"/>
                <w:sz w:val="24"/>
                <w:szCs w:val="24"/>
              </w:rPr>
              <w:t>starp eļļas augu sēklu</w:t>
            </w:r>
            <w:r w:rsidR="002E768A" w:rsidRPr="00A7675C">
              <w:rPr>
                <w:rFonts w:ascii="Times New Roman" w:hAnsi="Times New Roman"/>
                <w:sz w:val="24"/>
                <w:szCs w:val="24"/>
              </w:rPr>
              <w:t>)</w:t>
            </w:r>
            <w:r w:rsidR="00323B21" w:rsidRPr="00A7675C">
              <w:rPr>
                <w:rFonts w:ascii="Times New Roman" w:hAnsi="Times New Roman"/>
                <w:sz w:val="24"/>
                <w:szCs w:val="24"/>
              </w:rPr>
              <w:t xml:space="preserve">, </w:t>
            </w:r>
            <w:r w:rsidR="002E768A" w:rsidRPr="00A7675C">
              <w:rPr>
                <w:rFonts w:ascii="Times New Roman" w:hAnsi="Times New Roman"/>
                <w:sz w:val="24"/>
                <w:szCs w:val="24"/>
              </w:rPr>
              <w:t>tai skaitā š</w:t>
            </w:r>
            <w:r w:rsidR="002546D2" w:rsidRPr="00A7675C">
              <w:rPr>
                <w:rFonts w:ascii="Times New Roman" w:hAnsi="Times New Roman"/>
                <w:sz w:val="24"/>
                <w:szCs w:val="24"/>
              </w:rPr>
              <w:t>o</w:t>
            </w:r>
            <w:r w:rsidR="002E768A" w:rsidRPr="00A7675C">
              <w:rPr>
                <w:rFonts w:ascii="Times New Roman" w:hAnsi="Times New Roman"/>
                <w:sz w:val="24"/>
                <w:szCs w:val="24"/>
              </w:rPr>
              <w:t xml:space="preserve"> preču maisījumiem, </w:t>
            </w:r>
            <w:r w:rsidR="00323B21" w:rsidRPr="00A7675C">
              <w:rPr>
                <w:rFonts w:ascii="Times New Roman" w:hAnsi="Times New Roman"/>
                <w:sz w:val="24"/>
                <w:szCs w:val="24"/>
              </w:rPr>
              <w:t xml:space="preserve">ko </w:t>
            </w:r>
            <w:proofErr w:type="spellStart"/>
            <w:r w:rsidR="00323B21" w:rsidRPr="00A7675C">
              <w:rPr>
                <w:rFonts w:ascii="Times New Roman" w:hAnsi="Times New Roman"/>
                <w:sz w:val="24"/>
                <w:szCs w:val="24"/>
              </w:rPr>
              <w:t>galapatēriņa</w:t>
            </w:r>
            <w:proofErr w:type="spellEnd"/>
            <w:r w:rsidR="00323B21" w:rsidRPr="00A7675C">
              <w:rPr>
                <w:rFonts w:ascii="Times New Roman" w:hAnsi="Times New Roman"/>
                <w:sz w:val="24"/>
                <w:szCs w:val="24"/>
              </w:rPr>
              <w:t xml:space="preserve"> stadijā parasti neizmanto neizmainītā stāvoklī, piegādēm samazinās krāpšanos PVN jomā sekojošās nozarēs:</w:t>
            </w:r>
          </w:p>
          <w:p w14:paraId="65DF684F" w14:textId="09AF1733" w:rsidR="00323B21" w:rsidRPr="00A7675C" w:rsidRDefault="00323B21" w:rsidP="002546D2">
            <w:pPr>
              <w:pStyle w:val="ListParagraph"/>
              <w:numPr>
                <w:ilvl w:val="0"/>
                <w:numId w:val="9"/>
              </w:numPr>
              <w:spacing w:after="0" w:line="240" w:lineRule="auto"/>
              <w:ind w:right="125"/>
              <w:jc w:val="both"/>
              <w:rPr>
                <w:rFonts w:ascii="Times New Roman" w:eastAsia="Times New Roman" w:hAnsi="Times New Roman" w:cs="Times New Roman"/>
                <w:sz w:val="24"/>
                <w:szCs w:val="24"/>
              </w:rPr>
            </w:pPr>
            <w:r w:rsidRPr="00A7675C">
              <w:rPr>
                <w:rFonts w:ascii="Times New Roman" w:hAnsi="Times New Roman"/>
                <w:sz w:val="24"/>
                <w:szCs w:val="24"/>
              </w:rPr>
              <w:t>graudaugu (izņemot rīsu), pākšaugu un eļļas augu sēklu audzēšana  (pamatdarbības veida kods saskaņā ar Saimnieciskās darbības statistisko klasifikāciju Eiropas Kopienā (NACE 2.</w:t>
            </w:r>
            <w:r w:rsidR="008A0EEA" w:rsidRPr="00A7675C">
              <w:rPr>
                <w:rFonts w:ascii="Times New Roman" w:hAnsi="Times New Roman"/>
                <w:sz w:val="24"/>
                <w:szCs w:val="24"/>
              </w:rPr>
              <w:t> </w:t>
            </w:r>
            <w:proofErr w:type="spellStart"/>
            <w:r w:rsidRPr="00A7675C">
              <w:rPr>
                <w:rFonts w:ascii="Times New Roman" w:hAnsi="Times New Roman"/>
                <w:sz w:val="24"/>
                <w:szCs w:val="24"/>
              </w:rPr>
              <w:t>red</w:t>
            </w:r>
            <w:proofErr w:type="spellEnd"/>
            <w:r w:rsidRPr="00A7675C">
              <w:rPr>
                <w:rFonts w:ascii="Times New Roman" w:hAnsi="Times New Roman"/>
                <w:sz w:val="24"/>
                <w:szCs w:val="24"/>
              </w:rPr>
              <w:t>.) ir 0111);</w:t>
            </w:r>
          </w:p>
          <w:p w14:paraId="33736475" w14:textId="1D813930" w:rsidR="00323B21" w:rsidRPr="00A7675C" w:rsidRDefault="00323B21" w:rsidP="002546D2">
            <w:pPr>
              <w:pStyle w:val="ListParagraph"/>
              <w:numPr>
                <w:ilvl w:val="0"/>
                <w:numId w:val="9"/>
              </w:numPr>
              <w:spacing w:after="0" w:line="240" w:lineRule="auto"/>
              <w:ind w:right="125"/>
              <w:jc w:val="both"/>
              <w:rPr>
                <w:rFonts w:ascii="Times New Roman" w:eastAsia="Times New Roman" w:hAnsi="Times New Roman" w:cs="Times New Roman"/>
                <w:sz w:val="24"/>
                <w:szCs w:val="24"/>
              </w:rPr>
            </w:pPr>
            <w:r w:rsidRPr="00A7675C">
              <w:rPr>
                <w:rFonts w:ascii="Times New Roman" w:hAnsi="Times New Roman"/>
                <w:sz w:val="24"/>
                <w:szCs w:val="24"/>
              </w:rPr>
              <w:t>graudu malšanas produktu ražošana (NACE 2.</w:t>
            </w:r>
            <w:r w:rsidR="008A0EEA" w:rsidRPr="00A7675C">
              <w:rPr>
                <w:rFonts w:ascii="Times New Roman" w:hAnsi="Times New Roman"/>
                <w:sz w:val="24"/>
                <w:szCs w:val="24"/>
              </w:rPr>
              <w:t> </w:t>
            </w:r>
            <w:proofErr w:type="spellStart"/>
            <w:r w:rsidRPr="00A7675C">
              <w:rPr>
                <w:rFonts w:ascii="Times New Roman" w:hAnsi="Times New Roman"/>
                <w:sz w:val="24"/>
                <w:szCs w:val="24"/>
              </w:rPr>
              <w:t>red</w:t>
            </w:r>
            <w:proofErr w:type="spellEnd"/>
            <w:r w:rsidRPr="00A7675C">
              <w:rPr>
                <w:rFonts w:ascii="Times New Roman" w:hAnsi="Times New Roman"/>
                <w:sz w:val="24"/>
                <w:szCs w:val="24"/>
              </w:rPr>
              <w:t>. kods 1061);</w:t>
            </w:r>
          </w:p>
          <w:p w14:paraId="2D34AFB8" w14:textId="5D85D356" w:rsidR="00323B21" w:rsidRPr="00A7675C" w:rsidRDefault="00323B21" w:rsidP="002546D2">
            <w:pPr>
              <w:pStyle w:val="ListParagraph"/>
              <w:numPr>
                <w:ilvl w:val="0"/>
                <w:numId w:val="9"/>
              </w:numPr>
              <w:spacing w:after="0" w:line="240" w:lineRule="auto"/>
              <w:ind w:right="125"/>
              <w:jc w:val="both"/>
              <w:rPr>
                <w:rFonts w:ascii="Times New Roman" w:eastAsia="Times New Roman" w:hAnsi="Times New Roman" w:cs="Times New Roman"/>
                <w:sz w:val="24"/>
                <w:szCs w:val="24"/>
              </w:rPr>
            </w:pPr>
            <w:r w:rsidRPr="00A7675C">
              <w:rPr>
                <w:rFonts w:ascii="Times New Roman" w:hAnsi="Times New Roman"/>
                <w:sz w:val="24"/>
                <w:szCs w:val="24"/>
              </w:rPr>
              <w:t>graudu, sēklu, neapstrādātas tabakas un lopbarības vairumtirdzniecība (NACE 2.</w:t>
            </w:r>
            <w:r w:rsidR="008A0EEA" w:rsidRPr="00A7675C">
              <w:rPr>
                <w:rFonts w:ascii="Times New Roman" w:hAnsi="Times New Roman"/>
                <w:sz w:val="24"/>
                <w:szCs w:val="24"/>
              </w:rPr>
              <w:t> </w:t>
            </w:r>
            <w:proofErr w:type="spellStart"/>
            <w:r w:rsidRPr="00A7675C">
              <w:rPr>
                <w:rFonts w:ascii="Times New Roman" w:hAnsi="Times New Roman"/>
                <w:sz w:val="24"/>
                <w:szCs w:val="24"/>
              </w:rPr>
              <w:t>red</w:t>
            </w:r>
            <w:proofErr w:type="spellEnd"/>
            <w:r w:rsidRPr="00A7675C">
              <w:rPr>
                <w:rFonts w:ascii="Times New Roman" w:hAnsi="Times New Roman"/>
                <w:sz w:val="24"/>
                <w:szCs w:val="24"/>
              </w:rPr>
              <w:t>. kods 4621).</w:t>
            </w:r>
          </w:p>
          <w:p w14:paraId="0D4ABCEA" w14:textId="12275AC0" w:rsidR="002A4F97" w:rsidRPr="00A7675C" w:rsidRDefault="001D55F6" w:rsidP="002546D2">
            <w:pPr>
              <w:spacing w:after="0" w:line="240" w:lineRule="auto"/>
              <w:ind w:left="127" w:firstLine="448"/>
              <w:jc w:val="both"/>
              <w:rPr>
                <w:rFonts w:ascii="Times New Roman" w:eastAsia="Times New Roman" w:hAnsi="Times New Roman" w:cs="Times New Roman"/>
                <w:bCs/>
                <w:color w:val="000000" w:themeColor="text1"/>
                <w:sz w:val="24"/>
                <w:szCs w:val="24"/>
              </w:rPr>
            </w:pPr>
            <w:r w:rsidRPr="00A7675C">
              <w:rPr>
                <w:rFonts w:ascii="Times New Roman" w:eastAsia="Times New Roman" w:hAnsi="Times New Roman" w:cs="Times New Roman"/>
                <w:color w:val="000000"/>
                <w:sz w:val="24"/>
                <w:szCs w:val="24"/>
              </w:rPr>
              <w:t>PVN apgriezt</w:t>
            </w:r>
            <w:r>
              <w:rPr>
                <w:rFonts w:ascii="Times New Roman" w:eastAsia="Times New Roman" w:hAnsi="Times New Roman" w:cs="Times New Roman"/>
                <w:color w:val="000000"/>
                <w:sz w:val="24"/>
                <w:szCs w:val="24"/>
              </w:rPr>
              <w:t>ās maksāšanas kārtības</w:t>
            </w:r>
            <w:r w:rsidRPr="00A7675C">
              <w:rPr>
                <w:rFonts w:ascii="Times New Roman" w:eastAsia="Times New Roman" w:hAnsi="Times New Roman" w:cs="Times New Roman"/>
                <w:bCs/>
                <w:sz w:val="24"/>
                <w:szCs w:val="24"/>
              </w:rPr>
              <w:t xml:space="preserve"> </w:t>
            </w:r>
            <w:r w:rsidR="002A4F97" w:rsidRPr="00A7675C">
              <w:rPr>
                <w:rFonts w:ascii="Times New Roman" w:eastAsia="Times New Roman" w:hAnsi="Times New Roman" w:cs="Times New Roman"/>
                <w:bCs/>
                <w:sz w:val="24"/>
                <w:szCs w:val="24"/>
              </w:rPr>
              <w:t xml:space="preserve">ieviešanas fiskālā ietekme uz PVN ieņēmumiem ir </w:t>
            </w:r>
            <w:r w:rsidR="002A4F97" w:rsidRPr="00A7675C">
              <w:rPr>
                <w:rFonts w:ascii="Times New Roman" w:eastAsia="Times New Roman" w:hAnsi="Times New Roman" w:cs="Times New Roman"/>
                <w:bCs/>
                <w:color w:val="000000" w:themeColor="text1"/>
                <w:sz w:val="24"/>
                <w:szCs w:val="24"/>
              </w:rPr>
              <w:t>aprēķināta</w:t>
            </w:r>
            <w:r w:rsidR="003A50CC" w:rsidRPr="00A7675C">
              <w:rPr>
                <w:rFonts w:ascii="Times New Roman" w:eastAsia="Times New Roman" w:hAnsi="Times New Roman" w:cs="Times New Roman"/>
                <w:bCs/>
                <w:color w:val="000000" w:themeColor="text1"/>
                <w:sz w:val="24"/>
                <w:szCs w:val="24"/>
              </w:rPr>
              <w:t>,</w:t>
            </w:r>
            <w:r w:rsidR="002A4F97" w:rsidRPr="00A7675C">
              <w:rPr>
                <w:rFonts w:ascii="Times New Roman" w:eastAsia="Times New Roman" w:hAnsi="Times New Roman" w:cs="Times New Roman"/>
                <w:bCs/>
                <w:color w:val="000000" w:themeColor="text1"/>
                <w:sz w:val="24"/>
                <w:szCs w:val="24"/>
              </w:rPr>
              <w:t xml:space="preserve"> ņemot vērā PVN maksāšanas kārtību valsts budžetā un </w:t>
            </w:r>
            <w:r w:rsidR="002A4F97" w:rsidRPr="00AC4BE2">
              <w:rPr>
                <w:rFonts w:ascii="Times New Roman" w:eastAsia="Times New Roman" w:hAnsi="Times New Roman" w:cs="Times New Roman"/>
                <w:bCs/>
                <w:color w:val="000000" w:themeColor="text1"/>
                <w:sz w:val="24"/>
                <w:szCs w:val="24"/>
              </w:rPr>
              <w:t>PVN likuma grozījumu stāšanos spēkā 201</w:t>
            </w:r>
            <w:r w:rsidR="00C47FE6" w:rsidRPr="00AC4BE2">
              <w:rPr>
                <w:rFonts w:ascii="Times New Roman" w:eastAsia="Times New Roman" w:hAnsi="Times New Roman" w:cs="Times New Roman"/>
                <w:bCs/>
                <w:color w:val="000000" w:themeColor="text1"/>
                <w:sz w:val="24"/>
                <w:szCs w:val="24"/>
              </w:rPr>
              <w:t>6</w:t>
            </w:r>
            <w:r w:rsidR="002A4F97" w:rsidRPr="00AC4BE2">
              <w:rPr>
                <w:rFonts w:ascii="Times New Roman" w:eastAsia="Times New Roman" w:hAnsi="Times New Roman" w:cs="Times New Roman"/>
                <w:bCs/>
                <w:color w:val="000000" w:themeColor="text1"/>
                <w:sz w:val="24"/>
                <w:szCs w:val="24"/>
              </w:rPr>
              <w:t>.gada 1.j</w:t>
            </w:r>
            <w:r w:rsidR="00C47FE6" w:rsidRPr="00AC4BE2">
              <w:rPr>
                <w:rFonts w:ascii="Times New Roman" w:eastAsia="Times New Roman" w:hAnsi="Times New Roman" w:cs="Times New Roman"/>
                <w:bCs/>
                <w:color w:val="000000" w:themeColor="text1"/>
                <w:sz w:val="24"/>
                <w:szCs w:val="24"/>
              </w:rPr>
              <w:t>ūlijā</w:t>
            </w:r>
            <w:r w:rsidR="00201419" w:rsidRPr="00A7675C">
              <w:rPr>
                <w:rFonts w:ascii="Times New Roman" w:eastAsia="Times New Roman" w:hAnsi="Times New Roman" w:cs="Times New Roman"/>
                <w:bCs/>
                <w:color w:val="000000" w:themeColor="text1"/>
                <w:sz w:val="24"/>
                <w:szCs w:val="24"/>
              </w:rPr>
              <w:t>,</w:t>
            </w:r>
            <w:r w:rsidR="002A4F97" w:rsidRPr="00A7675C">
              <w:rPr>
                <w:rFonts w:ascii="Times New Roman" w:eastAsia="Times New Roman" w:hAnsi="Times New Roman" w:cs="Times New Roman"/>
                <w:bCs/>
                <w:color w:val="000000" w:themeColor="text1"/>
                <w:sz w:val="24"/>
                <w:szCs w:val="24"/>
              </w:rPr>
              <w:t xml:space="preserve"> un </w:t>
            </w:r>
            <w:r w:rsidR="003A50CC" w:rsidRPr="00A7675C">
              <w:rPr>
                <w:rFonts w:ascii="Times New Roman" w:eastAsia="Times New Roman" w:hAnsi="Times New Roman" w:cs="Times New Roman"/>
                <w:bCs/>
                <w:color w:val="000000" w:themeColor="text1"/>
                <w:sz w:val="24"/>
                <w:szCs w:val="24"/>
              </w:rPr>
              <w:t>t</w:t>
            </w:r>
            <w:r w:rsidR="00201419" w:rsidRPr="00A7675C">
              <w:rPr>
                <w:rFonts w:ascii="Times New Roman" w:eastAsia="Times New Roman" w:hAnsi="Times New Roman" w:cs="Times New Roman"/>
                <w:bCs/>
                <w:color w:val="000000" w:themeColor="text1"/>
                <w:sz w:val="24"/>
                <w:szCs w:val="24"/>
              </w:rPr>
              <w:t xml:space="preserve">ā </w:t>
            </w:r>
            <w:r w:rsidR="00AC4BE2">
              <w:rPr>
                <w:rFonts w:ascii="Times New Roman" w:eastAsia="Times New Roman" w:hAnsi="Times New Roman" w:cs="Times New Roman"/>
                <w:bCs/>
                <w:color w:val="000000" w:themeColor="text1"/>
                <w:sz w:val="24"/>
                <w:szCs w:val="24"/>
              </w:rPr>
              <w:t>2016.gadā ir 2,3 milj. </w:t>
            </w:r>
            <w:proofErr w:type="spellStart"/>
            <w:r w:rsidR="00AC4BE2" w:rsidRPr="00564055">
              <w:rPr>
                <w:rFonts w:ascii="Times New Roman" w:eastAsia="Times New Roman" w:hAnsi="Times New Roman" w:cs="Times New Roman"/>
                <w:bCs/>
                <w:i/>
                <w:color w:val="000000" w:themeColor="text1"/>
                <w:sz w:val="24"/>
                <w:szCs w:val="24"/>
              </w:rPr>
              <w:t>euro</w:t>
            </w:r>
            <w:proofErr w:type="spellEnd"/>
            <w:r w:rsidR="00AC4BE2">
              <w:rPr>
                <w:rFonts w:ascii="Times New Roman" w:eastAsia="Times New Roman" w:hAnsi="Times New Roman" w:cs="Times New Roman"/>
                <w:bCs/>
                <w:color w:val="000000" w:themeColor="text1"/>
                <w:sz w:val="24"/>
                <w:szCs w:val="24"/>
              </w:rPr>
              <w:t>,</w:t>
            </w:r>
            <w:r w:rsidR="00AC4BE2" w:rsidRPr="00A7675C">
              <w:rPr>
                <w:rFonts w:ascii="Times New Roman" w:eastAsia="Times New Roman" w:hAnsi="Times New Roman" w:cs="Times New Roman"/>
                <w:bCs/>
                <w:color w:val="000000" w:themeColor="text1"/>
                <w:sz w:val="24"/>
                <w:szCs w:val="24"/>
              </w:rPr>
              <w:t xml:space="preserve"> </w:t>
            </w:r>
            <w:r w:rsidR="002A4F97" w:rsidRPr="00A7675C">
              <w:rPr>
                <w:rFonts w:ascii="Times New Roman" w:eastAsia="Times New Roman" w:hAnsi="Times New Roman" w:cs="Times New Roman"/>
                <w:bCs/>
                <w:color w:val="000000" w:themeColor="text1"/>
                <w:sz w:val="24"/>
                <w:szCs w:val="24"/>
              </w:rPr>
              <w:t xml:space="preserve">2017.gadā </w:t>
            </w:r>
            <w:r w:rsidR="00AC4BE2">
              <w:rPr>
                <w:rFonts w:ascii="Times New Roman" w:eastAsia="Times New Roman" w:hAnsi="Times New Roman" w:cs="Times New Roman"/>
                <w:bCs/>
                <w:color w:val="000000" w:themeColor="text1"/>
                <w:sz w:val="24"/>
                <w:szCs w:val="24"/>
              </w:rPr>
              <w:t>-</w:t>
            </w:r>
            <w:r w:rsidR="002A4F97" w:rsidRPr="00A7675C">
              <w:rPr>
                <w:rFonts w:ascii="Times New Roman" w:eastAsia="Times New Roman" w:hAnsi="Times New Roman" w:cs="Times New Roman"/>
                <w:bCs/>
                <w:color w:val="000000" w:themeColor="text1"/>
                <w:sz w:val="24"/>
                <w:szCs w:val="24"/>
              </w:rPr>
              <w:t xml:space="preserve"> 5,</w:t>
            </w:r>
            <w:r w:rsidR="008A0EEA" w:rsidRPr="00A7675C">
              <w:rPr>
                <w:rFonts w:ascii="Times New Roman" w:eastAsia="Times New Roman" w:hAnsi="Times New Roman" w:cs="Times New Roman"/>
                <w:bCs/>
                <w:color w:val="000000" w:themeColor="text1"/>
                <w:sz w:val="24"/>
                <w:szCs w:val="24"/>
              </w:rPr>
              <w:t>1</w:t>
            </w:r>
            <w:r w:rsidR="002A4F97" w:rsidRPr="00A7675C">
              <w:rPr>
                <w:rFonts w:ascii="Times New Roman" w:eastAsia="Times New Roman" w:hAnsi="Times New Roman" w:cs="Times New Roman"/>
                <w:bCs/>
                <w:color w:val="000000" w:themeColor="text1"/>
                <w:sz w:val="24"/>
                <w:szCs w:val="24"/>
              </w:rPr>
              <w:t xml:space="preserve"> milj. </w:t>
            </w:r>
            <w:proofErr w:type="spellStart"/>
            <w:r w:rsidR="002A4F97" w:rsidRPr="00A7675C">
              <w:rPr>
                <w:rFonts w:ascii="Times New Roman" w:eastAsia="Times New Roman" w:hAnsi="Times New Roman" w:cs="Times New Roman"/>
                <w:bCs/>
                <w:i/>
                <w:color w:val="000000" w:themeColor="text1"/>
                <w:sz w:val="24"/>
                <w:szCs w:val="24"/>
              </w:rPr>
              <w:t>euro</w:t>
            </w:r>
            <w:proofErr w:type="spellEnd"/>
            <w:r w:rsidR="002A4F97" w:rsidRPr="00A7675C">
              <w:rPr>
                <w:rFonts w:ascii="Times New Roman" w:eastAsia="Times New Roman" w:hAnsi="Times New Roman" w:cs="Times New Roman"/>
                <w:bCs/>
                <w:color w:val="000000" w:themeColor="text1"/>
                <w:sz w:val="24"/>
                <w:szCs w:val="24"/>
              </w:rPr>
              <w:t xml:space="preserve">, 2018. gadā – </w:t>
            </w:r>
            <w:r w:rsidR="00D322C8" w:rsidRPr="00A7675C">
              <w:rPr>
                <w:rFonts w:ascii="Times New Roman" w:eastAsia="Times New Roman" w:hAnsi="Times New Roman" w:cs="Times New Roman"/>
                <w:bCs/>
                <w:color w:val="000000" w:themeColor="text1"/>
                <w:sz w:val="24"/>
                <w:szCs w:val="24"/>
              </w:rPr>
              <w:t>5,0</w:t>
            </w:r>
            <w:r w:rsidR="002A4F97" w:rsidRPr="00A7675C">
              <w:rPr>
                <w:rFonts w:ascii="Times New Roman" w:eastAsia="Times New Roman" w:hAnsi="Times New Roman" w:cs="Times New Roman"/>
                <w:bCs/>
                <w:color w:val="000000" w:themeColor="text1"/>
                <w:sz w:val="24"/>
                <w:szCs w:val="24"/>
              </w:rPr>
              <w:t xml:space="preserve"> milj. </w:t>
            </w:r>
            <w:proofErr w:type="spellStart"/>
            <w:r w:rsidR="002A4F97" w:rsidRPr="00A7675C">
              <w:rPr>
                <w:rFonts w:ascii="Times New Roman" w:eastAsia="Times New Roman" w:hAnsi="Times New Roman" w:cs="Times New Roman"/>
                <w:bCs/>
                <w:i/>
                <w:color w:val="000000" w:themeColor="text1"/>
                <w:sz w:val="24"/>
                <w:szCs w:val="24"/>
              </w:rPr>
              <w:t>euro</w:t>
            </w:r>
            <w:proofErr w:type="spellEnd"/>
            <w:r w:rsidR="002A4F97" w:rsidRPr="00A7675C">
              <w:rPr>
                <w:rFonts w:ascii="Times New Roman" w:eastAsia="Times New Roman" w:hAnsi="Times New Roman" w:cs="Times New Roman"/>
                <w:bCs/>
                <w:color w:val="000000" w:themeColor="text1"/>
                <w:sz w:val="24"/>
                <w:szCs w:val="24"/>
              </w:rPr>
              <w:t xml:space="preserve"> un 2019. gadā </w:t>
            </w:r>
            <w:r w:rsidR="008A0EEA" w:rsidRPr="00A7675C">
              <w:rPr>
                <w:rFonts w:ascii="Times New Roman" w:eastAsia="Times New Roman" w:hAnsi="Times New Roman" w:cs="Times New Roman"/>
                <w:bCs/>
                <w:color w:val="000000" w:themeColor="text1"/>
                <w:sz w:val="24"/>
                <w:szCs w:val="24"/>
              </w:rPr>
              <w:t>4,4</w:t>
            </w:r>
            <w:r w:rsidR="002A4F97" w:rsidRPr="00A7675C">
              <w:rPr>
                <w:rFonts w:ascii="Times New Roman" w:eastAsia="Times New Roman" w:hAnsi="Times New Roman" w:cs="Times New Roman"/>
                <w:bCs/>
                <w:color w:val="000000" w:themeColor="text1"/>
                <w:sz w:val="24"/>
                <w:szCs w:val="24"/>
              </w:rPr>
              <w:t xml:space="preserve"> milj. </w:t>
            </w:r>
            <w:proofErr w:type="spellStart"/>
            <w:r w:rsidR="002A4F97" w:rsidRPr="00A7675C">
              <w:rPr>
                <w:rFonts w:ascii="Times New Roman" w:eastAsia="Times New Roman" w:hAnsi="Times New Roman" w:cs="Times New Roman"/>
                <w:bCs/>
                <w:i/>
                <w:color w:val="000000" w:themeColor="text1"/>
                <w:sz w:val="24"/>
                <w:szCs w:val="24"/>
              </w:rPr>
              <w:t>euro</w:t>
            </w:r>
            <w:proofErr w:type="spellEnd"/>
            <w:r w:rsidR="002A4F97" w:rsidRPr="00A7675C">
              <w:rPr>
                <w:rFonts w:ascii="Times New Roman" w:eastAsia="Times New Roman" w:hAnsi="Times New Roman" w:cs="Times New Roman"/>
                <w:bCs/>
                <w:color w:val="000000" w:themeColor="text1"/>
                <w:sz w:val="24"/>
                <w:szCs w:val="24"/>
              </w:rPr>
              <w:t>.</w:t>
            </w:r>
          </w:p>
          <w:p w14:paraId="72675E16" w14:textId="773A6C2B" w:rsidR="002A4F97" w:rsidRPr="00A7675C" w:rsidRDefault="00616AEA" w:rsidP="002546D2">
            <w:pPr>
              <w:spacing w:after="0" w:line="240" w:lineRule="auto"/>
              <w:ind w:right="-1"/>
              <w:jc w:val="center"/>
              <w:rPr>
                <w:rFonts w:ascii="Times New Roman" w:eastAsia="Times New Roman" w:hAnsi="Times New Roman" w:cs="Times New Roman"/>
                <w:bCs/>
                <w:sz w:val="24"/>
                <w:szCs w:val="24"/>
              </w:rPr>
            </w:pPr>
            <w:r w:rsidRPr="00A7675C">
              <w:rPr>
                <w:rFonts w:ascii="Times New Roman" w:eastAsia="Times New Roman" w:hAnsi="Times New Roman" w:cs="Times New Roman"/>
                <w:bCs/>
                <w:sz w:val="24"/>
                <w:szCs w:val="24"/>
              </w:rPr>
              <w:t xml:space="preserve">Īpaša PVN </w:t>
            </w:r>
            <w:r w:rsidR="002546D2" w:rsidRPr="00A7675C">
              <w:rPr>
                <w:rFonts w:ascii="Times New Roman" w:eastAsia="Times New Roman" w:hAnsi="Times New Roman" w:cs="Times New Roman"/>
                <w:bCs/>
                <w:sz w:val="24"/>
                <w:szCs w:val="24"/>
              </w:rPr>
              <w:t>piemērošana</w:t>
            </w:r>
            <w:r w:rsidRPr="00A7675C">
              <w:rPr>
                <w:rFonts w:ascii="Times New Roman" w:eastAsia="Times New Roman" w:hAnsi="Times New Roman" w:cs="Times New Roman"/>
                <w:bCs/>
                <w:sz w:val="24"/>
                <w:szCs w:val="24"/>
              </w:rPr>
              <w:t xml:space="preserve">s režīma </w:t>
            </w:r>
            <w:r w:rsidR="002A4F97" w:rsidRPr="00A7675C">
              <w:rPr>
                <w:rFonts w:ascii="Times New Roman" w:eastAsia="Times New Roman" w:hAnsi="Times New Roman" w:cs="Times New Roman"/>
                <w:bCs/>
                <w:sz w:val="24"/>
                <w:szCs w:val="24"/>
              </w:rPr>
              <w:t>ieviešanas fiskālā</w:t>
            </w:r>
            <w:r w:rsidR="00D322C8" w:rsidRPr="00A7675C">
              <w:rPr>
                <w:rFonts w:ascii="Times New Roman" w:eastAsia="Times New Roman" w:hAnsi="Times New Roman" w:cs="Times New Roman"/>
                <w:bCs/>
                <w:sz w:val="24"/>
                <w:szCs w:val="24"/>
              </w:rPr>
              <w:t>s</w:t>
            </w:r>
            <w:r w:rsidR="002A4F97" w:rsidRPr="00A7675C">
              <w:rPr>
                <w:rFonts w:ascii="Times New Roman" w:eastAsia="Times New Roman" w:hAnsi="Times New Roman" w:cs="Times New Roman"/>
                <w:bCs/>
                <w:sz w:val="24"/>
                <w:szCs w:val="24"/>
              </w:rPr>
              <w:t xml:space="preserve"> ietekmes aprēķins, milj. </w:t>
            </w:r>
            <w:proofErr w:type="spellStart"/>
            <w:r w:rsidR="002A4F97" w:rsidRPr="00A7675C">
              <w:rPr>
                <w:rFonts w:ascii="Times New Roman" w:eastAsia="Times New Roman" w:hAnsi="Times New Roman" w:cs="Times New Roman"/>
                <w:bCs/>
                <w:i/>
                <w:sz w:val="24"/>
                <w:szCs w:val="24"/>
              </w:rPr>
              <w:t>euro</w:t>
            </w:r>
            <w:proofErr w:type="spellEnd"/>
          </w:p>
          <w:tbl>
            <w:tblPr>
              <w:tblW w:w="5524" w:type="dxa"/>
              <w:jc w:val="center"/>
              <w:tblLayout w:type="fixed"/>
              <w:tblLook w:val="04A0" w:firstRow="1" w:lastRow="0" w:firstColumn="1" w:lastColumn="0" w:noHBand="0" w:noVBand="1"/>
            </w:tblPr>
            <w:tblGrid>
              <w:gridCol w:w="1340"/>
              <w:gridCol w:w="1349"/>
              <w:gridCol w:w="1417"/>
              <w:gridCol w:w="1418"/>
            </w:tblGrid>
            <w:tr w:rsidR="002A4F97" w:rsidRPr="00A7675C" w14:paraId="4A8713D9" w14:textId="77777777" w:rsidTr="0086526D">
              <w:trPr>
                <w:trHeight w:val="63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17678" w14:textId="77777777" w:rsidR="002A4F97" w:rsidRPr="00A7675C" w:rsidRDefault="002A4F97" w:rsidP="00B4238C">
                  <w:pPr>
                    <w:framePr w:hSpace="180" w:wrap="around" w:vAnchor="text" w:hAnchor="margin" w:x="-120" w:y="371"/>
                    <w:spacing w:after="0" w:line="240" w:lineRule="auto"/>
                    <w:jc w:val="center"/>
                    <w:rPr>
                      <w:rFonts w:ascii="Times New Roman" w:hAnsi="Times New Roman" w:cs="Times New Roman"/>
                      <w:bCs/>
                      <w:color w:val="000000"/>
                      <w:sz w:val="24"/>
                      <w:szCs w:val="24"/>
                    </w:rPr>
                  </w:pPr>
                  <w:r w:rsidRPr="00A7675C">
                    <w:rPr>
                      <w:rFonts w:ascii="Times New Roman" w:hAnsi="Times New Roman" w:cs="Times New Roman"/>
                      <w:bCs/>
                      <w:color w:val="000000"/>
                      <w:sz w:val="24"/>
                      <w:szCs w:val="24"/>
                    </w:rPr>
                    <w:t>NACE 2.red. kods</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14:paraId="217A9277" w14:textId="77777777" w:rsidR="002A4F97" w:rsidRPr="00A7675C" w:rsidRDefault="002A4F97" w:rsidP="00B4238C">
                  <w:pPr>
                    <w:framePr w:hSpace="180" w:wrap="around" w:vAnchor="text" w:hAnchor="margin" w:x="-120" w:y="371"/>
                    <w:spacing w:after="0" w:line="240" w:lineRule="auto"/>
                    <w:jc w:val="center"/>
                    <w:rPr>
                      <w:rFonts w:ascii="Times New Roman" w:hAnsi="Times New Roman" w:cs="Times New Roman"/>
                      <w:bCs/>
                      <w:color w:val="000000"/>
                      <w:sz w:val="24"/>
                      <w:szCs w:val="24"/>
                    </w:rPr>
                  </w:pPr>
                  <w:r w:rsidRPr="00A7675C">
                    <w:rPr>
                      <w:rFonts w:ascii="Times New Roman" w:hAnsi="Times New Roman" w:cs="Times New Roman"/>
                      <w:bCs/>
                      <w:color w:val="000000"/>
                      <w:sz w:val="24"/>
                      <w:szCs w:val="24"/>
                    </w:rPr>
                    <w:t>2017. gads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651B3E6" w14:textId="77777777" w:rsidR="002A4F97" w:rsidRPr="00A7675C" w:rsidRDefault="002A4F97" w:rsidP="00B4238C">
                  <w:pPr>
                    <w:framePr w:hSpace="180" w:wrap="around" w:vAnchor="text" w:hAnchor="margin" w:x="-120" w:y="371"/>
                    <w:spacing w:after="0" w:line="240" w:lineRule="auto"/>
                    <w:jc w:val="center"/>
                    <w:rPr>
                      <w:rFonts w:ascii="Times New Roman" w:hAnsi="Times New Roman" w:cs="Times New Roman"/>
                      <w:bCs/>
                      <w:color w:val="000000"/>
                      <w:sz w:val="24"/>
                      <w:szCs w:val="24"/>
                    </w:rPr>
                  </w:pPr>
                  <w:r w:rsidRPr="00A7675C">
                    <w:rPr>
                      <w:rFonts w:ascii="Times New Roman" w:hAnsi="Times New Roman" w:cs="Times New Roman"/>
                      <w:bCs/>
                      <w:color w:val="000000"/>
                      <w:sz w:val="24"/>
                      <w:szCs w:val="24"/>
                    </w:rPr>
                    <w:t>2018. gads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76F7923" w14:textId="77777777" w:rsidR="002A4F97" w:rsidRPr="00A7675C" w:rsidRDefault="002A4F97" w:rsidP="00B4238C">
                  <w:pPr>
                    <w:framePr w:hSpace="180" w:wrap="around" w:vAnchor="text" w:hAnchor="margin" w:x="-120" w:y="371"/>
                    <w:spacing w:after="0" w:line="240" w:lineRule="auto"/>
                    <w:jc w:val="center"/>
                    <w:rPr>
                      <w:rFonts w:ascii="Times New Roman" w:hAnsi="Times New Roman" w:cs="Times New Roman"/>
                      <w:bCs/>
                      <w:color w:val="000000"/>
                      <w:sz w:val="24"/>
                      <w:szCs w:val="24"/>
                    </w:rPr>
                  </w:pPr>
                  <w:r w:rsidRPr="00A7675C">
                    <w:rPr>
                      <w:rFonts w:ascii="Times New Roman" w:hAnsi="Times New Roman" w:cs="Times New Roman"/>
                      <w:bCs/>
                      <w:color w:val="000000"/>
                      <w:sz w:val="24"/>
                      <w:szCs w:val="24"/>
                    </w:rPr>
                    <w:t>2019. gads</w:t>
                  </w:r>
                </w:p>
              </w:tc>
            </w:tr>
            <w:tr w:rsidR="002A4F97" w:rsidRPr="00A7675C" w14:paraId="1069BD9C" w14:textId="77777777" w:rsidTr="0086526D">
              <w:trPr>
                <w:trHeight w:val="31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B114765" w14:textId="77777777" w:rsidR="002A4F97" w:rsidRPr="00A7675C" w:rsidRDefault="002A4F97" w:rsidP="00B4238C">
                  <w:pPr>
                    <w:framePr w:hSpace="180" w:wrap="around" w:vAnchor="text" w:hAnchor="margin" w:x="-120" w:y="371"/>
                    <w:spacing w:after="0" w:line="240" w:lineRule="auto"/>
                    <w:jc w:val="center"/>
                    <w:rPr>
                      <w:rFonts w:ascii="Times New Roman" w:eastAsia="Times New Roman" w:hAnsi="Times New Roman" w:cs="Times New Roman"/>
                      <w:bCs/>
                      <w:color w:val="000000"/>
                      <w:sz w:val="24"/>
                      <w:szCs w:val="24"/>
                    </w:rPr>
                  </w:pPr>
                  <w:r w:rsidRPr="00A7675C">
                    <w:rPr>
                      <w:rFonts w:ascii="Times New Roman" w:eastAsia="Times New Roman" w:hAnsi="Times New Roman" w:cs="Times New Roman"/>
                      <w:bCs/>
                      <w:color w:val="000000"/>
                      <w:sz w:val="24"/>
                      <w:szCs w:val="24"/>
                    </w:rPr>
                    <w:t>0111</w:t>
                  </w:r>
                </w:p>
              </w:tc>
              <w:tc>
                <w:tcPr>
                  <w:tcW w:w="1349" w:type="dxa"/>
                  <w:tcBorders>
                    <w:top w:val="nil"/>
                    <w:left w:val="nil"/>
                    <w:bottom w:val="single" w:sz="4" w:space="0" w:color="auto"/>
                    <w:right w:val="single" w:sz="4" w:space="0" w:color="auto"/>
                  </w:tcBorders>
                  <w:shd w:val="clear" w:color="auto" w:fill="auto"/>
                  <w:noWrap/>
                  <w:vAlign w:val="bottom"/>
                  <w:hideMark/>
                </w:tcPr>
                <w:p w14:paraId="20ECC62F" w14:textId="58E3D8ED" w:rsidR="002A4F97" w:rsidRPr="00A7675C" w:rsidRDefault="008A0EEA" w:rsidP="00B4238C">
                  <w:pPr>
                    <w:framePr w:hSpace="180" w:wrap="around" w:vAnchor="text" w:hAnchor="margin" w:x="-120" w:y="371"/>
                    <w:spacing w:after="0" w:line="240" w:lineRule="auto"/>
                    <w:jc w:val="center"/>
                    <w:rPr>
                      <w:rFonts w:ascii="Times New Roman" w:eastAsia="Times New Roman" w:hAnsi="Times New Roman" w:cs="Times New Roman"/>
                      <w:color w:val="000000"/>
                      <w:sz w:val="24"/>
                      <w:szCs w:val="24"/>
                    </w:rPr>
                  </w:pPr>
                  <w:r w:rsidRPr="00A7675C">
                    <w:rPr>
                      <w:rFonts w:ascii="Times New Roman" w:eastAsia="Times New Roman" w:hAnsi="Times New Roman" w:cs="Times New Roman"/>
                      <w:color w:val="000000"/>
                      <w:sz w:val="24"/>
                      <w:szCs w:val="24"/>
                    </w:rPr>
                    <w:t>0,7</w:t>
                  </w:r>
                </w:p>
              </w:tc>
              <w:tc>
                <w:tcPr>
                  <w:tcW w:w="1417" w:type="dxa"/>
                  <w:tcBorders>
                    <w:top w:val="nil"/>
                    <w:left w:val="nil"/>
                    <w:bottom w:val="single" w:sz="4" w:space="0" w:color="auto"/>
                    <w:right w:val="single" w:sz="4" w:space="0" w:color="auto"/>
                  </w:tcBorders>
                  <w:shd w:val="clear" w:color="auto" w:fill="auto"/>
                  <w:noWrap/>
                  <w:vAlign w:val="bottom"/>
                  <w:hideMark/>
                </w:tcPr>
                <w:p w14:paraId="367BC068" w14:textId="09F1773F" w:rsidR="002A4F97" w:rsidRPr="00A7675C" w:rsidRDefault="008A0EEA" w:rsidP="00B4238C">
                  <w:pPr>
                    <w:framePr w:hSpace="180" w:wrap="around" w:vAnchor="text" w:hAnchor="margin" w:x="-120" w:y="371"/>
                    <w:spacing w:after="0" w:line="240" w:lineRule="auto"/>
                    <w:jc w:val="center"/>
                    <w:rPr>
                      <w:rFonts w:ascii="Times New Roman" w:eastAsia="Times New Roman" w:hAnsi="Times New Roman" w:cs="Times New Roman"/>
                      <w:color w:val="000000"/>
                      <w:sz w:val="24"/>
                      <w:szCs w:val="24"/>
                    </w:rPr>
                  </w:pPr>
                  <w:r w:rsidRPr="00A7675C">
                    <w:rPr>
                      <w:rFonts w:ascii="Times New Roman" w:eastAsia="Times New Roman" w:hAnsi="Times New Roman" w:cs="Times New Roman"/>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bottom"/>
                  <w:hideMark/>
                </w:tcPr>
                <w:p w14:paraId="44912CA0" w14:textId="67EA9BEF" w:rsidR="002A4F97" w:rsidRPr="00A7675C" w:rsidRDefault="002A4F97" w:rsidP="00B4238C">
                  <w:pPr>
                    <w:framePr w:hSpace="180" w:wrap="around" w:vAnchor="text" w:hAnchor="margin" w:x="-120" w:y="371"/>
                    <w:spacing w:after="0" w:line="240" w:lineRule="auto"/>
                    <w:jc w:val="center"/>
                    <w:rPr>
                      <w:rFonts w:ascii="Times New Roman" w:eastAsia="Times New Roman" w:hAnsi="Times New Roman" w:cs="Times New Roman"/>
                      <w:color w:val="000000"/>
                      <w:sz w:val="24"/>
                      <w:szCs w:val="24"/>
                    </w:rPr>
                  </w:pPr>
                  <w:r w:rsidRPr="00A7675C">
                    <w:rPr>
                      <w:rFonts w:ascii="Times New Roman" w:eastAsia="Times New Roman" w:hAnsi="Times New Roman" w:cs="Times New Roman"/>
                      <w:color w:val="000000"/>
                      <w:sz w:val="24"/>
                      <w:szCs w:val="24"/>
                    </w:rPr>
                    <w:t>0,</w:t>
                  </w:r>
                  <w:r w:rsidR="008A0EEA" w:rsidRPr="00A7675C">
                    <w:rPr>
                      <w:rFonts w:ascii="Times New Roman" w:eastAsia="Times New Roman" w:hAnsi="Times New Roman" w:cs="Times New Roman"/>
                      <w:color w:val="000000"/>
                      <w:sz w:val="24"/>
                      <w:szCs w:val="24"/>
                    </w:rPr>
                    <w:t>6</w:t>
                  </w:r>
                </w:p>
              </w:tc>
            </w:tr>
            <w:tr w:rsidR="002A4F97" w:rsidRPr="00A7675C" w14:paraId="0B0ED899" w14:textId="77777777" w:rsidTr="0086526D">
              <w:trPr>
                <w:trHeight w:val="31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39BC816" w14:textId="77777777" w:rsidR="002A4F97" w:rsidRPr="00A7675C" w:rsidRDefault="002A4F97" w:rsidP="00B4238C">
                  <w:pPr>
                    <w:framePr w:hSpace="180" w:wrap="around" w:vAnchor="text" w:hAnchor="margin" w:x="-120" w:y="371"/>
                    <w:spacing w:after="0" w:line="240" w:lineRule="auto"/>
                    <w:jc w:val="center"/>
                    <w:rPr>
                      <w:rFonts w:ascii="Times New Roman" w:eastAsia="Times New Roman" w:hAnsi="Times New Roman" w:cs="Times New Roman"/>
                      <w:bCs/>
                      <w:color w:val="000000"/>
                      <w:sz w:val="24"/>
                      <w:szCs w:val="24"/>
                    </w:rPr>
                  </w:pPr>
                  <w:r w:rsidRPr="00A7675C">
                    <w:rPr>
                      <w:rFonts w:ascii="Times New Roman" w:eastAsia="Times New Roman" w:hAnsi="Times New Roman" w:cs="Times New Roman"/>
                      <w:bCs/>
                      <w:color w:val="000000"/>
                      <w:sz w:val="24"/>
                      <w:szCs w:val="24"/>
                    </w:rPr>
                    <w:t>1061</w:t>
                  </w:r>
                </w:p>
              </w:tc>
              <w:tc>
                <w:tcPr>
                  <w:tcW w:w="1349" w:type="dxa"/>
                  <w:tcBorders>
                    <w:top w:val="nil"/>
                    <w:left w:val="nil"/>
                    <w:bottom w:val="single" w:sz="4" w:space="0" w:color="auto"/>
                    <w:right w:val="single" w:sz="4" w:space="0" w:color="auto"/>
                  </w:tcBorders>
                  <w:shd w:val="clear" w:color="auto" w:fill="auto"/>
                  <w:noWrap/>
                  <w:vAlign w:val="bottom"/>
                  <w:hideMark/>
                </w:tcPr>
                <w:p w14:paraId="4A57D998" w14:textId="1D1D4CDD" w:rsidR="002A4F97" w:rsidRPr="00A7675C" w:rsidRDefault="008A0EEA" w:rsidP="00B4238C">
                  <w:pPr>
                    <w:framePr w:hSpace="180" w:wrap="around" w:vAnchor="text" w:hAnchor="margin" w:x="-120" w:y="371"/>
                    <w:spacing w:after="0" w:line="240" w:lineRule="auto"/>
                    <w:jc w:val="center"/>
                    <w:rPr>
                      <w:rFonts w:ascii="Times New Roman" w:eastAsia="Times New Roman" w:hAnsi="Times New Roman" w:cs="Times New Roman"/>
                      <w:color w:val="000000"/>
                      <w:sz w:val="24"/>
                      <w:szCs w:val="24"/>
                    </w:rPr>
                  </w:pPr>
                  <w:r w:rsidRPr="00A7675C">
                    <w:rPr>
                      <w:rFonts w:ascii="Times New Roman" w:eastAsia="Times New Roman" w:hAnsi="Times New Roman" w:cs="Times New Roman"/>
                      <w:color w:val="000000"/>
                      <w:sz w:val="24"/>
                      <w:szCs w:val="24"/>
                    </w:rPr>
                    <w:t>0,1</w:t>
                  </w:r>
                </w:p>
              </w:tc>
              <w:tc>
                <w:tcPr>
                  <w:tcW w:w="1417" w:type="dxa"/>
                  <w:tcBorders>
                    <w:top w:val="nil"/>
                    <w:left w:val="nil"/>
                    <w:bottom w:val="single" w:sz="4" w:space="0" w:color="auto"/>
                    <w:right w:val="single" w:sz="4" w:space="0" w:color="auto"/>
                  </w:tcBorders>
                  <w:shd w:val="clear" w:color="auto" w:fill="auto"/>
                  <w:noWrap/>
                  <w:vAlign w:val="bottom"/>
                  <w:hideMark/>
                </w:tcPr>
                <w:p w14:paraId="274381C0" w14:textId="798A8D97" w:rsidR="002A4F97" w:rsidRPr="00A7675C" w:rsidRDefault="002A4F97" w:rsidP="00B4238C">
                  <w:pPr>
                    <w:framePr w:hSpace="180" w:wrap="around" w:vAnchor="text" w:hAnchor="margin" w:x="-120" w:y="371"/>
                    <w:spacing w:after="0" w:line="240" w:lineRule="auto"/>
                    <w:jc w:val="center"/>
                    <w:rPr>
                      <w:rFonts w:ascii="Times New Roman" w:eastAsia="Times New Roman" w:hAnsi="Times New Roman" w:cs="Times New Roman"/>
                      <w:color w:val="000000"/>
                      <w:sz w:val="24"/>
                      <w:szCs w:val="24"/>
                    </w:rPr>
                  </w:pPr>
                  <w:r w:rsidRPr="00A7675C">
                    <w:rPr>
                      <w:rFonts w:ascii="Times New Roman" w:eastAsia="Times New Roman" w:hAnsi="Times New Roman" w:cs="Times New Roman"/>
                      <w:color w:val="000000"/>
                      <w:sz w:val="24"/>
                      <w:szCs w:val="24"/>
                    </w:rPr>
                    <w:t>0,</w:t>
                  </w:r>
                  <w:r w:rsidR="008A0EEA" w:rsidRPr="00A7675C">
                    <w:rPr>
                      <w:rFonts w:ascii="Times New Roman" w:eastAsia="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63D55AF2" w14:textId="5C96E001" w:rsidR="002A4F97" w:rsidRPr="00A7675C" w:rsidRDefault="008A0EEA" w:rsidP="00B4238C">
                  <w:pPr>
                    <w:framePr w:hSpace="180" w:wrap="around" w:vAnchor="text" w:hAnchor="margin" w:x="-120" w:y="371"/>
                    <w:spacing w:after="0" w:line="240" w:lineRule="auto"/>
                    <w:jc w:val="center"/>
                    <w:rPr>
                      <w:rFonts w:ascii="Times New Roman" w:eastAsia="Times New Roman" w:hAnsi="Times New Roman" w:cs="Times New Roman"/>
                      <w:color w:val="000000"/>
                      <w:sz w:val="24"/>
                      <w:szCs w:val="24"/>
                    </w:rPr>
                  </w:pPr>
                  <w:r w:rsidRPr="00A7675C">
                    <w:rPr>
                      <w:rFonts w:ascii="Times New Roman" w:eastAsia="Times New Roman" w:hAnsi="Times New Roman" w:cs="Times New Roman"/>
                      <w:color w:val="000000"/>
                      <w:sz w:val="24"/>
                      <w:szCs w:val="24"/>
                    </w:rPr>
                    <w:t>0,1</w:t>
                  </w:r>
                </w:p>
              </w:tc>
            </w:tr>
            <w:tr w:rsidR="002A4F97" w:rsidRPr="00A7675C" w14:paraId="0FF4DDB8" w14:textId="77777777" w:rsidTr="0086526D">
              <w:trPr>
                <w:trHeight w:val="31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3982186" w14:textId="77777777" w:rsidR="002A4F97" w:rsidRPr="00A7675C" w:rsidRDefault="002A4F97" w:rsidP="00B4238C">
                  <w:pPr>
                    <w:framePr w:hSpace="180" w:wrap="around" w:vAnchor="text" w:hAnchor="margin" w:x="-120" w:y="371"/>
                    <w:spacing w:after="0" w:line="240" w:lineRule="auto"/>
                    <w:jc w:val="center"/>
                    <w:rPr>
                      <w:rFonts w:ascii="Times New Roman" w:eastAsia="Times New Roman" w:hAnsi="Times New Roman" w:cs="Times New Roman"/>
                      <w:bCs/>
                      <w:color w:val="000000"/>
                      <w:sz w:val="24"/>
                      <w:szCs w:val="24"/>
                    </w:rPr>
                  </w:pPr>
                  <w:r w:rsidRPr="00A7675C">
                    <w:rPr>
                      <w:rFonts w:ascii="Times New Roman" w:eastAsia="Times New Roman" w:hAnsi="Times New Roman" w:cs="Times New Roman"/>
                      <w:bCs/>
                      <w:color w:val="000000"/>
                      <w:sz w:val="24"/>
                      <w:szCs w:val="24"/>
                    </w:rPr>
                    <w:t>4621</w:t>
                  </w:r>
                </w:p>
              </w:tc>
              <w:tc>
                <w:tcPr>
                  <w:tcW w:w="1349" w:type="dxa"/>
                  <w:tcBorders>
                    <w:top w:val="nil"/>
                    <w:left w:val="nil"/>
                    <w:bottom w:val="single" w:sz="4" w:space="0" w:color="auto"/>
                    <w:right w:val="single" w:sz="4" w:space="0" w:color="auto"/>
                  </w:tcBorders>
                  <w:shd w:val="clear" w:color="auto" w:fill="auto"/>
                  <w:noWrap/>
                  <w:vAlign w:val="bottom"/>
                  <w:hideMark/>
                </w:tcPr>
                <w:p w14:paraId="0E4AF783" w14:textId="5286514B" w:rsidR="002A4F97" w:rsidRPr="00A7675C" w:rsidRDefault="008A0EEA" w:rsidP="00B4238C">
                  <w:pPr>
                    <w:framePr w:hSpace="180" w:wrap="around" w:vAnchor="text" w:hAnchor="margin" w:x="-120" w:y="371"/>
                    <w:spacing w:after="0" w:line="240" w:lineRule="auto"/>
                    <w:jc w:val="center"/>
                    <w:rPr>
                      <w:rFonts w:ascii="Times New Roman" w:eastAsia="Times New Roman" w:hAnsi="Times New Roman" w:cs="Times New Roman"/>
                      <w:color w:val="000000"/>
                      <w:sz w:val="24"/>
                      <w:szCs w:val="24"/>
                    </w:rPr>
                  </w:pPr>
                  <w:r w:rsidRPr="00A7675C">
                    <w:rPr>
                      <w:rFonts w:ascii="Times New Roman" w:eastAsia="Times New Roman" w:hAnsi="Times New Roman" w:cs="Times New Roman"/>
                      <w:color w:val="000000"/>
                      <w:sz w:val="24"/>
                      <w:szCs w:val="24"/>
                    </w:rPr>
                    <w:t>4,</w:t>
                  </w:r>
                  <w:r w:rsidR="002A4F97" w:rsidRPr="00A7675C">
                    <w:rPr>
                      <w:rFonts w:ascii="Times New Roman" w:eastAsia="Times New Roman" w:hAnsi="Times New Roman" w:cs="Times New Roman"/>
                      <w:color w:val="000000"/>
                      <w:sz w:val="24"/>
                      <w:szCs w:val="24"/>
                    </w:rPr>
                    <w:t>2</w:t>
                  </w:r>
                </w:p>
              </w:tc>
              <w:tc>
                <w:tcPr>
                  <w:tcW w:w="1417" w:type="dxa"/>
                  <w:tcBorders>
                    <w:top w:val="nil"/>
                    <w:left w:val="nil"/>
                    <w:bottom w:val="single" w:sz="4" w:space="0" w:color="auto"/>
                    <w:right w:val="single" w:sz="4" w:space="0" w:color="auto"/>
                  </w:tcBorders>
                  <w:shd w:val="clear" w:color="auto" w:fill="auto"/>
                  <w:noWrap/>
                  <w:vAlign w:val="bottom"/>
                  <w:hideMark/>
                </w:tcPr>
                <w:p w14:paraId="6D060A4B" w14:textId="381CFE48" w:rsidR="002A4F97" w:rsidRPr="00A7675C" w:rsidRDefault="008A0EEA" w:rsidP="00B4238C">
                  <w:pPr>
                    <w:framePr w:hSpace="180" w:wrap="around" w:vAnchor="text" w:hAnchor="margin" w:x="-120" w:y="371"/>
                    <w:spacing w:after="0" w:line="240" w:lineRule="auto"/>
                    <w:jc w:val="center"/>
                    <w:rPr>
                      <w:rFonts w:ascii="Times New Roman" w:eastAsia="Times New Roman" w:hAnsi="Times New Roman" w:cs="Times New Roman"/>
                      <w:color w:val="000000"/>
                      <w:sz w:val="24"/>
                      <w:szCs w:val="24"/>
                    </w:rPr>
                  </w:pPr>
                  <w:r w:rsidRPr="00A7675C">
                    <w:rPr>
                      <w:rFonts w:ascii="Times New Roman" w:eastAsia="Times New Roman" w:hAnsi="Times New Roman" w:cs="Times New Roman"/>
                      <w:color w:val="000000"/>
                      <w:sz w:val="24"/>
                      <w:szCs w:val="24"/>
                    </w:rPr>
                    <w:t>4,2</w:t>
                  </w:r>
                </w:p>
              </w:tc>
              <w:tc>
                <w:tcPr>
                  <w:tcW w:w="1418" w:type="dxa"/>
                  <w:tcBorders>
                    <w:top w:val="nil"/>
                    <w:left w:val="nil"/>
                    <w:bottom w:val="single" w:sz="4" w:space="0" w:color="auto"/>
                    <w:right w:val="single" w:sz="4" w:space="0" w:color="auto"/>
                  </w:tcBorders>
                  <w:shd w:val="clear" w:color="auto" w:fill="auto"/>
                  <w:noWrap/>
                  <w:vAlign w:val="bottom"/>
                  <w:hideMark/>
                </w:tcPr>
                <w:p w14:paraId="1BC5D7CF" w14:textId="032C5F16" w:rsidR="002A4F97" w:rsidRPr="00A7675C" w:rsidRDefault="008A0EEA" w:rsidP="00B4238C">
                  <w:pPr>
                    <w:framePr w:hSpace="180" w:wrap="around" w:vAnchor="text" w:hAnchor="margin" w:x="-120" w:y="371"/>
                    <w:spacing w:after="0" w:line="240" w:lineRule="auto"/>
                    <w:jc w:val="center"/>
                    <w:rPr>
                      <w:rFonts w:ascii="Times New Roman" w:eastAsia="Times New Roman" w:hAnsi="Times New Roman" w:cs="Times New Roman"/>
                      <w:color w:val="000000"/>
                      <w:sz w:val="24"/>
                      <w:szCs w:val="24"/>
                    </w:rPr>
                  </w:pPr>
                  <w:r w:rsidRPr="00A7675C">
                    <w:rPr>
                      <w:rFonts w:ascii="Times New Roman" w:eastAsia="Times New Roman" w:hAnsi="Times New Roman" w:cs="Times New Roman"/>
                      <w:color w:val="000000"/>
                      <w:sz w:val="24"/>
                      <w:szCs w:val="24"/>
                    </w:rPr>
                    <w:t>3,6</w:t>
                  </w:r>
                </w:p>
              </w:tc>
            </w:tr>
            <w:tr w:rsidR="002A4F97" w:rsidRPr="00A7675C" w14:paraId="2093FDA1" w14:textId="77777777" w:rsidTr="0086526D">
              <w:trPr>
                <w:trHeight w:val="31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FEA9431" w14:textId="77777777" w:rsidR="002A4F97" w:rsidRPr="00A7675C" w:rsidRDefault="002A4F97" w:rsidP="00B4238C">
                  <w:pPr>
                    <w:framePr w:hSpace="180" w:wrap="around" w:vAnchor="text" w:hAnchor="margin" w:x="-120" w:y="371"/>
                    <w:spacing w:after="0" w:line="240" w:lineRule="auto"/>
                    <w:jc w:val="center"/>
                    <w:rPr>
                      <w:rFonts w:ascii="Times New Roman" w:eastAsia="Times New Roman" w:hAnsi="Times New Roman" w:cs="Times New Roman"/>
                      <w:bCs/>
                      <w:color w:val="000000"/>
                      <w:sz w:val="24"/>
                      <w:szCs w:val="24"/>
                    </w:rPr>
                  </w:pPr>
                  <w:r w:rsidRPr="00A7675C">
                    <w:rPr>
                      <w:rFonts w:ascii="Times New Roman" w:eastAsia="Times New Roman" w:hAnsi="Times New Roman" w:cs="Times New Roman"/>
                      <w:bCs/>
                      <w:color w:val="000000"/>
                      <w:sz w:val="24"/>
                      <w:szCs w:val="24"/>
                    </w:rPr>
                    <w:t>Kopā</w:t>
                  </w:r>
                </w:p>
              </w:tc>
              <w:tc>
                <w:tcPr>
                  <w:tcW w:w="1349" w:type="dxa"/>
                  <w:tcBorders>
                    <w:top w:val="nil"/>
                    <w:left w:val="nil"/>
                    <w:bottom w:val="single" w:sz="4" w:space="0" w:color="auto"/>
                    <w:right w:val="single" w:sz="4" w:space="0" w:color="auto"/>
                  </w:tcBorders>
                  <w:shd w:val="clear" w:color="auto" w:fill="auto"/>
                  <w:noWrap/>
                  <w:vAlign w:val="bottom"/>
                  <w:hideMark/>
                </w:tcPr>
                <w:p w14:paraId="2543E60F" w14:textId="78C72807" w:rsidR="002A4F97" w:rsidRPr="00A7675C" w:rsidRDefault="002A4F97" w:rsidP="00B4238C">
                  <w:pPr>
                    <w:framePr w:hSpace="180" w:wrap="around" w:vAnchor="text" w:hAnchor="margin" w:x="-120" w:y="371"/>
                    <w:spacing w:after="0" w:line="240" w:lineRule="auto"/>
                    <w:jc w:val="center"/>
                    <w:rPr>
                      <w:rFonts w:ascii="Times New Roman" w:eastAsia="Times New Roman" w:hAnsi="Times New Roman" w:cs="Times New Roman"/>
                      <w:color w:val="000000"/>
                      <w:sz w:val="24"/>
                      <w:szCs w:val="24"/>
                    </w:rPr>
                  </w:pPr>
                  <w:r w:rsidRPr="00A7675C">
                    <w:rPr>
                      <w:rFonts w:ascii="Times New Roman" w:eastAsia="Times New Roman" w:hAnsi="Times New Roman" w:cs="Times New Roman"/>
                      <w:color w:val="000000"/>
                      <w:sz w:val="24"/>
                      <w:szCs w:val="24"/>
                    </w:rPr>
                    <w:t>5,</w:t>
                  </w:r>
                  <w:r w:rsidR="008A0EEA" w:rsidRPr="00A7675C">
                    <w:rPr>
                      <w:rFonts w:ascii="Times New Roman" w:eastAsia="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auto" w:fill="auto"/>
                  <w:noWrap/>
                  <w:vAlign w:val="bottom"/>
                  <w:hideMark/>
                </w:tcPr>
                <w:p w14:paraId="38DD8127" w14:textId="58BCA9B9" w:rsidR="002A4F97" w:rsidRPr="00A7675C" w:rsidRDefault="008A0EEA" w:rsidP="00B4238C">
                  <w:pPr>
                    <w:framePr w:hSpace="180" w:wrap="around" w:vAnchor="text" w:hAnchor="margin" w:x="-120" w:y="371"/>
                    <w:spacing w:after="0" w:line="240" w:lineRule="auto"/>
                    <w:jc w:val="center"/>
                    <w:rPr>
                      <w:rFonts w:ascii="Times New Roman" w:eastAsia="Times New Roman" w:hAnsi="Times New Roman" w:cs="Times New Roman"/>
                      <w:color w:val="000000"/>
                      <w:sz w:val="24"/>
                      <w:szCs w:val="24"/>
                    </w:rPr>
                  </w:pPr>
                  <w:r w:rsidRPr="00A7675C">
                    <w:rPr>
                      <w:rFonts w:ascii="Times New Roman" w:eastAsia="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noWrap/>
                  <w:vAlign w:val="bottom"/>
                  <w:hideMark/>
                </w:tcPr>
                <w:p w14:paraId="24B07562" w14:textId="6D855EA1" w:rsidR="002A4F97" w:rsidRPr="00A7675C" w:rsidRDefault="002A4F97" w:rsidP="00B4238C">
                  <w:pPr>
                    <w:framePr w:hSpace="180" w:wrap="around" w:vAnchor="text" w:hAnchor="margin" w:x="-120" w:y="371"/>
                    <w:spacing w:after="0" w:line="240" w:lineRule="auto"/>
                    <w:jc w:val="center"/>
                    <w:rPr>
                      <w:rFonts w:ascii="Times New Roman" w:eastAsia="Times New Roman" w:hAnsi="Times New Roman" w:cs="Times New Roman"/>
                      <w:color w:val="000000"/>
                      <w:sz w:val="24"/>
                      <w:szCs w:val="24"/>
                    </w:rPr>
                  </w:pPr>
                  <w:r w:rsidRPr="00A7675C">
                    <w:rPr>
                      <w:rFonts w:ascii="Times New Roman" w:eastAsia="Times New Roman" w:hAnsi="Times New Roman" w:cs="Times New Roman"/>
                      <w:color w:val="000000"/>
                      <w:sz w:val="24"/>
                      <w:szCs w:val="24"/>
                    </w:rPr>
                    <w:t>4,</w:t>
                  </w:r>
                  <w:r w:rsidR="008A0EEA" w:rsidRPr="00A7675C">
                    <w:rPr>
                      <w:rFonts w:ascii="Times New Roman" w:eastAsia="Times New Roman" w:hAnsi="Times New Roman" w:cs="Times New Roman"/>
                      <w:color w:val="000000"/>
                      <w:sz w:val="24"/>
                      <w:szCs w:val="24"/>
                    </w:rPr>
                    <w:t>4</w:t>
                  </w:r>
                </w:p>
              </w:tc>
            </w:tr>
          </w:tbl>
          <w:p w14:paraId="5F1F129E" w14:textId="65CF5631" w:rsidR="002A4F97" w:rsidRPr="00A7675C" w:rsidRDefault="002A4F97" w:rsidP="00E3048B">
            <w:pPr>
              <w:spacing w:after="0" w:line="240" w:lineRule="auto"/>
              <w:ind w:firstLine="575"/>
              <w:jc w:val="both"/>
              <w:rPr>
                <w:rFonts w:ascii="Times New Roman" w:eastAsia="Times New Roman" w:hAnsi="Times New Roman" w:cs="Times New Roman"/>
                <w:bCs/>
                <w:color w:val="000000" w:themeColor="text1"/>
                <w:sz w:val="24"/>
                <w:szCs w:val="24"/>
              </w:rPr>
            </w:pPr>
            <w:r w:rsidRPr="00A7675C">
              <w:rPr>
                <w:rFonts w:ascii="Times New Roman" w:eastAsia="Times New Roman" w:hAnsi="Times New Roman" w:cs="Times New Roman"/>
                <w:bCs/>
                <w:color w:val="000000" w:themeColor="text1"/>
                <w:sz w:val="24"/>
                <w:szCs w:val="24"/>
              </w:rPr>
              <w:t>Ietekme uz valsts budžetu (PVN ieņēmumiem) ir aprēķināta</w:t>
            </w:r>
            <w:r w:rsidR="001001E5" w:rsidRPr="00A7675C">
              <w:rPr>
                <w:rFonts w:ascii="Times New Roman" w:eastAsia="Times New Roman" w:hAnsi="Times New Roman" w:cs="Times New Roman"/>
                <w:bCs/>
                <w:color w:val="000000" w:themeColor="text1"/>
                <w:sz w:val="24"/>
                <w:szCs w:val="24"/>
              </w:rPr>
              <w:t>,</w:t>
            </w:r>
            <w:r w:rsidRPr="00A7675C">
              <w:rPr>
                <w:rFonts w:ascii="Times New Roman" w:eastAsia="Times New Roman" w:hAnsi="Times New Roman" w:cs="Times New Roman"/>
                <w:bCs/>
                <w:color w:val="000000" w:themeColor="text1"/>
                <w:sz w:val="24"/>
                <w:szCs w:val="24"/>
              </w:rPr>
              <w:t xml:space="preserve"> ņemot vērā:</w:t>
            </w:r>
          </w:p>
          <w:p w14:paraId="461A0D7E" w14:textId="6DFEF040" w:rsidR="002A4F97" w:rsidRPr="00A7675C" w:rsidRDefault="002A4F97" w:rsidP="002546D2">
            <w:pPr>
              <w:spacing w:after="0" w:line="240" w:lineRule="auto"/>
              <w:ind w:left="127" w:right="125" w:firstLine="724"/>
              <w:jc w:val="both"/>
              <w:rPr>
                <w:rFonts w:ascii="Times New Roman" w:eastAsia="Times New Roman" w:hAnsi="Times New Roman" w:cs="Times New Roman"/>
                <w:bCs/>
                <w:color w:val="000000" w:themeColor="text1"/>
                <w:sz w:val="24"/>
                <w:szCs w:val="24"/>
              </w:rPr>
            </w:pPr>
            <w:r w:rsidRPr="00A7675C">
              <w:rPr>
                <w:rFonts w:ascii="Times New Roman" w:eastAsia="Times New Roman" w:hAnsi="Times New Roman" w:cs="Times New Roman"/>
                <w:bCs/>
                <w:color w:val="000000" w:themeColor="text1"/>
                <w:sz w:val="24"/>
                <w:szCs w:val="24"/>
              </w:rPr>
              <w:t>- 2012. – 2015. gadā PVN deklarācijās nodokļu maksātāju, kas darbojas graudaugu (izņemot rīsu), pākšaugu un eļļas augu sēklu audzēšanas un graudu malšanas produktu ražošanas nozarē deklarēto maksājamo summu budžetā (kas ir starpība starp iemaksājamo un atmaksājamo summu budžetā) un graudu, sēklu, neapstrādātas tabakas un lopbarības vairumtirdzniecības nozarē deklarēto atma</w:t>
            </w:r>
            <w:r w:rsidR="008A2503" w:rsidRPr="00A7675C">
              <w:rPr>
                <w:rFonts w:ascii="Times New Roman" w:eastAsia="Times New Roman" w:hAnsi="Times New Roman" w:cs="Times New Roman"/>
                <w:bCs/>
                <w:color w:val="000000" w:themeColor="text1"/>
                <w:sz w:val="24"/>
                <w:szCs w:val="24"/>
              </w:rPr>
              <w:t>ksājamo summu no valsts budžeta. Graudaugu (izņemot rīsu), pākšaugu un eļļas augu sēklu audzēšanas un graudu malšanas produktu ražošanas nozar</w:t>
            </w:r>
            <w:r w:rsidR="00E85D96" w:rsidRPr="00A7675C">
              <w:rPr>
                <w:rFonts w:ascii="Times New Roman" w:eastAsia="Times New Roman" w:hAnsi="Times New Roman" w:cs="Times New Roman"/>
                <w:bCs/>
                <w:color w:val="000000" w:themeColor="text1"/>
                <w:sz w:val="24"/>
                <w:szCs w:val="24"/>
              </w:rPr>
              <w:t>ēm kopā</w:t>
            </w:r>
            <w:r w:rsidR="008A2503" w:rsidRPr="00A7675C">
              <w:rPr>
                <w:rFonts w:ascii="Times New Roman" w:eastAsia="Times New Roman" w:hAnsi="Times New Roman" w:cs="Times New Roman"/>
                <w:bCs/>
                <w:color w:val="000000" w:themeColor="text1"/>
                <w:sz w:val="24"/>
                <w:szCs w:val="24"/>
              </w:rPr>
              <w:t xml:space="preserve"> </w:t>
            </w:r>
            <w:r w:rsidR="00E85D96" w:rsidRPr="00A7675C">
              <w:rPr>
                <w:rFonts w:ascii="Times New Roman" w:eastAsia="Times New Roman" w:hAnsi="Times New Roman" w:cs="Times New Roman"/>
                <w:bCs/>
                <w:color w:val="000000" w:themeColor="text1"/>
                <w:sz w:val="24"/>
                <w:szCs w:val="24"/>
              </w:rPr>
              <w:t>aprēķināt</w:t>
            </w:r>
            <w:r w:rsidR="00A30BFF" w:rsidRPr="00A7675C">
              <w:rPr>
                <w:rFonts w:ascii="Times New Roman" w:eastAsia="Times New Roman" w:hAnsi="Times New Roman" w:cs="Times New Roman"/>
                <w:bCs/>
                <w:color w:val="000000" w:themeColor="text1"/>
                <w:sz w:val="24"/>
                <w:szCs w:val="24"/>
              </w:rPr>
              <w:t>ā bāze maksājamajai summai</w:t>
            </w:r>
            <w:r w:rsidR="008A2503" w:rsidRPr="00A7675C">
              <w:rPr>
                <w:rFonts w:ascii="Times New Roman" w:eastAsia="Times New Roman" w:hAnsi="Times New Roman" w:cs="Times New Roman"/>
                <w:bCs/>
                <w:color w:val="000000" w:themeColor="text1"/>
                <w:sz w:val="24"/>
                <w:szCs w:val="24"/>
              </w:rPr>
              <w:t xml:space="preserve"> budžetā</w:t>
            </w:r>
            <w:r w:rsidR="00D322C8" w:rsidRPr="00A7675C">
              <w:rPr>
                <w:rFonts w:ascii="Times New Roman" w:eastAsia="Times New Roman" w:hAnsi="Times New Roman" w:cs="Times New Roman"/>
                <w:bCs/>
                <w:color w:val="000000" w:themeColor="text1"/>
                <w:sz w:val="24"/>
                <w:szCs w:val="24"/>
              </w:rPr>
              <w:t xml:space="preserve"> ir 8,8</w:t>
            </w:r>
            <w:r w:rsidR="00A30BFF" w:rsidRPr="00A7675C">
              <w:rPr>
                <w:rFonts w:ascii="Times New Roman" w:eastAsia="Times New Roman" w:hAnsi="Times New Roman" w:cs="Times New Roman"/>
                <w:bCs/>
                <w:color w:val="000000" w:themeColor="text1"/>
                <w:sz w:val="24"/>
                <w:szCs w:val="24"/>
              </w:rPr>
              <w:t xml:space="preserve"> milj. </w:t>
            </w:r>
            <w:proofErr w:type="spellStart"/>
            <w:r w:rsidR="00A30BFF" w:rsidRPr="00A7675C">
              <w:rPr>
                <w:rFonts w:ascii="Times New Roman" w:eastAsia="Times New Roman" w:hAnsi="Times New Roman" w:cs="Times New Roman"/>
                <w:bCs/>
                <w:i/>
                <w:color w:val="000000" w:themeColor="text1"/>
                <w:sz w:val="24"/>
                <w:szCs w:val="24"/>
              </w:rPr>
              <w:t>euro</w:t>
            </w:r>
            <w:proofErr w:type="spellEnd"/>
            <w:r w:rsidR="00A30BFF" w:rsidRPr="00A7675C">
              <w:rPr>
                <w:rFonts w:ascii="Times New Roman" w:eastAsia="Times New Roman" w:hAnsi="Times New Roman" w:cs="Times New Roman"/>
                <w:bCs/>
                <w:color w:val="000000" w:themeColor="text1"/>
                <w:sz w:val="24"/>
                <w:szCs w:val="24"/>
              </w:rPr>
              <w:t xml:space="preserve"> un</w:t>
            </w:r>
            <w:r w:rsidR="001001E5" w:rsidRPr="00A7675C">
              <w:rPr>
                <w:rFonts w:ascii="Times New Roman" w:eastAsia="Times New Roman" w:hAnsi="Times New Roman" w:cs="Times New Roman"/>
                <w:bCs/>
                <w:color w:val="000000" w:themeColor="text1"/>
                <w:sz w:val="24"/>
                <w:szCs w:val="24"/>
              </w:rPr>
              <w:t>,</w:t>
            </w:r>
            <w:r w:rsidR="00A30BFF" w:rsidRPr="00A7675C">
              <w:rPr>
                <w:rFonts w:ascii="Times New Roman" w:eastAsia="Times New Roman" w:hAnsi="Times New Roman" w:cs="Times New Roman"/>
                <w:bCs/>
                <w:color w:val="000000" w:themeColor="text1"/>
                <w:sz w:val="24"/>
                <w:szCs w:val="24"/>
              </w:rPr>
              <w:t xml:space="preserve"> </w:t>
            </w:r>
            <w:r w:rsidR="00E85D96" w:rsidRPr="00A7675C">
              <w:rPr>
                <w:rFonts w:ascii="Times New Roman" w:eastAsia="Times New Roman" w:hAnsi="Times New Roman" w:cs="Times New Roman"/>
                <w:bCs/>
                <w:color w:val="000000" w:themeColor="text1"/>
                <w:sz w:val="24"/>
                <w:szCs w:val="24"/>
              </w:rPr>
              <w:t>ņemot vērā</w:t>
            </w:r>
            <w:r w:rsidR="00815DC3" w:rsidRPr="00A7675C">
              <w:rPr>
                <w:rFonts w:ascii="Times New Roman" w:eastAsia="Times New Roman" w:hAnsi="Times New Roman" w:cs="Times New Roman"/>
                <w:bCs/>
                <w:color w:val="000000" w:themeColor="text1"/>
                <w:sz w:val="24"/>
                <w:szCs w:val="24"/>
              </w:rPr>
              <w:t>, ka</w:t>
            </w:r>
            <w:r w:rsidR="00E85D96" w:rsidRPr="00A7675C">
              <w:rPr>
                <w:rFonts w:ascii="Times New Roman" w:eastAsia="Times New Roman" w:hAnsi="Times New Roman" w:cs="Times New Roman"/>
                <w:bCs/>
                <w:color w:val="000000" w:themeColor="text1"/>
                <w:sz w:val="24"/>
                <w:szCs w:val="24"/>
              </w:rPr>
              <w:t xml:space="preserve"> </w:t>
            </w:r>
            <w:r w:rsidR="00A30BFF" w:rsidRPr="00A7675C">
              <w:rPr>
                <w:rFonts w:ascii="Times New Roman" w:eastAsia="Times New Roman" w:hAnsi="Times New Roman" w:cs="Times New Roman"/>
                <w:bCs/>
                <w:color w:val="000000" w:themeColor="text1"/>
                <w:sz w:val="24"/>
                <w:szCs w:val="24"/>
              </w:rPr>
              <w:t xml:space="preserve">graudu, sēklu, neapstrādātas tabakas un lopbarības vairumtirdzniecības nozares </w:t>
            </w:r>
            <w:r w:rsidR="00815DC3" w:rsidRPr="00A7675C">
              <w:rPr>
                <w:rFonts w:ascii="Times New Roman" w:eastAsia="Times New Roman" w:hAnsi="Times New Roman" w:cs="Times New Roman"/>
                <w:bCs/>
                <w:color w:val="000000" w:themeColor="text1"/>
                <w:sz w:val="24"/>
                <w:szCs w:val="24"/>
              </w:rPr>
              <w:t xml:space="preserve">nodokļu maksātājiem </w:t>
            </w:r>
            <w:r w:rsidR="00963C1E" w:rsidRPr="00A7675C">
              <w:rPr>
                <w:rFonts w:ascii="Times New Roman" w:eastAsia="Times New Roman" w:hAnsi="Times New Roman" w:cs="Times New Roman"/>
                <w:bCs/>
                <w:color w:val="000000" w:themeColor="text1"/>
                <w:sz w:val="24"/>
                <w:szCs w:val="24"/>
              </w:rPr>
              <w:t>vis</w:t>
            </w:r>
            <w:r w:rsidR="00815DC3" w:rsidRPr="00A7675C">
              <w:rPr>
                <w:rFonts w:ascii="Times New Roman" w:eastAsia="Times New Roman" w:hAnsi="Times New Roman" w:cs="Times New Roman"/>
                <w:bCs/>
                <w:color w:val="000000" w:themeColor="text1"/>
                <w:sz w:val="24"/>
                <w:szCs w:val="24"/>
              </w:rPr>
              <w:t xml:space="preserve">vairāk ir raksturīgi krāpnieciskie darījumi ar </w:t>
            </w:r>
            <w:r w:rsidR="00963C1E" w:rsidRPr="00A7675C">
              <w:rPr>
                <w:rFonts w:ascii="Times New Roman" w:eastAsia="Times New Roman" w:hAnsi="Times New Roman" w:cs="Times New Roman"/>
                <w:bCs/>
                <w:color w:val="000000" w:themeColor="text1"/>
                <w:sz w:val="24"/>
                <w:szCs w:val="24"/>
              </w:rPr>
              <w:t xml:space="preserve">PVN </w:t>
            </w:r>
            <w:r w:rsidR="00815DC3" w:rsidRPr="00A7675C">
              <w:rPr>
                <w:rFonts w:ascii="Times New Roman" w:eastAsia="Times New Roman" w:hAnsi="Times New Roman" w:cs="Times New Roman"/>
                <w:bCs/>
                <w:color w:val="000000" w:themeColor="text1"/>
                <w:sz w:val="24"/>
                <w:szCs w:val="24"/>
              </w:rPr>
              <w:t>pārmaksu atmaksu, tad šīs nozares nodokļu maksātājiem ir aprēķināt</w:t>
            </w:r>
            <w:r w:rsidR="00A30BFF" w:rsidRPr="00A7675C">
              <w:rPr>
                <w:rFonts w:ascii="Times New Roman" w:eastAsia="Times New Roman" w:hAnsi="Times New Roman" w:cs="Times New Roman"/>
                <w:bCs/>
                <w:color w:val="000000" w:themeColor="text1"/>
                <w:sz w:val="24"/>
                <w:szCs w:val="24"/>
              </w:rPr>
              <w:t>ā bāze atmaksājamajai summai no valsts budžeta</w:t>
            </w:r>
            <w:r w:rsidR="00815DC3" w:rsidRPr="00A7675C">
              <w:rPr>
                <w:rFonts w:ascii="Times New Roman" w:eastAsia="Times New Roman" w:hAnsi="Times New Roman" w:cs="Times New Roman"/>
                <w:bCs/>
                <w:color w:val="000000" w:themeColor="text1"/>
                <w:sz w:val="24"/>
                <w:szCs w:val="24"/>
              </w:rPr>
              <w:t>, kas</w:t>
            </w:r>
            <w:r w:rsidR="00A30BFF" w:rsidRPr="00A7675C">
              <w:rPr>
                <w:rFonts w:ascii="Times New Roman" w:eastAsia="Times New Roman" w:hAnsi="Times New Roman" w:cs="Times New Roman"/>
                <w:bCs/>
                <w:color w:val="000000" w:themeColor="text1"/>
                <w:sz w:val="24"/>
                <w:szCs w:val="24"/>
              </w:rPr>
              <w:t xml:space="preserve"> ir 41,9 milj. </w:t>
            </w:r>
            <w:proofErr w:type="spellStart"/>
            <w:r w:rsidR="00A30BFF" w:rsidRPr="00A7675C">
              <w:rPr>
                <w:rFonts w:ascii="Times New Roman" w:eastAsia="Times New Roman" w:hAnsi="Times New Roman" w:cs="Times New Roman"/>
                <w:bCs/>
                <w:i/>
                <w:color w:val="000000" w:themeColor="text1"/>
                <w:sz w:val="24"/>
                <w:szCs w:val="24"/>
              </w:rPr>
              <w:t>euro</w:t>
            </w:r>
            <w:proofErr w:type="spellEnd"/>
            <w:r w:rsidR="00815DC3" w:rsidRPr="00A7675C">
              <w:rPr>
                <w:rFonts w:ascii="Times New Roman" w:eastAsia="Times New Roman" w:hAnsi="Times New Roman" w:cs="Times New Roman"/>
                <w:bCs/>
                <w:i/>
                <w:color w:val="000000" w:themeColor="text1"/>
                <w:sz w:val="24"/>
                <w:szCs w:val="24"/>
              </w:rPr>
              <w:t xml:space="preserve"> </w:t>
            </w:r>
            <w:r w:rsidR="00815DC3" w:rsidRPr="00A7675C">
              <w:rPr>
                <w:rFonts w:ascii="Times New Roman" w:eastAsia="Times New Roman" w:hAnsi="Times New Roman" w:cs="Times New Roman"/>
                <w:bCs/>
                <w:color w:val="000000" w:themeColor="text1"/>
                <w:sz w:val="24"/>
                <w:szCs w:val="24"/>
              </w:rPr>
              <w:t>apmērā</w:t>
            </w:r>
            <w:r w:rsidR="00A30BFF" w:rsidRPr="00A7675C">
              <w:rPr>
                <w:rFonts w:ascii="Times New Roman" w:eastAsia="Times New Roman" w:hAnsi="Times New Roman" w:cs="Times New Roman"/>
                <w:bCs/>
                <w:color w:val="000000" w:themeColor="text1"/>
                <w:sz w:val="24"/>
                <w:szCs w:val="24"/>
              </w:rPr>
              <w:t>.</w:t>
            </w:r>
          </w:p>
          <w:p w14:paraId="7084694C" w14:textId="6EABCB81" w:rsidR="002A4F97" w:rsidRPr="00A7675C" w:rsidRDefault="008A2503" w:rsidP="002546D2">
            <w:pPr>
              <w:spacing w:after="0" w:line="240" w:lineRule="auto"/>
              <w:ind w:left="127" w:firstLine="724"/>
              <w:jc w:val="both"/>
              <w:rPr>
                <w:rFonts w:ascii="Times New Roman" w:eastAsia="Times New Roman" w:hAnsi="Times New Roman" w:cs="Times New Roman"/>
                <w:bCs/>
                <w:sz w:val="24"/>
                <w:szCs w:val="24"/>
              </w:rPr>
            </w:pPr>
            <w:r w:rsidRPr="00A7675C">
              <w:rPr>
                <w:rFonts w:ascii="Times New Roman" w:eastAsia="Times New Roman" w:hAnsi="Times New Roman" w:cs="Times New Roman"/>
                <w:bCs/>
                <w:color w:val="000000" w:themeColor="text1"/>
                <w:sz w:val="24"/>
                <w:szCs w:val="24"/>
              </w:rPr>
              <w:t xml:space="preserve">- </w:t>
            </w:r>
            <w:r w:rsidR="002A4F97" w:rsidRPr="00A7675C">
              <w:rPr>
                <w:rFonts w:ascii="Times New Roman" w:eastAsia="Times New Roman" w:hAnsi="Times New Roman" w:cs="Times New Roman"/>
                <w:bCs/>
                <w:color w:val="000000" w:themeColor="text1"/>
                <w:sz w:val="24"/>
                <w:szCs w:val="24"/>
              </w:rPr>
              <w:t>nedeklarēto PVN apmēru – nodokļu plaisas dinamiku</w:t>
            </w:r>
            <w:r w:rsidR="00E55F3B" w:rsidRPr="00A7675C">
              <w:rPr>
                <w:rFonts w:ascii="Times New Roman" w:eastAsia="Times New Roman" w:hAnsi="Times New Roman" w:cs="Times New Roman"/>
                <w:bCs/>
                <w:color w:val="000000" w:themeColor="text1"/>
                <w:sz w:val="24"/>
                <w:szCs w:val="24"/>
              </w:rPr>
              <w:t>,</w:t>
            </w:r>
            <w:r w:rsidR="002A4F97" w:rsidRPr="00A7675C">
              <w:rPr>
                <w:rFonts w:ascii="Times New Roman" w:eastAsia="Times New Roman" w:hAnsi="Times New Roman" w:cs="Times New Roman"/>
                <w:bCs/>
                <w:color w:val="000000" w:themeColor="text1"/>
                <w:sz w:val="24"/>
                <w:szCs w:val="24"/>
              </w:rPr>
              <w:t xml:space="preserve"> 2012. – 2014.</w:t>
            </w:r>
            <w:r w:rsidR="00E55F3B" w:rsidRPr="00A7675C">
              <w:rPr>
                <w:rFonts w:ascii="Times New Roman" w:eastAsia="Times New Roman" w:hAnsi="Times New Roman" w:cs="Times New Roman"/>
                <w:bCs/>
                <w:color w:val="000000" w:themeColor="text1"/>
                <w:sz w:val="24"/>
                <w:szCs w:val="24"/>
              </w:rPr>
              <w:t> </w:t>
            </w:r>
            <w:r w:rsidR="002A4F97" w:rsidRPr="00A7675C">
              <w:rPr>
                <w:rFonts w:ascii="Times New Roman" w:eastAsia="Times New Roman" w:hAnsi="Times New Roman" w:cs="Times New Roman"/>
                <w:bCs/>
                <w:color w:val="000000" w:themeColor="text1"/>
                <w:sz w:val="24"/>
                <w:szCs w:val="24"/>
              </w:rPr>
              <w:t xml:space="preserve">gadā un prognozēto PVN plaisas </w:t>
            </w:r>
            <w:r w:rsidR="002A4F97" w:rsidRPr="00A7675C">
              <w:rPr>
                <w:rFonts w:ascii="Times New Roman" w:eastAsia="Times New Roman" w:hAnsi="Times New Roman" w:cs="Times New Roman"/>
                <w:bCs/>
                <w:color w:val="000000" w:themeColor="text1"/>
                <w:sz w:val="24"/>
                <w:szCs w:val="24"/>
              </w:rPr>
              <w:lastRenderedPageBreak/>
              <w:t>apmēru 2017</w:t>
            </w:r>
            <w:r w:rsidR="002A4F97" w:rsidRPr="00A7675C">
              <w:rPr>
                <w:rFonts w:ascii="Times New Roman" w:eastAsia="Times New Roman" w:hAnsi="Times New Roman" w:cs="Times New Roman"/>
                <w:bCs/>
                <w:sz w:val="24"/>
                <w:szCs w:val="24"/>
              </w:rPr>
              <w:t>.</w:t>
            </w:r>
            <w:r w:rsidR="00E55F3B" w:rsidRPr="00A7675C">
              <w:rPr>
                <w:rFonts w:ascii="Times New Roman" w:eastAsia="Times New Roman" w:hAnsi="Times New Roman" w:cs="Times New Roman"/>
                <w:bCs/>
                <w:sz w:val="24"/>
                <w:szCs w:val="24"/>
              </w:rPr>
              <w:t xml:space="preserve"> </w:t>
            </w:r>
            <w:r w:rsidR="002A4F97" w:rsidRPr="00A7675C">
              <w:rPr>
                <w:rFonts w:ascii="Times New Roman" w:eastAsia="Times New Roman" w:hAnsi="Times New Roman" w:cs="Times New Roman"/>
                <w:bCs/>
                <w:sz w:val="24"/>
                <w:szCs w:val="24"/>
              </w:rPr>
              <w:t>–</w:t>
            </w:r>
            <w:r w:rsidR="00E55F3B" w:rsidRPr="00A7675C">
              <w:rPr>
                <w:rFonts w:ascii="Times New Roman" w:eastAsia="Times New Roman" w:hAnsi="Times New Roman" w:cs="Times New Roman"/>
                <w:bCs/>
                <w:sz w:val="24"/>
                <w:szCs w:val="24"/>
              </w:rPr>
              <w:t xml:space="preserve"> </w:t>
            </w:r>
            <w:r w:rsidR="002A4F97" w:rsidRPr="00A7675C">
              <w:rPr>
                <w:rFonts w:ascii="Times New Roman" w:eastAsia="Times New Roman" w:hAnsi="Times New Roman" w:cs="Times New Roman"/>
                <w:bCs/>
                <w:sz w:val="24"/>
                <w:szCs w:val="24"/>
              </w:rPr>
              <w:t>2019.</w:t>
            </w:r>
            <w:r w:rsidR="00E55F3B" w:rsidRPr="00A7675C">
              <w:rPr>
                <w:rFonts w:ascii="Times New Roman" w:eastAsia="Times New Roman" w:hAnsi="Times New Roman" w:cs="Times New Roman"/>
                <w:bCs/>
                <w:sz w:val="24"/>
                <w:szCs w:val="24"/>
              </w:rPr>
              <w:t> </w:t>
            </w:r>
            <w:r w:rsidR="002A4F97" w:rsidRPr="00A7675C">
              <w:rPr>
                <w:rFonts w:ascii="Times New Roman" w:eastAsia="Times New Roman" w:hAnsi="Times New Roman" w:cs="Times New Roman"/>
                <w:bCs/>
                <w:sz w:val="24"/>
                <w:szCs w:val="24"/>
              </w:rPr>
              <w:t xml:space="preserve">gadam. Aprēķinos tiek ņemta vērā PVN plaisa, kas attiecās uz nedeklarēto </w:t>
            </w:r>
            <w:r w:rsidR="001001E5" w:rsidRPr="00A7675C">
              <w:rPr>
                <w:rFonts w:ascii="Times New Roman" w:eastAsia="Times New Roman" w:hAnsi="Times New Roman" w:cs="Times New Roman"/>
                <w:bCs/>
                <w:sz w:val="24"/>
                <w:szCs w:val="24"/>
              </w:rPr>
              <w:t xml:space="preserve">PVN </w:t>
            </w:r>
            <w:r w:rsidR="002A4F97" w:rsidRPr="00A7675C">
              <w:rPr>
                <w:rFonts w:ascii="Times New Roman" w:eastAsia="Times New Roman" w:hAnsi="Times New Roman" w:cs="Times New Roman"/>
                <w:bCs/>
                <w:sz w:val="24"/>
                <w:szCs w:val="24"/>
              </w:rPr>
              <w:t xml:space="preserve">apmēru, neņemot vērā </w:t>
            </w:r>
            <w:r w:rsidR="001001E5" w:rsidRPr="00A7675C">
              <w:rPr>
                <w:rFonts w:ascii="Times New Roman" w:eastAsia="Times New Roman" w:hAnsi="Times New Roman" w:cs="Times New Roman"/>
                <w:bCs/>
                <w:sz w:val="24"/>
                <w:szCs w:val="24"/>
              </w:rPr>
              <w:t xml:space="preserve">PVN </w:t>
            </w:r>
            <w:r w:rsidR="002A4F97" w:rsidRPr="00A7675C">
              <w:rPr>
                <w:rFonts w:ascii="Times New Roman" w:eastAsia="Times New Roman" w:hAnsi="Times New Roman" w:cs="Times New Roman"/>
                <w:bCs/>
                <w:sz w:val="24"/>
                <w:szCs w:val="24"/>
              </w:rPr>
              <w:t>plaisu, kas veidojās jaunu nodokļa parādu rašanas dēļ</w:t>
            </w:r>
            <w:r w:rsidR="00A30BFF" w:rsidRPr="00A7675C">
              <w:rPr>
                <w:rFonts w:ascii="Times New Roman" w:eastAsia="Times New Roman" w:hAnsi="Times New Roman" w:cs="Times New Roman"/>
                <w:bCs/>
                <w:sz w:val="24"/>
                <w:szCs w:val="24"/>
              </w:rPr>
              <w:t>. Prognozētais PVN plaisas apmērs 2017. gadam ir 13,6%, 2018. gadam – 12,3% un 2019. gadam – 10,9%.</w:t>
            </w:r>
          </w:p>
          <w:p w14:paraId="0A6A67E4" w14:textId="6FB7F2BB" w:rsidR="008A2503" w:rsidRPr="00A7675C" w:rsidRDefault="008A2503" w:rsidP="002546D2">
            <w:pPr>
              <w:spacing w:after="0" w:line="240" w:lineRule="auto"/>
              <w:ind w:left="127" w:firstLine="724"/>
              <w:jc w:val="both"/>
              <w:rPr>
                <w:rFonts w:ascii="Times New Roman" w:eastAsia="Times New Roman" w:hAnsi="Times New Roman" w:cs="Times New Roman"/>
                <w:bCs/>
                <w:color w:val="000000" w:themeColor="text1"/>
                <w:sz w:val="24"/>
                <w:szCs w:val="24"/>
              </w:rPr>
            </w:pPr>
            <w:r w:rsidRPr="00A7675C">
              <w:rPr>
                <w:rFonts w:ascii="Times New Roman" w:eastAsia="Times New Roman" w:hAnsi="Times New Roman" w:cs="Times New Roman"/>
                <w:bCs/>
                <w:color w:val="000000" w:themeColor="text1"/>
                <w:sz w:val="24"/>
                <w:szCs w:val="24"/>
              </w:rPr>
              <w:t xml:space="preserve">- pieņēmumu, ka krāpnieciskie darījumi, ieviešot </w:t>
            </w:r>
            <w:r w:rsidR="006F3A33" w:rsidRPr="00A7675C">
              <w:rPr>
                <w:rFonts w:ascii="Times New Roman" w:eastAsia="Times New Roman" w:hAnsi="Times New Roman" w:cs="Times New Roman"/>
                <w:bCs/>
                <w:color w:val="000000" w:themeColor="text1"/>
                <w:sz w:val="24"/>
                <w:szCs w:val="24"/>
              </w:rPr>
              <w:t xml:space="preserve">īpašu </w:t>
            </w:r>
            <w:r w:rsidRPr="00A7675C">
              <w:rPr>
                <w:rFonts w:ascii="Times New Roman" w:eastAsia="Times New Roman" w:hAnsi="Times New Roman" w:cs="Times New Roman"/>
                <w:bCs/>
                <w:color w:val="000000" w:themeColor="text1"/>
                <w:sz w:val="24"/>
                <w:szCs w:val="24"/>
              </w:rPr>
              <w:t xml:space="preserve">PVN maksāšanas </w:t>
            </w:r>
            <w:r w:rsidR="006F3A33" w:rsidRPr="00A7675C">
              <w:rPr>
                <w:rFonts w:ascii="Times New Roman" w:eastAsia="Times New Roman" w:hAnsi="Times New Roman" w:cs="Times New Roman"/>
                <w:bCs/>
                <w:color w:val="000000" w:themeColor="text1"/>
                <w:sz w:val="24"/>
                <w:szCs w:val="24"/>
              </w:rPr>
              <w:t xml:space="preserve"> režīmu</w:t>
            </w:r>
            <w:r w:rsidRPr="00A7675C">
              <w:rPr>
                <w:rFonts w:ascii="Times New Roman" w:eastAsia="Times New Roman" w:hAnsi="Times New Roman" w:cs="Times New Roman"/>
                <w:bCs/>
                <w:color w:val="000000" w:themeColor="text1"/>
                <w:sz w:val="24"/>
                <w:szCs w:val="24"/>
              </w:rPr>
              <w:t>, samazināsies par 70%.</w:t>
            </w:r>
          </w:p>
          <w:p w14:paraId="482A26F8" w14:textId="633D1977" w:rsidR="00A30BFF" w:rsidRPr="00A7675C" w:rsidRDefault="00A30BFF" w:rsidP="002546D2">
            <w:pPr>
              <w:spacing w:after="0" w:line="240" w:lineRule="auto"/>
              <w:ind w:left="127" w:firstLine="448"/>
              <w:jc w:val="both"/>
              <w:rPr>
                <w:rFonts w:ascii="Times New Roman" w:eastAsia="Times New Roman" w:hAnsi="Times New Roman" w:cs="Times New Roman"/>
                <w:bCs/>
                <w:color w:val="000000" w:themeColor="text1"/>
                <w:sz w:val="24"/>
                <w:szCs w:val="24"/>
              </w:rPr>
            </w:pPr>
            <w:r w:rsidRPr="00A7675C">
              <w:rPr>
                <w:rFonts w:ascii="Times New Roman" w:eastAsia="Times New Roman" w:hAnsi="Times New Roman" w:cs="Times New Roman"/>
                <w:bCs/>
                <w:color w:val="000000" w:themeColor="text1"/>
                <w:sz w:val="24"/>
                <w:szCs w:val="24"/>
              </w:rPr>
              <w:t>F</w:t>
            </w:r>
            <w:r w:rsidR="00E55F3B" w:rsidRPr="00A7675C">
              <w:rPr>
                <w:rFonts w:ascii="Times New Roman" w:eastAsia="Times New Roman" w:hAnsi="Times New Roman" w:cs="Times New Roman"/>
                <w:bCs/>
                <w:color w:val="000000" w:themeColor="text1"/>
                <w:sz w:val="24"/>
                <w:szCs w:val="24"/>
              </w:rPr>
              <w:t>iskālā</w:t>
            </w:r>
            <w:r w:rsidR="0086526D" w:rsidRPr="00A7675C">
              <w:rPr>
                <w:rFonts w:ascii="Times New Roman" w:eastAsia="Times New Roman" w:hAnsi="Times New Roman" w:cs="Times New Roman"/>
                <w:bCs/>
                <w:color w:val="000000" w:themeColor="text1"/>
                <w:sz w:val="24"/>
                <w:szCs w:val="24"/>
              </w:rPr>
              <w:t xml:space="preserve"> ietekme</w:t>
            </w:r>
            <w:r w:rsidR="003461B4" w:rsidRPr="00A7675C">
              <w:rPr>
                <w:rFonts w:ascii="Times New Roman" w:eastAsia="Times New Roman" w:hAnsi="Times New Roman" w:cs="Times New Roman"/>
                <w:bCs/>
                <w:color w:val="000000" w:themeColor="text1"/>
                <w:sz w:val="24"/>
                <w:szCs w:val="24"/>
              </w:rPr>
              <w:t xml:space="preserve"> tiek aprēķināta p</w:t>
            </w:r>
            <w:r w:rsidR="007A026A" w:rsidRPr="00A7675C">
              <w:rPr>
                <w:rFonts w:ascii="Times New Roman" w:eastAsia="Times New Roman" w:hAnsi="Times New Roman" w:cs="Times New Roman"/>
                <w:bCs/>
                <w:color w:val="000000" w:themeColor="text1"/>
                <w:sz w:val="24"/>
                <w:szCs w:val="24"/>
              </w:rPr>
              <w:t>ēc šāda algoritma:</w:t>
            </w:r>
            <w:r w:rsidR="003461B4" w:rsidRPr="00A7675C">
              <w:rPr>
                <w:rFonts w:ascii="Times New Roman" w:eastAsia="Times New Roman" w:hAnsi="Times New Roman" w:cs="Times New Roman"/>
                <w:bCs/>
                <w:color w:val="000000" w:themeColor="text1"/>
                <w:sz w:val="24"/>
                <w:szCs w:val="24"/>
              </w:rPr>
              <w:t xml:space="preserve"> </w:t>
            </w:r>
          </w:p>
          <w:p w14:paraId="21A51693" w14:textId="4EE09F88" w:rsidR="00D07C2C" w:rsidRPr="00A7675C" w:rsidRDefault="00D07C2C" w:rsidP="002546D2">
            <w:pPr>
              <w:spacing w:after="0" w:line="240" w:lineRule="auto"/>
              <w:jc w:val="both"/>
              <w:rPr>
                <w:rFonts w:ascii="Times New Roman" w:eastAsia="Times New Roman" w:hAnsi="Times New Roman" w:cs="Times New Roman"/>
                <w:bCs/>
                <w:color w:val="000000" w:themeColor="text1"/>
                <w:sz w:val="24"/>
                <w:szCs w:val="24"/>
              </w:rPr>
            </w:pPr>
          </w:p>
          <w:tbl>
            <w:tblPr>
              <w:tblStyle w:val="TableGrid"/>
              <w:tblW w:w="6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8"/>
              <w:gridCol w:w="2034"/>
              <w:gridCol w:w="1449"/>
              <w:gridCol w:w="1449"/>
            </w:tblGrid>
            <w:tr w:rsidR="00D07C2C" w:rsidRPr="00A7675C" w14:paraId="05DA854C" w14:textId="77777777" w:rsidTr="003461B4">
              <w:tc>
                <w:tcPr>
                  <w:tcW w:w="1448" w:type="dxa"/>
                  <w:vAlign w:val="center"/>
                </w:tcPr>
                <w:p w14:paraId="2A3AFF7C" w14:textId="74458425" w:rsidR="00D07C2C" w:rsidRPr="00A7675C" w:rsidRDefault="00D07C2C" w:rsidP="00B4238C">
                  <w:pPr>
                    <w:framePr w:hSpace="180" w:wrap="around" w:vAnchor="text" w:hAnchor="margin" w:x="-120" w:y="371"/>
                    <w:jc w:val="center"/>
                    <w:rPr>
                      <w:rFonts w:ascii="Times New Roman" w:eastAsia="Times New Roman" w:hAnsi="Times New Roman" w:cs="Times New Roman"/>
                      <w:bCs/>
                      <w:color w:val="000000" w:themeColor="text1"/>
                      <w:sz w:val="24"/>
                      <w:szCs w:val="24"/>
                    </w:rPr>
                  </w:pPr>
                  <w:r w:rsidRPr="00A7675C">
                    <w:rPr>
                      <w:rFonts w:ascii="Times New Roman" w:eastAsia="Times New Roman" w:hAnsi="Times New Roman" w:cs="Times New Roman"/>
                      <w:bCs/>
                      <w:color w:val="000000" w:themeColor="text1"/>
                      <w:sz w:val="24"/>
                      <w:szCs w:val="24"/>
                    </w:rPr>
                    <w:t>Fiskālā ietekme =</w:t>
                  </w:r>
                </w:p>
              </w:tc>
              <w:tc>
                <w:tcPr>
                  <w:tcW w:w="2034" w:type="dxa"/>
                </w:tcPr>
                <w:p w14:paraId="34680333" w14:textId="17AA68F6" w:rsidR="00D07C2C" w:rsidRPr="00A7675C" w:rsidRDefault="00D07C2C" w:rsidP="00B4238C">
                  <w:pPr>
                    <w:framePr w:hSpace="180" w:wrap="around" w:vAnchor="text" w:hAnchor="margin" w:x="-120" w:y="371"/>
                    <w:jc w:val="both"/>
                    <w:rPr>
                      <w:rFonts w:ascii="Times New Roman" w:eastAsia="Times New Roman" w:hAnsi="Times New Roman" w:cs="Times New Roman"/>
                      <w:bCs/>
                      <w:color w:val="000000" w:themeColor="text1"/>
                      <w:sz w:val="24"/>
                      <w:szCs w:val="24"/>
                    </w:rPr>
                  </w:pPr>
                  <w:r w:rsidRPr="00A7675C">
                    <w:rPr>
                      <w:rFonts w:ascii="Times New Roman" w:eastAsia="Times New Roman" w:hAnsi="Times New Roman" w:cs="Times New Roman"/>
                      <w:bCs/>
                      <w:color w:val="000000" w:themeColor="text1"/>
                      <w:sz w:val="24"/>
                      <w:szCs w:val="24"/>
                    </w:rPr>
                    <w:t xml:space="preserve">maksājamās summas/atmaksājamās summas no valsts budžeta bāze </w:t>
                  </w:r>
                </w:p>
              </w:tc>
              <w:tc>
                <w:tcPr>
                  <w:tcW w:w="1449" w:type="dxa"/>
                  <w:vAlign w:val="center"/>
                </w:tcPr>
                <w:p w14:paraId="154F9C7D" w14:textId="7B96D206" w:rsidR="00D07C2C" w:rsidRPr="00A7675C" w:rsidRDefault="003461B4" w:rsidP="00B4238C">
                  <w:pPr>
                    <w:framePr w:hSpace="180" w:wrap="around" w:vAnchor="text" w:hAnchor="margin" w:x="-120" w:y="371"/>
                    <w:jc w:val="center"/>
                    <w:rPr>
                      <w:rFonts w:ascii="Times New Roman" w:eastAsia="Times New Roman" w:hAnsi="Times New Roman" w:cs="Times New Roman"/>
                      <w:bCs/>
                      <w:color w:val="000000" w:themeColor="text1"/>
                      <w:sz w:val="24"/>
                      <w:szCs w:val="24"/>
                    </w:rPr>
                  </w:pPr>
                  <w:r w:rsidRPr="00A7675C">
                    <w:rPr>
                      <w:rFonts w:ascii="Times New Roman" w:eastAsia="Times New Roman" w:hAnsi="Times New Roman" w:cs="Times New Roman"/>
                      <w:bCs/>
                      <w:color w:val="000000" w:themeColor="text1"/>
                      <w:sz w:val="24"/>
                      <w:szCs w:val="24"/>
                    </w:rPr>
                    <w:t xml:space="preserve">x </w:t>
                  </w:r>
                  <w:r w:rsidR="00D07C2C" w:rsidRPr="00A7675C">
                    <w:rPr>
                      <w:rFonts w:ascii="Times New Roman" w:eastAsia="Times New Roman" w:hAnsi="Times New Roman" w:cs="Times New Roman"/>
                      <w:bCs/>
                      <w:color w:val="000000" w:themeColor="text1"/>
                      <w:sz w:val="24"/>
                      <w:szCs w:val="24"/>
                    </w:rPr>
                    <w:t>PVN plaisa</w:t>
                  </w:r>
                </w:p>
              </w:tc>
              <w:tc>
                <w:tcPr>
                  <w:tcW w:w="1449" w:type="dxa"/>
                  <w:vAlign w:val="center"/>
                </w:tcPr>
                <w:p w14:paraId="2A331C89" w14:textId="1EF11C19" w:rsidR="00D07C2C" w:rsidRPr="00A7675C" w:rsidRDefault="003461B4" w:rsidP="00B4238C">
                  <w:pPr>
                    <w:framePr w:hSpace="180" w:wrap="around" w:vAnchor="text" w:hAnchor="margin" w:x="-120" w:y="371"/>
                    <w:rPr>
                      <w:rFonts w:ascii="Times New Roman" w:eastAsia="Times New Roman" w:hAnsi="Times New Roman" w:cs="Times New Roman"/>
                      <w:bCs/>
                      <w:color w:val="000000" w:themeColor="text1"/>
                      <w:sz w:val="24"/>
                      <w:szCs w:val="24"/>
                    </w:rPr>
                  </w:pPr>
                  <w:r w:rsidRPr="00A7675C">
                    <w:rPr>
                      <w:rFonts w:ascii="Times New Roman" w:eastAsia="Times New Roman" w:hAnsi="Times New Roman" w:cs="Times New Roman"/>
                      <w:bCs/>
                      <w:color w:val="000000" w:themeColor="text1"/>
                      <w:sz w:val="24"/>
                      <w:szCs w:val="24"/>
                    </w:rPr>
                    <w:t xml:space="preserve">x </w:t>
                  </w:r>
                  <w:r w:rsidR="00D07C2C" w:rsidRPr="00A7675C">
                    <w:rPr>
                      <w:rFonts w:ascii="Times New Roman" w:eastAsia="Times New Roman" w:hAnsi="Times New Roman" w:cs="Times New Roman"/>
                      <w:bCs/>
                      <w:color w:val="000000" w:themeColor="text1"/>
                      <w:sz w:val="24"/>
                      <w:szCs w:val="24"/>
                    </w:rPr>
                    <w:t>70%</w:t>
                  </w:r>
                </w:p>
              </w:tc>
            </w:tr>
          </w:tbl>
          <w:p w14:paraId="1A54FF26" w14:textId="77777777" w:rsidR="00D07C2C" w:rsidRPr="00A7675C" w:rsidRDefault="00D07C2C" w:rsidP="002546D2">
            <w:pPr>
              <w:spacing w:after="0" w:line="240" w:lineRule="auto"/>
              <w:jc w:val="both"/>
              <w:rPr>
                <w:rFonts w:ascii="Times New Roman" w:eastAsia="Times New Roman" w:hAnsi="Times New Roman" w:cs="Times New Roman"/>
                <w:bCs/>
                <w:color w:val="000000" w:themeColor="text1"/>
                <w:sz w:val="24"/>
                <w:szCs w:val="24"/>
              </w:rPr>
            </w:pPr>
          </w:p>
          <w:p w14:paraId="2F205C1D" w14:textId="1E3C086C" w:rsidR="008A2503" w:rsidRPr="00A7675C" w:rsidRDefault="008A2503" w:rsidP="002546D2">
            <w:pPr>
              <w:spacing w:after="0" w:line="240" w:lineRule="auto"/>
              <w:ind w:left="127" w:firstLine="448"/>
              <w:jc w:val="both"/>
              <w:rPr>
                <w:rFonts w:ascii="Times New Roman" w:hAnsi="Times New Roman"/>
                <w:color w:val="000000" w:themeColor="text1"/>
                <w:sz w:val="24"/>
                <w:szCs w:val="24"/>
              </w:rPr>
            </w:pPr>
            <w:r w:rsidRPr="00A7675C">
              <w:rPr>
                <w:rFonts w:ascii="Times New Roman" w:eastAsia="Times New Roman" w:hAnsi="Times New Roman" w:cs="Times New Roman"/>
                <w:bCs/>
                <w:color w:val="000000" w:themeColor="text1"/>
                <w:sz w:val="24"/>
                <w:szCs w:val="24"/>
              </w:rPr>
              <w:t xml:space="preserve">Ieviešot </w:t>
            </w:r>
            <w:r w:rsidR="001D55F6" w:rsidRPr="00A7675C">
              <w:rPr>
                <w:rFonts w:ascii="Times New Roman" w:eastAsia="Times New Roman" w:hAnsi="Times New Roman" w:cs="Times New Roman"/>
                <w:color w:val="000000"/>
                <w:sz w:val="24"/>
                <w:szCs w:val="24"/>
              </w:rPr>
              <w:t>PVN apgriezto maksāšanas kārtību</w:t>
            </w:r>
            <w:r w:rsidR="001D55F6" w:rsidRPr="00A7675C">
              <w:rPr>
                <w:rFonts w:ascii="Times New Roman" w:hAnsi="Times New Roman"/>
                <w:sz w:val="24"/>
                <w:szCs w:val="24"/>
              </w:rPr>
              <w:t xml:space="preserve"> </w:t>
            </w:r>
            <w:r w:rsidRPr="00A7675C">
              <w:rPr>
                <w:rFonts w:ascii="Times New Roman" w:hAnsi="Times New Roman"/>
                <w:sz w:val="24"/>
                <w:szCs w:val="24"/>
              </w:rPr>
              <w:t xml:space="preserve">graudaugu un tehnisko kultūru </w:t>
            </w:r>
            <w:r w:rsidR="002E768A" w:rsidRPr="00A7675C">
              <w:rPr>
                <w:rFonts w:ascii="Times New Roman" w:hAnsi="Times New Roman"/>
                <w:sz w:val="24"/>
                <w:szCs w:val="24"/>
              </w:rPr>
              <w:t>(</w:t>
            </w:r>
            <w:r w:rsidR="006D4C35" w:rsidRPr="00A7675C">
              <w:rPr>
                <w:rFonts w:ascii="Times New Roman" w:hAnsi="Times New Roman"/>
                <w:sz w:val="24"/>
                <w:szCs w:val="24"/>
              </w:rPr>
              <w:t>to</w:t>
            </w:r>
            <w:r w:rsidRPr="00A7675C">
              <w:rPr>
                <w:rFonts w:ascii="Times New Roman" w:hAnsi="Times New Roman"/>
                <w:sz w:val="24"/>
                <w:szCs w:val="24"/>
              </w:rPr>
              <w:t>starp eļļas augu sēklu</w:t>
            </w:r>
            <w:r w:rsidR="002E768A" w:rsidRPr="00A7675C">
              <w:rPr>
                <w:rFonts w:ascii="Times New Roman" w:hAnsi="Times New Roman"/>
                <w:sz w:val="24"/>
                <w:szCs w:val="24"/>
              </w:rPr>
              <w:t>)</w:t>
            </w:r>
            <w:r w:rsidRPr="00A7675C">
              <w:rPr>
                <w:rFonts w:ascii="Times New Roman" w:hAnsi="Times New Roman"/>
                <w:sz w:val="24"/>
                <w:szCs w:val="24"/>
              </w:rPr>
              <w:t xml:space="preserve">, </w:t>
            </w:r>
            <w:r w:rsidR="002E768A" w:rsidRPr="00A7675C">
              <w:rPr>
                <w:rFonts w:ascii="Times New Roman" w:hAnsi="Times New Roman"/>
                <w:sz w:val="24"/>
                <w:szCs w:val="24"/>
              </w:rPr>
              <w:t>tai skaitā š</w:t>
            </w:r>
            <w:r w:rsidR="002546D2" w:rsidRPr="00A7675C">
              <w:rPr>
                <w:rFonts w:ascii="Times New Roman" w:hAnsi="Times New Roman"/>
                <w:sz w:val="24"/>
                <w:szCs w:val="24"/>
              </w:rPr>
              <w:t>o</w:t>
            </w:r>
            <w:r w:rsidR="002E768A" w:rsidRPr="00A7675C">
              <w:rPr>
                <w:rFonts w:ascii="Times New Roman" w:hAnsi="Times New Roman"/>
                <w:sz w:val="24"/>
                <w:szCs w:val="24"/>
              </w:rPr>
              <w:t xml:space="preserve"> preču maisījumu, </w:t>
            </w:r>
            <w:r w:rsidRPr="00A7675C">
              <w:rPr>
                <w:rFonts w:ascii="Times New Roman" w:hAnsi="Times New Roman"/>
                <w:sz w:val="24"/>
                <w:szCs w:val="24"/>
              </w:rPr>
              <w:t xml:space="preserve">ko </w:t>
            </w:r>
            <w:proofErr w:type="spellStart"/>
            <w:r w:rsidRPr="00A7675C">
              <w:rPr>
                <w:rFonts w:ascii="Times New Roman" w:hAnsi="Times New Roman"/>
                <w:sz w:val="24"/>
                <w:szCs w:val="24"/>
              </w:rPr>
              <w:t>galapatēriņa</w:t>
            </w:r>
            <w:proofErr w:type="spellEnd"/>
            <w:r w:rsidRPr="00A7675C">
              <w:rPr>
                <w:rFonts w:ascii="Times New Roman" w:hAnsi="Times New Roman"/>
                <w:sz w:val="24"/>
                <w:szCs w:val="24"/>
              </w:rPr>
              <w:t xml:space="preserve"> stadijā parasti neizmanto neizmainītā stāvoklī, piegādēm 2017.–</w:t>
            </w:r>
            <w:r w:rsidRPr="00A7675C">
              <w:rPr>
                <w:rFonts w:ascii="Times New Roman" w:hAnsi="Times New Roman"/>
                <w:color w:val="000000" w:themeColor="text1"/>
                <w:sz w:val="24"/>
                <w:szCs w:val="24"/>
              </w:rPr>
              <w:t>2019. gadā:</w:t>
            </w:r>
          </w:p>
          <w:p w14:paraId="077A868D" w14:textId="3BA6AB4D" w:rsidR="008A2503" w:rsidRPr="00A7675C" w:rsidRDefault="008A2503" w:rsidP="002546D2">
            <w:pPr>
              <w:pStyle w:val="ListParagraph"/>
              <w:numPr>
                <w:ilvl w:val="0"/>
                <w:numId w:val="15"/>
              </w:numPr>
              <w:spacing w:after="0" w:line="240" w:lineRule="auto"/>
              <w:jc w:val="both"/>
              <w:rPr>
                <w:rFonts w:ascii="Times New Roman" w:hAnsi="Times New Roman"/>
                <w:color w:val="000000" w:themeColor="text1"/>
                <w:sz w:val="24"/>
                <w:szCs w:val="24"/>
              </w:rPr>
            </w:pPr>
            <w:r w:rsidRPr="00A7675C">
              <w:rPr>
                <w:rFonts w:ascii="Times New Roman" w:eastAsia="Times New Roman" w:hAnsi="Times New Roman" w:cs="Times New Roman"/>
                <w:bCs/>
                <w:color w:val="000000" w:themeColor="text1"/>
                <w:sz w:val="24"/>
                <w:szCs w:val="24"/>
              </w:rPr>
              <w:t xml:space="preserve">graudaugu (izņemot rīsu), pākšaugu un eļļas augu sēklu audzēšanas nozares nodokļu maksātājiem </w:t>
            </w:r>
            <w:r w:rsidR="008A0EEA" w:rsidRPr="00A7675C">
              <w:rPr>
                <w:rFonts w:ascii="Times New Roman" w:eastAsia="Times New Roman" w:hAnsi="Times New Roman" w:cs="Times New Roman"/>
                <w:bCs/>
                <w:color w:val="000000" w:themeColor="text1"/>
                <w:sz w:val="24"/>
                <w:szCs w:val="24"/>
              </w:rPr>
              <w:t xml:space="preserve">2017.gadā un 2018. gadā </w:t>
            </w:r>
            <w:r w:rsidRPr="00A7675C">
              <w:rPr>
                <w:rFonts w:ascii="Times New Roman" w:eastAsia="Times New Roman" w:hAnsi="Times New Roman" w:cs="Times New Roman"/>
                <w:bCs/>
                <w:color w:val="000000" w:themeColor="text1"/>
                <w:sz w:val="24"/>
                <w:szCs w:val="24"/>
              </w:rPr>
              <w:t>budž</w:t>
            </w:r>
            <w:r w:rsidR="008A0EEA" w:rsidRPr="00A7675C">
              <w:rPr>
                <w:rFonts w:ascii="Times New Roman" w:eastAsia="Times New Roman" w:hAnsi="Times New Roman" w:cs="Times New Roman"/>
                <w:bCs/>
                <w:color w:val="000000" w:themeColor="text1"/>
                <w:sz w:val="24"/>
                <w:szCs w:val="24"/>
              </w:rPr>
              <w:t>etā maksājamā PVN summa palielināsies par 0,7</w:t>
            </w:r>
            <w:r w:rsidRPr="00A7675C">
              <w:rPr>
                <w:rFonts w:ascii="Times New Roman" w:eastAsia="Times New Roman" w:hAnsi="Times New Roman" w:cs="Times New Roman"/>
                <w:bCs/>
                <w:color w:val="000000" w:themeColor="text1"/>
                <w:sz w:val="24"/>
                <w:szCs w:val="24"/>
              </w:rPr>
              <w:t xml:space="preserve"> milj. </w:t>
            </w:r>
            <w:proofErr w:type="spellStart"/>
            <w:r w:rsidRPr="00A7675C">
              <w:rPr>
                <w:rFonts w:ascii="Times New Roman" w:eastAsia="Times New Roman" w:hAnsi="Times New Roman" w:cs="Times New Roman"/>
                <w:bCs/>
                <w:i/>
                <w:color w:val="000000" w:themeColor="text1"/>
                <w:sz w:val="24"/>
                <w:szCs w:val="24"/>
              </w:rPr>
              <w:t>euro</w:t>
            </w:r>
            <w:proofErr w:type="spellEnd"/>
            <w:r w:rsidR="00D322C8" w:rsidRPr="00A7675C">
              <w:rPr>
                <w:rFonts w:ascii="Times New Roman" w:eastAsia="Times New Roman" w:hAnsi="Times New Roman" w:cs="Times New Roman"/>
                <w:bCs/>
                <w:color w:val="000000" w:themeColor="text1"/>
                <w:sz w:val="24"/>
                <w:szCs w:val="24"/>
              </w:rPr>
              <w:t xml:space="preserve"> </w:t>
            </w:r>
            <w:r w:rsidRPr="00A7675C">
              <w:rPr>
                <w:rFonts w:ascii="Times New Roman" w:eastAsia="Times New Roman" w:hAnsi="Times New Roman" w:cs="Times New Roman"/>
                <w:bCs/>
                <w:color w:val="000000" w:themeColor="text1"/>
                <w:sz w:val="24"/>
                <w:szCs w:val="24"/>
              </w:rPr>
              <w:t xml:space="preserve">un 2019. gadā </w:t>
            </w:r>
            <w:r w:rsidR="008A0EEA" w:rsidRPr="00A7675C">
              <w:rPr>
                <w:rFonts w:ascii="Times New Roman" w:eastAsia="Times New Roman" w:hAnsi="Times New Roman" w:cs="Times New Roman"/>
                <w:bCs/>
                <w:color w:val="000000" w:themeColor="text1"/>
                <w:sz w:val="24"/>
                <w:szCs w:val="24"/>
              </w:rPr>
              <w:t xml:space="preserve">– </w:t>
            </w:r>
            <w:r w:rsidRPr="00A7675C">
              <w:rPr>
                <w:rFonts w:ascii="Times New Roman" w:eastAsia="Times New Roman" w:hAnsi="Times New Roman" w:cs="Times New Roman"/>
                <w:bCs/>
                <w:color w:val="000000" w:themeColor="text1"/>
                <w:sz w:val="24"/>
                <w:szCs w:val="24"/>
              </w:rPr>
              <w:t xml:space="preserve">0,6 milj. </w:t>
            </w:r>
            <w:proofErr w:type="spellStart"/>
            <w:r w:rsidRPr="00A7675C">
              <w:rPr>
                <w:rFonts w:ascii="Times New Roman" w:eastAsia="Times New Roman" w:hAnsi="Times New Roman" w:cs="Times New Roman"/>
                <w:bCs/>
                <w:i/>
                <w:color w:val="000000" w:themeColor="text1"/>
                <w:sz w:val="24"/>
                <w:szCs w:val="24"/>
              </w:rPr>
              <w:t>euro</w:t>
            </w:r>
            <w:proofErr w:type="spellEnd"/>
            <w:r w:rsidRPr="00A7675C">
              <w:rPr>
                <w:rFonts w:ascii="Times New Roman" w:eastAsia="Times New Roman" w:hAnsi="Times New Roman" w:cs="Times New Roman"/>
                <w:bCs/>
                <w:color w:val="000000" w:themeColor="text1"/>
                <w:sz w:val="24"/>
                <w:szCs w:val="24"/>
              </w:rPr>
              <w:t>;</w:t>
            </w:r>
          </w:p>
          <w:p w14:paraId="6823A080" w14:textId="475E6188" w:rsidR="00323B21" w:rsidRPr="00A7675C" w:rsidRDefault="008A2503" w:rsidP="00360693">
            <w:pPr>
              <w:pStyle w:val="ListParagraph"/>
              <w:numPr>
                <w:ilvl w:val="0"/>
                <w:numId w:val="15"/>
              </w:numPr>
              <w:spacing w:after="0" w:line="240" w:lineRule="auto"/>
              <w:jc w:val="both"/>
              <w:rPr>
                <w:rFonts w:ascii="Times New Roman" w:hAnsi="Times New Roman"/>
                <w:color w:val="000000" w:themeColor="text1"/>
                <w:sz w:val="24"/>
                <w:szCs w:val="24"/>
              </w:rPr>
            </w:pPr>
            <w:r w:rsidRPr="00A7675C">
              <w:rPr>
                <w:rFonts w:ascii="Times New Roman" w:eastAsia="Times New Roman" w:hAnsi="Times New Roman" w:cs="Times New Roman"/>
                <w:bCs/>
                <w:color w:val="000000" w:themeColor="text1"/>
                <w:sz w:val="24"/>
                <w:szCs w:val="24"/>
              </w:rPr>
              <w:t xml:space="preserve">graudu malšanas produktu ražošanas un graudu, sēklu, neapstrādātas tabakas un lopbarības </w:t>
            </w:r>
            <w:r w:rsidR="00963C1E" w:rsidRPr="00A7675C">
              <w:rPr>
                <w:rFonts w:ascii="Times New Roman" w:eastAsia="Times New Roman" w:hAnsi="Times New Roman" w:cs="Times New Roman"/>
                <w:bCs/>
                <w:color w:val="000000" w:themeColor="text1"/>
                <w:sz w:val="24"/>
                <w:szCs w:val="24"/>
              </w:rPr>
              <w:t xml:space="preserve">vairumtirdzniecības </w:t>
            </w:r>
            <w:r w:rsidR="0086526D" w:rsidRPr="00A7675C">
              <w:rPr>
                <w:rFonts w:ascii="Times New Roman" w:eastAsia="Times New Roman" w:hAnsi="Times New Roman" w:cs="Times New Roman"/>
                <w:bCs/>
                <w:color w:val="000000" w:themeColor="text1"/>
                <w:sz w:val="24"/>
                <w:szCs w:val="24"/>
              </w:rPr>
              <w:t xml:space="preserve">un graudu malšanas produktu ražošanas </w:t>
            </w:r>
            <w:r w:rsidRPr="00A7675C">
              <w:rPr>
                <w:rFonts w:ascii="Times New Roman" w:eastAsia="Times New Roman" w:hAnsi="Times New Roman" w:cs="Times New Roman"/>
                <w:bCs/>
                <w:color w:val="000000" w:themeColor="text1"/>
                <w:sz w:val="24"/>
                <w:szCs w:val="24"/>
              </w:rPr>
              <w:t>nozares nodokļu maksā</w:t>
            </w:r>
            <w:r w:rsidR="00963C1E" w:rsidRPr="00A7675C">
              <w:rPr>
                <w:rFonts w:ascii="Times New Roman" w:eastAsia="Times New Roman" w:hAnsi="Times New Roman" w:cs="Times New Roman"/>
                <w:bCs/>
                <w:color w:val="000000" w:themeColor="text1"/>
                <w:sz w:val="24"/>
                <w:szCs w:val="24"/>
              </w:rPr>
              <w:t>tājiem samazināsies atmaksājamā</w:t>
            </w:r>
            <w:r w:rsidRPr="00A7675C">
              <w:rPr>
                <w:rFonts w:ascii="Times New Roman" w:eastAsia="Times New Roman" w:hAnsi="Times New Roman" w:cs="Times New Roman"/>
                <w:bCs/>
                <w:color w:val="000000" w:themeColor="text1"/>
                <w:sz w:val="24"/>
                <w:szCs w:val="24"/>
              </w:rPr>
              <w:t xml:space="preserve"> </w:t>
            </w:r>
            <w:r w:rsidR="006C5C6F" w:rsidRPr="00A7675C">
              <w:rPr>
                <w:rFonts w:ascii="Times New Roman" w:eastAsia="Times New Roman" w:hAnsi="Times New Roman" w:cs="Times New Roman"/>
                <w:bCs/>
                <w:color w:val="000000" w:themeColor="text1"/>
                <w:sz w:val="24"/>
                <w:szCs w:val="24"/>
              </w:rPr>
              <w:t xml:space="preserve">PVN </w:t>
            </w:r>
            <w:r w:rsidR="00963C1E" w:rsidRPr="00A7675C">
              <w:rPr>
                <w:rFonts w:ascii="Times New Roman" w:eastAsia="Times New Roman" w:hAnsi="Times New Roman" w:cs="Times New Roman"/>
                <w:bCs/>
                <w:color w:val="000000" w:themeColor="text1"/>
                <w:sz w:val="24"/>
                <w:szCs w:val="24"/>
              </w:rPr>
              <w:t>summa no valsts budžeta par 4,</w:t>
            </w:r>
            <w:r w:rsidR="008A0EEA" w:rsidRPr="00A7675C">
              <w:rPr>
                <w:rFonts w:ascii="Times New Roman" w:eastAsia="Times New Roman" w:hAnsi="Times New Roman" w:cs="Times New Roman"/>
                <w:bCs/>
                <w:color w:val="000000" w:themeColor="text1"/>
                <w:sz w:val="24"/>
                <w:szCs w:val="24"/>
              </w:rPr>
              <w:t>4</w:t>
            </w:r>
            <w:r w:rsidRPr="00A7675C">
              <w:rPr>
                <w:rFonts w:ascii="Times New Roman" w:eastAsia="Times New Roman" w:hAnsi="Times New Roman" w:cs="Times New Roman"/>
                <w:bCs/>
                <w:color w:val="000000" w:themeColor="text1"/>
                <w:sz w:val="24"/>
                <w:szCs w:val="24"/>
              </w:rPr>
              <w:t xml:space="preserve"> milj. </w:t>
            </w:r>
            <w:proofErr w:type="spellStart"/>
            <w:r w:rsidRPr="00A7675C">
              <w:rPr>
                <w:rFonts w:ascii="Times New Roman" w:eastAsia="Times New Roman" w:hAnsi="Times New Roman" w:cs="Times New Roman"/>
                <w:bCs/>
                <w:i/>
                <w:color w:val="000000" w:themeColor="text1"/>
                <w:sz w:val="24"/>
                <w:szCs w:val="24"/>
              </w:rPr>
              <w:t>euro</w:t>
            </w:r>
            <w:proofErr w:type="spellEnd"/>
            <w:r w:rsidR="008A0EEA" w:rsidRPr="00A7675C">
              <w:rPr>
                <w:rFonts w:ascii="Times New Roman" w:eastAsia="Times New Roman" w:hAnsi="Times New Roman" w:cs="Times New Roman"/>
                <w:bCs/>
                <w:color w:val="000000" w:themeColor="text1"/>
                <w:sz w:val="24"/>
                <w:szCs w:val="24"/>
              </w:rPr>
              <w:t xml:space="preserve"> 2017. gadā,  2018. gadā – 4,3</w:t>
            </w:r>
            <w:r w:rsidRPr="00A7675C">
              <w:rPr>
                <w:rFonts w:ascii="Times New Roman" w:eastAsia="Times New Roman" w:hAnsi="Times New Roman" w:cs="Times New Roman"/>
                <w:bCs/>
                <w:color w:val="000000" w:themeColor="text1"/>
                <w:sz w:val="24"/>
                <w:szCs w:val="24"/>
              </w:rPr>
              <w:t xml:space="preserve"> milj. </w:t>
            </w:r>
            <w:proofErr w:type="spellStart"/>
            <w:r w:rsidRPr="00A7675C">
              <w:rPr>
                <w:rFonts w:ascii="Times New Roman" w:eastAsia="Times New Roman" w:hAnsi="Times New Roman" w:cs="Times New Roman"/>
                <w:bCs/>
                <w:i/>
                <w:color w:val="000000" w:themeColor="text1"/>
                <w:sz w:val="24"/>
                <w:szCs w:val="24"/>
              </w:rPr>
              <w:t>euro</w:t>
            </w:r>
            <w:proofErr w:type="spellEnd"/>
            <w:r w:rsidR="008A0EEA" w:rsidRPr="00A7675C">
              <w:rPr>
                <w:rFonts w:ascii="Times New Roman" w:eastAsia="Times New Roman" w:hAnsi="Times New Roman" w:cs="Times New Roman"/>
                <w:bCs/>
                <w:color w:val="000000" w:themeColor="text1"/>
                <w:sz w:val="24"/>
                <w:szCs w:val="24"/>
              </w:rPr>
              <w:t xml:space="preserve"> un 2019. gadā </w:t>
            </w:r>
            <w:r w:rsidR="001001E5" w:rsidRPr="00A7675C">
              <w:rPr>
                <w:rFonts w:ascii="Times New Roman" w:eastAsia="Times New Roman" w:hAnsi="Times New Roman" w:cs="Times New Roman"/>
                <w:bCs/>
                <w:color w:val="000000" w:themeColor="text1"/>
                <w:sz w:val="24"/>
                <w:szCs w:val="24"/>
              </w:rPr>
              <w:t xml:space="preserve">- </w:t>
            </w:r>
            <w:r w:rsidR="008A0EEA" w:rsidRPr="00A7675C">
              <w:rPr>
                <w:rFonts w:ascii="Times New Roman" w:eastAsia="Times New Roman" w:hAnsi="Times New Roman" w:cs="Times New Roman"/>
                <w:bCs/>
                <w:color w:val="000000" w:themeColor="text1"/>
                <w:sz w:val="24"/>
                <w:szCs w:val="24"/>
              </w:rPr>
              <w:t>3,8</w:t>
            </w:r>
            <w:r w:rsidRPr="00A7675C">
              <w:rPr>
                <w:rFonts w:ascii="Times New Roman" w:eastAsia="Times New Roman" w:hAnsi="Times New Roman" w:cs="Times New Roman"/>
                <w:bCs/>
                <w:color w:val="000000" w:themeColor="text1"/>
                <w:sz w:val="24"/>
                <w:szCs w:val="24"/>
              </w:rPr>
              <w:t xml:space="preserve"> milj. </w:t>
            </w:r>
            <w:proofErr w:type="spellStart"/>
            <w:r w:rsidRPr="00A7675C">
              <w:rPr>
                <w:rFonts w:ascii="Times New Roman" w:eastAsia="Times New Roman" w:hAnsi="Times New Roman" w:cs="Times New Roman"/>
                <w:bCs/>
                <w:i/>
                <w:color w:val="000000" w:themeColor="text1"/>
                <w:sz w:val="24"/>
                <w:szCs w:val="24"/>
              </w:rPr>
              <w:t>euro</w:t>
            </w:r>
            <w:proofErr w:type="spellEnd"/>
            <w:r w:rsidRPr="00A7675C">
              <w:rPr>
                <w:rFonts w:ascii="Times New Roman" w:eastAsia="Times New Roman" w:hAnsi="Times New Roman" w:cs="Times New Roman"/>
                <w:bCs/>
                <w:color w:val="000000" w:themeColor="text1"/>
                <w:sz w:val="24"/>
                <w:szCs w:val="24"/>
              </w:rPr>
              <w:t>.</w:t>
            </w:r>
          </w:p>
        </w:tc>
      </w:tr>
      <w:tr w:rsidR="00323B21" w:rsidRPr="00A7675C" w14:paraId="21D333A0" w14:textId="77777777" w:rsidTr="002546D2">
        <w:trPr>
          <w:trHeight w:val="525"/>
          <w:tblCellSpacing w:w="0" w:type="dxa"/>
        </w:trPr>
        <w:tc>
          <w:tcPr>
            <w:tcW w:w="2835" w:type="dxa"/>
            <w:tcBorders>
              <w:top w:val="outset" w:sz="6" w:space="0" w:color="auto"/>
              <w:left w:val="outset" w:sz="6" w:space="0" w:color="auto"/>
              <w:bottom w:val="outset" w:sz="6" w:space="0" w:color="auto"/>
              <w:right w:val="outset" w:sz="6" w:space="0" w:color="auto"/>
            </w:tcBorders>
          </w:tcPr>
          <w:p w14:paraId="2A24AAD6" w14:textId="34D2E40E" w:rsidR="00323B21" w:rsidRPr="00A7675C" w:rsidRDefault="00323B21" w:rsidP="00360693">
            <w:pPr>
              <w:spacing w:after="0" w:line="240" w:lineRule="auto"/>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lastRenderedPageBreak/>
              <w:t>6.1. detalizēts ieņēmumu aprēķins</w:t>
            </w:r>
          </w:p>
        </w:tc>
        <w:tc>
          <w:tcPr>
            <w:tcW w:w="5954" w:type="dxa"/>
            <w:gridSpan w:val="5"/>
            <w:tcBorders>
              <w:top w:val="outset" w:sz="6" w:space="0" w:color="auto"/>
              <w:left w:val="outset" w:sz="6" w:space="0" w:color="auto"/>
              <w:bottom w:val="outset" w:sz="6" w:space="0" w:color="auto"/>
              <w:right w:val="outset" w:sz="6" w:space="0" w:color="auto"/>
            </w:tcBorders>
          </w:tcPr>
          <w:p w14:paraId="5BBAA184" w14:textId="77777777" w:rsidR="00323B21" w:rsidRPr="00A7675C" w:rsidRDefault="00323B21" w:rsidP="002546D2">
            <w:pPr>
              <w:ind w:left="127" w:right="126" w:hanging="127"/>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 xml:space="preserve"> Projekts šo jomu neskar</w:t>
            </w:r>
          </w:p>
        </w:tc>
      </w:tr>
      <w:tr w:rsidR="00323B21" w:rsidRPr="00A7675C" w14:paraId="698B85EF" w14:textId="77777777" w:rsidTr="002546D2">
        <w:trPr>
          <w:trHeight w:val="407"/>
          <w:tblCellSpacing w:w="0" w:type="dxa"/>
        </w:trPr>
        <w:tc>
          <w:tcPr>
            <w:tcW w:w="2835" w:type="dxa"/>
            <w:tcBorders>
              <w:top w:val="outset" w:sz="6" w:space="0" w:color="auto"/>
              <w:left w:val="outset" w:sz="6" w:space="0" w:color="auto"/>
              <w:bottom w:val="outset" w:sz="6" w:space="0" w:color="auto"/>
              <w:right w:val="outset" w:sz="6" w:space="0" w:color="auto"/>
            </w:tcBorders>
            <w:hideMark/>
          </w:tcPr>
          <w:p w14:paraId="3E703F77" w14:textId="77777777" w:rsidR="00323B21" w:rsidRPr="00A7675C" w:rsidRDefault="00323B21" w:rsidP="00360693">
            <w:pPr>
              <w:spacing w:after="0" w:line="240" w:lineRule="auto"/>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6.2. detalizēts izdevumu aprēķins</w:t>
            </w:r>
          </w:p>
        </w:tc>
        <w:tc>
          <w:tcPr>
            <w:tcW w:w="5954" w:type="dxa"/>
            <w:gridSpan w:val="5"/>
            <w:tcBorders>
              <w:top w:val="outset" w:sz="6" w:space="0" w:color="auto"/>
              <w:left w:val="outset" w:sz="6" w:space="0" w:color="auto"/>
              <w:bottom w:val="outset" w:sz="6" w:space="0" w:color="auto"/>
              <w:right w:val="outset" w:sz="6" w:space="0" w:color="auto"/>
            </w:tcBorders>
            <w:hideMark/>
          </w:tcPr>
          <w:p w14:paraId="733F96DD" w14:textId="77777777" w:rsidR="00323B21" w:rsidRPr="00A7675C" w:rsidRDefault="00323B21" w:rsidP="002546D2">
            <w:pP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 xml:space="preserve"> Projekts šo jomu neskar</w:t>
            </w:r>
          </w:p>
        </w:tc>
      </w:tr>
      <w:tr w:rsidR="00323B21" w:rsidRPr="00A7675C" w14:paraId="4B0278CA" w14:textId="77777777" w:rsidTr="002546D2">
        <w:trPr>
          <w:trHeight w:val="356"/>
          <w:tblCellSpacing w:w="0" w:type="dxa"/>
        </w:trPr>
        <w:tc>
          <w:tcPr>
            <w:tcW w:w="2835" w:type="dxa"/>
            <w:tcBorders>
              <w:top w:val="outset" w:sz="6" w:space="0" w:color="auto"/>
              <w:left w:val="outset" w:sz="6" w:space="0" w:color="auto"/>
              <w:bottom w:val="outset" w:sz="6" w:space="0" w:color="auto"/>
              <w:right w:val="outset" w:sz="6" w:space="0" w:color="auto"/>
            </w:tcBorders>
            <w:hideMark/>
          </w:tcPr>
          <w:p w14:paraId="289E0029" w14:textId="77777777" w:rsidR="00323B21" w:rsidRPr="00A7675C" w:rsidRDefault="00323B21" w:rsidP="002546D2">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7. Cita informācija</w:t>
            </w:r>
          </w:p>
        </w:tc>
        <w:tc>
          <w:tcPr>
            <w:tcW w:w="5954" w:type="dxa"/>
            <w:gridSpan w:val="5"/>
            <w:tcBorders>
              <w:top w:val="outset" w:sz="6" w:space="0" w:color="auto"/>
              <w:left w:val="outset" w:sz="6" w:space="0" w:color="auto"/>
              <w:bottom w:val="outset" w:sz="6" w:space="0" w:color="auto"/>
              <w:right w:val="outset" w:sz="6" w:space="0" w:color="auto"/>
            </w:tcBorders>
            <w:hideMark/>
          </w:tcPr>
          <w:p w14:paraId="7432457A" w14:textId="05E5DC8A" w:rsidR="00390975" w:rsidRPr="00A7675C" w:rsidRDefault="00390975" w:rsidP="002546D2">
            <w:pPr>
              <w:spacing w:after="0" w:line="240" w:lineRule="auto"/>
              <w:ind w:left="100" w:right="125"/>
              <w:jc w:val="both"/>
              <w:rPr>
                <w:rFonts w:ascii="Times New Roman" w:eastAsia="Times New Roman" w:hAnsi="Times New Roman" w:cs="Times New Roman"/>
                <w:bCs/>
                <w:sz w:val="24"/>
                <w:szCs w:val="24"/>
              </w:rPr>
            </w:pPr>
            <w:r w:rsidRPr="00A7675C">
              <w:rPr>
                <w:rFonts w:ascii="Times New Roman" w:eastAsia="Times New Roman" w:hAnsi="Times New Roman" w:cs="Times New Roman"/>
                <w:bCs/>
                <w:sz w:val="24"/>
                <w:szCs w:val="24"/>
              </w:rPr>
              <w:t>Saskaņā ar VID sniegto informāciju izvairīšanās no PVN nomaksas un PVN krāpšanas shēmas, kuras tiek izmantotas graudaugu nozarēs, ir tādas pašas, kā citās nozarēs, t.i., “fiktīvu” rēķinu par reāli nenotikušajām piegādēm izmantošana, kā arī “pazudušā komersanta” krāpšanas shēmas.</w:t>
            </w:r>
          </w:p>
          <w:p w14:paraId="47A03EFF" w14:textId="77777777" w:rsidR="00390975" w:rsidRPr="00A7675C" w:rsidRDefault="00390975" w:rsidP="002546D2">
            <w:pPr>
              <w:spacing w:after="0" w:line="240" w:lineRule="auto"/>
              <w:ind w:left="100" w:right="125"/>
              <w:jc w:val="both"/>
              <w:rPr>
                <w:rFonts w:ascii="Arial" w:hAnsi="Arial" w:cs="Arial"/>
                <w:b/>
                <w:bCs/>
                <w:color w:val="000000"/>
                <w:sz w:val="24"/>
                <w:szCs w:val="24"/>
              </w:rPr>
            </w:pPr>
            <w:r w:rsidRPr="00A7675C">
              <w:rPr>
                <w:rFonts w:ascii="Times New Roman" w:eastAsia="Times New Roman" w:hAnsi="Times New Roman" w:cs="Times New Roman"/>
                <w:bCs/>
                <w:sz w:val="24"/>
                <w:szCs w:val="24"/>
              </w:rPr>
              <w:t xml:space="preserve">Pēc VID informācijas 2016. gada 25. aprīlī iepriekš minētājās nozarēs darbojās 3 742 nodokļu maksātāji, t.sk. 1 725 (jeb 17,2% no visiem minēto nozaru nodokļu maksātājiem), ir PVN maksātāji. </w:t>
            </w:r>
            <w:r w:rsidRPr="00A7675C">
              <w:rPr>
                <w:rFonts w:ascii="Arial" w:hAnsi="Arial" w:cs="Arial"/>
                <w:b/>
                <w:bCs/>
                <w:color w:val="000000"/>
                <w:sz w:val="24"/>
                <w:szCs w:val="24"/>
              </w:rPr>
              <w:t xml:space="preserve"> </w:t>
            </w:r>
          </w:p>
          <w:p w14:paraId="43BFCF36" w14:textId="77777777" w:rsidR="00390975" w:rsidRPr="00A7675C" w:rsidRDefault="00390975" w:rsidP="002546D2">
            <w:pPr>
              <w:spacing w:after="0" w:line="240" w:lineRule="auto"/>
              <w:ind w:left="100" w:right="125"/>
              <w:jc w:val="center"/>
              <w:rPr>
                <w:rFonts w:ascii="Times New Roman" w:hAnsi="Times New Roman" w:cs="Times New Roman"/>
                <w:bCs/>
                <w:color w:val="000000"/>
                <w:sz w:val="24"/>
                <w:szCs w:val="24"/>
              </w:rPr>
            </w:pPr>
          </w:p>
          <w:p w14:paraId="699DA935" w14:textId="6C48E681" w:rsidR="00390975" w:rsidRPr="00A7675C" w:rsidRDefault="00390975" w:rsidP="002546D2">
            <w:pPr>
              <w:spacing w:after="0" w:line="240" w:lineRule="auto"/>
              <w:ind w:left="100" w:right="125"/>
              <w:jc w:val="center"/>
              <w:rPr>
                <w:rFonts w:ascii="Times New Roman" w:eastAsia="Times New Roman" w:hAnsi="Times New Roman" w:cs="Times New Roman"/>
                <w:bCs/>
                <w:sz w:val="24"/>
                <w:szCs w:val="24"/>
              </w:rPr>
            </w:pPr>
            <w:r w:rsidRPr="00A7675C">
              <w:rPr>
                <w:rFonts w:ascii="Times New Roman" w:hAnsi="Times New Roman" w:cs="Times New Roman"/>
                <w:bCs/>
                <w:color w:val="000000"/>
                <w:sz w:val="24"/>
                <w:szCs w:val="24"/>
              </w:rPr>
              <w:t>Nodokļu maksātāju skaits 2016. gada 25. aprīlī</w:t>
            </w:r>
          </w:p>
          <w:tbl>
            <w:tblPr>
              <w:tblW w:w="5639" w:type="dxa"/>
              <w:tblInd w:w="87" w:type="dxa"/>
              <w:tblLayout w:type="fixed"/>
              <w:tblCellMar>
                <w:left w:w="0" w:type="dxa"/>
                <w:right w:w="0" w:type="dxa"/>
              </w:tblCellMar>
              <w:tblLook w:val="04A0" w:firstRow="1" w:lastRow="0" w:firstColumn="1" w:lastColumn="0" w:noHBand="0" w:noVBand="1"/>
            </w:tblPr>
            <w:tblGrid>
              <w:gridCol w:w="908"/>
              <w:gridCol w:w="1134"/>
              <w:gridCol w:w="1418"/>
              <w:gridCol w:w="992"/>
              <w:gridCol w:w="1187"/>
            </w:tblGrid>
            <w:tr w:rsidR="00390975" w:rsidRPr="00A7675C" w14:paraId="7AAF346C" w14:textId="77777777" w:rsidTr="00D07C2C">
              <w:trPr>
                <w:trHeight w:val="1284"/>
              </w:trPr>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7137A9" w14:textId="77777777" w:rsidR="00390975" w:rsidRPr="00A7675C" w:rsidRDefault="00390975" w:rsidP="00B4238C">
                  <w:pPr>
                    <w:framePr w:hSpace="180" w:wrap="around" w:vAnchor="text" w:hAnchor="margin" w:x="-120" w:y="371"/>
                    <w:spacing w:after="0" w:line="240" w:lineRule="auto"/>
                    <w:jc w:val="center"/>
                    <w:rPr>
                      <w:rFonts w:ascii="Times New Roman" w:eastAsiaTheme="minorHAnsi" w:hAnsi="Times New Roman" w:cs="Times New Roman"/>
                      <w:b/>
                      <w:bCs/>
                      <w:color w:val="000000"/>
                      <w:sz w:val="24"/>
                      <w:szCs w:val="24"/>
                    </w:rPr>
                  </w:pPr>
                  <w:r w:rsidRPr="00A7675C">
                    <w:rPr>
                      <w:rFonts w:ascii="Times New Roman" w:hAnsi="Times New Roman" w:cs="Times New Roman"/>
                      <w:b/>
                      <w:bCs/>
                      <w:color w:val="000000"/>
                      <w:sz w:val="24"/>
                      <w:szCs w:val="24"/>
                    </w:rPr>
                    <w:t xml:space="preserve">NACE 2 </w:t>
                  </w:r>
                  <w:proofErr w:type="spellStart"/>
                  <w:r w:rsidRPr="00A7675C">
                    <w:rPr>
                      <w:rFonts w:ascii="Times New Roman" w:hAnsi="Times New Roman" w:cs="Times New Roman"/>
                      <w:b/>
                      <w:bCs/>
                      <w:color w:val="000000"/>
                      <w:sz w:val="24"/>
                      <w:szCs w:val="24"/>
                    </w:rPr>
                    <w:t>red</w:t>
                  </w:r>
                  <w:proofErr w:type="spellEnd"/>
                  <w:r w:rsidRPr="00A7675C">
                    <w:rPr>
                      <w:rFonts w:ascii="Times New Roman" w:hAnsi="Times New Roman" w:cs="Times New Roman"/>
                      <w:b/>
                      <w:bCs/>
                      <w:color w:val="000000"/>
                      <w:sz w:val="24"/>
                      <w:szCs w:val="24"/>
                    </w:rPr>
                    <w:t>. kods</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712D53"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b/>
                      <w:bCs/>
                      <w:color w:val="000000"/>
                      <w:sz w:val="24"/>
                      <w:szCs w:val="24"/>
                    </w:rPr>
                  </w:pPr>
                  <w:r w:rsidRPr="00A7675C">
                    <w:rPr>
                      <w:rFonts w:ascii="Times New Roman" w:hAnsi="Times New Roman" w:cs="Times New Roman"/>
                      <w:b/>
                      <w:bCs/>
                      <w:color w:val="000000"/>
                      <w:sz w:val="24"/>
                      <w:szCs w:val="24"/>
                    </w:rPr>
                    <w:t>Juridiskās personas</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E4CEAC"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b/>
                      <w:bCs/>
                      <w:color w:val="000000"/>
                      <w:sz w:val="24"/>
                      <w:szCs w:val="24"/>
                    </w:rPr>
                  </w:pPr>
                  <w:r w:rsidRPr="00A7675C">
                    <w:rPr>
                      <w:rFonts w:ascii="Times New Roman" w:hAnsi="Times New Roman" w:cs="Times New Roman"/>
                      <w:b/>
                      <w:bCs/>
                      <w:color w:val="000000"/>
                      <w:sz w:val="24"/>
                      <w:szCs w:val="24"/>
                    </w:rPr>
                    <w:t>fiziskās personas – saimnieciskās darbības veicēji</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D990B3"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b/>
                      <w:bCs/>
                      <w:color w:val="000000"/>
                      <w:sz w:val="24"/>
                      <w:szCs w:val="24"/>
                    </w:rPr>
                  </w:pPr>
                  <w:r w:rsidRPr="00A7675C">
                    <w:rPr>
                      <w:rFonts w:ascii="Times New Roman" w:hAnsi="Times New Roman" w:cs="Times New Roman"/>
                      <w:b/>
                      <w:bCs/>
                      <w:color w:val="000000"/>
                      <w:sz w:val="24"/>
                      <w:szCs w:val="24"/>
                    </w:rPr>
                    <w:t>KOPĀ</w:t>
                  </w:r>
                </w:p>
              </w:tc>
              <w:tc>
                <w:tcPr>
                  <w:tcW w:w="1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90F260"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b/>
                      <w:bCs/>
                      <w:color w:val="000000"/>
                      <w:sz w:val="24"/>
                      <w:szCs w:val="24"/>
                    </w:rPr>
                  </w:pPr>
                  <w:r w:rsidRPr="00A7675C">
                    <w:rPr>
                      <w:rFonts w:ascii="Times New Roman" w:hAnsi="Times New Roman" w:cs="Times New Roman"/>
                      <w:b/>
                      <w:bCs/>
                      <w:color w:val="000000"/>
                      <w:sz w:val="24"/>
                      <w:szCs w:val="24"/>
                    </w:rPr>
                    <w:t>no tiem - reģistrēti PVN maksātāji</w:t>
                  </w:r>
                </w:p>
              </w:tc>
            </w:tr>
            <w:tr w:rsidR="00390975" w:rsidRPr="00A7675C" w14:paraId="69EBB3C0" w14:textId="77777777" w:rsidTr="00D07C2C">
              <w:trPr>
                <w:trHeight w:val="333"/>
              </w:trPr>
              <w:tc>
                <w:tcPr>
                  <w:tcW w:w="90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7B147D"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color w:val="000000"/>
                      <w:sz w:val="24"/>
                      <w:szCs w:val="24"/>
                    </w:rPr>
                  </w:pPr>
                  <w:r w:rsidRPr="00A7675C">
                    <w:rPr>
                      <w:rFonts w:ascii="Times New Roman" w:hAnsi="Times New Roman" w:cs="Times New Roman"/>
                      <w:color w:val="000000"/>
                      <w:sz w:val="24"/>
                      <w:szCs w:val="24"/>
                    </w:rPr>
                    <w:lastRenderedPageBreak/>
                    <w:t>0111</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2CDBFA0"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color w:val="000000"/>
                      <w:sz w:val="24"/>
                      <w:szCs w:val="24"/>
                    </w:rPr>
                  </w:pPr>
                  <w:r w:rsidRPr="00A7675C">
                    <w:rPr>
                      <w:rFonts w:ascii="Times New Roman" w:hAnsi="Times New Roman" w:cs="Times New Roman"/>
                      <w:color w:val="000000"/>
                      <w:sz w:val="24"/>
                      <w:szCs w:val="24"/>
                    </w:rPr>
                    <w:t>2 910</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A3D2A26"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color w:val="000000"/>
                      <w:sz w:val="24"/>
                      <w:szCs w:val="24"/>
                    </w:rPr>
                  </w:pPr>
                  <w:r w:rsidRPr="00A7675C">
                    <w:rPr>
                      <w:rFonts w:ascii="Times New Roman" w:hAnsi="Times New Roman" w:cs="Times New Roman"/>
                      <w:color w:val="000000"/>
                      <w:sz w:val="24"/>
                      <w:szCs w:val="24"/>
                    </w:rPr>
                    <w:t>530</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786E984"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b/>
                      <w:bCs/>
                      <w:color w:val="000000"/>
                      <w:sz w:val="24"/>
                      <w:szCs w:val="24"/>
                    </w:rPr>
                  </w:pPr>
                  <w:r w:rsidRPr="00A7675C">
                    <w:rPr>
                      <w:rFonts w:ascii="Times New Roman" w:hAnsi="Times New Roman" w:cs="Times New Roman"/>
                      <w:b/>
                      <w:bCs/>
                      <w:color w:val="000000"/>
                      <w:sz w:val="24"/>
                      <w:szCs w:val="24"/>
                    </w:rPr>
                    <w:t>3 440</w:t>
                  </w:r>
                </w:p>
              </w:tc>
              <w:tc>
                <w:tcPr>
                  <w:tcW w:w="11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DB95482"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color w:val="000000"/>
                      <w:sz w:val="24"/>
                      <w:szCs w:val="24"/>
                    </w:rPr>
                  </w:pPr>
                  <w:r w:rsidRPr="00A7675C">
                    <w:rPr>
                      <w:rFonts w:ascii="Times New Roman" w:hAnsi="Times New Roman" w:cs="Times New Roman"/>
                      <w:color w:val="000000"/>
                      <w:sz w:val="24"/>
                      <w:szCs w:val="24"/>
                    </w:rPr>
                    <w:t>1 546</w:t>
                  </w:r>
                </w:p>
              </w:tc>
            </w:tr>
            <w:tr w:rsidR="00390975" w:rsidRPr="00A7675C" w14:paraId="07B31DDC" w14:textId="77777777" w:rsidTr="00D07C2C">
              <w:trPr>
                <w:trHeight w:val="20"/>
              </w:trPr>
              <w:tc>
                <w:tcPr>
                  <w:tcW w:w="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5BB341"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color w:val="000000"/>
                      <w:sz w:val="24"/>
                      <w:szCs w:val="24"/>
                    </w:rPr>
                  </w:pPr>
                  <w:r w:rsidRPr="00A7675C">
                    <w:rPr>
                      <w:rFonts w:ascii="Times New Roman" w:hAnsi="Times New Roman" w:cs="Times New Roman"/>
                      <w:color w:val="000000"/>
                      <w:sz w:val="24"/>
                      <w:szCs w:val="24"/>
                    </w:rPr>
                    <w:t>1061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88AAB"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color w:val="000000"/>
                      <w:sz w:val="24"/>
                      <w:szCs w:val="24"/>
                    </w:rPr>
                  </w:pPr>
                  <w:r w:rsidRPr="00A7675C">
                    <w:rPr>
                      <w:rFonts w:ascii="Times New Roman" w:hAnsi="Times New Roman" w:cs="Times New Roman"/>
                      <w:color w:val="000000"/>
                      <w:sz w:val="24"/>
                      <w:szCs w:val="24"/>
                    </w:rPr>
                    <w:t>41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CBBF4"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color w:val="000000"/>
                      <w:sz w:val="24"/>
                      <w:szCs w:val="24"/>
                    </w:rPr>
                  </w:pPr>
                  <w:r w:rsidRPr="00A7675C">
                    <w:rPr>
                      <w:rFonts w:ascii="Times New Roman" w:hAnsi="Times New Roman" w:cs="Times New Roman"/>
                      <w:color w:val="000000"/>
                      <w:sz w:val="24"/>
                      <w:szCs w:val="24"/>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366D1"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b/>
                      <w:bCs/>
                      <w:color w:val="000000"/>
                      <w:sz w:val="24"/>
                      <w:szCs w:val="24"/>
                    </w:rPr>
                  </w:pPr>
                  <w:r w:rsidRPr="00A7675C">
                    <w:rPr>
                      <w:rFonts w:ascii="Times New Roman" w:hAnsi="Times New Roman" w:cs="Times New Roman"/>
                      <w:b/>
                      <w:bCs/>
                      <w:color w:val="000000"/>
                      <w:sz w:val="24"/>
                      <w:szCs w:val="24"/>
                    </w:rPr>
                    <w:t>42</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C3E6A"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color w:val="000000"/>
                      <w:sz w:val="24"/>
                      <w:szCs w:val="24"/>
                    </w:rPr>
                  </w:pPr>
                  <w:r w:rsidRPr="00A7675C">
                    <w:rPr>
                      <w:rFonts w:ascii="Times New Roman" w:hAnsi="Times New Roman" w:cs="Times New Roman"/>
                      <w:color w:val="000000"/>
                      <w:sz w:val="24"/>
                      <w:szCs w:val="24"/>
                    </w:rPr>
                    <w:t>23</w:t>
                  </w:r>
                </w:p>
              </w:tc>
            </w:tr>
            <w:tr w:rsidR="00390975" w:rsidRPr="00A7675C" w14:paraId="5898E81F" w14:textId="77777777" w:rsidTr="00D07C2C">
              <w:trPr>
                <w:trHeight w:val="20"/>
              </w:trPr>
              <w:tc>
                <w:tcPr>
                  <w:tcW w:w="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8D40FB"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color w:val="000000"/>
                      <w:sz w:val="24"/>
                      <w:szCs w:val="24"/>
                    </w:rPr>
                  </w:pPr>
                  <w:r w:rsidRPr="00A7675C">
                    <w:rPr>
                      <w:rFonts w:ascii="Times New Roman" w:hAnsi="Times New Roman" w:cs="Times New Roman"/>
                      <w:color w:val="000000"/>
                      <w:sz w:val="24"/>
                      <w:szCs w:val="24"/>
                    </w:rPr>
                    <w:t>4621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2E900"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color w:val="000000"/>
                      <w:sz w:val="24"/>
                      <w:szCs w:val="24"/>
                    </w:rPr>
                  </w:pPr>
                  <w:r w:rsidRPr="00A7675C">
                    <w:rPr>
                      <w:rFonts w:ascii="Times New Roman" w:hAnsi="Times New Roman" w:cs="Times New Roman"/>
                      <w:color w:val="000000"/>
                      <w:sz w:val="24"/>
                      <w:szCs w:val="24"/>
                    </w:rPr>
                    <w:t>258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B17CBE"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color w:val="000000"/>
                      <w:sz w:val="24"/>
                      <w:szCs w:val="24"/>
                    </w:rPr>
                  </w:pPr>
                  <w:r w:rsidRPr="00A7675C">
                    <w:rPr>
                      <w:rFonts w:ascii="Times New Roman" w:hAnsi="Times New Roman" w:cs="Times New Roman"/>
                      <w:color w:val="000000"/>
                      <w:sz w:val="24"/>
                      <w:szCs w:val="24"/>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0B5366"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b/>
                      <w:bCs/>
                      <w:color w:val="000000"/>
                      <w:sz w:val="24"/>
                      <w:szCs w:val="24"/>
                    </w:rPr>
                  </w:pPr>
                  <w:r w:rsidRPr="00A7675C">
                    <w:rPr>
                      <w:rFonts w:ascii="Times New Roman" w:hAnsi="Times New Roman" w:cs="Times New Roman"/>
                      <w:b/>
                      <w:bCs/>
                      <w:color w:val="000000"/>
                      <w:sz w:val="24"/>
                      <w:szCs w:val="24"/>
                    </w:rPr>
                    <w:t>260</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8B49BE"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color w:val="000000"/>
                      <w:sz w:val="24"/>
                      <w:szCs w:val="24"/>
                    </w:rPr>
                  </w:pPr>
                  <w:r w:rsidRPr="00A7675C">
                    <w:rPr>
                      <w:rFonts w:ascii="Times New Roman" w:hAnsi="Times New Roman" w:cs="Times New Roman"/>
                      <w:color w:val="000000"/>
                      <w:sz w:val="24"/>
                      <w:szCs w:val="24"/>
                    </w:rPr>
                    <w:t>156</w:t>
                  </w:r>
                </w:p>
              </w:tc>
            </w:tr>
            <w:tr w:rsidR="00390975" w:rsidRPr="00A7675C" w14:paraId="1F242EC1" w14:textId="77777777" w:rsidTr="00D07C2C">
              <w:trPr>
                <w:trHeight w:val="20"/>
              </w:trPr>
              <w:tc>
                <w:tcPr>
                  <w:tcW w:w="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0DCEE4"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b/>
                      <w:bCs/>
                      <w:color w:val="000000"/>
                      <w:sz w:val="24"/>
                      <w:szCs w:val="24"/>
                    </w:rPr>
                  </w:pPr>
                  <w:r w:rsidRPr="00A7675C">
                    <w:rPr>
                      <w:rFonts w:ascii="Times New Roman" w:hAnsi="Times New Roman" w:cs="Times New Roman"/>
                      <w:b/>
                      <w:bCs/>
                      <w:color w:val="000000"/>
                      <w:sz w:val="24"/>
                      <w:szCs w:val="24"/>
                    </w:rPr>
                    <w:t>Kopā</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C6F4AC"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b/>
                      <w:bCs/>
                      <w:color w:val="000000"/>
                      <w:sz w:val="24"/>
                      <w:szCs w:val="24"/>
                    </w:rPr>
                  </w:pPr>
                  <w:r w:rsidRPr="00A7675C">
                    <w:rPr>
                      <w:rFonts w:ascii="Times New Roman" w:hAnsi="Times New Roman" w:cs="Times New Roman"/>
                      <w:b/>
                      <w:bCs/>
                      <w:color w:val="000000"/>
                      <w:sz w:val="24"/>
                      <w:szCs w:val="24"/>
                    </w:rPr>
                    <w:t>3 209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A51712"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b/>
                      <w:bCs/>
                      <w:color w:val="000000"/>
                      <w:sz w:val="24"/>
                      <w:szCs w:val="24"/>
                    </w:rPr>
                  </w:pPr>
                  <w:r w:rsidRPr="00A7675C">
                    <w:rPr>
                      <w:rFonts w:ascii="Times New Roman" w:hAnsi="Times New Roman" w:cs="Times New Roman"/>
                      <w:b/>
                      <w:bCs/>
                      <w:color w:val="000000"/>
                      <w:sz w:val="24"/>
                      <w:szCs w:val="24"/>
                    </w:rPr>
                    <w:t>533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2C3F0"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b/>
                      <w:bCs/>
                      <w:color w:val="000000"/>
                      <w:sz w:val="24"/>
                      <w:szCs w:val="24"/>
                    </w:rPr>
                  </w:pPr>
                  <w:r w:rsidRPr="00A7675C">
                    <w:rPr>
                      <w:rFonts w:ascii="Times New Roman" w:hAnsi="Times New Roman" w:cs="Times New Roman"/>
                      <w:b/>
                      <w:bCs/>
                      <w:color w:val="000000"/>
                      <w:sz w:val="24"/>
                      <w:szCs w:val="24"/>
                    </w:rPr>
                    <w:t>3 742</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3A315" w14:textId="77777777" w:rsidR="00390975" w:rsidRPr="00A7675C" w:rsidRDefault="00390975" w:rsidP="00B4238C">
                  <w:pPr>
                    <w:framePr w:hSpace="180" w:wrap="around" w:vAnchor="text" w:hAnchor="margin" w:x="-120" w:y="371"/>
                    <w:spacing w:after="0" w:line="240" w:lineRule="auto"/>
                    <w:jc w:val="center"/>
                    <w:rPr>
                      <w:rFonts w:ascii="Times New Roman" w:hAnsi="Times New Roman" w:cs="Times New Roman"/>
                      <w:b/>
                      <w:bCs/>
                      <w:color w:val="000000"/>
                      <w:sz w:val="24"/>
                      <w:szCs w:val="24"/>
                    </w:rPr>
                  </w:pPr>
                  <w:r w:rsidRPr="00A7675C">
                    <w:rPr>
                      <w:rFonts w:ascii="Times New Roman" w:hAnsi="Times New Roman" w:cs="Times New Roman"/>
                      <w:b/>
                      <w:bCs/>
                      <w:color w:val="000000"/>
                      <w:sz w:val="24"/>
                      <w:szCs w:val="24"/>
                    </w:rPr>
                    <w:t>1 725</w:t>
                  </w:r>
                </w:p>
              </w:tc>
            </w:tr>
          </w:tbl>
          <w:p w14:paraId="5078F2AB" w14:textId="2325246D" w:rsidR="00323B21" w:rsidRPr="00A7675C" w:rsidRDefault="00390975" w:rsidP="002546D2">
            <w:pPr>
              <w:spacing w:after="0" w:line="240" w:lineRule="auto"/>
              <w:ind w:left="134"/>
              <w:jc w:val="both"/>
              <w:rPr>
                <w:rFonts w:ascii="Times New Roman" w:hAnsi="Times New Roman" w:cs="Times New Roman"/>
                <w:b/>
                <w:sz w:val="24"/>
                <w:szCs w:val="24"/>
              </w:rPr>
            </w:pPr>
            <w:r w:rsidRPr="00A7675C">
              <w:rPr>
                <w:rFonts w:ascii="Times New Roman" w:eastAsia="Times New Roman" w:hAnsi="Times New Roman" w:cs="Times New Roman"/>
                <w:bCs/>
                <w:sz w:val="24"/>
                <w:szCs w:val="24"/>
              </w:rPr>
              <w:t xml:space="preserve">Latvijā darbojas 34 iepriekš minēto nozaru nodokļu maksātāji, kam ir piešķirta fiktīva uzņēmuma pazīme un, kas ir 1,1% no visiem šo nozaru uzņēmumiem. Jāatzīmē, ka vislielākais fiktīvo uzņēmumu skaits ir </w:t>
            </w:r>
            <w:r w:rsidRPr="00A7675C">
              <w:rPr>
                <w:rFonts w:ascii="Times New Roman" w:hAnsi="Times New Roman"/>
                <w:sz w:val="24"/>
                <w:szCs w:val="24"/>
              </w:rPr>
              <w:t>graudu, sēklu, neapstrādātas tabakas un lopbarības vairumtirdzniecības nozarē – 20 uzņēmumiem piešķirta fiktīva uzņēmuma pazīme. Savukārt graudaugu (izņemot rīsu), pākšaugu un eļļas augu sēklu audzēšanas</w:t>
            </w:r>
            <w:r w:rsidRPr="00A7675C">
              <w:rPr>
                <w:rFonts w:ascii="Times New Roman" w:eastAsia="Times New Roman" w:hAnsi="Times New Roman" w:cs="Times New Roman"/>
                <w:bCs/>
                <w:sz w:val="24"/>
                <w:szCs w:val="24"/>
              </w:rPr>
              <w:t xml:space="preserve"> nozares nodokļu maksātājiem    fiktīva uzņēmumu pazīme ir piešķirta 11</w:t>
            </w:r>
            <w:r w:rsidRPr="00A7675C">
              <w:rPr>
                <w:rFonts w:ascii="Times New Roman" w:hAnsi="Times New Roman"/>
                <w:sz w:val="24"/>
                <w:szCs w:val="24"/>
              </w:rPr>
              <w:t xml:space="preserve"> uzņēmumiem </w:t>
            </w:r>
            <w:r w:rsidRPr="00A7675C">
              <w:rPr>
                <w:rFonts w:ascii="Times New Roman" w:eastAsia="Times New Roman" w:hAnsi="Times New Roman" w:cs="Times New Roman"/>
                <w:bCs/>
                <w:sz w:val="24"/>
                <w:szCs w:val="24"/>
              </w:rPr>
              <w:t>jeb 0,1% no kopējā fiktīvo uzņēmumu skaita un 9,4% no kopēja lauksaimniecības nozares uzņēmumu skaita, kuriem ir piešķirta fiktīva uzņēmumu pazīme.</w:t>
            </w:r>
          </w:p>
        </w:tc>
      </w:tr>
    </w:tbl>
    <w:p w14:paraId="1E71F111" w14:textId="77777777" w:rsidR="006F6EFB" w:rsidRPr="00A7675C" w:rsidRDefault="006F6EFB" w:rsidP="00171D36">
      <w:pPr>
        <w:spacing w:after="0" w:line="240" w:lineRule="auto"/>
        <w:rPr>
          <w:rFonts w:ascii="Times New Roman" w:hAnsi="Times New Roman" w:cs="Times New Roman"/>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2544"/>
        <w:gridCol w:w="5836"/>
      </w:tblGrid>
      <w:tr w:rsidR="00DA6C86" w:rsidRPr="00A7675C" w14:paraId="0D71DA89" w14:textId="77777777" w:rsidTr="00740568">
        <w:trPr>
          <w:trHeight w:val="461"/>
          <w:jc w:val="center"/>
        </w:trPr>
        <w:tc>
          <w:tcPr>
            <w:tcW w:w="8784" w:type="dxa"/>
            <w:gridSpan w:val="3"/>
            <w:vAlign w:val="center"/>
          </w:tcPr>
          <w:p w14:paraId="1439EE26" w14:textId="77777777" w:rsidR="00DA6C86" w:rsidRPr="00A7675C" w:rsidRDefault="00171D36" w:rsidP="00171D36">
            <w:pPr>
              <w:pStyle w:val="naisnod"/>
              <w:spacing w:before="0" w:beforeAutospacing="0" w:after="0" w:afterAutospacing="0"/>
              <w:jc w:val="center"/>
              <w:rPr>
                <w:b/>
              </w:rPr>
            </w:pPr>
            <w:r w:rsidRPr="00A7675C">
              <w:br w:type="page"/>
            </w:r>
            <w:r w:rsidR="00DA6C86" w:rsidRPr="00A7675C">
              <w:rPr>
                <w:b/>
              </w:rPr>
              <w:t>IV. Tiesību akta projekta ietekme uz spēkā esošo tiesību normu sistēmu</w:t>
            </w:r>
          </w:p>
        </w:tc>
      </w:tr>
      <w:tr w:rsidR="00DA6C86" w:rsidRPr="00A7675C" w14:paraId="534804CB" w14:textId="77777777" w:rsidTr="00740568">
        <w:trPr>
          <w:jc w:val="center"/>
        </w:trPr>
        <w:tc>
          <w:tcPr>
            <w:tcW w:w="404" w:type="dxa"/>
          </w:tcPr>
          <w:p w14:paraId="63D96C1F" w14:textId="77777777" w:rsidR="00DA6C86" w:rsidRPr="00A7675C" w:rsidRDefault="00DA6C86" w:rsidP="00171D36">
            <w:pPr>
              <w:pStyle w:val="naiskr"/>
              <w:tabs>
                <w:tab w:val="left" w:pos="2628"/>
              </w:tabs>
              <w:spacing w:before="0" w:beforeAutospacing="0" w:after="0" w:afterAutospacing="0"/>
              <w:jc w:val="both"/>
              <w:rPr>
                <w:iCs/>
              </w:rPr>
            </w:pPr>
            <w:r w:rsidRPr="00A7675C">
              <w:rPr>
                <w:iCs/>
              </w:rPr>
              <w:t>1.</w:t>
            </w:r>
          </w:p>
        </w:tc>
        <w:tc>
          <w:tcPr>
            <w:tcW w:w="2544" w:type="dxa"/>
          </w:tcPr>
          <w:p w14:paraId="2715BD80" w14:textId="77777777" w:rsidR="00DA6C86" w:rsidRPr="00A7675C" w:rsidRDefault="00DA6C86" w:rsidP="00171D36">
            <w:pPr>
              <w:pStyle w:val="naiskr"/>
              <w:tabs>
                <w:tab w:val="left" w:pos="2628"/>
              </w:tabs>
              <w:spacing w:before="0" w:beforeAutospacing="0" w:after="0" w:afterAutospacing="0"/>
              <w:jc w:val="both"/>
              <w:rPr>
                <w:iCs/>
              </w:rPr>
            </w:pPr>
            <w:r w:rsidRPr="00A7675C">
              <w:t>Nepieciešamie saistītie tiesību aktu projekti</w:t>
            </w:r>
          </w:p>
        </w:tc>
        <w:tc>
          <w:tcPr>
            <w:tcW w:w="5836" w:type="dxa"/>
          </w:tcPr>
          <w:p w14:paraId="4EFCCCC2" w14:textId="1E28D970" w:rsidR="007B22B0" w:rsidRPr="00A7675C" w:rsidRDefault="001001E5" w:rsidP="005E532F">
            <w:pPr>
              <w:shd w:val="clear" w:color="auto" w:fill="FFFFFF"/>
              <w:spacing w:after="0" w:line="240" w:lineRule="auto"/>
              <w:jc w:val="both"/>
              <w:rPr>
                <w:b/>
                <w:sz w:val="24"/>
                <w:szCs w:val="24"/>
              </w:rPr>
            </w:pPr>
            <w:r w:rsidRPr="00A7675C">
              <w:rPr>
                <w:rFonts w:ascii="Times New Roman" w:hAnsi="Times New Roman" w:cs="Times New Roman"/>
                <w:sz w:val="24"/>
                <w:szCs w:val="24"/>
              </w:rPr>
              <w:t xml:space="preserve">Finanšu ministrija (VID) </w:t>
            </w:r>
            <w:r w:rsidR="007B22B0" w:rsidRPr="00A7675C">
              <w:rPr>
                <w:rFonts w:ascii="Times New Roman" w:hAnsi="Times New Roman" w:cs="Times New Roman"/>
                <w:sz w:val="24"/>
                <w:szCs w:val="24"/>
              </w:rPr>
              <w:t xml:space="preserve">nodrošina, ka tiks izstrādāti grozījumi </w:t>
            </w:r>
            <w:r w:rsidR="004567C1" w:rsidRPr="00A7675C">
              <w:rPr>
                <w:rFonts w:ascii="Times New Roman" w:hAnsi="Times New Roman" w:cs="Times New Roman"/>
                <w:sz w:val="24"/>
                <w:szCs w:val="24"/>
              </w:rPr>
              <w:t>Ministru kabineta 2013.gada 15.janvāra noteikumos Nr.40 “Noteikumi par pievienotās vērtības nodokļa deklarācijām”</w:t>
            </w:r>
            <w:r w:rsidR="007B22B0" w:rsidRPr="00A7675C">
              <w:rPr>
                <w:rFonts w:ascii="Times New Roman" w:hAnsi="Times New Roman" w:cs="Times New Roman"/>
                <w:sz w:val="24"/>
                <w:szCs w:val="24"/>
              </w:rPr>
              <w:t>,</w:t>
            </w:r>
            <w:r w:rsidR="00A50455" w:rsidRPr="00A7675C">
              <w:rPr>
                <w:rFonts w:ascii="Times New Roman" w:hAnsi="Times New Roman" w:cs="Times New Roman"/>
                <w:sz w:val="24"/>
                <w:szCs w:val="24"/>
              </w:rPr>
              <w:t xml:space="preserve"> grozot PVN deklarācij</w:t>
            </w:r>
            <w:r w:rsidR="00CC37D5" w:rsidRPr="00A7675C">
              <w:rPr>
                <w:rFonts w:ascii="Times New Roman" w:hAnsi="Times New Roman" w:cs="Times New Roman"/>
                <w:sz w:val="24"/>
                <w:szCs w:val="24"/>
              </w:rPr>
              <w:t xml:space="preserve">as pielikumus attiecībā uz </w:t>
            </w:r>
            <w:r w:rsidR="00CC37D5" w:rsidRPr="00A7675C">
              <w:rPr>
                <w:rFonts w:ascii="Times New Roman" w:hAnsi="Times New Roman" w:cs="Times New Roman"/>
                <w:sz w:val="24"/>
                <w:szCs w:val="24"/>
                <w:lang w:eastAsia="en-US"/>
              </w:rPr>
              <w:t>PVN apgrieztā maksāšanas kārtībā veikto</w:t>
            </w:r>
            <w:r w:rsidR="005E532F">
              <w:rPr>
                <w:rFonts w:ascii="Times New Roman" w:hAnsi="Times New Roman" w:cs="Times New Roman"/>
                <w:sz w:val="24"/>
                <w:szCs w:val="24"/>
              </w:rPr>
              <w:t xml:space="preserve"> </w:t>
            </w:r>
            <w:r w:rsidR="00CC37D5" w:rsidRPr="00A7675C">
              <w:rPr>
                <w:rFonts w:ascii="Times New Roman" w:hAnsi="Times New Roman" w:cs="Times New Roman"/>
                <w:sz w:val="24"/>
                <w:szCs w:val="24"/>
              </w:rPr>
              <w:t>darījumu atšifrēšanu.</w:t>
            </w:r>
          </w:p>
        </w:tc>
      </w:tr>
      <w:tr w:rsidR="00DA6C86" w:rsidRPr="00A7675C" w14:paraId="4A71BB43" w14:textId="77777777" w:rsidTr="00740568">
        <w:trPr>
          <w:jc w:val="center"/>
        </w:trPr>
        <w:tc>
          <w:tcPr>
            <w:tcW w:w="404" w:type="dxa"/>
          </w:tcPr>
          <w:p w14:paraId="0CECC32E" w14:textId="77777777" w:rsidR="00DA6C86" w:rsidRPr="00A7675C" w:rsidRDefault="00DA6C86" w:rsidP="00171D36">
            <w:pPr>
              <w:pStyle w:val="naiskr"/>
              <w:tabs>
                <w:tab w:val="left" w:pos="2628"/>
              </w:tabs>
              <w:spacing w:before="0" w:beforeAutospacing="0" w:after="0" w:afterAutospacing="0"/>
              <w:jc w:val="both"/>
              <w:rPr>
                <w:iCs/>
              </w:rPr>
            </w:pPr>
            <w:r w:rsidRPr="00A7675C">
              <w:rPr>
                <w:iCs/>
              </w:rPr>
              <w:t>2.</w:t>
            </w:r>
          </w:p>
        </w:tc>
        <w:tc>
          <w:tcPr>
            <w:tcW w:w="2544" w:type="dxa"/>
          </w:tcPr>
          <w:p w14:paraId="7208709C" w14:textId="77777777" w:rsidR="00DA6C86" w:rsidRPr="00A7675C" w:rsidRDefault="00DA6C86" w:rsidP="00171D36">
            <w:pPr>
              <w:pStyle w:val="naiskr"/>
              <w:tabs>
                <w:tab w:val="left" w:pos="2628"/>
              </w:tabs>
              <w:spacing w:before="0" w:beforeAutospacing="0" w:after="0" w:afterAutospacing="0"/>
              <w:jc w:val="both"/>
            </w:pPr>
            <w:r w:rsidRPr="00A7675C">
              <w:t>Atbildīgā institūcija</w:t>
            </w:r>
          </w:p>
        </w:tc>
        <w:tc>
          <w:tcPr>
            <w:tcW w:w="5836" w:type="dxa"/>
          </w:tcPr>
          <w:p w14:paraId="2C94258F" w14:textId="40C267AA" w:rsidR="004822D6" w:rsidRPr="00A7675C" w:rsidRDefault="00B865E0" w:rsidP="004822D6">
            <w:pPr>
              <w:shd w:val="clear" w:color="auto" w:fill="FFFFFF"/>
              <w:spacing w:after="0" w:line="240" w:lineRule="auto"/>
              <w:jc w:val="both"/>
              <w:rPr>
                <w:rFonts w:ascii="Times New Roman" w:hAnsi="Times New Roman" w:cs="Times New Roman"/>
                <w:sz w:val="24"/>
                <w:szCs w:val="24"/>
              </w:rPr>
            </w:pPr>
            <w:r w:rsidRPr="00A7675C">
              <w:rPr>
                <w:rFonts w:ascii="Times New Roman" w:hAnsi="Times New Roman" w:cs="Times New Roman"/>
                <w:sz w:val="24"/>
                <w:szCs w:val="24"/>
              </w:rPr>
              <w:t>Finanšu ministrija</w:t>
            </w:r>
          </w:p>
        </w:tc>
      </w:tr>
      <w:tr w:rsidR="00DA6C86" w:rsidRPr="00A7675C" w14:paraId="718134C9" w14:textId="77777777" w:rsidTr="00740568">
        <w:trPr>
          <w:jc w:val="center"/>
        </w:trPr>
        <w:tc>
          <w:tcPr>
            <w:tcW w:w="404" w:type="dxa"/>
          </w:tcPr>
          <w:p w14:paraId="0829CACA" w14:textId="77777777" w:rsidR="00DA6C86" w:rsidRPr="00A7675C" w:rsidRDefault="00DA6C86" w:rsidP="00171D36">
            <w:pPr>
              <w:pStyle w:val="naiskr"/>
              <w:tabs>
                <w:tab w:val="left" w:pos="2628"/>
              </w:tabs>
              <w:spacing w:before="0" w:beforeAutospacing="0" w:after="0" w:afterAutospacing="0"/>
              <w:jc w:val="both"/>
              <w:rPr>
                <w:iCs/>
              </w:rPr>
            </w:pPr>
            <w:r w:rsidRPr="00A7675C">
              <w:rPr>
                <w:iCs/>
              </w:rPr>
              <w:t>3.</w:t>
            </w:r>
          </w:p>
        </w:tc>
        <w:tc>
          <w:tcPr>
            <w:tcW w:w="2544" w:type="dxa"/>
          </w:tcPr>
          <w:p w14:paraId="46556BDE" w14:textId="77777777" w:rsidR="00DA6C86" w:rsidRPr="00A7675C" w:rsidRDefault="00DA6C86" w:rsidP="00171D36">
            <w:pPr>
              <w:pStyle w:val="naiskr"/>
              <w:tabs>
                <w:tab w:val="left" w:pos="2628"/>
              </w:tabs>
              <w:spacing w:before="0" w:beforeAutospacing="0" w:after="0" w:afterAutospacing="0"/>
              <w:jc w:val="both"/>
              <w:rPr>
                <w:iCs/>
              </w:rPr>
            </w:pPr>
            <w:r w:rsidRPr="00A7675C">
              <w:t>Cita informācija</w:t>
            </w:r>
          </w:p>
        </w:tc>
        <w:tc>
          <w:tcPr>
            <w:tcW w:w="5836" w:type="dxa"/>
          </w:tcPr>
          <w:p w14:paraId="5617FE3C" w14:textId="128ECE7E" w:rsidR="001001E5" w:rsidRPr="00A7675C" w:rsidRDefault="002546D2" w:rsidP="00CF307E">
            <w:pPr>
              <w:pStyle w:val="naiskr"/>
              <w:tabs>
                <w:tab w:val="left" w:pos="2628"/>
              </w:tabs>
              <w:spacing w:before="0" w:beforeAutospacing="0" w:after="0" w:afterAutospacing="0"/>
              <w:jc w:val="both"/>
              <w:rPr>
                <w:iCs/>
              </w:rPr>
            </w:pPr>
            <w:r w:rsidRPr="00A7675C">
              <w:rPr>
                <w:iCs/>
              </w:rPr>
              <w:t>Nav</w:t>
            </w:r>
          </w:p>
        </w:tc>
      </w:tr>
    </w:tbl>
    <w:p w14:paraId="0DC9F2C7" w14:textId="77777777" w:rsidR="005E4388" w:rsidRPr="00A7675C" w:rsidRDefault="005E4388" w:rsidP="00171D36">
      <w:pPr>
        <w:spacing w:after="0" w:line="240" w:lineRule="auto"/>
        <w:rPr>
          <w:rFonts w:ascii="Times New Roman" w:hAnsi="Times New Roman" w:cs="Times New Roman"/>
          <w:sz w:val="24"/>
          <w:szCs w:val="24"/>
        </w:rPr>
      </w:pPr>
    </w:p>
    <w:tbl>
      <w:tblPr>
        <w:tblW w:w="8849"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01"/>
        <w:gridCol w:w="1647"/>
        <w:gridCol w:w="265"/>
        <w:gridCol w:w="721"/>
        <w:gridCol w:w="965"/>
        <w:gridCol w:w="1190"/>
        <w:gridCol w:w="1227"/>
        <w:gridCol w:w="2533"/>
      </w:tblGrid>
      <w:tr w:rsidR="00DA6C86" w:rsidRPr="00A7675C" w14:paraId="7952D64E" w14:textId="77777777" w:rsidTr="00740568">
        <w:trPr>
          <w:jc w:val="center"/>
        </w:trPr>
        <w:tc>
          <w:tcPr>
            <w:tcW w:w="8849" w:type="dxa"/>
            <w:gridSpan w:val="8"/>
            <w:tcBorders>
              <w:top w:val="outset" w:sz="6" w:space="0" w:color="auto"/>
              <w:left w:val="outset" w:sz="6" w:space="0" w:color="auto"/>
              <w:bottom w:val="outset" w:sz="6" w:space="0" w:color="auto"/>
              <w:right w:val="outset" w:sz="6" w:space="0" w:color="auto"/>
            </w:tcBorders>
            <w:vAlign w:val="center"/>
          </w:tcPr>
          <w:p w14:paraId="2DB0F925" w14:textId="77777777" w:rsidR="00DA6C86" w:rsidRPr="00A7675C" w:rsidRDefault="00DA6C86" w:rsidP="00171D36">
            <w:pPr>
              <w:spacing w:after="0" w:line="240" w:lineRule="auto"/>
              <w:jc w:val="center"/>
              <w:rPr>
                <w:rFonts w:ascii="Times New Roman" w:hAnsi="Times New Roman" w:cs="Times New Roman"/>
                <w:b/>
                <w:sz w:val="24"/>
                <w:szCs w:val="24"/>
              </w:rPr>
            </w:pPr>
            <w:r w:rsidRPr="00A7675C">
              <w:rPr>
                <w:rFonts w:ascii="Times New Roman" w:hAnsi="Times New Roman" w:cs="Times New Roman"/>
                <w:b/>
                <w:sz w:val="24"/>
                <w:szCs w:val="24"/>
              </w:rPr>
              <w:t>V. Tiesību akta projekta atbilstība Latvijas Republikas starptautiskajām saistībām</w:t>
            </w:r>
          </w:p>
        </w:tc>
      </w:tr>
      <w:tr w:rsidR="007F21A5" w:rsidRPr="00A7675C" w14:paraId="20B3C9B7" w14:textId="77777777" w:rsidTr="001F41E7">
        <w:trPr>
          <w:jc w:val="center"/>
        </w:trPr>
        <w:tc>
          <w:tcPr>
            <w:tcW w:w="301" w:type="dxa"/>
            <w:tcBorders>
              <w:top w:val="outset" w:sz="6" w:space="0" w:color="auto"/>
              <w:left w:val="outset" w:sz="6" w:space="0" w:color="auto"/>
              <w:bottom w:val="outset" w:sz="6" w:space="0" w:color="auto"/>
              <w:right w:val="outset" w:sz="6" w:space="0" w:color="auto"/>
            </w:tcBorders>
          </w:tcPr>
          <w:p w14:paraId="79F474AE" w14:textId="77777777" w:rsidR="007F21A5" w:rsidRPr="00A7675C" w:rsidRDefault="007F21A5" w:rsidP="007F21A5">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1.</w:t>
            </w:r>
          </w:p>
        </w:tc>
        <w:tc>
          <w:tcPr>
            <w:tcW w:w="2633" w:type="dxa"/>
            <w:gridSpan w:val="3"/>
            <w:tcBorders>
              <w:top w:val="outset" w:sz="6" w:space="0" w:color="auto"/>
              <w:left w:val="outset" w:sz="6" w:space="0" w:color="auto"/>
              <w:bottom w:val="outset" w:sz="6" w:space="0" w:color="auto"/>
              <w:right w:val="outset" w:sz="6" w:space="0" w:color="auto"/>
            </w:tcBorders>
          </w:tcPr>
          <w:p w14:paraId="322D2B47" w14:textId="77777777" w:rsidR="007F21A5" w:rsidRPr="00A7675C" w:rsidRDefault="007F21A5" w:rsidP="007F21A5">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Saistības pret Eiropas Savienību</w:t>
            </w:r>
          </w:p>
        </w:tc>
        <w:tc>
          <w:tcPr>
            <w:tcW w:w="5915" w:type="dxa"/>
            <w:gridSpan w:val="4"/>
            <w:tcBorders>
              <w:top w:val="outset" w:sz="6" w:space="0" w:color="auto"/>
              <w:left w:val="outset" w:sz="6" w:space="0" w:color="auto"/>
              <w:bottom w:val="outset" w:sz="6" w:space="0" w:color="auto"/>
              <w:right w:val="outset" w:sz="6" w:space="0" w:color="auto"/>
            </w:tcBorders>
          </w:tcPr>
          <w:p w14:paraId="3EC82EAF" w14:textId="7C17099D" w:rsidR="004D7081" w:rsidRPr="00A7675C" w:rsidRDefault="007F21A5" w:rsidP="00740568">
            <w:pPr>
              <w:pStyle w:val="Default"/>
              <w:ind w:right="130"/>
              <w:jc w:val="both"/>
              <w:rPr>
                <w:b/>
              </w:rPr>
            </w:pPr>
            <w:r w:rsidRPr="00A7675C">
              <w:rPr>
                <w:rFonts w:ascii="Times New Roman" w:hAnsi="Times New Roman" w:cs="Times New Roman"/>
                <w:snapToGrid w:val="0"/>
              </w:rPr>
              <w:t>Ar likumprojektu tiek ieviest</w:t>
            </w:r>
            <w:r w:rsidR="008470A0" w:rsidRPr="00A7675C">
              <w:rPr>
                <w:rFonts w:ascii="Times New Roman" w:hAnsi="Times New Roman" w:cs="Times New Roman"/>
                <w:snapToGrid w:val="0"/>
              </w:rPr>
              <w:t>a</w:t>
            </w:r>
            <w:r w:rsidR="004567C1" w:rsidRPr="00A7675C">
              <w:rPr>
                <w:rFonts w:ascii="Times New Roman" w:hAnsi="Times New Roman" w:cs="Times New Roman"/>
                <w:snapToGrid w:val="0"/>
              </w:rPr>
              <w:t xml:space="preserve"> </w:t>
            </w:r>
            <w:r w:rsidR="008470A0" w:rsidRPr="00A7675C">
              <w:t xml:space="preserve">PVN direktīvas 199.a panta 1.punkta “i” apakšpunktā noteiktā izvēles norma, saskaņā ar kuru dalībvalsts var noteikt, ka līdz 2018.gada 31.decembrim un vismaz uz diviem gadiem persona, kas ir atbildīga par PVN nomaksu, ir nodokļa maksātājs, kas ir saņēmis graudaugu un tehnisko kultūru </w:t>
            </w:r>
            <w:r w:rsidR="002E768A" w:rsidRPr="00A7675C">
              <w:t>(</w:t>
            </w:r>
            <w:r w:rsidR="008470A0" w:rsidRPr="00A7675C">
              <w:t>tostarp eļļas augu sēklu</w:t>
            </w:r>
            <w:r w:rsidR="002E768A" w:rsidRPr="00A7675C">
              <w:t>)</w:t>
            </w:r>
            <w:r w:rsidR="008470A0" w:rsidRPr="00A7675C">
              <w:t xml:space="preserve">, </w:t>
            </w:r>
            <w:r w:rsidR="002E768A" w:rsidRPr="00A7675C">
              <w:t xml:space="preserve">tai skaitā šādu preču maisījumu, </w:t>
            </w:r>
            <w:r w:rsidR="008470A0" w:rsidRPr="00A7675C">
              <w:t xml:space="preserve">ko </w:t>
            </w:r>
            <w:proofErr w:type="spellStart"/>
            <w:r w:rsidR="008470A0" w:rsidRPr="00A7675C">
              <w:t>galapatēriņa</w:t>
            </w:r>
            <w:proofErr w:type="spellEnd"/>
            <w:r w:rsidR="008470A0" w:rsidRPr="00A7675C">
              <w:t xml:space="preserve"> stadijā neizmanto neizmainītā stadijā, piegādes</w:t>
            </w:r>
            <w:r w:rsidR="00740568" w:rsidRPr="00A7675C">
              <w:t>.</w:t>
            </w:r>
          </w:p>
        </w:tc>
      </w:tr>
      <w:tr w:rsidR="007F21A5" w:rsidRPr="00A7675C" w14:paraId="15E8C1B7" w14:textId="77777777" w:rsidTr="001F41E7">
        <w:trPr>
          <w:jc w:val="center"/>
        </w:trPr>
        <w:tc>
          <w:tcPr>
            <w:tcW w:w="301" w:type="dxa"/>
            <w:tcBorders>
              <w:top w:val="outset" w:sz="6" w:space="0" w:color="auto"/>
              <w:left w:val="outset" w:sz="6" w:space="0" w:color="auto"/>
              <w:bottom w:val="outset" w:sz="6" w:space="0" w:color="auto"/>
              <w:right w:val="outset" w:sz="6" w:space="0" w:color="auto"/>
            </w:tcBorders>
          </w:tcPr>
          <w:p w14:paraId="2C4E38AA" w14:textId="2F2FBE7C" w:rsidR="007F21A5" w:rsidRPr="00A7675C" w:rsidRDefault="007F21A5" w:rsidP="007F21A5">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2.</w:t>
            </w:r>
          </w:p>
        </w:tc>
        <w:tc>
          <w:tcPr>
            <w:tcW w:w="2633" w:type="dxa"/>
            <w:gridSpan w:val="3"/>
            <w:tcBorders>
              <w:top w:val="outset" w:sz="6" w:space="0" w:color="auto"/>
              <w:left w:val="outset" w:sz="6" w:space="0" w:color="auto"/>
              <w:bottom w:val="outset" w:sz="6" w:space="0" w:color="auto"/>
              <w:right w:val="outset" w:sz="6" w:space="0" w:color="auto"/>
            </w:tcBorders>
          </w:tcPr>
          <w:p w14:paraId="4FE09AAA" w14:textId="77777777" w:rsidR="007F21A5" w:rsidRPr="00A7675C" w:rsidRDefault="007F21A5" w:rsidP="007F21A5">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Citas starptautiskās saistības</w:t>
            </w:r>
          </w:p>
        </w:tc>
        <w:tc>
          <w:tcPr>
            <w:tcW w:w="5915" w:type="dxa"/>
            <w:gridSpan w:val="4"/>
            <w:tcBorders>
              <w:top w:val="outset" w:sz="6" w:space="0" w:color="auto"/>
              <w:left w:val="outset" w:sz="6" w:space="0" w:color="auto"/>
              <w:bottom w:val="outset" w:sz="6" w:space="0" w:color="auto"/>
              <w:right w:val="outset" w:sz="6" w:space="0" w:color="auto"/>
            </w:tcBorders>
            <w:vAlign w:val="center"/>
          </w:tcPr>
          <w:p w14:paraId="769A3B7A" w14:textId="0B71A2CE" w:rsidR="007F21A5" w:rsidRPr="00A7675C" w:rsidRDefault="00740568" w:rsidP="00740568">
            <w:pPr>
              <w:spacing w:after="0" w:line="240" w:lineRule="auto"/>
              <w:ind w:left="57" w:right="129"/>
              <w:rPr>
                <w:rFonts w:ascii="Times New Roman" w:hAnsi="Times New Roman" w:cs="Times New Roman"/>
                <w:sz w:val="24"/>
                <w:szCs w:val="24"/>
              </w:rPr>
            </w:pPr>
            <w:r w:rsidRPr="00A7675C">
              <w:rPr>
                <w:rFonts w:ascii="Times New Roman" w:hAnsi="Times New Roman" w:cs="Times New Roman"/>
                <w:sz w:val="24"/>
                <w:szCs w:val="24"/>
              </w:rPr>
              <w:t>Nav</w:t>
            </w:r>
          </w:p>
        </w:tc>
      </w:tr>
      <w:tr w:rsidR="007F21A5" w:rsidRPr="00A7675C" w14:paraId="71A7C78E" w14:textId="77777777" w:rsidTr="001F41E7">
        <w:trPr>
          <w:jc w:val="center"/>
        </w:trPr>
        <w:tc>
          <w:tcPr>
            <w:tcW w:w="301" w:type="dxa"/>
            <w:tcBorders>
              <w:top w:val="outset" w:sz="6" w:space="0" w:color="auto"/>
              <w:left w:val="outset" w:sz="6" w:space="0" w:color="auto"/>
              <w:bottom w:val="outset" w:sz="6" w:space="0" w:color="auto"/>
              <w:right w:val="outset" w:sz="6" w:space="0" w:color="auto"/>
            </w:tcBorders>
          </w:tcPr>
          <w:p w14:paraId="1D5C4FD7" w14:textId="77777777" w:rsidR="007F21A5" w:rsidRPr="00A7675C" w:rsidRDefault="007F21A5" w:rsidP="007F21A5">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3.</w:t>
            </w:r>
          </w:p>
        </w:tc>
        <w:tc>
          <w:tcPr>
            <w:tcW w:w="2633" w:type="dxa"/>
            <w:gridSpan w:val="3"/>
            <w:tcBorders>
              <w:top w:val="outset" w:sz="6" w:space="0" w:color="auto"/>
              <w:left w:val="outset" w:sz="6" w:space="0" w:color="auto"/>
              <w:bottom w:val="outset" w:sz="6" w:space="0" w:color="auto"/>
              <w:right w:val="outset" w:sz="6" w:space="0" w:color="auto"/>
            </w:tcBorders>
          </w:tcPr>
          <w:p w14:paraId="796FB415" w14:textId="77777777" w:rsidR="007F21A5" w:rsidRPr="00A7675C" w:rsidRDefault="007F21A5" w:rsidP="007F21A5">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Cita informācija</w:t>
            </w:r>
          </w:p>
        </w:tc>
        <w:tc>
          <w:tcPr>
            <w:tcW w:w="5915" w:type="dxa"/>
            <w:gridSpan w:val="4"/>
            <w:tcBorders>
              <w:top w:val="outset" w:sz="6" w:space="0" w:color="auto"/>
              <w:left w:val="outset" w:sz="6" w:space="0" w:color="auto"/>
              <w:bottom w:val="outset" w:sz="6" w:space="0" w:color="auto"/>
              <w:right w:val="outset" w:sz="6" w:space="0" w:color="auto"/>
            </w:tcBorders>
          </w:tcPr>
          <w:p w14:paraId="4D5C86AF" w14:textId="7F5D757E" w:rsidR="007F21A5" w:rsidRPr="00A7675C" w:rsidRDefault="00740568" w:rsidP="007F21A5">
            <w:pPr>
              <w:spacing w:after="0" w:line="240" w:lineRule="auto"/>
              <w:ind w:left="57" w:right="129"/>
              <w:jc w:val="both"/>
              <w:rPr>
                <w:rFonts w:ascii="Times New Roman" w:hAnsi="Times New Roman" w:cs="Times New Roman"/>
                <w:sz w:val="24"/>
                <w:szCs w:val="24"/>
              </w:rPr>
            </w:pPr>
            <w:r w:rsidRPr="00A7675C">
              <w:rPr>
                <w:rFonts w:ascii="Times New Roman" w:hAnsi="Times New Roman" w:cs="Times New Roman"/>
                <w:sz w:val="24"/>
                <w:szCs w:val="24"/>
              </w:rPr>
              <w:t>Nav</w:t>
            </w:r>
          </w:p>
        </w:tc>
      </w:tr>
      <w:tr w:rsidR="00DA6C86" w:rsidRPr="00A7675C" w14:paraId="0E5E834D" w14:textId="77777777" w:rsidTr="00740568">
        <w:trPr>
          <w:jc w:val="center"/>
        </w:trPr>
        <w:tc>
          <w:tcPr>
            <w:tcW w:w="8849" w:type="dxa"/>
            <w:gridSpan w:val="8"/>
            <w:tcBorders>
              <w:top w:val="outset" w:sz="6" w:space="0" w:color="auto"/>
              <w:left w:val="outset" w:sz="6" w:space="0" w:color="auto"/>
              <w:bottom w:val="outset" w:sz="6" w:space="0" w:color="auto"/>
              <w:right w:val="outset" w:sz="6" w:space="0" w:color="auto"/>
            </w:tcBorders>
            <w:vAlign w:val="center"/>
          </w:tcPr>
          <w:p w14:paraId="4C9F8693" w14:textId="77777777" w:rsidR="00DA6C86" w:rsidRPr="00A7675C" w:rsidRDefault="00DA6C86" w:rsidP="00171D36">
            <w:pPr>
              <w:spacing w:after="0" w:line="240" w:lineRule="auto"/>
              <w:ind w:left="57"/>
              <w:jc w:val="center"/>
              <w:rPr>
                <w:rFonts w:ascii="Times New Roman" w:hAnsi="Times New Roman" w:cs="Times New Roman"/>
                <w:b/>
                <w:sz w:val="24"/>
                <w:szCs w:val="24"/>
              </w:rPr>
            </w:pPr>
            <w:r w:rsidRPr="00A7675C">
              <w:rPr>
                <w:rFonts w:ascii="Times New Roman" w:hAnsi="Times New Roman" w:cs="Times New Roman"/>
                <w:b/>
                <w:sz w:val="24"/>
                <w:szCs w:val="24"/>
              </w:rPr>
              <w:t>1.tabula</w:t>
            </w:r>
          </w:p>
          <w:p w14:paraId="1EFA9623" w14:textId="77777777" w:rsidR="00DA6C86" w:rsidRPr="00A7675C" w:rsidRDefault="00DA6C86" w:rsidP="00171D36">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b/>
                <w:sz w:val="24"/>
                <w:szCs w:val="24"/>
              </w:rPr>
              <w:t>Tiesību akta projekta atbilstība ES tiesību aktiem</w:t>
            </w:r>
          </w:p>
        </w:tc>
      </w:tr>
      <w:tr w:rsidR="00DA6C86" w:rsidRPr="00A7675C" w14:paraId="2B6824CC" w14:textId="77777777" w:rsidTr="001F41E7">
        <w:trPr>
          <w:jc w:val="center"/>
        </w:trPr>
        <w:tc>
          <w:tcPr>
            <w:tcW w:w="1948" w:type="dxa"/>
            <w:gridSpan w:val="2"/>
            <w:tcBorders>
              <w:top w:val="outset" w:sz="6" w:space="0" w:color="auto"/>
              <w:left w:val="outset" w:sz="6" w:space="0" w:color="auto"/>
              <w:bottom w:val="outset" w:sz="6" w:space="0" w:color="auto"/>
              <w:right w:val="outset" w:sz="6" w:space="0" w:color="auto"/>
            </w:tcBorders>
          </w:tcPr>
          <w:p w14:paraId="5ADFD87E" w14:textId="77777777" w:rsidR="00DA6C86" w:rsidRPr="00A7675C" w:rsidRDefault="00DA6C86" w:rsidP="00171D36">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Attiecīgā ES tiesību akta datums, numurs un nosaukums</w:t>
            </w:r>
          </w:p>
        </w:tc>
        <w:tc>
          <w:tcPr>
            <w:tcW w:w="6901" w:type="dxa"/>
            <w:gridSpan w:val="6"/>
            <w:tcBorders>
              <w:top w:val="outset" w:sz="6" w:space="0" w:color="auto"/>
              <w:left w:val="outset" w:sz="6" w:space="0" w:color="auto"/>
              <w:bottom w:val="outset" w:sz="6" w:space="0" w:color="auto"/>
              <w:right w:val="outset" w:sz="6" w:space="0" w:color="auto"/>
            </w:tcBorders>
          </w:tcPr>
          <w:p w14:paraId="73129843" w14:textId="6CB9BE84" w:rsidR="007817A7" w:rsidRPr="00A7675C" w:rsidRDefault="000C50DD" w:rsidP="006006A5">
            <w:pPr>
              <w:pStyle w:val="ListParagraph"/>
              <w:spacing w:after="0" w:line="240" w:lineRule="auto"/>
              <w:ind w:left="57" w:right="114"/>
              <w:jc w:val="both"/>
              <w:rPr>
                <w:rFonts w:ascii="Times New Roman" w:hAnsi="Times New Roman" w:cs="Times New Roman"/>
                <w:sz w:val="24"/>
                <w:szCs w:val="24"/>
              </w:rPr>
            </w:pPr>
            <w:r w:rsidRPr="00A7675C">
              <w:rPr>
                <w:rFonts w:ascii="Times New Roman" w:hAnsi="Times New Roman" w:cs="Times New Roman"/>
                <w:sz w:val="24"/>
                <w:szCs w:val="24"/>
              </w:rPr>
              <w:t xml:space="preserve">Padomes 2006.gada 28.novembra direktīvas 2006/112/EK par kopējo pievienotās vērtības nodokļa sistēmu </w:t>
            </w:r>
            <w:r w:rsidR="00465C4A" w:rsidRPr="00A7675C">
              <w:rPr>
                <w:rFonts w:ascii="Times New Roman" w:hAnsi="Times New Roman" w:cs="Times New Roman"/>
                <w:sz w:val="24"/>
                <w:szCs w:val="24"/>
              </w:rPr>
              <w:t xml:space="preserve">199.a </w:t>
            </w:r>
            <w:r w:rsidR="00B175E0" w:rsidRPr="00A7675C">
              <w:rPr>
                <w:rFonts w:ascii="Times New Roman" w:hAnsi="Times New Roman" w:cs="Times New Roman"/>
                <w:sz w:val="24"/>
                <w:szCs w:val="24"/>
              </w:rPr>
              <w:t>panta 1.punkta “i” apakšpunkts</w:t>
            </w:r>
          </w:p>
        </w:tc>
      </w:tr>
      <w:tr w:rsidR="00DA6C86" w:rsidRPr="00A7675C" w14:paraId="69E59091" w14:textId="77777777" w:rsidTr="001F41E7">
        <w:trPr>
          <w:jc w:val="center"/>
        </w:trPr>
        <w:tc>
          <w:tcPr>
            <w:tcW w:w="1948" w:type="dxa"/>
            <w:gridSpan w:val="2"/>
            <w:tcBorders>
              <w:top w:val="outset" w:sz="6" w:space="0" w:color="auto"/>
              <w:left w:val="outset" w:sz="6" w:space="0" w:color="auto"/>
              <w:bottom w:val="single" w:sz="4" w:space="0" w:color="auto"/>
              <w:right w:val="outset" w:sz="6" w:space="0" w:color="auto"/>
            </w:tcBorders>
            <w:vAlign w:val="center"/>
          </w:tcPr>
          <w:p w14:paraId="555873A9" w14:textId="77777777" w:rsidR="00DA6C86" w:rsidRPr="00A7675C" w:rsidRDefault="00DA6C86" w:rsidP="00171D36">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A</w:t>
            </w:r>
          </w:p>
        </w:tc>
        <w:tc>
          <w:tcPr>
            <w:tcW w:w="1951" w:type="dxa"/>
            <w:gridSpan w:val="3"/>
            <w:tcBorders>
              <w:top w:val="outset" w:sz="6" w:space="0" w:color="auto"/>
              <w:left w:val="outset" w:sz="6" w:space="0" w:color="auto"/>
              <w:bottom w:val="single" w:sz="4" w:space="0" w:color="auto"/>
              <w:right w:val="outset" w:sz="6" w:space="0" w:color="auto"/>
            </w:tcBorders>
            <w:vAlign w:val="center"/>
          </w:tcPr>
          <w:p w14:paraId="3D59F429" w14:textId="77777777" w:rsidR="00DA6C86" w:rsidRPr="00A7675C" w:rsidRDefault="00DA6C86" w:rsidP="00171D36">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B</w:t>
            </w:r>
          </w:p>
        </w:tc>
        <w:tc>
          <w:tcPr>
            <w:tcW w:w="2417" w:type="dxa"/>
            <w:gridSpan w:val="2"/>
            <w:tcBorders>
              <w:top w:val="outset" w:sz="6" w:space="0" w:color="auto"/>
              <w:left w:val="outset" w:sz="6" w:space="0" w:color="auto"/>
              <w:bottom w:val="single" w:sz="4" w:space="0" w:color="auto"/>
              <w:right w:val="outset" w:sz="6" w:space="0" w:color="auto"/>
            </w:tcBorders>
            <w:vAlign w:val="center"/>
          </w:tcPr>
          <w:p w14:paraId="3EF89399" w14:textId="77777777" w:rsidR="00DA6C86" w:rsidRPr="00A7675C" w:rsidRDefault="00DA6C86" w:rsidP="00171D36">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C</w:t>
            </w:r>
          </w:p>
        </w:tc>
        <w:tc>
          <w:tcPr>
            <w:tcW w:w="2533" w:type="dxa"/>
            <w:tcBorders>
              <w:top w:val="outset" w:sz="6" w:space="0" w:color="auto"/>
              <w:left w:val="outset" w:sz="6" w:space="0" w:color="auto"/>
              <w:bottom w:val="single" w:sz="4" w:space="0" w:color="auto"/>
              <w:right w:val="outset" w:sz="6" w:space="0" w:color="auto"/>
            </w:tcBorders>
            <w:vAlign w:val="center"/>
          </w:tcPr>
          <w:p w14:paraId="61433217" w14:textId="77777777" w:rsidR="00DA6C86" w:rsidRPr="00A7675C" w:rsidRDefault="00DA6C86" w:rsidP="00171D36">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D</w:t>
            </w:r>
          </w:p>
        </w:tc>
      </w:tr>
      <w:tr w:rsidR="00DD1CBF" w:rsidRPr="00A7675C" w14:paraId="1853CC2A" w14:textId="77777777" w:rsidTr="00740568">
        <w:trPr>
          <w:jc w:val="center"/>
        </w:trPr>
        <w:tc>
          <w:tcPr>
            <w:tcW w:w="8849" w:type="dxa"/>
            <w:gridSpan w:val="8"/>
            <w:tcBorders>
              <w:top w:val="outset" w:sz="6" w:space="0" w:color="auto"/>
              <w:left w:val="outset" w:sz="6" w:space="0" w:color="auto"/>
              <w:bottom w:val="outset" w:sz="6" w:space="0" w:color="auto"/>
              <w:right w:val="outset" w:sz="6" w:space="0" w:color="auto"/>
            </w:tcBorders>
          </w:tcPr>
          <w:p w14:paraId="14E10A46" w14:textId="52DA33BD" w:rsidR="00DD1CBF" w:rsidRPr="00A7675C" w:rsidRDefault="00DD1CBF" w:rsidP="00DD1CBF">
            <w:pPr>
              <w:spacing w:after="0" w:line="240" w:lineRule="auto"/>
              <w:ind w:left="57"/>
              <w:jc w:val="center"/>
              <w:rPr>
                <w:rFonts w:ascii="Times New Roman" w:hAnsi="Times New Roman" w:cs="Times New Roman"/>
                <w:spacing w:val="-2"/>
                <w:sz w:val="24"/>
                <w:szCs w:val="24"/>
              </w:rPr>
            </w:pPr>
            <w:r w:rsidRPr="00A7675C">
              <w:rPr>
                <w:rFonts w:ascii="Times New Roman" w:hAnsi="Times New Roman" w:cs="Times New Roman"/>
                <w:spacing w:val="-2"/>
                <w:sz w:val="24"/>
                <w:szCs w:val="24"/>
              </w:rPr>
              <w:t xml:space="preserve">PVN direktīvas 199.a panta 1.punkta </w:t>
            </w:r>
            <w:r w:rsidRPr="00A7675C">
              <w:rPr>
                <w:rFonts w:ascii="Times New Roman" w:hAnsi="Times New Roman" w:cs="Times New Roman"/>
                <w:sz w:val="24"/>
                <w:szCs w:val="24"/>
              </w:rPr>
              <w:t>“i” apakšpunkts</w:t>
            </w:r>
          </w:p>
        </w:tc>
      </w:tr>
      <w:tr w:rsidR="00E26BFA" w:rsidRPr="00A7675C" w14:paraId="78CBFD66" w14:textId="77777777" w:rsidTr="001F41E7">
        <w:trPr>
          <w:jc w:val="center"/>
        </w:trPr>
        <w:tc>
          <w:tcPr>
            <w:tcW w:w="1948" w:type="dxa"/>
            <w:gridSpan w:val="2"/>
            <w:tcBorders>
              <w:top w:val="outset" w:sz="6" w:space="0" w:color="auto"/>
              <w:left w:val="outset" w:sz="6" w:space="0" w:color="auto"/>
              <w:bottom w:val="outset" w:sz="6" w:space="0" w:color="auto"/>
              <w:right w:val="outset" w:sz="6" w:space="0" w:color="auto"/>
            </w:tcBorders>
          </w:tcPr>
          <w:p w14:paraId="3BD03330" w14:textId="6B4E0626" w:rsidR="00E26BFA" w:rsidRPr="00A7675C" w:rsidRDefault="00E26BFA" w:rsidP="00E26BFA">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lastRenderedPageBreak/>
              <w:t>199.a panta 1.punkta “i” apakšpunkts</w:t>
            </w:r>
          </w:p>
        </w:tc>
        <w:tc>
          <w:tcPr>
            <w:tcW w:w="1951" w:type="dxa"/>
            <w:gridSpan w:val="3"/>
            <w:tcBorders>
              <w:top w:val="outset" w:sz="6" w:space="0" w:color="auto"/>
              <w:left w:val="outset" w:sz="6" w:space="0" w:color="auto"/>
              <w:bottom w:val="outset" w:sz="6" w:space="0" w:color="auto"/>
              <w:right w:val="outset" w:sz="6" w:space="0" w:color="auto"/>
            </w:tcBorders>
          </w:tcPr>
          <w:p w14:paraId="211B4241" w14:textId="0A900E83" w:rsidR="00E26BFA" w:rsidRPr="00A7675C" w:rsidRDefault="00E26BFA" w:rsidP="00E26BFA">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pacing w:val="-2"/>
                <w:sz w:val="24"/>
                <w:szCs w:val="24"/>
              </w:rPr>
              <w:t>143.</w:t>
            </w:r>
            <w:r w:rsidRPr="00A7675C">
              <w:rPr>
                <w:rFonts w:ascii="Times New Roman" w:hAnsi="Times New Roman" w:cs="Times New Roman"/>
                <w:spacing w:val="-2"/>
                <w:sz w:val="24"/>
                <w:szCs w:val="24"/>
                <w:vertAlign w:val="superscript"/>
              </w:rPr>
              <w:t>2</w:t>
            </w:r>
            <w:r w:rsidRPr="00A7675C">
              <w:rPr>
                <w:rFonts w:ascii="Times New Roman" w:hAnsi="Times New Roman" w:cs="Times New Roman"/>
                <w:spacing w:val="-2"/>
                <w:sz w:val="24"/>
                <w:szCs w:val="24"/>
              </w:rPr>
              <w:t xml:space="preserve"> pants</w:t>
            </w:r>
          </w:p>
        </w:tc>
        <w:tc>
          <w:tcPr>
            <w:tcW w:w="2417" w:type="dxa"/>
            <w:gridSpan w:val="2"/>
            <w:tcBorders>
              <w:top w:val="outset" w:sz="6" w:space="0" w:color="auto"/>
              <w:left w:val="outset" w:sz="6" w:space="0" w:color="auto"/>
              <w:bottom w:val="outset" w:sz="6" w:space="0" w:color="auto"/>
              <w:right w:val="outset" w:sz="6" w:space="0" w:color="auto"/>
            </w:tcBorders>
          </w:tcPr>
          <w:p w14:paraId="2DC98D08" w14:textId="77777777" w:rsidR="00E26BFA" w:rsidRPr="00A7675C" w:rsidRDefault="00E26BFA" w:rsidP="00E26BFA">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pacing w:val="-2"/>
                <w:sz w:val="24"/>
                <w:szCs w:val="24"/>
              </w:rPr>
              <w:t>Ieviests daļēji</w:t>
            </w:r>
          </w:p>
        </w:tc>
        <w:tc>
          <w:tcPr>
            <w:tcW w:w="2533" w:type="dxa"/>
            <w:tcBorders>
              <w:top w:val="outset" w:sz="6" w:space="0" w:color="auto"/>
              <w:left w:val="outset" w:sz="6" w:space="0" w:color="auto"/>
              <w:bottom w:val="outset" w:sz="6" w:space="0" w:color="auto"/>
              <w:right w:val="outset" w:sz="6" w:space="0" w:color="auto"/>
            </w:tcBorders>
          </w:tcPr>
          <w:p w14:paraId="28344872" w14:textId="77777777" w:rsidR="00E26BFA" w:rsidRPr="00A7675C" w:rsidRDefault="00E26BFA" w:rsidP="00E26BFA">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pacing w:val="-2"/>
                <w:sz w:val="24"/>
                <w:szCs w:val="24"/>
              </w:rPr>
              <w:t>Likumprojekts neparedz stingrākas prasības</w:t>
            </w:r>
          </w:p>
        </w:tc>
      </w:tr>
      <w:tr w:rsidR="00885CAE" w:rsidRPr="00A7675C" w14:paraId="4761B1FD" w14:textId="77777777" w:rsidTr="001F41E7">
        <w:trPr>
          <w:jc w:val="center"/>
        </w:trPr>
        <w:tc>
          <w:tcPr>
            <w:tcW w:w="1948" w:type="dxa"/>
            <w:gridSpan w:val="2"/>
            <w:tcBorders>
              <w:top w:val="outset" w:sz="6" w:space="0" w:color="auto"/>
              <w:left w:val="outset" w:sz="6" w:space="0" w:color="auto"/>
              <w:bottom w:val="outset" w:sz="6" w:space="0" w:color="auto"/>
              <w:right w:val="outset" w:sz="6" w:space="0" w:color="auto"/>
            </w:tcBorders>
          </w:tcPr>
          <w:p w14:paraId="39175C18" w14:textId="2321A5A3" w:rsidR="00885CAE" w:rsidRPr="00A7675C" w:rsidRDefault="00885CAE" w:rsidP="004A20D0">
            <w:pPr>
              <w:spacing w:after="0" w:line="240" w:lineRule="auto"/>
              <w:ind w:left="57"/>
              <w:rPr>
                <w:rFonts w:ascii="Times New Roman" w:hAnsi="Times New Roman" w:cs="Times New Roman"/>
                <w:spacing w:val="-3"/>
                <w:sz w:val="24"/>
                <w:szCs w:val="24"/>
              </w:rPr>
            </w:pPr>
            <w:r w:rsidRPr="00A7675C">
              <w:rPr>
                <w:rFonts w:ascii="Times New Roman" w:hAnsi="Times New Roman" w:cs="Times New Roman"/>
                <w:spacing w:val="-3"/>
                <w:sz w:val="24"/>
                <w:szCs w:val="24"/>
              </w:rPr>
              <w:t>Kā ir izmantota ES tiesību aktā paredzētā rīcības brīvība dalībvalstij pārņemt vai ieviest noteiktas ES tiesību akta normas?</w:t>
            </w:r>
          </w:p>
          <w:p w14:paraId="5034CE39" w14:textId="77777777" w:rsidR="00885CAE" w:rsidRPr="00A7675C" w:rsidRDefault="00885CAE" w:rsidP="004A20D0">
            <w:pPr>
              <w:spacing w:after="0" w:line="240" w:lineRule="auto"/>
              <w:ind w:left="57"/>
              <w:rPr>
                <w:rFonts w:ascii="Times New Roman" w:hAnsi="Times New Roman" w:cs="Times New Roman"/>
                <w:spacing w:val="-3"/>
                <w:sz w:val="24"/>
                <w:szCs w:val="24"/>
              </w:rPr>
            </w:pPr>
            <w:r w:rsidRPr="00A7675C">
              <w:rPr>
                <w:rFonts w:ascii="Times New Roman" w:hAnsi="Times New Roman" w:cs="Times New Roman"/>
                <w:spacing w:val="-3"/>
                <w:sz w:val="24"/>
                <w:szCs w:val="24"/>
              </w:rPr>
              <w:t>Kādēļ?</w:t>
            </w:r>
          </w:p>
        </w:tc>
        <w:tc>
          <w:tcPr>
            <w:tcW w:w="6901" w:type="dxa"/>
            <w:gridSpan w:val="6"/>
            <w:tcBorders>
              <w:top w:val="outset" w:sz="6" w:space="0" w:color="auto"/>
              <w:left w:val="outset" w:sz="6" w:space="0" w:color="auto"/>
              <w:bottom w:val="outset" w:sz="6" w:space="0" w:color="auto"/>
              <w:right w:val="outset" w:sz="6" w:space="0" w:color="auto"/>
            </w:tcBorders>
          </w:tcPr>
          <w:p w14:paraId="4B49C8BA" w14:textId="3E766289" w:rsidR="00885CAE" w:rsidRPr="00A7675C" w:rsidRDefault="00885CAE" w:rsidP="00885CAE">
            <w:pPr>
              <w:spacing w:after="0" w:line="240" w:lineRule="auto"/>
              <w:ind w:left="57"/>
              <w:jc w:val="both"/>
              <w:rPr>
                <w:rFonts w:ascii="Times New Roman" w:hAnsi="Times New Roman" w:cs="Times New Roman"/>
                <w:snapToGrid w:val="0"/>
                <w:sz w:val="24"/>
                <w:szCs w:val="24"/>
              </w:rPr>
            </w:pPr>
            <w:r w:rsidRPr="00A7675C">
              <w:rPr>
                <w:rFonts w:ascii="Times New Roman" w:hAnsi="Times New Roman" w:cs="Times New Roman"/>
                <w:snapToGrid w:val="0"/>
                <w:sz w:val="24"/>
                <w:szCs w:val="24"/>
              </w:rPr>
              <w:t xml:space="preserve">Latvija izvēlas ieviest </w:t>
            </w:r>
            <w:r w:rsidR="00500D7F" w:rsidRPr="00A7675C">
              <w:rPr>
                <w:rFonts w:ascii="Times New Roman" w:hAnsi="Times New Roman" w:cs="Times New Roman"/>
                <w:sz w:val="24"/>
                <w:szCs w:val="24"/>
              </w:rPr>
              <w:t>PVN direktīvas 199.a panta 1.punkta “i” apakšpunkt</w:t>
            </w:r>
            <w:r w:rsidR="00596520" w:rsidRPr="00A7675C">
              <w:rPr>
                <w:rFonts w:ascii="Times New Roman" w:hAnsi="Times New Roman" w:cs="Times New Roman"/>
                <w:sz w:val="24"/>
                <w:szCs w:val="24"/>
              </w:rPr>
              <w:t>a</w:t>
            </w:r>
            <w:r w:rsidR="00500D7F" w:rsidRPr="00A7675C">
              <w:rPr>
                <w:rFonts w:ascii="Times New Roman" w:hAnsi="Times New Roman" w:cs="Times New Roman"/>
                <w:sz w:val="24"/>
                <w:szCs w:val="24"/>
              </w:rPr>
              <w:t xml:space="preserve"> </w:t>
            </w:r>
            <w:r w:rsidRPr="00A7675C">
              <w:rPr>
                <w:rFonts w:ascii="Times New Roman" w:hAnsi="Times New Roman" w:cs="Times New Roman"/>
                <w:snapToGrid w:val="0"/>
                <w:sz w:val="24"/>
                <w:szCs w:val="24"/>
              </w:rPr>
              <w:t xml:space="preserve">izvēles normu tikai attiecībā uz noteikto graudaugu un tehnisko kultūru </w:t>
            </w:r>
            <w:r w:rsidR="002E768A" w:rsidRPr="00A7675C">
              <w:rPr>
                <w:rFonts w:ascii="Times New Roman" w:hAnsi="Times New Roman" w:cs="Times New Roman"/>
                <w:snapToGrid w:val="0"/>
                <w:sz w:val="24"/>
                <w:szCs w:val="24"/>
              </w:rPr>
              <w:t>(</w:t>
            </w:r>
            <w:r w:rsidRPr="00A7675C">
              <w:rPr>
                <w:rFonts w:ascii="Times New Roman" w:hAnsi="Times New Roman" w:cs="Times New Roman"/>
                <w:snapToGrid w:val="0"/>
                <w:sz w:val="24"/>
                <w:szCs w:val="24"/>
              </w:rPr>
              <w:t>tostarp eļļas augu sēklu</w:t>
            </w:r>
            <w:r w:rsidR="002E768A" w:rsidRPr="00A7675C">
              <w:rPr>
                <w:rFonts w:ascii="Times New Roman" w:hAnsi="Times New Roman" w:cs="Times New Roman"/>
                <w:snapToGrid w:val="0"/>
                <w:sz w:val="24"/>
                <w:szCs w:val="24"/>
              </w:rPr>
              <w:t>)</w:t>
            </w:r>
            <w:r w:rsidRPr="00A7675C">
              <w:rPr>
                <w:rFonts w:ascii="Times New Roman" w:hAnsi="Times New Roman" w:cs="Times New Roman"/>
                <w:snapToGrid w:val="0"/>
                <w:sz w:val="24"/>
                <w:szCs w:val="24"/>
              </w:rPr>
              <w:t xml:space="preserve">, </w:t>
            </w:r>
            <w:r w:rsidR="002E768A" w:rsidRPr="00A7675C">
              <w:rPr>
                <w:rFonts w:ascii="Times New Roman" w:hAnsi="Times New Roman" w:cs="Times New Roman"/>
                <w:snapToGrid w:val="0"/>
                <w:sz w:val="24"/>
                <w:szCs w:val="24"/>
              </w:rPr>
              <w:t xml:space="preserve">tai skaitā preču maisījumu, </w:t>
            </w:r>
            <w:r w:rsidRPr="00A7675C">
              <w:rPr>
                <w:rFonts w:ascii="Times New Roman" w:hAnsi="Times New Roman" w:cs="Times New Roman"/>
                <w:snapToGrid w:val="0"/>
                <w:sz w:val="24"/>
                <w:szCs w:val="24"/>
              </w:rPr>
              <w:t xml:space="preserve">ko </w:t>
            </w:r>
            <w:proofErr w:type="spellStart"/>
            <w:r w:rsidRPr="00A7675C">
              <w:rPr>
                <w:rFonts w:ascii="Times New Roman" w:hAnsi="Times New Roman" w:cs="Times New Roman"/>
                <w:snapToGrid w:val="0"/>
                <w:sz w:val="24"/>
                <w:szCs w:val="24"/>
              </w:rPr>
              <w:t>galapatēriņa</w:t>
            </w:r>
            <w:proofErr w:type="spellEnd"/>
            <w:r w:rsidRPr="00A7675C">
              <w:rPr>
                <w:rFonts w:ascii="Times New Roman" w:hAnsi="Times New Roman" w:cs="Times New Roman"/>
                <w:snapToGrid w:val="0"/>
                <w:sz w:val="24"/>
                <w:szCs w:val="24"/>
              </w:rPr>
              <w:t xml:space="preserve"> stadijā parasti neizmanto neizmainītā stāvoklī, piegādēm, lai mazinātu </w:t>
            </w:r>
            <w:proofErr w:type="spellStart"/>
            <w:r w:rsidRPr="00A7675C">
              <w:rPr>
                <w:rFonts w:ascii="Times New Roman" w:hAnsi="Times New Roman" w:cs="Times New Roman"/>
                <w:snapToGrid w:val="0"/>
                <w:sz w:val="24"/>
                <w:szCs w:val="24"/>
              </w:rPr>
              <w:t>krāpniecības</w:t>
            </w:r>
            <w:proofErr w:type="spellEnd"/>
            <w:r w:rsidRPr="00A7675C">
              <w:rPr>
                <w:rFonts w:ascii="Times New Roman" w:hAnsi="Times New Roman" w:cs="Times New Roman"/>
                <w:snapToGrid w:val="0"/>
                <w:sz w:val="24"/>
                <w:szCs w:val="24"/>
              </w:rPr>
              <w:t xml:space="preserve"> iezīmes labības un graudaugu nozarē.</w:t>
            </w:r>
          </w:p>
          <w:p w14:paraId="1092543D" w14:textId="029C648E" w:rsidR="000D14D5" w:rsidRPr="00A7675C" w:rsidRDefault="000D14D5" w:rsidP="000D14D5">
            <w:pPr>
              <w:pStyle w:val="NoSpacing"/>
              <w:ind w:left="100" w:right="161"/>
              <w:jc w:val="both"/>
              <w:rPr>
                <w:rFonts w:ascii="Times New Roman" w:eastAsia="Times New Roman" w:hAnsi="Times New Roman" w:cs="Times New Roman"/>
                <w:sz w:val="24"/>
                <w:szCs w:val="24"/>
              </w:rPr>
            </w:pPr>
            <w:r w:rsidRPr="00A7675C">
              <w:rPr>
                <w:rFonts w:ascii="Times New Roman" w:hAnsi="Times New Roman" w:cs="Times New Roman"/>
                <w:sz w:val="24"/>
                <w:szCs w:val="24"/>
                <w:lang w:eastAsia="en-US"/>
              </w:rPr>
              <w:t>Balstoties uz neatkarīga pētnieka ziņojuma “Par spēkā esošo PVN apgrieztās maksāšanas kārtības efektivitāti un iespēju to piemērot citās nozarēs” rezultātiem,</w:t>
            </w:r>
            <w:r w:rsidRPr="00A7675C">
              <w:rPr>
                <w:rFonts w:ascii="Times New Roman" w:eastAsia="Calibri" w:hAnsi="Times New Roman" w:cs="Times New Roman"/>
                <w:sz w:val="24"/>
                <w:szCs w:val="24"/>
              </w:rPr>
              <w:t xml:space="preserve"> saskaņā ar kuriem secināts, ka </w:t>
            </w:r>
            <w:r w:rsidRPr="00A7675C">
              <w:rPr>
                <w:rFonts w:ascii="Times New Roman" w:eastAsia="Times New Roman" w:hAnsi="Times New Roman" w:cs="Times New Roman"/>
                <w:color w:val="000000"/>
                <w:sz w:val="24"/>
                <w:szCs w:val="24"/>
              </w:rPr>
              <w:t>viena no nozarēm, kurā ir augsts PVN nemaksāšanas risks</w:t>
            </w:r>
            <w:r w:rsidRPr="00A7675C">
              <w:rPr>
                <w:rFonts w:ascii="Times New Roman" w:hAnsi="Times New Roman" w:cs="Times New Roman"/>
                <w:sz w:val="24"/>
                <w:szCs w:val="24"/>
                <w:lang w:eastAsia="en-US"/>
              </w:rPr>
              <w:t xml:space="preserve"> </w:t>
            </w:r>
            <w:r w:rsidRPr="00A7675C">
              <w:rPr>
                <w:rFonts w:ascii="Times New Roman" w:eastAsia="Times New Roman" w:hAnsi="Times New Roman" w:cs="Times New Roman"/>
                <w:color w:val="000000"/>
                <w:sz w:val="24"/>
                <w:szCs w:val="24"/>
              </w:rPr>
              <w:t xml:space="preserve">ir labības un graudaugu </w:t>
            </w:r>
            <w:r w:rsidRPr="00A7675C">
              <w:rPr>
                <w:rFonts w:ascii="Times New Roman" w:eastAsia="Times New Roman" w:hAnsi="Times New Roman" w:cs="Times New Roman"/>
                <w:sz w:val="24"/>
                <w:szCs w:val="24"/>
              </w:rPr>
              <w:t>nozare,</w:t>
            </w:r>
            <w:r w:rsidRPr="00A7675C">
              <w:rPr>
                <w:rFonts w:ascii="Times New Roman" w:eastAsia="Calibri" w:hAnsi="Times New Roman" w:cs="Times New Roman"/>
                <w:sz w:val="24"/>
                <w:szCs w:val="24"/>
              </w:rPr>
              <w:t xml:space="preserve"> ar mērķi mazināt krāpšanos PVN jomā</w:t>
            </w:r>
            <w:r w:rsidRPr="00A7675C">
              <w:rPr>
                <w:rFonts w:ascii="Times New Roman" w:hAnsi="Times New Roman" w:cs="Times New Roman"/>
                <w:sz w:val="24"/>
                <w:szCs w:val="24"/>
                <w:lang w:eastAsia="en-US"/>
              </w:rPr>
              <w:t xml:space="preserve"> minētājā nozarē</w:t>
            </w:r>
            <w:r w:rsidRPr="00A7675C">
              <w:rPr>
                <w:rFonts w:ascii="Times New Roman" w:eastAsia="Times New Roman" w:hAnsi="Times New Roman" w:cs="Times New Roman"/>
                <w:color w:val="000000"/>
                <w:sz w:val="24"/>
                <w:szCs w:val="24"/>
              </w:rPr>
              <w:t xml:space="preserve"> PVN likumā ir nepieciešams noteikt </w:t>
            </w:r>
            <w:r w:rsidRPr="00A7675C">
              <w:rPr>
                <w:rFonts w:ascii="Times New Roman" w:eastAsia="Times New Roman" w:hAnsi="Times New Roman" w:cs="Times New Roman"/>
                <w:sz w:val="24"/>
                <w:szCs w:val="24"/>
              </w:rPr>
              <w:t>īpašo PVN piemērošanas režīmu</w:t>
            </w:r>
            <w:r w:rsidRPr="00A7675C">
              <w:rPr>
                <w:rFonts w:ascii="Times New Roman" w:eastAsia="Times New Roman" w:hAnsi="Times New Roman" w:cs="Times New Roman"/>
                <w:sz w:val="24"/>
                <w:szCs w:val="24"/>
                <w:lang w:eastAsia="en-US"/>
              </w:rPr>
              <w:t xml:space="preserve"> </w:t>
            </w:r>
            <w:r w:rsidRPr="00A7675C">
              <w:rPr>
                <w:rFonts w:ascii="Times New Roman" w:eastAsia="Times New Roman" w:hAnsi="Times New Roman" w:cs="Times New Roman"/>
                <w:sz w:val="24"/>
                <w:szCs w:val="24"/>
              </w:rPr>
              <w:t>graudaugu un tehnisko kultūru</w:t>
            </w:r>
            <w:r w:rsidRPr="00A7675C">
              <w:rPr>
                <w:rFonts w:ascii="Times New Roman" w:eastAsia="Times New Roman" w:hAnsi="Times New Roman" w:cs="Times New Roman"/>
                <w:color w:val="000000"/>
                <w:sz w:val="24"/>
                <w:szCs w:val="24"/>
              </w:rPr>
              <w:t xml:space="preserve"> </w:t>
            </w:r>
            <w:r w:rsidR="00017233" w:rsidRPr="00A7675C">
              <w:rPr>
                <w:rFonts w:ascii="Times New Roman" w:eastAsia="Times New Roman" w:hAnsi="Times New Roman" w:cs="Times New Roman"/>
                <w:color w:val="000000"/>
                <w:sz w:val="24"/>
                <w:szCs w:val="24"/>
              </w:rPr>
              <w:t>(</w:t>
            </w:r>
            <w:r w:rsidR="006D4C35" w:rsidRPr="00A7675C">
              <w:rPr>
                <w:rFonts w:ascii="Times New Roman" w:eastAsia="Times New Roman" w:hAnsi="Times New Roman" w:cs="Times New Roman"/>
                <w:color w:val="000000"/>
                <w:sz w:val="24"/>
                <w:szCs w:val="24"/>
              </w:rPr>
              <w:t>to</w:t>
            </w:r>
            <w:r w:rsidRPr="00A7675C">
              <w:rPr>
                <w:rFonts w:ascii="Times New Roman" w:eastAsia="Times New Roman" w:hAnsi="Times New Roman" w:cs="Times New Roman"/>
                <w:color w:val="000000"/>
                <w:sz w:val="24"/>
                <w:szCs w:val="24"/>
              </w:rPr>
              <w:t>starp eļļas augu sēklu</w:t>
            </w:r>
            <w:r w:rsidR="00017233" w:rsidRPr="00A7675C">
              <w:rPr>
                <w:rFonts w:ascii="Times New Roman" w:eastAsia="Times New Roman" w:hAnsi="Times New Roman" w:cs="Times New Roman"/>
                <w:color w:val="000000"/>
                <w:sz w:val="24"/>
                <w:szCs w:val="24"/>
              </w:rPr>
              <w:t>)</w:t>
            </w:r>
            <w:r w:rsidRPr="00A7675C">
              <w:rPr>
                <w:rFonts w:ascii="Times New Roman" w:eastAsia="Times New Roman" w:hAnsi="Times New Roman" w:cs="Times New Roman"/>
                <w:color w:val="000000"/>
                <w:sz w:val="24"/>
                <w:szCs w:val="24"/>
              </w:rPr>
              <w:t xml:space="preserve">, </w:t>
            </w:r>
            <w:r w:rsidR="00017233" w:rsidRPr="00A7675C">
              <w:rPr>
                <w:rFonts w:ascii="Times New Roman" w:eastAsia="Times New Roman" w:hAnsi="Times New Roman" w:cs="Times New Roman"/>
                <w:color w:val="000000"/>
                <w:sz w:val="24"/>
                <w:szCs w:val="24"/>
              </w:rPr>
              <w:t xml:space="preserve">tai skaitā preču maisījumu, </w:t>
            </w:r>
            <w:r w:rsidRPr="00A7675C">
              <w:rPr>
                <w:rFonts w:ascii="Times New Roman" w:eastAsia="Times New Roman" w:hAnsi="Times New Roman" w:cs="Times New Roman"/>
                <w:color w:val="000000"/>
                <w:sz w:val="24"/>
                <w:szCs w:val="24"/>
              </w:rPr>
              <w:t xml:space="preserve">ko </w:t>
            </w:r>
            <w:proofErr w:type="spellStart"/>
            <w:r w:rsidRPr="00A7675C">
              <w:rPr>
                <w:rFonts w:ascii="Times New Roman" w:eastAsia="Times New Roman" w:hAnsi="Times New Roman" w:cs="Times New Roman"/>
                <w:color w:val="000000"/>
                <w:sz w:val="24"/>
                <w:szCs w:val="24"/>
              </w:rPr>
              <w:t>galapatēriņa</w:t>
            </w:r>
            <w:proofErr w:type="spellEnd"/>
            <w:r w:rsidRPr="00A7675C">
              <w:rPr>
                <w:rFonts w:ascii="Times New Roman" w:eastAsia="Times New Roman" w:hAnsi="Times New Roman" w:cs="Times New Roman"/>
                <w:color w:val="000000"/>
                <w:sz w:val="24"/>
                <w:szCs w:val="24"/>
              </w:rPr>
              <w:t xml:space="preserve"> stadijā parasti neizmanto neizmainītā stāvoklī,</w:t>
            </w:r>
            <w:r w:rsidRPr="00A7675C">
              <w:rPr>
                <w:rFonts w:ascii="Times New Roman" w:eastAsia="Times New Roman" w:hAnsi="Times New Roman" w:cs="Times New Roman"/>
                <w:sz w:val="24"/>
                <w:szCs w:val="24"/>
              </w:rPr>
              <w:t xml:space="preserve"> piegādēm.</w:t>
            </w:r>
          </w:p>
          <w:p w14:paraId="68A65259" w14:textId="7ADD56FF" w:rsidR="000D14D5" w:rsidRPr="00A7675C" w:rsidRDefault="000D14D5" w:rsidP="000D14D5">
            <w:pPr>
              <w:pStyle w:val="NoSpacing"/>
              <w:ind w:left="100"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 xml:space="preserve">Īpašais PVN piemērošanas režīms, ņemot vērā Padomes Regulas (EEK) Nr.2658/87 I pielikuma kombinētās nomenklatūras kodus, ir piemērojams šādu graudaugu un tehnisko kultūru </w:t>
            </w:r>
            <w:r w:rsidR="00017233" w:rsidRPr="00A7675C">
              <w:rPr>
                <w:rFonts w:ascii="Times New Roman" w:eastAsia="Times New Roman" w:hAnsi="Times New Roman" w:cs="Times New Roman"/>
                <w:sz w:val="24"/>
                <w:szCs w:val="24"/>
              </w:rPr>
              <w:t>(</w:t>
            </w:r>
            <w:r w:rsidRPr="00A7675C">
              <w:rPr>
                <w:rFonts w:ascii="Times New Roman" w:eastAsia="Times New Roman" w:hAnsi="Times New Roman" w:cs="Times New Roman"/>
                <w:sz w:val="24"/>
                <w:szCs w:val="24"/>
              </w:rPr>
              <w:t>tostarp eļļas augu sēklu</w:t>
            </w:r>
            <w:r w:rsidR="00017233" w:rsidRPr="00A7675C">
              <w:rPr>
                <w:rFonts w:ascii="Times New Roman" w:eastAsia="Times New Roman" w:hAnsi="Times New Roman" w:cs="Times New Roman"/>
                <w:sz w:val="24"/>
                <w:szCs w:val="24"/>
              </w:rPr>
              <w:t>)</w:t>
            </w:r>
            <w:r w:rsidRPr="00A7675C">
              <w:rPr>
                <w:rFonts w:ascii="Times New Roman" w:eastAsia="Times New Roman" w:hAnsi="Times New Roman" w:cs="Times New Roman"/>
                <w:sz w:val="24"/>
                <w:szCs w:val="24"/>
              </w:rPr>
              <w:t xml:space="preserve">, </w:t>
            </w:r>
            <w:r w:rsidR="00017233" w:rsidRPr="00A7675C">
              <w:rPr>
                <w:rFonts w:ascii="Times New Roman" w:eastAsia="Times New Roman" w:hAnsi="Times New Roman" w:cs="Times New Roman"/>
                <w:sz w:val="24"/>
                <w:szCs w:val="24"/>
              </w:rPr>
              <w:t xml:space="preserve">tai skaitā šādu preču maisījumu, </w:t>
            </w:r>
            <w:r w:rsidRPr="00A7675C">
              <w:rPr>
                <w:rFonts w:ascii="Times New Roman" w:eastAsia="Times New Roman" w:hAnsi="Times New Roman" w:cs="Times New Roman"/>
                <w:sz w:val="24"/>
                <w:szCs w:val="24"/>
              </w:rPr>
              <w:t xml:space="preserve">ko neizmainītā stāvoklī parasti neizmanto </w:t>
            </w:r>
            <w:proofErr w:type="spellStart"/>
            <w:r w:rsidRPr="00A7675C">
              <w:rPr>
                <w:rFonts w:ascii="Times New Roman" w:eastAsia="Times New Roman" w:hAnsi="Times New Roman" w:cs="Times New Roman"/>
                <w:sz w:val="24"/>
                <w:szCs w:val="24"/>
              </w:rPr>
              <w:t>galapatēriņam</w:t>
            </w:r>
            <w:proofErr w:type="spellEnd"/>
            <w:r w:rsidRPr="00A7675C">
              <w:rPr>
                <w:rFonts w:ascii="Times New Roman" w:eastAsia="Times New Roman" w:hAnsi="Times New Roman" w:cs="Times New Roman"/>
                <w:sz w:val="24"/>
                <w:szCs w:val="24"/>
              </w:rPr>
              <w:t>, piegādei:</w:t>
            </w:r>
          </w:p>
          <w:p w14:paraId="4FB204CF" w14:textId="77777777" w:rsidR="000D14D5" w:rsidRPr="00A7675C" w:rsidRDefault="000D14D5" w:rsidP="000D14D5">
            <w:pPr>
              <w:pStyle w:val="NoSpacing"/>
              <w:ind w:left="100" w:right="161"/>
              <w:jc w:val="both"/>
              <w:rPr>
                <w:rFonts w:ascii="Times New Roman" w:hAnsi="Times New Roman" w:cs="Times New Roman"/>
                <w:sz w:val="24"/>
                <w:szCs w:val="24"/>
                <w:lang w:eastAsia="en-US"/>
              </w:rPr>
            </w:pPr>
          </w:p>
          <w:tbl>
            <w:tblPr>
              <w:tblStyle w:val="TableGrid"/>
              <w:tblW w:w="0" w:type="auto"/>
              <w:tblLook w:val="04A0" w:firstRow="1" w:lastRow="0" w:firstColumn="1" w:lastColumn="0" w:noHBand="0" w:noVBand="1"/>
            </w:tblPr>
            <w:tblGrid>
              <w:gridCol w:w="2601"/>
              <w:gridCol w:w="2601"/>
            </w:tblGrid>
            <w:tr w:rsidR="000D14D5" w:rsidRPr="00A7675C" w14:paraId="06B1FB55" w14:textId="77777777" w:rsidTr="004A20D0">
              <w:tc>
                <w:tcPr>
                  <w:tcW w:w="2601" w:type="dxa"/>
                </w:tcPr>
                <w:p w14:paraId="7B6F694A"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Kombinētās nomenklatūras kods</w:t>
                  </w:r>
                </w:p>
              </w:tc>
              <w:tc>
                <w:tcPr>
                  <w:tcW w:w="2601" w:type="dxa"/>
                </w:tcPr>
                <w:p w14:paraId="7C2731E4"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 xml:space="preserve">Produkts </w:t>
                  </w:r>
                </w:p>
              </w:tc>
            </w:tr>
            <w:tr w:rsidR="000D14D5" w:rsidRPr="00A7675C" w14:paraId="4F6986B8" w14:textId="77777777" w:rsidTr="004A20D0">
              <w:tc>
                <w:tcPr>
                  <w:tcW w:w="2601" w:type="dxa"/>
                </w:tcPr>
                <w:p w14:paraId="750396F6"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1001</w:t>
                  </w:r>
                </w:p>
              </w:tc>
              <w:tc>
                <w:tcPr>
                  <w:tcW w:w="2601" w:type="dxa"/>
                </w:tcPr>
                <w:p w14:paraId="25C34638" w14:textId="185F5D9D" w:rsidR="000D14D5" w:rsidRPr="00A7675C" w:rsidRDefault="000D14D5" w:rsidP="00017233">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Kvieši</w:t>
                  </w:r>
                </w:p>
              </w:tc>
            </w:tr>
            <w:tr w:rsidR="000D14D5" w:rsidRPr="00A7675C" w14:paraId="1F72AB23" w14:textId="77777777" w:rsidTr="004A20D0">
              <w:tc>
                <w:tcPr>
                  <w:tcW w:w="2601" w:type="dxa"/>
                </w:tcPr>
                <w:p w14:paraId="1E621969"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1002</w:t>
                  </w:r>
                </w:p>
              </w:tc>
              <w:tc>
                <w:tcPr>
                  <w:tcW w:w="2601" w:type="dxa"/>
                </w:tcPr>
                <w:p w14:paraId="34759F72"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Rudzi</w:t>
                  </w:r>
                </w:p>
              </w:tc>
            </w:tr>
            <w:tr w:rsidR="000D14D5" w:rsidRPr="00A7675C" w14:paraId="4CEEBB9B" w14:textId="77777777" w:rsidTr="004A20D0">
              <w:tc>
                <w:tcPr>
                  <w:tcW w:w="2601" w:type="dxa"/>
                </w:tcPr>
                <w:p w14:paraId="0D1C2593"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1003</w:t>
                  </w:r>
                </w:p>
              </w:tc>
              <w:tc>
                <w:tcPr>
                  <w:tcW w:w="2601" w:type="dxa"/>
                </w:tcPr>
                <w:p w14:paraId="0BDA334D"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Mieži</w:t>
                  </w:r>
                </w:p>
              </w:tc>
            </w:tr>
            <w:tr w:rsidR="000D14D5" w:rsidRPr="00A7675C" w14:paraId="29ECF1FF" w14:textId="77777777" w:rsidTr="004A20D0">
              <w:tc>
                <w:tcPr>
                  <w:tcW w:w="2601" w:type="dxa"/>
                </w:tcPr>
                <w:p w14:paraId="7DA010B5"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1004</w:t>
                  </w:r>
                </w:p>
              </w:tc>
              <w:tc>
                <w:tcPr>
                  <w:tcW w:w="2601" w:type="dxa"/>
                </w:tcPr>
                <w:p w14:paraId="00ADE313"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Auzas</w:t>
                  </w:r>
                </w:p>
              </w:tc>
            </w:tr>
            <w:tr w:rsidR="000D14D5" w:rsidRPr="00A7675C" w14:paraId="2BF5A19B" w14:textId="77777777" w:rsidTr="004A20D0">
              <w:tc>
                <w:tcPr>
                  <w:tcW w:w="2601" w:type="dxa"/>
                </w:tcPr>
                <w:p w14:paraId="020C8FEB"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1005</w:t>
                  </w:r>
                </w:p>
              </w:tc>
              <w:tc>
                <w:tcPr>
                  <w:tcW w:w="2601" w:type="dxa"/>
                </w:tcPr>
                <w:p w14:paraId="36F9E5E7"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Kukurūza</w:t>
                  </w:r>
                </w:p>
              </w:tc>
            </w:tr>
            <w:tr w:rsidR="000D14D5" w:rsidRPr="00A7675C" w14:paraId="5A0CF383" w14:textId="77777777" w:rsidTr="004A20D0">
              <w:tc>
                <w:tcPr>
                  <w:tcW w:w="2601" w:type="dxa"/>
                </w:tcPr>
                <w:p w14:paraId="09457F78"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1008 10 00</w:t>
                  </w:r>
                </w:p>
              </w:tc>
              <w:tc>
                <w:tcPr>
                  <w:tcW w:w="2601" w:type="dxa"/>
                </w:tcPr>
                <w:p w14:paraId="4A37CEFF"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Griķi</w:t>
                  </w:r>
                </w:p>
              </w:tc>
            </w:tr>
            <w:tr w:rsidR="000D14D5" w:rsidRPr="00A7675C" w14:paraId="18E98F44" w14:textId="77777777" w:rsidTr="004A20D0">
              <w:tc>
                <w:tcPr>
                  <w:tcW w:w="2601" w:type="dxa"/>
                </w:tcPr>
                <w:p w14:paraId="3DE6D17D"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1008 60 00</w:t>
                  </w:r>
                </w:p>
              </w:tc>
              <w:tc>
                <w:tcPr>
                  <w:tcW w:w="2601" w:type="dxa"/>
                </w:tcPr>
                <w:p w14:paraId="5AFF8DA3"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Tritikāle</w:t>
                  </w:r>
                </w:p>
              </w:tc>
            </w:tr>
            <w:tr w:rsidR="000D14D5" w:rsidRPr="00A7675C" w14:paraId="0FD5450A" w14:textId="77777777" w:rsidTr="004A20D0">
              <w:tc>
                <w:tcPr>
                  <w:tcW w:w="2601" w:type="dxa"/>
                </w:tcPr>
                <w:p w14:paraId="5329F081"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1201</w:t>
                  </w:r>
                </w:p>
              </w:tc>
              <w:tc>
                <w:tcPr>
                  <w:tcW w:w="2601" w:type="dxa"/>
                </w:tcPr>
                <w:p w14:paraId="0AFC65AD"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Sojas pupas, arī šķeltas</w:t>
                  </w:r>
                </w:p>
              </w:tc>
            </w:tr>
            <w:tr w:rsidR="000D14D5" w:rsidRPr="00A7675C" w14:paraId="1B6648F8" w14:textId="77777777" w:rsidTr="004A20D0">
              <w:tc>
                <w:tcPr>
                  <w:tcW w:w="2601" w:type="dxa"/>
                </w:tcPr>
                <w:p w14:paraId="03C6440A"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1204</w:t>
                  </w:r>
                </w:p>
              </w:tc>
              <w:tc>
                <w:tcPr>
                  <w:tcW w:w="2601" w:type="dxa"/>
                </w:tcPr>
                <w:p w14:paraId="682CD7F9"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Linsēklas, arī šķeltas</w:t>
                  </w:r>
                </w:p>
              </w:tc>
            </w:tr>
            <w:tr w:rsidR="000D14D5" w:rsidRPr="00A7675C" w14:paraId="148F5006" w14:textId="77777777" w:rsidTr="004A20D0">
              <w:tc>
                <w:tcPr>
                  <w:tcW w:w="2601" w:type="dxa"/>
                </w:tcPr>
                <w:p w14:paraId="3E0A1FF2"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1205</w:t>
                  </w:r>
                </w:p>
              </w:tc>
              <w:tc>
                <w:tcPr>
                  <w:tcW w:w="2601" w:type="dxa"/>
                </w:tcPr>
                <w:p w14:paraId="25785631" w14:textId="77777777" w:rsidR="000D14D5" w:rsidRPr="00A7675C" w:rsidRDefault="000D14D5" w:rsidP="000D14D5">
                  <w:pPr>
                    <w:ind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Rapšu vai ripšu sēklas, arī šķeltas</w:t>
                  </w:r>
                </w:p>
              </w:tc>
            </w:tr>
          </w:tbl>
          <w:p w14:paraId="5A2F58C4" w14:textId="77777777" w:rsidR="00F01F4E" w:rsidRPr="00A7675C" w:rsidRDefault="00F01F4E" w:rsidP="000D14D5">
            <w:pPr>
              <w:spacing w:after="0" w:line="240" w:lineRule="auto"/>
              <w:ind w:left="100" w:right="161"/>
              <w:jc w:val="both"/>
              <w:rPr>
                <w:rFonts w:ascii="Times New Roman" w:hAnsi="Times New Roman"/>
                <w:sz w:val="24"/>
                <w:szCs w:val="24"/>
              </w:rPr>
            </w:pPr>
          </w:p>
          <w:p w14:paraId="14D841D1" w14:textId="136AE685" w:rsidR="000D14D5" w:rsidRPr="00A7675C" w:rsidRDefault="00F01F4E" w:rsidP="00B51104">
            <w:pPr>
              <w:pStyle w:val="NoSpacing"/>
              <w:ind w:left="100" w:right="161"/>
              <w:jc w:val="both"/>
              <w:rPr>
                <w:rFonts w:ascii="Times New Roman" w:hAnsi="Times New Roman" w:cs="Times New Roman"/>
                <w:sz w:val="24"/>
                <w:szCs w:val="24"/>
              </w:rPr>
            </w:pPr>
            <w:r w:rsidRPr="00A7675C">
              <w:rPr>
                <w:rFonts w:ascii="Times New Roman" w:eastAsia="Times New Roman" w:hAnsi="Times New Roman" w:cs="Times New Roman"/>
                <w:sz w:val="24"/>
                <w:szCs w:val="24"/>
              </w:rPr>
              <w:t xml:space="preserve">Ieviešot minēto regulējumu, sagaidāms, ka samazināties krāpšanās apjoms ar augstāk minētajiem graudaugu un tehnisko kultūru </w:t>
            </w:r>
            <w:r w:rsidR="00017233" w:rsidRPr="00A7675C">
              <w:rPr>
                <w:rFonts w:ascii="Times New Roman" w:eastAsia="Times New Roman" w:hAnsi="Times New Roman" w:cs="Times New Roman"/>
                <w:sz w:val="24"/>
                <w:szCs w:val="24"/>
              </w:rPr>
              <w:t>(</w:t>
            </w:r>
            <w:r w:rsidRPr="00A7675C">
              <w:rPr>
                <w:rFonts w:ascii="Times New Roman" w:eastAsia="Times New Roman" w:hAnsi="Times New Roman" w:cs="Times New Roman"/>
                <w:sz w:val="24"/>
                <w:szCs w:val="24"/>
              </w:rPr>
              <w:t>tostarp eļļas augu sēklu</w:t>
            </w:r>
            <w:r w:rsidR="00017233" w:rsidRPr="00A7675C">
              <w:rPr>
                <w:rFonts w:ascii="Times New Roman" w:eastAsia="Times New Roman" w:hAnsi="Times New Roman" w:cs="Times New Roman"/>
                <w:sz w:val="24"/>
                <w:szCs w:val="24"/>
              </w:rPr>
              <w:t>)</w:t>
            </w:r>
            <w:r w:rsidRPr="00A7675C">
              <w:rPr>
                <w:rFonts w:ascii="Times New Roman" w:eastAsia="Times New Roman" w:hAnsi="Times New Roman" w:cs="Times New Roman"/>
                <w:sz w:val="24"/>
                <w:szCs w:val="24"/>
              </w:rPr>
              <w:t xml:space="preserve">, </w:t>
            </w:r>
            <w:r w:rsidR="00017233" w:rsidRPr="00A7675C">
              <w:rPr>
                <w:rFonts w:ascii="Times New Roman" w:eastAsia="Times New Roman" w:hAnsi="Times New Roman" w:cs="Times New Roman"/>
                <w:sz w:val="24"/>
                <w:szCs w:val="24"/>
              </w:rPr>
              <w:t xml:space="preserve">tai skaitā minēto preču maisījumu, </w:t>
            </w:r>
            <w:r w:rsidRPr="00A7675C">
              <w:rPr>
                <w:rFonts w:ascii="Times New Roman" w:eastAsia="Times New Roman" w:hAnsi="Times New Roman" w:cs="Times New Roman"/>
                <w:sz w:val="24"/>
                <w:szCs w:val="24"/>
              </w:rPr>
              <w:t xml:space="preserve">ko neizmainītā stāvoklī parasti neizmanto </w:t>
            </w:r>
            <w:proofErr w:type="spellStart"/>
            <w:r w:rsidRPr="00A7675C">
              <w:rPr>
                <w:rFonts w:ascii="Times New Roman" w:eastAsia="Times New Roman" w:hAnsi="Times New Roman" w:cs="Times New Roman"/>
                <w:sz w:val="24"/>
                <w:szCs w:val="24"/>
              </w:rPr>
              <w:t>galapatēriņam</w:t>
            </w:r>
            <w:proofErr w:type="spellEnd"/>
            <w:r w:rsidRPr="00A7675C">
              <w:rPr>
                <w:rFonts w:ascii="Times New Roman" w:eastAsia="Times New Roman" w:hAnsi="Times New Roman" w:cs="Times New Roman"/>
                <w:sz w:val="24"/>
                <w:szCs w:val="24"/>
              </w:rPr>
              <w:t>, piegādēm, tādējādi uz tā rēķina varētu palielināties arī PVN ieņēmumi valsts budžetā.</w:t>
            </w:r>
          </w:p>
        </w:tc>
      </w:tr>
      <w:tr w:rsidR="00885CAE" w:rsidRPr="00A7675C" w14:paraId="5EDC09C9" w14:textId="77777777" w:rsidTr="001F41E7">
        <w:trPr>
          <w:jc w:val="center"/>
        </w:trPr>
        <w:tc>
          <w:tcPr>
            <w:tcW w:w="1948" w:type="dxa"/>
            <w:gridSpan w:val="2"/>
            <w:tcBorders>
              <w:top w:val="outset" w:sz="6" w:space="0" w:color="auto"/>
              <w:left w:val="outset" w:sz="6" w:space="0" w:color="auto"/>
              <w:bottom w:val="outset" w:sz="6" w:space="0" w:color="auto"/>
              <w:right w:val="outset" w:sz="6" w:space="0" w:color="auto"/>
            </w:tcBorders>
          </w:tcPr>
          <w:p w14:paraId="09F60032" w14:textId="77777777" w:rsidR="00885CAE" w:rsidRPr="00A7675C" w:rsidRDefault="00885CAE" w:rsidP="004A20D0">
            <w:pPr>
              <w:spacing w:after="0" w:line="240" w:lineRule="auto"/>
              <w:ind w:left="57"/>
              <w:rPr>
                <w:rFonts w:ascii="Times New Roman" w:hAnsi="Times New Roman" w:cs="Times New Roman"/>
                <w:spacing w:val="-3"/>
                <w:sz w:val="24"/>
                <w:szCs w:val="24"/>
              </w:rPr>
            </w:pPr>
            <w:r w:rsidRPr="00A7675C">
              <w:rPr>
                <w:rFonts w:ascii="Times New Roman" w:hAnsi="Times New Roman" w:cs="Times New Roman"/>
                <w:spacing w:val="-4"/>
                <w:sz w:val="24"/>
                <w:szCs w:val="24"/>
              </w:rPr>
              <w:t xml:space="preserve">Saistības sniegt paziņojumu ES institūcijām un ES dalībvalstīm atbilstoši normatīvajiem aktiem, kas regulē informācijas </w:t>
            </w:r>
            <w:r w:rsidRPr="00A7675C">
              <w:rPr>
                <w:rFonts w:ascii="Times New Roman" w:hAnsi="Times New Roman" w:cs="Times New Roman"/>
                <w:spacing w:val="-4"/>
                <w:sz w:val="24"/>
                <w:szCs w:val="24"/>
              </w:rPr>
              <w:lastRenderedPageBreak/>
              <w:t>sniegšanu par tehnisko noteikumu, valsts atbalsta piešķir</w:t>
            </w:r>
            <w:r w:rsidRPr="00A7675C">
              <w:rPr>
                <w:rFonts w:ascii="Times New Roman" w:hAnsi="Times New Roman" w:cs="Times New Roman"/>
                <w:spacing w:val="-4"/>
                <w:sz w:val="24"/>
                <w:szCs w:val="24"/>
              </w:rPr>
              <w:softHyphen/>
              <w:t>šanas un finanšu noteikumu (attiecībā uz monetāro politiku) projektiem</w:t>
            </w:r>
          </w:p>
        </w:tc>
        <w:tc>
          <w:tcPr>
            <w:tcW w:w="6901" w:type="dxa"/>
            <w:gridSpan w:val="6"/>
            <w:tcBorders>
              <w:top w:val="outset" w:sz="6" w:space="0" w:color="auto"/>
              <w:left w:val="outset" w:sz="6" w:space="0" w:color="auto"/>
              <w:bottom w:val="outset" w:sz="6" w:space="0" w:color="auto"/>
              <w:right w:val="outset" w:sz="6" w:space="0" w:color="auto"/>
            </w:tcBorders>
          </w:tcPr>
          <w:p w14:paraId="3D722401" w14:textId="77777777" w:rsidR="00885CAE" w:rsidRPr="00A7675C" w:rsidRDefault="00885CAE" w:rsidP="004A20D0">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lastRenderedPageBreak/>
              <w:t>Projekts šo jomu neskar.</w:t>
            </w:r>
          </w:p>
        </w:tc>
      </w:tr>
      <w:tr w:rsidR="00885CAE" w:rsidRPr="00A7675C" w14:paraId="470CB713" w14:textId="77777777" w:rsidTr="001F41E7">
        <w:trPr>
          <w:jc w:val="center"/>
        </w:trPr>
        <w:tc>
          <w:tcPr>
            <w:tcW w:w="1948" w:type="dxa"/>
            <w:gridSpan w:val="2"/>
            <w:tcBorders>
              <w:top w:val="outset" w:sz="6" w:space="0" w:color="auto"/>
              <w:left w:val="outset" w:sz="6" w:space="0" w:color="auto"/>
              <w:bottom w:val="outset" w:sz="6" w:space="0" w:color="auto"/>
              <w:right w:val="outset" w:sz="6" w:space="0" w:color="auto"/>
            </w:tcBorders>
          </w:tcPr>
          <w:p w14:paraId="473C7FF9" w14:textId="77777777" w:rsidR="00885CAE" w:rsidRPr="00A7675C" w:rsidRDefault="00885CAE" w:rsidP="004A20D0">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Cita informācija</w:t>
            </w:r>
          </w:p>
        </w:tc>
        <w:tc>
          <w:tcPr>
            <w:tcW w:w="6901" w:type="dxa"/>
            <w:gridSpan w:val="6"/>
            <w:tcBorders>
              <w:top w:val="outset" w:sz="6" w:space="0" w:color="auto"/>
              <w:left w:val="outset" w:sz="6" w:space="0" w:color="auto"/>
              <w:bottom w:val="outset" w:sz="6" w:space="0" w:color="auto"/>
              <w:right w:val="outset" w:sz="6" w:space="0" w:color="auto"/>
            </w:tcBorders>
          </w:tcPr>
          <w:p w14:paraId="57BBF39E" w14:textId="610CB444" w:rsidR="00885CAE" w:rsidRPr="00A7675C" w:rsidRDefault="00885CAE" w:rsidP="005C7C75">
            <w:pPr>
              <w:spacing w:after="0" w:line="240" w:lineRule="auto"/>
              <w:ind w:left="57" w:right="114"/>
              <w:jc w:val="both"/>
              <w:rPr>
                <w:rFonts w:ascii="Times New Roman" w:hAnsi="Times New Roman" w:cs="Times New Roman"/>
                <w:snapToGrid w:val="0"/>
                <w:sz w:val="24"/>
                <w:szCs w:val="24"/>
              </w:rPr>
            </w:pPr>
            <w:r w:rsidRPr="00A7675C">
              <w:rPr>
                <w:rFonts w:ascii="Times New Roman" w:hAnsi="Times New Roman" w:cs="Times New Roman"/>
                <w:snapToGrid w:val="0"/>
                <w:sz w:val="24"/>
                <w:szCs w:val="24"/>
              </w:rPr>
              <w:t xml:space="preserve">Īpašais PVN maksāšanas režīms graudaugu un tehnisko kultūru </w:t>
            </w:r>
            <w:r w:rsidR="00017233" w:rsidRPr="00A7675C">
              <w:rPr>
                <w:rFonts w:ascii="Times New Roman" w:hAnsi="Times New Roman" w:cs="Times New Roman"/>
                <w:snapToGrid w:val="0"/>
                <w:sz w:val="24"/>
                <w:szCs w:val="24"/>
              </w:rPr>
              <w:t>(</w:t>
            </w:r>
            <w:r w:rsidRPr="00A7675C">
              <w:rPr>
                <w:rFonts w:ascii="Times New Roman" w:hAnsi="Times New Roman" w:cs="Times New Roman"/>
                <w:snapToGrid w:val="0"/>
                <w:sz w:val="24"/>
                <w:szCs w:val="24"/>
              </w:rPr>
              <w:t>tostarp eļļas augu sēklu</w:t>
            </w:r>
            <w:r w:rsidR="00017233" w:rsidRPr="00A7675C">
              <w:rPr>
                <w:rFonts w:ascii="Times New Roman" w:hAnsi="Times New Roman" w:cs="Times New Roman"/>
                <w:snapToGrid w:val="0"/>
                <w:sz w:val="24"/>
                <w:szCs w:val="24"/>
              </w:rPr>
              <w:t>)</w:t>
            </w:r>
            <w:r w:rsidRPr="00A7675C">
              <w:rPr>
                <w:rFonts w:ascii="Times New Roman" w:hAnsi="Times New Roman" w:cs="Times New Roman"/>
                <w:snapToGrid w:val="0"/>
                <w:sz w:val="24"/>
                <w:szCs w:val="24"/>
              </w:rPr>
              <w:t xml:space="preserve">, </w:t>
            </w:r>
            <w:r w:rsidR="00017233" w:rsidRPr="00A7675C">
              <w:rPr>
                <w:rFonts w:ascii="Times New Roman" w:hAnsi="Times New Roman" w:cs="Times New Roman"/>
                <w:snapToGrid w:val="0"/>
                <w:sz w:val="24"/>
                <w:szCs w:val="24"/>
              </w:rPr>
              <w:t xml:space="preserve">tai skaitā preču maisījumu, </w:t>
            </w:r>
            <w:r w:rsidRPr="00A7675C">
              <w:rPr>
                <w:rFonts w:ascii="Times New Roman" w:hAnsi="Times New Roman" w:cs="Times New Roman"/>
                <w:snapToGrid w:val="0"/>
                <w:sz w:val="24"/>
                <w:szCs w:val="24"/>
              </w:rPr>
              <w:t xml:space="preserve">ko </w:t>
            </w:r>
            <w:proofErr w:type="spellStart"/>
            <w:r w:rsidRPr="00A7675C">
              <w:rPr>
                <w:rFonts w:ascii="Times New Roman" w:hAnsi="Times New Roman" w:cs="Times New Roman"/>
                <w:snapToGrid w:val="0"/>
                <w:sz w:val="24"/>
                <w:szCs w:val="24"/>
              </w:rPr>
              <w:t>galapatēriņa</w:t>
            </w:r>
            <w:proofErr w:type="spellEnd"/>
            <w:r w:rsidRPr="00A7675C">
              <w:rPr>
                <w:rFonts w:ascii="Times New Roman" w:hAnsi="Times New Roman" w:cs="Times New Roman"/>
                <w:snapToGrid w:val="0"/>
                <w:sz w:val="24"/>
                <w:szCs w:val="24"/>
              </w:rPr>
              <w:t xml:space="preserve"> stadijā parasti neizmanto neizmainītā stāvoklī, piegādēm ir ieviešams uz ierobežotu laika periodu, t.i., līdz 2018.gada 31.decembrim</w:t>
            </w:r>
            <w:r w:rsidR="000D14D5" w:rsidRPr="00A7675C">
              <w:rPr>
                <w:rFonts w:ascii="Times New Roman" w:hAnsi="Times New Roman" w:cs="Times New Roman"/>
                <w:snapToGrid w:val="0"/>
                <w:sz w:val="24"/>
                <w:szCs w:val="24"/>
              </w:rPr>
              <w:t xml:space="preserve"> un vismaz uz diviem gadiem</w:t>
            </w:r>
            <w:r w:rsidRPr="00A7675C">
              <w:rPr>
                <w:rFonts w:ascii="Times New Roman" w:hAnsi="Times New Roman" w:cs="Times New Roman"/>
                <w:snapToGrid w:val="0"/>
                <w:sz w:val="24"/>
                <w:szCs w:val="24"/>
              </w:rPr>
              <w:t>.</w:t>
            </w:r>
          </w:p>
          <w:p w14:paraId="77064833" w14:textId="250275D4" w:rsidR="00885CAE" w:rsidRPr="00A7675C" w:rsidRDefault="00885CAE" w:rsidP="00B51104">
            <w:pPr>
              <w:spacing w:after="0" w:line="240" w:lineRule="auto"/>
              <w:ind w:left="57" w:right="114"/>
              <w:jc w:val="both"/>
              <w:rPr>
                <w:rFonts w:ascii="Times New Roman" w:hAnsi="Times New Roman" w:cs="Times New Roman"/>
                <w:sz w:val="24"/>
                <w:szCs w:val="24"/>
              </w:rPr>
            </w:pPr>
            <w:r w:rsidRPr="00A7675C">
              <w:rPr>
                <w:rFonts w:ascii="Times New Roman" w:hAnsi="Times New Roman" w:cs="Times New Roman"/>
                <w:snapToGrid w:val="0"/>
                <w:sz w:val="24"/>
                <w:szCs w:val="24"/>
              </w:rPr>
              <w:t xml:space="preserve">Latvijai par īpašā PVN maksāšanas režīma ieviešanu graudaugu un tehnisko kultūru </w:t>
            </w:r>
            <w:r w:rsidR="00017233" w:rsidRPr="00A7675C">
              <w:rPr>
                <w:rFonts w:ascii="Times New Roman" w:hAnsi="Times New Roman" w:cs="Times New Roman"/>
                <w:snapToGrid w:val="0"/>
                <w:sz w:val="24"/>
                <w:szCs w:val="24"/>
              </w:rPr>
              <w:t>(</w:t>
            </w:r>
            <w:r w:rsidRPr="00A7675C">
              <w:rPr>
                <w:rFonts w:ascii="Times New Roman" w:hAnsi="Times New Roman" w:cs="Times New Roman"/>
                <w:snapToGrid w:val="0"/>
                <w:sz w:val="24"/>
                <w:szCs w:val="24"/>
              </w:rPr>
              <w:t>tostarp eļļas augu sēklu</w:t>
            </w:r>
            <w:r w:rsidR="00017233" w:rsidRPr="00A7675C">
              <w:rPr>
                <w:rFonts w:ascii="Times New Roman" w:hAnsi="Times New Roman" w:cs="Times New Roman"/>
                <w:snapToGrid w:val="0"/>
                <w:sz w:val="24"/>
                <w:szCs w:val="24"/>
              </w:rPr>
              <w:t>)</w:t>
            </w:r>
            <w:r w:rsidRPr="00A7675C">
              <w:rPr>
                <w:rFonts w:ascii="Times New Roman" w:hAnsi="Times New Roman" w:cs="Times New Roman"/>
                <w:snapToGrid w:val="0"/>
                <w:sz w:val="24"/>
                <w:szCs w:val="24"/>
              </w:rPr>
              <w:t xml:space="preserve">, </w:t>
            </w:r>
            <w:r w:rsidR="00017233" w:rsidRPr="00A7675C">
              <w:rPr>
                <w:rFonts w:ascii="Times New Roman" w:hAnsi="Times New Roman" w:cs="Times New Roman"/>
                <w:snapToGrid w:val="0"/>
                <w:sz w:val="24"/>
                <w:szCs w:val="24"/>
              </w:rPr>
              <w:t xml:space="preserve">tai skaitā preču maisījumu, </w:t>
            </w:r>
            <w:r w:rsidRPr="00A7675C">
              <w:rPr>
                <w:rFonts w:ascii="Times New Roman" w:hAnsi="Times New Roman" w:cs="Times New Roman"/>
                <w:snapToGrid w:val="0"/>
                <w:sz w:val="24"/>
                <w:szCs w:val="24"/>
              </w:rPr>
              <w:t xml:space="preserve">ko </w:t>
            </w:r>
            <w:proofErr w:type="spellStart"/>
            <w:r w:rsidRPr="00A7675C">
              <w:rPr>
                <w:rFonts w:ascii="Times New Roman" w:hAnsi="Times New Roman" w:cs="Times New Roman"/>
                <w:snapToGrid w:val="0"/>
                <w:sz w:val="24"/>
                <w:szCs w:val="24"/>
              </w:rPr>
              <w:t>galapatēriņa</w:t>
            </w:r>
            <w:proofErr w:type="spellEnd"/>
            <w:r w:rsidRPr="00A7675C">
              <w:rPr>
                <w:rFonts w:ascii="Times New Roman" w:hAnsi="Times New Roman" w:cs="Times New Roman"/>
                <w:snapToGrid w:val="0"/>
                <w:sz w:val="24"/>
                <w:szCs w:val="24"/>
              </w:rPr>
              <w:t xml:space="preserve"> stadijā parasti neizmanto neizmainītā stāvoklī, piegādēm jāiesniedz Komisijai ziņojums par pasākuma efektivitāti un lietderību līdz 2017.gada 30.jūnijam.</w:t>
            </w:r>
          </w:p>
        </w:tc>
      </w:tr>
      <w:tr w:rsidR="005A70D2" w:rsidRPr="00A7675C" w14:paraId="147F6AC7" w14:textId="77777777" w:rsidTr="00740568">
        <w:trPr>
          <w:jc w:val="center"/>
        </w:trPr>
        <w:tc>
          <w:tcPr>
            <w:tcW w:w="8849" w:type="dxa"/>
            <w:gridSpan w:val="8"/>
            <w:tcBorders>
              <w:top w:val="outset" w:sz="6" w:space="0" w:color="auto"/>
              <w:left w:val="outset" w:sz="6" w:space="0" w:color="auto"/>
              <w:bottom w:val="outset" w:sz="6" w:space="0" w:color="auto"/>
              <w:right w:val="outset" w:sz="6" w:space="0" w:color="auto"/>
            </w:tcBorders>
            <w:vAlign w:val="center"/>
          </w:tcPr>
          <w:p w14:paraId="680E6C29" w14:textId="77777777" w:rsidR="005A70D2" w:rsidRPr="00A7675C" w:rsidRDefault="005A70D2" w:rsidP="005A70D2">
            <w:pPr>
              <w:spacing w:after="0" w:line="240" w:lineRule="auto"/>
              <w:ind w:left="57"/>
              <w:jc w:val="center"/>
              <w:rPr>
                <w:rFonts w:ascii="Times New Roman" w:hAnsi="Times New Roman" w:cs="Times New Roman"/>
                <w:b/>
                <w:sz w:val="24"/>
                <w:szCs w:val="24"/>
              </w:rPr>
            </w:pPr>
            <w:r w:rsidRPr="00A7675C">
              <w:rPr>
                <w:rFonts w:ascii="Times New Roman" w:hAnsi="Times New Roman" w:cs="Times New Roman"/>
                <w:b/>
                <w:sz w:val="24"/>
                <w:szCs w:val="24"/>
              </w:rPr>
              <w:t>2.tabula</w:t>
            </w:r>
          </w:p>
          <w:p w14:paraId="0C585077" w14:textId="77777777" w:rsidR="005A70D2" w:rsidRPr="00A7675C" w:rsidRDefault="005A70D2" w:rsidP="005A70D2">
            <w:pPr>
              <w:spacing w:after="0" w:line="240" w:lineRule="auto"/>
              <w:ind w:left="57"/>
              <w:jc w:val="center"/>
              <w:rPr>
                <w:rFonts w:ascii="Times New Roman" w:hAnsi="Times New Roman" w:cs="Times New Roman"/>
                <w:b/>
                <w:sz w:val="24"/>
                <w:szCs w:val="24"/>
              </w:rPr>
            </w:pPr>
            <w:r w:rsidRPr="00A7675C">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3313AA77" w14:textId="77777777" w:rsidR="005A70D2" w:rsidRPr="00A7675C" w:rsidRDefault="005A70D2" w:rsidP="005A70D2">
            <w:pPr>
              <w:spacing w:after="0" w:line="240" w:lineRule="auto"/>
              <w:ind w:left="57"/>
              <w:jc w:val="center"/>
              <w:rPr>
                <w:rFonts w:ascii="Times New Roman" w:hAnsi="Times New Roman" w:cs="Times New Roman"/>
                <w:b/>
                <w:sz w:val="24"/>
                <w:szCs w:val="24"/>
              </w:rPr>
            </w:pPr>
            <w:r w:rsidRPr="00A7675C">
              <w:rPr>
                <w:rFonts w:ascii="Times New Roman" w:hAnsi="Times New Roman" w:cs="Times New Roman"/>
                <w:b/>
                <w:sz w:val="24"/>
                <w:szCs w:val="24"/>
              </w:rPr>
              <w:t>Pasākumi šo saistību izpildei</w:t>
            </w:r>
          </w:p>
        </w:tc>
      </w:tr>
      <w:tr w:rsidR="005A70D2" w:rsidRPr="00A7675C" w14:paraId="41CC2FFF" w14:textId="77777777" w:rsidTr="001F41E7">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14:paraId="77301C12" w14:textId="77777777" w:rsidR="005A70D2" w:rsidRPr="00A7675C" w:rsidRDefault="005A70D2" w:rsidP="005A70D2">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6636" w:type="dxa"/>
            <w:gridSpan w:val="5"/>
            <w:tcBorders>
              <w:top w:val="outset" w:sz="6" w:space="0" w:color="auto"/>
              <w:left w:val="outset" w:sz="6" w:space="0" w:color="auto"/>
              <w:bottom w:val="outset" w:sz="6" w:space="0" w:color="auto"/>
              <w:right w:val="outset" w:sz="6" w:space="0" w:color="auto"/>
            </w:tcBorders>
          </w:tcPr>
          <w:p w14:paraId="0BB1DF32" w14:textId="3A64D8A9" w:rsidR="005A70D2" w:rsidRPr="00A7675C" w:rsidRDefault="001F41E7" w:rsidP="001F41E7">
            <w:pPr>
              <w:spacing w:after="0" w:line="240" w:lineRule="auto"/>
              <w:ind w:left="57" w:right="113"/>
              <w:jc w:val="both"/>
              <w:rPr>
                <w:rFonts w:ascii="Times New Roman" w:hAnsi="Times New Roman" w:cs="Times New Roman"/>
                <w:sz w:val="24"/>
                <w:szCs w:val="24"/>
              </w:rPr>
            </w:pPr>
            <w:r w:rsidRPr="00A7675C">
              <w:rPr>
                <w:rFonts w:ascii="Times New Roman" w:hAnsi="Times New Roman" w:cs="Times New Roman"/>
                <w:sz w:val="24"/>
                <w:szCs w:val="24"/>
              </w:rPr>
              <w:t>Nav</w:t>
            </w:r>
          </w:p>
        </w:tc>
      </w:tr>
      <w:tr w:rsidR="005A70D2" w:rsidRPr="00A7675C" w14:paraId="2CC51BB6" w14:textId="77777777" w:rsidTr="001F41E7">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14:paraId="515A1144" w14:textId="77777777" w:rsidR="005A70D2" w:rsidRPr="00A7675C" w:rsidRDefault="005A70D2" w:rsidP="005A70D2">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A</w:t>
            </w:r>
          </w:p>
        </w:tc>
        <w:tc>
          <w:tcPr>
            <w:tcW w:w="2876" w:type="dxa"/>
            <w:gridSpan w:val="3"/>
            <w:tcBorders>
              <w:top w:val="outset" w:sz="6" w:space="0" w:color="auto"/>
              <w:left w:val="outset" w:sz="6" w:space="0" w:color="auto"/>
              <w:bottom w:val="outset" w:sz="6" w:space="0" w:color="auto"/>
              <w:right w:val="outset" w:sz="6" w:space="0" w:color="auto"/>
            </w:tcBorders>
            <w:vAlign w:val="center"/>
          </w:tcPr>
          <w:p w14:paraId="0755506C" w14:textId="77777777" w:rsidR="005A70D2" w:rsidRPr="00A7675C" w:rsidRDefault="005A70D2" w:rsidP="005A70D2">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B</w:t>
            </w:r>
          </w:p>
        </w:tc>
        <w:tc>
          <w:tcPr>
            <w:tcW w:w="3760" w:type="dxa"/>
            <w:gridSpan w:val="2"/>
            <w:tcBorders>
              <w:top w:val="outset" w:sz="6" w:space="0" w:color="auto"/>
              <w:left w:val="outset" w:sz="6" w:space="0" w:color="auto"/>
              <w:bottom w:val="outset" w:sz="6" w:space="0" w:color="auto"/>
              <w:right w:val="outset" w:sz="6" w:space="0" w:color="auto"/>
            </w:tcBorders>
            <w:vAlign w:val="center"/>
          </w:tcPr>
          <w:p w14:paraId="6EFAF63B" w14:textId="77777777" w:rsidR="005A70D2" w:rsidRPr="00A7675C" w:rsidRDefault="005A70D2" w:rsidP="005A70D2">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C</w:t>
            </w:r>
          </w:p>
        </w:tc>
      </w:tr>
      <w:tr w:rsidR="000C50DD" w:rsidRPr="00A7675C" w14:paraId="1F154848" w14:textId="77777777" w:rsidTr="001F41E7">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14:paraId="6CA406CE" w14:textId="23026A7F" w:rsidR="000C50DD" w:rsidRPr="00A7675C" w:rsidRDefault="001F41E7" w:rsidP="000C50DD">
            <w:pPr>
              <w:spacing w:after="0" w:line="240" w:lineRule="auto"/>
              <w:ind w:left="57"/>
              <w:jc w:val="both"/>
              <w:rPr>
                <w:rFonts w:ascii="Times New Roman" w:hAnsi="Times New Roman" w:cs="Times New Roman"/>
                <w:sz w:val="24"/>
                <w:szCs w:val="24"/>
              </w:rPr>
            </w:pPr>
            <w:r w:rsidRPr="00A7675C">
              <w:rPr>
                <w:rFonts w:ascii="Times New Roman" w:hAnsi="Times New Roman" w:cs="Times New Roman"/>
                <w:sz w:val="24"/>
                <w:szCs w:val="24"/>
              </w:rPr>
              <w:t xml:space="preserve">Nav </w:t>
            </w:r>
          </w:p>
        </w:tc>
        <w:tc>
          <w:tcPr>
            <w:tcW w:w="2876" w:type="dxa"/>
            <w:gridSpan w:val="3"/>
            <w:tcBorders>
              <w:top w:val="outset" w:sz="6" w:space="0" w:color="auto"/>
              <w:left w:val="outset" w:sz="6" w:space="0" w:color="auto"/>
              <w:bottom w:val="outset" w:sz="6" w:space="0" w:color="auto"/>
              <w:right w:val="outset" w:sz="6" w:space="0" w:color="auto"/>
            </w:tcBorders>
          </w:tcPr>
          <w:p w14:paraId="6BA5EE77" w14:textId="55D4992A" w:rsidR="000C50DD" w:rsidRPr="00A7675C" w:rsidRDefault="001F41E7" w:rsidP="000C50DD">
            <w:pPr>
              <w:spacing w:after="0" w:line="240" w:lineRule="auto"/>
              <w:ind w:left="57"/>
              <w:jc w:val="both"/>
              <w:rPr>
                <w:rFonts w:ascii="Times New Roman" w:hAnsi="Times New Roman" w:cs="Times New Roman"/>
                <w:sz w:val="24"/>
                <w:szCs w:val="24"/>
              </w:rPr>
            </w:pPr>
            <w:r w:rsidRPr="00A7675C">
              <w:rPr>
                <w:rFonts w:ascii="Times New Roman" w:hAnsi="Times New Roman" w:cs="Times New Roman"/>
                <w:sz w:val="24"/>
                <w:szCs w:val="24"/>
              </w:rPr>
              <w:t xml:space="preserve">Nav </w:t>
            </w:r>
          </w:p>
        </w:tc>
        <w:tc>
          <w:tcPr>
            <w:tcW w:w="3760" w:type="dxa"/>
            <w:gridSpan w:val="2"/>
            <w:tcBorders>
              <w:top w:val="outset" w:sz="6" w:space="0" w:color="auto"/>
              <w:left w:val="outset" w:sz="6" w:space="0" w:color="auto"/>
              <w:bottom w:val="outset" w:sz="6" w:space="0" w:color="auto"/>
              <w:right w:val="outset" w:sz="6" w:space="0" w:color="auto"/>
            </w:tcBorders>
          </w:tcPr>
          <w:p w14:paraId="57BA3F25" w14:textId="20669155" w:rsidR="000C50DD" w:rsidRPr="00A7675C" w:rsidRDefault="001F41E7" w:rsidP="000C50DD">
            <w:pPr>
              <w:spacing w:after="0" w:line="240" w:lineRule="auto"/>
              <w:ind w:left="57" w:right="129"/>
              <w:jc w:val="both"/>
              <w:rPr>
                <w:rFonts w:ascii="Times New Roman" w:hAnsi="Times New Roman" w:cs="Times New Roman"/>
                <w:sz w:val="24"/>
                <w:szCs w:val="24"/>
              </w:rPr>
            </w:pPr>
            <w:r w:rsidRPr="00A7675C">
              <w:rPr>
                <w:rFonts w:ascii="Times New Roman" w:hAnsi="Times New Roman" w:cs="Times New Roman"/>
                <w:sz w:val="24"/>
                <w:szCs w:val="24"/>
              </w:rPr>
              <w:t xml:space="preserve">Nav </w:t>
            </w:r>
          </w:p>
        </w:tc>
      </w:tr>
      <w:tr w:rsidR="005A70D2" w:rsidRPr="00A7675C" w14:paraId="1A69A385" w14:textId="77777777" w:rsidTr="001F41E7">
        <w:trPr>
          <w:jc w:val="center"/>
        </w:trPr>
        <w:tc>
          <w:tcPr>
            <w:tcW w:w="2213" w:type="dxa"/>
            <w:gridSpan w:val="3"/>
            <w:tcBorders>
              <w:top w:val="outset" w:sz="6" w:space="0" w:color="auto"/>
              <w:left w:val="outset" w:sz="6" w:space="0" w:color="auto"/>
              <w:bottom w:val="outset" w:sz="6" w:space="0" w:color="auto"/>
              <w:right w:val="outset" w:sz="6" w:space="0" w:color="auto"/>
            </w:tcBorders>
          </w:tcPr>
          <w:p w14:paraId="20C4ECB6" w14:textId="77777777" w:rsidR="005A70D2" w:rsidRPr="00A7675C" w:rsidRDefault="005A70D2" w:rsidP="005A70D2">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Cita informācija</w:t>
            </w:r>
          </w:p>
        </w:tc>
        <w:tc>
          <w:tcPr>
            <w:tcW w:w="6636" w:type="dxa"/>
            <w:gridSpan w:val="5"/>
            <w:tcBorders>
              <w:top w:val="outset" w:sz="6" w:space="0" w:color="auto"/>
              <w:left w:val="outset" w:sz="6" w:space="0" w:color="auto"/>
              <w:bottom w:val="outset" w:sz="6" w:space="0" w:color="auto"/>
              <w:right w:val="outset" w:sz="6" w:space="0" w:color="auto"/>
            </w:tcBorders>
          </w:tcPr>
          <w:p w14:paraId="3DB9C28E" w14:textId="4C1D6C87" w:rsidR="005A70D2" w:rsidRPr="00A7675C" w:rsidRDefault="001F41E7" w:rsidP="000F0726">
            <w:pPr>
              <w:spacing w:after="0" w:line="240" w:lineRule="auto"/>
              <w:ind w:left="57" w:right="114"/>
              <w:jc w:val="both"/>
              <w:rPr>
                <w:rFonts w:ascii="Times New Roman" w:hAnsi="Times New Roman" w:cs="Times New Roman"/>
                <w:sz w:val="24"/>
                <w:szCs w:val="24"/>
              </w:rPr>
            </w:pPr>
            <w:r w:rsidRPr="00A7675C">
              <w:rPr>
                <w:rFonts w:ascii="Times New Roman" w:hAnsi="Times New Roman" w:cs="Times New Roman"/>
                <w:sz w:val="24"/>
                <w:szCs w:val="24"/>
              </w:rPr>
              <w:t xml:space="preserve">Nav </w:t>
            </w:r>
          </w:p>
        </w:tc>
      </w:tr>
    </w:tbl>
    <w:p w14:paraId="61B2E84D" w14:textId="77777777" w:rsidR="00DA6C86" w:rsidRPr="00A7675C" w:rsidRDefault="007E7484" w:rsidP="00171D36">
      <w:pPr>
        <w:spacing w:after="0" w:line="240" w:lineRule="auto"/>
        <w:rPr>
          <w:rFonts w:ascii="Times New Roman" w:hAnsi="Times New Roman" w:cs="Times New Roman"/>
          <w:sz w:val="24"/>
          <w:szCs w:val="24"/>
        </w:rPr>
      </w:pPr>
      <w:r w:rsidRPr="00A7675C">
        <w:rPr>
          <w:rFonts w:ascii="Times New Roman" w:hAnsi="Times New Roman" w:cs="Times New Roman"/>
          <w:sz w:val="24"/>
          <w:szCs w:val="24"/>
        </w:rPr>
        <w:t xml:space="preserv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17"/>
        <w:gridCol w:w="5804"/>
      </w:tblGrid>
      <w:tr w:rsidR="00991CBE" w:rsidRPr="00A7675C" w14:paraId="76B342A0" w14:textId="77777777" w:rsidTr="008E0B92">
        <w:trPr>
          <w:trHeight w:val="421"/>
          <w:jc w:val="center"/>
        </w:trPr>
        <w:tc>
          <w:tcPr>
            <w:tcW w:w="8926" w:type="dxa"/>
            <w:gridSpan w:val="3"/>
            <w:vAlign w:val="center"/>
          </w:tcPr>
          <w:p w14:paraId="2786BAA6" w14:textId="77777777" w:rsidR="00DA6C86" w:rsidRPr="00A7675C" w:rsidRDefault="00DA6C86" w:rsidP="00171D36">
            <w:pPr>
              <w:pStyle w:val="naisnod"/>
              <w:spacing w:before="0" w:beforeAutospacing="0" w:after="0" w:afterAutospacing="0"/>
              <w:ind w:left="57" w:right="57"/>
              <w:jc w:val="center"/>
            </w:pPr>
            <w:r w:rsidRPr="00A7675C">
              <w:rPr>
                <w:b/>
              </w:rPr>
              <w:t>VI. Sabiedrības līdzdalība un komunikācijas aktivitātes</w:t>
            </w:r>
          </w:p>
        </w:tc>
      </w:tr>
      <w:tr w:rsidR="00991CBE" w:rsidRPr="00A7675C" w14:paraId="5FF3EDEE" w14:textId="77777777" w:rsidTr="008E0B92">
        <w:trPr>
          <w:trHeight w:val="572"/>
          <w:jc w:val="center"/>
        </w:trPr>
        <w:tc>
          <w:tcPr>
            <w:tcW w:w="305" w:type="dxa"/>
          </w:tcPr>
          <w:p w14:paraId="560FE989" w14:textId="77777777" w:rsidR="00DA6C86" w:rsidRPr="00A7675C" w:rsidRDefault="00DA6C86" w:rsidP="00171D36">
            <w:pPr>
              <w:spacing w:after="0" w:line="240" w:lineRule="auto"/>
              <w:ind w:left="57" w:right="57"/>
              <w:jc w:val="both"/>
              <w:rPr>
                <w:rFonts w:ascii="Times New Roman" w:hAnsi="Times New Roman" w:cs="Times New Roman"/>
                <w:bCs/>
                <w:sz w:val="24"/>
                <w:szCs w:val="24"/>
              </w:rPr>
            </w:pPr>
            <w:r w:rsidRPr="00A7675C">
              <w:rPr>
                <w:rFonts w:ascii="Times New Roman" w:hAnsi="Times New Roman" w:cs="Times New Roman"/>
                <w:bCs/>
                <w:sz w:val="24"/>
                <w:szCs w:val="24"/>
              </w:rPr>
              <w:t>1.</w:t>
            </w:r>
          </w:p>
        </w:tc>
        <w:tc>
          <w:tcPr>
            <w:tcW w:w="2817" w:type="dxa"/>
          </w:tcPr>
          <w:p w14:paraId="3B7F1EE3" w14:textId="77777777" w:rsidR="00DA6C86" w:rsidRPr="00A7675C" w:rsidRDefault="00DA6C86" w:rsidP="002C5BB1">
            <w:pPr>
              <w:tabs>
                <w:tab w:val="left" w:pos="170"/>
              </w:tabs>
              <w:spacing w:after="0" w:line="240" w:lineRule="auto"/>
              <w:ind w:left="57" w:right="57"/>
              <w:rPr>
                <w:rFonts w:ascii="Times New Roman" w:hAnsi="Times New Roman" w:cs="Times New Roman"/>
                <w:sz w:val="24"/>
                <w:szCs w:val="24"/>
              </w:rPr>
            </w:pPr>
            <w:r w:rsidRPr="00A7675C">
              <w:rPr>
                <w:rFonts w:ascii="Times New Roman" w:hAnsi="Times New Roman" w:cs="Times New Roman"/>
                <w:sz w:val="24"/>
                <w:szCs w:val="24"/>
              </w:rPr>
              <w:t>Plānotās sabiedrības līdzdalības un komunikācijas aktivitātes saistībā ar projektu</w:t>
            </w:r>
          </w:p>
        </w:tc>
        <w:tc>
          <w:tcPr>
            <w:tcW w:w="5804" w:type="dxa"/>
          </w:tcPr>
          <w:p w14:paraId="16D0B672" w14:textId="79B11AFE" w:rsidR="00CF310C" w:rsidRPr="00A7675C" w:rsidRDefault="00CF310C" w:rsidP="00CF310C">
            <w:pPr>
              <w:pStyle w:val="NoSpacing"/>
              <w:ind w:left="75" w:right="147"/>
              <w:jc w:val="both"/>
              <w:rPr>
                <w:rFonts w:ascii="Times New Roman" w:hAnsi="Times New Roman" w:cs="Times New Roman"/>
                <w:sz w:val="24"/>
                <w:szCs w:val="24"/>
              </w:rPr>
            </w:pPr>
            <w:bookmarkStart w:id="1" w:name="p61"/>
            <w:bookmarkEnd w:id="1"/>
            <w:r>
              <w:rPr>
                <w:rFonts w:ascii="Times New Roman" w:hAnsi="Times New Roman" w:cs="Times New Roman"/>
                <w:sz w:val="24"/>
                <w:szCs w:val="24"/>
              </w:rPr>
              <w:t xml:space="preserve">Sabiedrības līdzdalība ir nodrošināta, 2016.gada 8.aprīlī publicējot uzziņu Finanšu ministrijas mājas lapā. </w:t>
            </w:r>
            <w:r w:rsidR="0040351E" w:rsidRPr="00A7675C">
              <w:rPr>
                <w:rFonts w:ascii="Times New Roman" w:hAnsi="Times New Roman" w:cs="Times New Roman"/>
                <w:sz w:val="24"/>
                <w:szCs w:val="24"/>
              </w:rPr>
              <w:t xml:space="preserve">Komunikācijas aktivitātes saistībā ar </w:t>
            </w:r>
            <w:r w:rsidR="001F41E7" w:rsidRPr="00A7675C">
              <w:rPr>
                <w:rFonts w:ascii="Times New Roman" w:hAnsi="Times New Roman" w:cs="Times New Roman"/>
                <w:sz w:val="24"/>
                <w:szCs w:val="24"/>
              </w:rPr>
              <w:t>likum</w:t>
            </w:r>
            <w:r w:rsidR="0040351E" w:rsidRPr="00A7675C">
              <w:rPr>
                <w:rFonts w:ascii="Times New Roman" w:hAnsi="Times New Roman" w:cs="Times New Roman"/>
                <w:sz w:val="24"/>
                <w:szCs w:val="24"/>
              </w:rPr>
              <w:t>projektu tiks nodrošināta</w:t>
            </w:r>
            <w:r w:rsidR="001F41E7" w:rsidRPr="00A7675C">
              <w:rPr>
                <w:rFonts w:ascii="Times New Roman" w:hAnsi="Times New Roman" w:cs="Times New Roman"/>
                <w:sz w:val="24"/>
                <w:szCs w:val="24"/>
              </w:rPr>
              <w:t>s</w:t>
            </w:r>
            <w:r w:rsidR="0040351E" w:rsidRPr="00A7675C">
              <w:rPr>
                <w:rFonts w:ascii="Times New Roman" w:hAnsi="Times New Roman" w:cs="Times New Roman"/>
                <w:sz w:val="24"/>
                <w:szCs w:val="24"/>
              </w:rPr>
              <w:t>, lūdzot nevalstiskā sektora pārstāvjiem izteikt viedokļus.</w:t>
            </w:r>
          </w:p>
        </w:tc>
      </w:tr>
      <w:tr w:rsidR="00991CBE" w:rsidRPr="00A7675C" w14:paraId="35E89FAD" w14:textId="77777777" w:rsidTr="008E0B92">
        <w:trPr>
          <w:trHeight w:val="339"/>
          <w:jc w:val="center"/>
        </w:trPr>
        <w:tc>
          <w:tcPr>
            <w:tcW w:w="305" w:type="dxa"/>
          </w:tcPr>
          <w:p w14:paraId="2BFBBE58" w14:textId="2827F288" w:rsidR="00DA6C86" w:rsidRPr="00A7675C" w:rsidRDefault="000A3AEB" w:rsidP="00171D36">
            <w:pPr>
              <w:spacing w:after="0" w:line="240" w:lineRule="auto"/>
              <w:ind w:left="57" w:right="57"/>
              <w:jc w:val="both"/>
              <w:rPr>
                <w:rFonts w:ascii="Times New Roman" w:hAnsi="Times New Roman" w:cs="Times New Roman"/>
                <w:bCs/>
                <w:sz w:val="24"/>
                <w:szCs w:val="24"/>
              </w:rPr>
            </w:pPr>
            <w:r w:rsidRPr="00A7675C">
              <w:rPr>
                <w:rFonts w:ascii="Times New Roman" w:hAnsi="Times New Roman" w:cs="Times New Roman"/>
                <w:bCs/>
                <w:sz w:val="24"/>
                <w:szCs w:val="24"/>
              </w:rPr>
              <w:t>2.</w:t>
            </w:r>
          </w:p>
        </w:tc>
        <w:tc>
          <w:tcPr>
            <w:tcW w:w="2817" w:type="dxa"/>
          </w:tcPr>
          <w:p w14:paraId="73C20B9C" w14:textId="77777777" w:rsidR="00DA6C86" w:rsidRPr="00A7675C" w:rsidRDefault="00DA6C86" w:rsidP="002C5BB1">
            <w:pPr>
              <w:spacing w:after="0" w:line="240" w:lineRule="auto"/>
              <w:ind w:left="57" w:right="57"/>
              <w:rPr>
                <w:rFonts w:ascii="Times New Roman" w:hAnsi="Times New Roman" w:cs="Times New Roman"/>
                <w:sz w:val="24"/>
                <w:szCs w:val="24"/>
              </w:rPr>
            </w:pPr>
            <w:r w:rsidRPr="00A7675C">
              <w:rPr>
                <w:rFonts w:ascii="Times New Roman" w:hAnsi="Times New Roman" w:cs="Times New Roman"/>
                <w:sz w:val="24"/>
                <w:szCs w:val="24"/>
              </w:rPr>
              <w:t>Sabiedrības līdzdalība projekta izstrādē</w:t>
            </w:r>
          </w:p>
        </w:tc>
        <w:tc>
          <w:tcPr>
            <w:tcW w:w="5804" w:type="dxa"/>
          </w:tcPr>
          <w:p w14:paraId="7644511C" w14:textId="69358483" w:rsidR="00D20B04" w:rsidRPr="00A7675C" w:rsidRDefault="0040351E" w:rsidP="001F41E7">
            <w:pPr>
              <w:pStyle w:val="NoSpacing"/>
              <w:ind w:left="75" w:right="147"/>
              <w:jc w:val="both"/>
              <w:rPr>
                <w:rFonts w:ascii="Times New Roman" w:eastAsia="Calibri" w:hAnsi="Times New Roman" w:cs="Times New Roman"/>
                <w:b/>
                <w:sz w:val="24"/>
                <w:szCs w:val="24"/>
                <w:lang w:eastAsia="en-US"/>
              </w:rPr>
            </w:pPr>
            <w:bookmarkStart w:id="2" w:name="p62"/>
            <w:bookmarkEnd w:id="2"/>
            <w:r w:rsidRPr="00A7675C">
              <w:rPr>
                <w:rFonts w:ascii="Times New Roman" w:hAnsi="Times New Roman" w:cs="Times New Roman"/>
                <w:sz w:val="24"/>
                <w:szCs w:val="24"/>
              </w:rPr>
              <w:t xml:space="preserve">Par likumprojekta normām notikušas tikšanās ar </w:t>
            </w:r>
            <w:r w:rsidRPr="00A7675C">
              <w:rPr>
                <w:rFonts w:ascii="Times New Roman" w:eastAsia="Calibri" w:hAnsi="Times New Roman" w:cs="Times New Roman"/>
                <w:sz w:val="24"/>
                <w:szCs w:val="24"/>
                <w:lang w:eastAsia="en-US"/>
              </w:rPr>
              <w:t xml:space="preserve">Latvijas Nodokļu konsultantu asociāciju, Latvijas nodokļu maksātāju tiesību asociāciju, Latvijas Komercbanku </w:t>
            </w:r>
            <w:r w:rsidRPr="00A7675C">
              <w:rPr>
                <w:rFonts w:ascii="Times New Roman" w:eastAsia="Calibri" w:hAnsi="Times New Roman" w:cs="Times New Roman"/>
                <w:sz w:val="24"/>
                <w:szCs w:val="24"/>
                <w:lang w:eastAsia="en-US"/>
              </w:rPr>
              <w:lastRenderedPageBreak/>
              <w:t>asociāciju, Latvijas Tirdzniecības un rūpniecības kameru</w:t>
            </w:r>
            <w:r w:rsidR="00FB723B" w:rsidRPr="00A7675C">
              <w:rPr>
                <w:rFonts w:ascii="Times New Roman" w:eastAsia="Calibri" w:hAnsi="Times New Roman" w:cs="Times New Roman"/>
                <w:sz w:val="24"/>
                <w:szCs w:val="24"/>
                <w:lang w:eastAsia="en-US"/>
              </w:rPr>
              <w:t>, “VAKS” lauksaimniecības pakalpojumu kooperatīvo sabiedrību, Latvijas Lauksaimniecības kooperatīvu asociāciju, Zemnieku Saeimu, Latvijas Pārtikas uzņēmumu federāciju, Lauksaimnieku organizāciju sadarbības padomi</w:t>
            </w:r>
            <w:r w:rsidRPr="00A7675C">
              <w:rPr>
                <w:rFonts w:ascii="Times New Roman" w:eastAsia="Calibri" w:hAnsi="Times New Roman" w:cs="Times New Roman"/>
                <w:sz w:val="24"/>
                <w:szCs w:val="24"/>
                <w:lang w:eastAsia="en-US"/>
              </w:rPr>
              <w:t>.</w:t>
            </w:r>
          </w:p>
        </w:tc>
      </w:tr>
      <w:tr w:rsidR="00991CBE" w:rsidRPr="00A7675C" w14:paraId="752DB9C0" w14:textId="77777777" w:rsidTr="008E0B92">
        <w:trPr>
          <w:trHeight w:val="476"/>
          <w:jc w:val="center"/>
        </w:trPr>
        <w:tc>
          <w:tcPr>
            <w:tcW w:w="305" w:type="dxa"/>
          </w:tcPr>
          <w:p w14:paraId="3842771B" w14:textId="77777777" w:rsidR="00DA6C86" w:rsidRPr="00A7675C" w:rsidRDefault="00DA6C86" w:rsidP="00171D36">
            <w:pPr>
              <w:spacing w:after="0" w:line="240" w:lineRule="auto"/>
              <w:ind w:left="57" w:right="57"/>
              <w:jc w:val="both"/>
              <w:rPr>
                <w:rFonts w:ascii="Times New Roman" w:hAnsi="Times New Roman" w:cs="Times New Roman"/>
                <w:bCs/>
                <w:sz w:val="24"/>
                <w:szCs w:val="24"/>
              </w:rPr>
            </w:pPr>
            <w:r w:rsidRPr="00A7675C">
              <w:rPr>
                <w:rFonts w:ascii="Times New Roman" w:hAnsi="Times New Roman" w:cs="Times New Roman"/>
                <w:bCs/>
                <w:sz w:val="24"/>
                <w:szCs w:val="24"/>
              </w:rPr>
              <w:lastRenderedPageBreak/>
              <w:t>3.</w:t>
            </w:r>
          </w:p>
        </w:tc>
        <w:tc>
          <w:tcPr>
            <w:tcW w:w="2817" w:type="dxa"/>
          </w:tcPr>
          <w:p w14:paraId="68E016AE" w14:textId="77777777" w:rsidR="00DA6C86" w:rsidRPr="00A7675C" w:rsidRDefault="00DA6C86" w:rsidP="002C5BB1">
            <w:pPr>
              <w:spacing w:after="0" w:line="240" w:lineRule="auto"/>
              <w:ind w:left="57" w:right="57"/>
              <w:rPr>
                <w:rFonts w:ascii="Times New Roman" w:hAnsi="Times New Roman" w:cs="Times New Roman"/>
                <w:sz w:val="24"/>
                <w:szCs w:val="24"/>
              </w:rPr>
            </w:pPr>
            <w:r w:rsidRPr="00A7675C">
              <w:rPr>
                <w:rFonts w:ascii="Times New Roman" w:hAnsi="Times New Roman" w:cs="Times New Roman"/>
                <w:sz w:val="24"/>
                <w:szCs w:val="24"/>
              </w:rPr>
              <w:t>Sabiedrības līdzdalības rezultāti</w:t>
            </w:r>
          </w:p>
        </w:tc>
        <w:tc>
          <w:tcPr>
            <w:tcW w:w="5804" w:type="dxa"/>
          </w:tcPr>
          <w:p w14:paraId="673624AE" w14:textId="1EB86ADE" w:rsidR="004E2524" w:rsidRPr="00A7675C" w:rsidRDefault="00396337" w:rsidP="00396337">
            <w:pPr>
              <w:pStyle w:val="NoSpacing"/>
              <w:ind w:left="75" w:right="147"/>
              <w:jc w:val="both"/>
              <w:rPr>
                <w:rFonts w:ascii="Times New Roman" w:eastAsia="Calibri" w:hAnsi="Times New Roman" w:cs="Times New Roman"/>
                <w:sz w:val="24"/>
                <w:szCs w:val="24"/>
                <w:lang w:eastAsia="en-US"/>
              </w:rPr>
            </w:pPr>
            <w:r w:rsidRPr="00A7675C">
              <w:rPr>
                <w:rFonts w:ascii="Times New Roman" w:eastAsia="Calibri" w:hAnsi="Times New Roman" w:cs="Times New Roman"/>
                <w:sz w:val="24"/>
                <w:szCs w:val="24"/>
                <w:lang w:eastAsia="en-US"/>
              </w:rPr>
              <w:t xml:space="preserve">Kopumā no asociāciju puses ir atbalstāma īpaša PVN piemērošanas režīma ieviešana noteikto graudaugu un tehnisko kultūru (tostarp eļļas augu sēklu), tai skaitā šo preču maisījumu, ko </w:t>
            </w:r>
            <w:proofErr w:type="spellStart"/>
            <w:r w:rsidRPr="00A7675C">
              <w:rPr>
                <w:rFonts w:ascii="Times New Roman" w:eastAsia="Calibri" w:hAnsi="Times New Roman" w:cs="Times New Roman"/>
                <w:sz w:val="24"/>
                <w:szCs w:val="24"/>
                <w:lang w:eastAsia="en-US"/>
              </w:rPr>
              <w:t>galapatēriņa</w:t>
            </w:r>
            <w:proofErr w:type="spellEnd"/>
            <w:r w:rsidRPr="00A7675C">
              <w:rPr>
                <w:rFonts w:ascii="Times New Roman" w:eastAsia="Calibri" w:hAnsi="Times New Roman" w:cs="Times New Roman"/>
                <w:sz w:val="24"/>
                <w:szCs w:val="24"/>
                <w:lang w:eastAsia="en-US"/>
              </w:rPr>
              <w:t xml:space="preserve"> stadijā parasti neizmanto neizmainītā stāvoklī, piegādēm.</w:t>
            </w:r>
          </w:p>
          <w:p w14:paraId="77D3032C" w14:textId="2001DFCD" w:rsidR="00396337" w:rsidRPr="00A7675C" w:rsidRDefault="00396337" w:rsidP="00360693">
            <w:pPr>
              <w:pStyle w:val="NoSpacing"/>
              <w:ind w:left="75" w:right="147"/>
              <w:jc w:val="both"/>
              <w:rPr>
                <w:rFonts w:ascii="Times New Roman" w:hAnsi="Times New Roman" w:cs="Times New Roman"/>
                <w:sz w:val="24"/>
                <w:szCs w:val="24"/>
              </w:rPr>
            </w:pPr>
            <w:r w:rsidRPr="00A7675C">
              <w:rPr>
                <w:rFonts w:ascii="Times New Roman" w:eastAsia="Calibri" w:hAnsi="Times New Roman" w:cs="Times New Roman"/>
                <w:sz w:val="24"/>
                <w:szCs w:val="24"/>
                <w:lang w:eastAsia="en-US"/>
              </w:rPr>
              <w:t xml:space="preserve">Ir izteikts arī pretējs viedoklis, ka īpaša PVN piemērošanas režīma ieviešana </w:t>
            </w:r>
            <w:r w:rsidRPr="00A7675C">
              <w:rPr>
                <w:rFonts w:ascii="Times New Roman" w:hAnsi="Times New Roman" w:cs="Times New Roman"/>
                <w:snapToGrid w:val="0"/>
                <w:sz w:val="24"/>
                <w:szCs w:val="24"/>
              </w:rPr>
              <w:t xml:space="preserve">graudaugu un tehnisko kultūru (tostarp eļļas augu sēklu), tai skaitā šo preču maisījumu, ko </w:t>
            </w:r>
            <w:proofErr w:type="spellStart"/>
            <w:r w:rsidRPr="00A7675C">
              <w:rPr>
                <w:rFonts w:ascii="Times New Roman" w:hAnsi="Times New Roman" w:cs="Times New Roman"/>
                <w:snapToGrid w:val="0"/>
                <w:sz w:val="24"/>
                <w:szCs w:val="24"/>
              </w:rPr>
              <w:t>galapatēriņa</w:t>
            </w:r>
            <w:proofErr w:type="spellEnd"/>
            <w:r w:rsidRPr="00A7675C">
              <w:rPr>
                <w:rFonts w:ascii="Times New Roman" w:hAnsi="Times New Roman" w:cs="Times New Roman"/>
                <w:snapToGrid w:val="0"/>
                <w:sz w:val="24"/>
                <w:szCs w:val="24"/>
              </w:rPr>
              <w:t xml:space="preserve"> stadijā parasti neizmanto neizmainītā stāvoklī, piegādēm prasīs tikpat daudz līdzekļus, cik esošās situācijas sakārtošana graudaugu nozarē ar citiem līdzekļiem. Tā tikai atvieglos naudas plūsmu pārstrādes un tirdzniecības uzņēmumiem, kam ir sezonāla iepirkšana un liels eksporta īpatsvars.</w:t>
            </w:r>
          </w:p>
        </w:tc>
      </w:tr>
      <w:tr w:rsidR="00991CBE" w:rsidRPr="00A7675C" w14:paraId="3EFC8DC0" w14:textId="77777777" w:rsidTr="008E0B92">
        <w:trPr>
          <w:trHeight w:val="244"/>
          <w:jc w:val="center"/>
        </w:trPr>
        <w:tc>
          <w:tcPr>
            <w:tcW w:w="305" w:type="dxa"/>
          </w:tcPr>
          <w:p w14:paraId="763BE3DF" w14:textId="32692A77" w:rsidR="00DA6C86" w:rsidRPr="00A7675C" w:rsidRDefault="004D6D5B" w:rsidP="00171D36">
            <w:pPr>
              <w:spacing w:after="0" w:line="240" w:lineRule="auto"/>
              <w:ind w:left="57" w:right="57"/>
              <w:jc w:val="both"/>
              <w:rPr>
                <w:rFonts w:ascii="Times New Roman" w:hAnsi="Times New Roman" w:cs="Times New Roman"/>
                <w:bCs/>
                <w:sz w:val="24"/>
                <w:szCs w:val="24"/>
              </w:rPr>
            </w:pPr>
            <w:r w:rsidRPr="00A7675C">
              <w:rPr>
                <w:rFonts w:ascii="Times New Roman" w:hAnsi="Times New Roman" w:cs="Times New Roman"/>
                <w:bCs/>
                <w:sz w:val="24"/>
                <w:szCs w:val="24"/>
              </w:rPr>
              <w:t>4.</w:t>
            </w:r>
          </w:p>
        </w:tc>
        <w:tc>
          <w:tcPr>
            <w:tcW w:w="2817" w:type="dxa"/>
          </w:tcPr>
          <w:p w14:paraId="72A1DC38" w14:textId="77777777" w:rsidR="00DA6C86" w:rsidRPr="00A7675C" w:rsidRDefault="00DA6C86" w:rsidP="002C5BB1">
            <w:pPr>
              <w:spacing w:after="0" w:line="240" w:lineRule="auto"/>
              <w:ind w:left="57" w:right="57"/>
              <w:rPr>
                <w:rFonts w:ascii="Times New Roman" w:hAnsi="Times New Roman" w:cs="Times New Roman"/>
                <w:sz w:val="24"/>
                <w:szCs w:val="24"/>
              </w:rPr>
            </w:pPr>
            <w:r w:rsidRPr="00A7675C">
              <w:rPr>
                <w:rFonts w:ascii="Times New Roman" w:hAnsi="Times New Roman" w:cs="Times New Roman"/>
                <w:sz w:val="24"/>
                <w:szCs w:val="24"/>
              </w:rPr>
              <w:t>Cita informācija</w:t>
            </w:r>
          </w:p>
        </w:tc>
        <w:tc>
          <w:tcPr>
            <w:tcW w:w="5804" w:type="dxa"/>
          </w:tcPr>
          <w:p w14:paraId="468A3413" w14:textId="4E718241" w:rsidR="00DA6C86" w:rsidRPr="00A7675C" w:rsidRDefault="00380812" w:rsidP="009546BF">
            <w:pPr>
              <w:spacing w:after="0" w:line="240" w:lineRule="auto"/>
              <w:ind w:right="57"/>
              <w:jc w:val="both"/>
              <w:rPr>
                <w:rFonts w:ascii="Times New Roman" w:hAnsi="Times New Roman" w:cs="Times New Roman"/>
                <w:sz w:val="24"/>
                <w:szCs w:val="24"/>
              </w:rPr>
            </w:pPr>
            <w:r w:rsidRPr="00A7675C">
              <w:rPr>
                <w:rFonts w:ascii="Times New Roman" w:hAnsi="Times New Roman" w:cs="Times New Roman"/>
                <w:sz w:val="24"/>
                <w:szCs w:val="24"/>
              </w:rPr>
              <w:t>Nav</w:t>
            </w:r>
          </w:p>
        </w:tc>
      </w:tr>
    </w:tbl>
    <w:p w14:paraId="7FD816D9" w14:textId="77777777" w:rsidR="005E4388" w:rsidRPr="00A7675C" w:rsidRDefault="005E4388" w:rsidP="00171D36">
      <w:pPr>
        <w:spacing w:after="0" w:line="240" w:lineRule="auto"/>
        <w:rPr>
          <w:rFonts w:ascii="Times New Roman" w:hAnsi="Times New Roman" w:cs="Times New Roman"/>
          <w:sz w:val="24"/>
          <w:szCs w:val="24"/>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1"/>
        <w:gridCol w:w="3543"/>
        <w:gridCol w:w="5056"/>
      </w:tblGrid>
      <w:tr w:rsidR="00991CBE" w:rsidRPr="00A7675C" w14:paraId="01B5050F" w14:textId="77777777" w:rsidTr="006D2983">
        <w:trPr>
          <w:trHeight w:val="381"/>
          <w:jc w:val="center"/>
        </w:trPr>
        <w:tc>
          <w:tcPr>
            <w:tcW w:w="8950" w:type="dxa"/>
            <w:gridSpan w:val="3"/>
            <w:vAlign w:val="center"/>
          </w:tcPr>
          <w:p w14:paraId="42318B2D" w14:textId="77777777" w:rsidR="00DA6C86" w:rsidRPr="00A7675C" w:rsidRDefault="00DA6C86" w:rsidP="00171D36">
            <w:pPr>
              <w:pStyle w:val="naisnod"/>
              <w:spacing w:before="0" w:beforeAutospacing="0" w:after="0" w:afterAutospacing="0"/>
              <w:ind w:left="57" w:right="57"/>
              <w:jc w:val="center"/>
            </w:pPr>
            <w:r w:rsidRPr="00A7675C">
              <w:rPr>
                <w:b/>
              </w:rPr>
              <w:t>VII. Tiesību akta projekta izpildes nodrošināšana un tās ietekme uz institūcijām</w:t>
            </w:r>
          </w:p>
        </w:tc>
      </w:tr>
      <w:tr w:rsidR="00DA6C86" w:rsidRPr="00A7675C" w14:paraId="1EE76DE3" w14:textId="77777777" w:rsidTr="006D2983">
        <w:trPr>
          <w:trHeight w:val="427"/>
          <w:jc w:val="center"/>
        </w:trPr>
        <w:tc>
          <w:tcPr>
            <w:tcW w:w="351" w:type="dxa"/>
          </w:tcPr>
          <w:p w14:paraId="188FBD69" w14:textId="77777777" w:rsidR="00DA6C86" w:rsidRPr="00A7675C" w:rsidRDefault="00DA6C86" w:rsidP="00171D36">
            <w:pPr>
              <w:pStyle w:val="naisnod"/>
              <w:spacing w:before="0" w:beforeAutospacing="0" w:after="0" w:afterAutospacing="0"/>
              <w:ind w:left="57" w:right="57"/>
              <w:jc w:val="both"/>
            </w:pPr>
            <w:r w:rsidRPr="00A7675C">
              <w:t>1.</w:t>
            </w:r>
          </w:p>
        </w:tc>
        <w:tc>
          <w:tcPr>
            <w:tcW w:w="3543" w:type="dxa"/>
          </w:tcPr>
          <w:p w14:paraId="5D621806" w14:textId="77777777" w:rsidR="00DA6C86" w:rsidRPr="00A7675C" w:rsidRDefault="00DA6C86" w:rsidP="002C5BB1">
            <w:pPr>
              <w:pStyle w:val="naisf"/>
              <w:spacing w:before="0" w:beforeAutospacing="0" w:after="0" w:afterAutospacing="0"/>
              <w:ind w:left="57" w:right="57"/>
            </w:pPr>
            <w:r w:rsidRPr="00A7675C">
              <w:t>Projekta izpildē iesaistītās institūcijas</w:t>
            </w:r>
          </w:p>
        </w:tc>
        <w:tc>
          <w:tcPr>
            <w:tcW w:w="5056" w:type="dxa"/>
          </w:tcPr>
          <w:p w14:paraId="79E8079C" w14:textId="77777777" w:rsidR="00227CF1" w:rsidRPr="00A7675C" w:rsidRDefault="00DC2E77" w:rsidP="00D36792">
            <w:pPr>
              <w:shd w:val="clear" w:color="auto" w:fill="FFFFFF"/>
              <w:spacing w:after="0" w:line="240" w:lineRule="auto"/>
              <w:jc w:val="both"/>
              <w:rPr>
                <w:rFonts w:ascii="Times New Roman" w:hAnsi="Times New Roman" w:cs="Times New Roman"/>
                <w:sz w:val="24"/>
                <w:szCs w:val="24"/>
              </w:rPr>
            </w:pPr>
            <w:bookmarkStart w:id="3" w:name="p66"/>
            <w:bookmarkStart w:id="4" w:name="p67"/>
            <w:bookmarkStart w:id="5" w:name="p68"/>
            <w:bookmarkStart w:id="6" w:name="p69"/>
            <w:bookmarkEnd w:id="3"/>
            <w:bookmarkEnd w:id="4"/>
            <w:bookmarkEnd w:id="5"/>
            <w:bookmarkEnd w:id="6"/>
            <w:r w:rsidRPr="00A7675C">
              <w:rPr>
                <w:rFonts w:ascii="Times New Roman" w:hAnsi="Times New Roman" w:cs="Times New Roman"/>
                <w:sz w:val="24"/>
                <w:szCs w:val="24"/>
              </w:rPr>
              <w:t>VID</w:t>
            </w:r>
          </w:p>
          <w:p w14:paraId="17407579" w14:textId="2C453FCF" w:rsidR="00DA6C86" w:rsidRPr="00A7675C" w:rsidRDefault="00DA6C86" w:rsidP="002353EA">
            <w:pPr>
              <w:shd w:val="clear" w:color="auto" w:fill="FFFFFF"/>
              <w:spacing w:after="0" w:line="240" w:lineRule="auto"/>
              <w:ind w:right="114"/>
              <w:jc w:val="both"/>
              <w:rPr>
                <w:rFonts w:ascii="Times New Roman" w:hAnsi="Times New Roman" w:cs="Times New Roman"/>
                <w:sz w:val="24"/>
                <w:szCs w:val="24"/>
              </w:rPr>
            </w:pPr>
          </w:p>
        </w:tc>
      </w:tr>
      <w:tr w:rsidR="00DA6C86" w:rsidRPr="00A7675C" w14:paraId="7EAE9980" w14:textId="77777777" w:rsidTr="006D2983">
        <w:trPr>
          <w:trHeight w:val="463"/>
          <w:jc w:val="center"/>
        </w:trPr>
        <w:tc>
          <w:tcPr>
            <w:tcW w:w="351" w:type="dxa"/>
          </w:tcPr>
          <w:p w14:paraId="2F6F6985" w14:textId="77777777" w:rsidR="00DA6C86" w:rsidRPr="00A7675C" w:rsidRDefault="00DA6C86" w:rsidP="00171D36">
            <w:pPr>
              <w:pStyle w:val="naisnod"/>
              <w:spacing w:before="0" w:beforeAutospacing="0" w:after="0" w:afterAutospacing="0"/>
              <w:ind w:left="57" w:right="57"/>
              <w:jc w:val="both"/>
            </w:pPr>
            <w:r w:rsidRPr="00A7675C">
              <w:t>2.</w:t>
            </w:r>
          </w:p>
        </w:tc>
        <w:tc>
          <w:tcPr>
            <w:tcW w:w="3543" w:type="dxa"/>
          </w:tcPr>
          <w:p w14:paraId="602FD4CD" w14:textId="77777777" w:rsidR="00DA6C86" w:rsidRPr="00A7675C" w:rsidRDefault="00DA6C86" w:rsidP="002C5BB1">
            <w:pPr>
              <w:pStyle w:val="naisf"/>
              <w:spacing w:before="0" w:beforeAutospacing="0" w:after="0" w:afterAutospacing="0"/>
              <w:ind w:left="57" w:right="57"/>
            </w:pPr>
            <w:r w:rsidRPr="00A7675C">
              <w:t>Projekta izpildes iet</w:t>
            </w:r>
            <w:r w:rsidR="002C5BB1" w:rsidRPr="00A7675C">
              <w:t>ekme uz pār</w:t>
            </w:r>
            <w:r w:rsidR="001E69FC" w:rsidRPr="00A7675C">
              <w:softHyphen/>
            </w:r>
            <w:r w:rsidR="002C5BB1" w:rsidRPr="00A7675C">
              <w:t xml:space="preserve">valdes funkcijām un </w:t>
            </w:r>
            <w:r w:rsidRPr="00A7675C">
              <w:t>institucionālo struktūru.</w:t>
            </w:r>
          </w:p>
          <w:p w14:paraId="2603B33C" w14:textId="77777777" w:rsidR="00DA6C86" w:rsidRPr="00A7675C" w:rsidRDefault="00DA6C86" w:rsidP="002C5BB1">
            <w:pPr>
              <w:pStyle w:val="naisf"/>
              <w:spacing w:before="0" w:beforeAutospacing="0" w:after="0" w:afterAutospacing="0"/>
              <w:ind w:left="57" w:right="57"/>
            </w:pPr>
            <w:r w:rsidRPr="00A7675C">
              <w:t>Jaunu institūciju izveide, esošu institūciju likvidācija vai reorga</w:t>
            </w:r>
            <w:r w:rsidR="001E69FC" w:rsidRPr="00A7675C">
              <w:softHyphen/>
            </w:r>
            <w:r w:rsidRPr="00A7675C">
              <w:t>nizācija, to ietekme uz institūcijas cilvēkresursiem.</w:t>
            </w:r>
          </w:p>
        </w:tc>
        <w:tc>
          <w:tcPr>
            <w:tcW w:w="5056" w:type="dxa"/>
          </w:tcPr>
          <w:p w14:paraId="507A4B7B" w14:textId="42243C2F" w:rsidR="000A0B88" w:rsidRPr="00A7675C" w:rsidRDefault="00903A2D" w:rsidP="001F41E7">
            <w:pPr>
              <w:shd w:val="clear" w:color="auto" w:fill="FFFFFF"/>
              <w:spacing w:after="120" w:line="240" w:lineRule="auto"/>
              <w:ind w:right="57" w:hanging="12"/>
              <w:jc w:val="both"/>
              <w:rPr>
                <w:rFonts w:ascii="Times New Roman" w:hAnsi="Times New Roman" w:cs="Times New Roman"/>
                <w:sz w:val="24"/>
                <w:szCs w:val="24"/>
              </w:rPr>
            </w:pPr>
            <w:r w:rsidRPr="00A7675C">
              <w:rPr>
                <w:rFonts w:ascii="Times New Roman" w:eastAsia="Calibri" w:hAnsi="Times New Roman" w:cs="Times New Roman"/>
                <w:sz w:val="24"/>
                <w:szCs w:val="24"/>
                <w:lang w:eastAsia="en-US"/>
              </w:rPr>
              <w:t>Netiek radīta jauna institūcija</w:t>
            </w:r>
            <w:r w:rsidR="00960E36" w:rsidRPr="00A7675C">
              <w:rPr>
                <w:rFonts w:ascii="Times New Roman" w:eastAsia="Calibri" w:hAnsi="Times New Roman" w:cs="Times New Roman"/>
                <w:sz w:val="24"/>
                <w:szCs w:val="24"/>
                <w:lang w:eastAsia="en-US"/>
              </w:rPr>
              <w:t>, kā arī esošu institūciju likvidācija vai reorganizācija.</w:t>
            </w:r>
          </w:p>
        </w:tc>
      </w:tr>
      <w:tr w:rsidR="00DA6C86" w:rsidRPr="00A7675C" w14:paraId="1C6E9970" w14:textId="77777777" w:rsidTr="006D2983">
        <w:trPr>
          <w:trHeight w:val="246"/>
          <w:jc w:val="center"/>
        </w:trPr>
        <w:tc>
          <w:tcPr>
            <w:tcW w:w="351" w:type="dxa"/>
            <w:tcBorders>
              <w:top w:val="single" w:sz="4" w:space="0" w:color="auto"/>
              <w:left w:val="single" w:sz="4" w:space="0" w:color="auto"/>
              <w:bottom w:val="single" w:sz="4" w:space="0" w:color="auto"/>
              <w:right w:val="single" w:sz="4" w:space="0" w:color="auto"/>
            </w:tcBorders>
          </w:tcPr>
          <w:p w14:paraId="0B43D251" w14:textId="77777777" w:rsidR="00DA6C86" w:rsidRPr="00A7675C" w:rsidRDefault="00DA6C86" w:rsidP="00171D36">
            <w:pPr>
              <w:pStyle w:val="naisnod"/>
              <w:spacing w:before="0" w:beforeAutospacing="0" w:after="0" w:afterAutospacing="0"/>
              <w:ind w:left="57" w:right="57"/>
              <w:jc w:val="both"/>
            </w:pPr>
            <w:r w:rsidRPr="00A7675C">
              <w:t>3.</w:t>
            </w:r>
          </w:p>
        </w:tc>
        <w:tc>
          <w:tcPr>
            <w:tcW w:w="3543" w:type="dxa"/>
            <w:tcBorders>
              <w:top w:val="single" w:sz="4" w:space="0" w:color="auto"/>
              <w:left w:val="single" w:sz="4" w:space="0" w:color="auto"/>
              <w:bottom w:val="single" w:sz="4" w:space="0" w:color="auto"/>
              <w:right w:val="single" w:sz="4" w:space="0" w:color="auto"/>
            </w:tcBorders>
          </w:tcPr>
          <w:p w14:paraId="43E828FE" w14:textId="77777777" w:rsidR="00DA6C86" w:rsidRPr="00A7675C" w:rsidRDefault="00DA6C86" w:rsidP="002C5BB1">
            <w:pPr>
              <w:pStyle w:val="naisf"/>
              <w:spacing w:before="0" w:beforeAutospacing="0" w:after="0" w:afterAutospacing="0"/>
              <w:ind w:left="57" w:right="57"/>
            </w:pPr>
            <w:r w:rsidRPr="00A7675C">
              <w:t>Cita informācija</w:t>
            </w:r>
          </w:p>
        </w:tc>
        <w:tc>
          <w:tcPr>
            <w:tcW w:w="5056" w:type="dxa"/>
            <w:tcBorders>
              <w:top w:val="single" w:sz="4" w:space="0" w:color="auto"/>
              <w:left w:val="single" w:sz="4" w:space="0" w:color="auto"/>
              <w:bottom w:val="single" w:sz="4" w:space="0" w:color="auto"/>
              <w:right w:val="single" w:sz="4" w:space="0" w:color="auto"/>
            </w:tcBorders>
          </w:tcPr>
          <w:p w14:paraId="3C7981A0" w14:textId="77777777" w:rsidR="00DA6C86" w:rsidRPr="00A7675C" w:rsidRDefault="00380812" w:rsidP="00171D36">
            <w:pPr>
              <w:spacing w:after="0" w:line="240" w:lineRule="auto"/>
              <w:ind w:left="57" w:right="57"/>
              <w:jc w:val="both"/>
              <w:rPr>
                <w:rFonts w:ascii="Times New Roman" w:hAnsi="Times New Roman" w:cs="Times New Roman"/>
                <w:sz w:val="24"/>
                <w:szCs w:val="24"/>
              </w:rPr>
            </w:pPr>
            <w:r w:rsidRPr="00A7675C">
              <w:rPr>
                <w:rFonts w:ascii="Times New Roman" w:hAnsi="Times New Roman" w:cs="Times New Roman"/>
                <w:sz w:val="24"/>
                <w:szCs w:val="24"/>
              </w:rPr>
              <w:t>Nav</w:t>
            </w:r>
          </w:p>
        </w:tc>
      </w:tr>
    </w:tbl>
    <w:p w14:paraId="61923D16" w14:textId="77777777" w:rsidR="00F14254" w:rsidRPr="00A7675C" w:rsidRDefault="00F14254" w:rsidP="00957E98">
      <w:pPr>
        <w:pStyle w:val="NoSpacing"/>
        <w:rPr>
          <w:rFonts w:ascii="Times New Roman" w:hAnsi="Times New Roman" w:cs="Times New Roman"/>
          <w:sz w:val="24"/>
          <w:szCs w:val="24"/>
        </w:rPr>
      </w:pPr>
    </w:p>
    <w:p w14:paraId="40A294FC" w14:textId="77777777" w:rsidR="0040351E" w:rsidRPr="00A7675C" w:rsidRDefault="0040351E" w:rsidP="0040351E">
      <w:pPr>
        <w:pStyle w:val="naisf"/>
        <w:rPr>
          <w:bCs/>
        </w:rPr>
      </w:pPr>
      <w:r w:rsidRPr="00A7675C">
        <w:rPr>
          <w:bCs/>
        </w:rPr>
        <w:t xml:space="preserve">Finanšu ministre </w:t>
      </w:r>
      <w:r w:rsidRPr="00A7675C">
        <w:rPr>
          <w:bCs/>
        </w:rPr>
        <w:tab/>
      </w:r>
      <w:r w:rsidRPr="00A7675C">
        <w:rPr>
          <w:bCs/>
        </w:rPr>
        <w:tab/>
      </w:r>
      <w:r w:rsidRPr="00A7675C">
        <w:rPr>
          <w:bCs/>
        </w:rPr>
        <w:tab/>
      </w:r>
      <w:r w:rsidRPr="00A7675C">
        <w:rPr>
          <w:bCs/>
        </w:rPr>
        <w:tab/>
      </w:r>
      <w:r w:rsidRPr="00A7675C">
        <w:rPr>
          <w:bCs/>
        </w:rPr>
        <w:tab/>
      </w:r>
      <w:r w:rsidRPr="00A7675C">
        <w:rPr>
          <w:bCs/>
        </w:rPr>
        <w:tab/>
        <w:t>D. Reizniece – Ozola</w:t>
      </w:r>
    </w:p>
    <w:p w14:paraId="1CDC8D8F" w14:textId="77777777" w:rsidR="008C3AE0" w:rsidRPr="002B19B8" w:rsidRDefault="008C3AE0" w:rsidP="00236887">
      <w:pPr>
        <w:pStyle w:val="Header"/>
        <w:rPr>
          <w:rFonts w:ascii="Times New Roman" w:hAnsi="Times New Roman" w:cs="Times New Roman"/>
          <w:sz w:val="20"/>
          <w:szCs w:val="20"/>
        </w:rPr>
      </w:pPr>
      <w:r w:rsidRPr="002B19B8">
        <w:rPr>
          <w:rFonts w:ascii="Times New Roman" w:hAnsi="Times New Roman" w:cs="Times New Roman"/>
          <w:sz w:val="20"/>
          <w:szCs w:val="20"/>
        </w:rPr>
        <w:t>16.05.2016 15:29</w:t>
      </w:r>
    </w:p>
    <w:p w14:paraId="0BC32F10" w14:textId="5357992F" w:rsidR="00AD2645" w:rsidRPr="002B19B8" w:rsidRDefault="00723802" w:rsidP="00236887">
      <w:pPr>
        <w:pStyle w:val="Header"/>
        <w:rPr>
          <w:rFonts w:ascii="Times New Roman" w:hAnsi="Times New Roman" w:cs="Times New Roman"/>
          <w:sz w:val="20"/>
          <w:szCs w:val="20"/>
        </w:rPr>
      </w:pPr>
      <w:r>
        <w:rPr>
          <w:rFonts w:ascii="Times New Roman" w:hAnsi="Times New Roman" w:cs="Times New Roman"/>
          <w:sz w:val="20"/>
          <w:szCs w:val="20"/>
        </w:rPr>
        <w:t>25</w:t>
      </w:r>
      <w:r w:rsidR="0035301C">
        <w:rPr>
          <w:rFonts w:ascii="Times New Roman" w:hAnsi="Times New Roman" w:cs="Times New Roman"/>
          <w:sz w:val="20"/>
          <w:szCs w:val="20"/>
        </w:rPr>
        <w:t>39</w:t>
      </w:r>
    </w:p>
    <w:p w14:paraId="2B44DCCB" w14:textId="16A4370E" w:rsidR="00236887" w:rsidRPr="002B19B8" w:rsidRDefault="008C3AE0" w:rsidP="00236887">
      <w:pPr>
        <w:pStyle w:val="Header"/>
        <w:rPr>
          <w:rFonts w:ascii="Times New Roman" w:hAnsi="Times New Roman" w:cs="Times New Roman"/>
          <w:sz w:val="20"/>
          <w:szCs w:val="20"/>
        </w:rPr>
      </w:pPr>
      <w:proofErr w:type="spellStart"/>
      <w:r w:rsidRPr="002B19B8">
        <w:rPr>
          <w:rFonts w:ascii="Times New Roman" w:hAnsi="Times New Roman" w:cs="Times New Roman"/>
          <w:sz w:val="20"/>
          <w:szCs w:val="20"/>
        </w:rPr>
        <w:t>J.Kuhaļska</w:t>
      </w:r>
      <w:proofErr w:type="spellEnd"/>
    </w:p>
    <w:p w14:paraId="2C8B662A" w14:textId="77777777" w:rsidR="00077B1B" w:rsidRPr="002B19B8" w:rsidRDefault="00236887" w:rsidP="00925E34">
      <w:pPr>
        <w:spacing w:after="0" w:line="240" w:lineRule="auto"/>
        <w:rPr>
          <w:rFonts w:ascii="Times New Roman" w:hAnsi="Times New Roman" w:cs="Times New Roman"/>
          <w:sz w:val="20"/>
          <w:szCs w:val="20"/>
        </w:rPr>
      </w:pPr>
      <w:r w:rsidRPr="002B19B8">
        <w:rPr>
          <w:rFonts w:ascii="Times New Roman" w:hAnsi="Times New Roman" w:cs="Times New Roman"/>
          <w:sz w:val="20"/>
          <w:szCs w:val="20"/>
        </w:rPr>
        <w:t>670</w:t>
      </w:r>
      <w:r w:rsidR="002F0F2A" w:rsidRPr="002B19B8">
        <w:rPr>
          <w:rFonts w:ascii="Times New Roman" w:hAnsi="Times New Roman" w:cs="Times New Roman"/>
          <w:sz w:val="20"/>
          <w:szCs w:val="20"/>
        </w:rPr>
        <w:t>83849</w:t>
      </w:r>
    </w:p>
    <w:p w14:paraId="3C3AC05C" w14:textId="6598A8AA" w:rsidR="002F0F2A" w:rsidRPr="00A7675C" w:rsidRDefault="00B4238C" w:rsidP="00925E34">
      <w:pPr>
        <w:spacing w:after="0" w:line="240" w:lineRule="auto"/>
        <w:rPr>
          <w:rFonts w:ascii="Times New Roman" w:hAnsi="Times New Roman" w:cs="Times New Roman"/>
          <w:sz w:val="24"/>
          <w:szCs w:val="24"/>
        </w:rPr>
      </w:pPr>
      <w:hyperlink r:id="rId13" w:history="1">
        <w:r w:rsidR="002F0F2A" w:rsidRPr="002B19B8">
          <w:rPr>
            <w:rStyle w:val="Hyperlink"/>
            <w:rFonts w:ascii="Times New Roman" w:hAnsi="Times New Roman" w:cs="Times New Roman"/>
            <w:sz w:val="20"/>
            <w:szCs w:val="20"/>
          </w:rPr>
          <w:t>Jelena.Kuhalska@fm.gov.lv</w:t>
        </w:r>
      </w:hyperlink>
    </w:p>
    <w:sectPr w:rsidR="002F0F2A" w:rsidRPr="00A7675C" w:rsidSect="004A0FA2">
      <w:headerReference w:type="even" r:id="rId14"/>
      <w:headerReference w:type="default" r:id="rId15"/>
      <w:footerReference w:type="even" r:id="rId16"/>
      <w:footerReference w:type="default" r:id="rId17"/>
      <w:headerReference w:type="first" r:id="rId18"/>
      <w:footerReference w:type="first" r:id="rId19"/>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27114" w14:textId="77777777" w:rsidR="002A0447" w:rsidRDefault="002A0447" w:rsidP="004369B2">
      <w:pPr>
        <w:spacing w:after="0" w:line="240" w:lineRule="auto"/>
      </w:pPr>
      <w:r>
        <w:separator/>
      </w:r>
    </w:p>
  </w:endnote>
  <w:endnote w:type="continuationSeparator" w:id="0">
    <w:p w14:paraId="4F0AEDF4" w14:textId="77777777" w:rsidR="002A0447" w:rsidRDefault="002A0447"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C3B5" w14:textId="0DE349CB" w:rsidR="002A0447" w:rsidRPr="00851E55" w:rsidRDefault="002A0447" w:rsidP="002F0F2A">
    <w:pPr>
      <w:pStyle w:val="Footer"/>
      <w:jc w:val="both"/>
    </w:pPr>
    <w:r>
      <w:rPr>
        <w:rFonts w:ascii="Times New Roman" w:hAnsi="Times New Roman" w:cs="Times New Roman"/>
        <w:sz w:val="18"/>
        <w:szCs w:val="18"/>
      </w:rPr>
      <w:t>FMAnot_1</w:t>
    </w:r>
    <w:r w:rsidR="002F0F2A">
      <w:rPr>
        <w:rFonts w:ascii="Times New Roman" w:hAnsi="Times New Roman" w:cs="Times New Roman"/>
        <w:sz w:val="18"/>
        <w:szCs w:val="18"/>
      </w:rPr>
      <w:t>6</w:t>
    </w:r>
    <w:r>
      <w:rPr>
        <w:rFonts w:ascii="Times New Roman" w:hAnsi="Times New Roman" w:cs="Times New Roman"/>
        <w:sz w:val="18"/>
        <w:szCs w:val="18"/>
      </w:rPr>
      <w:t>0516</w:t>
    </w:r>
    <w:r w:rsidRPr="00D93EB9">
      <w:rPr>
        <w:rFonts w:ascii="Times New Roman" w:hAnsi="Times New Roman" w:cs="Times New Roman"/>
        <w:sz w:val="18"/>
        <w:szCs w:val="18"/>
      </w:rPr>
      <w:t>_PVN</w:t>
    </w:r>
    <w:r>
      <w:rPr>
        <w:rFonts w:ascii="Times New Roman" w:hAnsi="Times New Roman" w:cs="Times New Roman"/>
        <w:sz w:val="18"/>
        <w:szCs w:val="18"/>
      </w:rPr>
      <w:t>groz</w:t>
    </w:r>
    <w:r w:rsidR="00B03BB2">
      <w:rPr>
        <w:rFonts w:ascii="Times New Roman" w:hAnsi="Times New Roman" w:cs="Times New Roman"/>
        <w:sz w:val="18"/>
        <w:szCs w:val="18"/>
      </w:rPr>
      <w:t>_MK</w:t>
    </w:r>
    <w:r w:rsidRPr="00D93EB9">
      <w:rPr>
        <w:rFonts w:ascii="Times New Roman" w:hAnsi="Times New Roman" w:cs="Times New Roman"/>
        <w:sz w:val="18"/>
        <w:szCs w:val="18"/>
      </w:rPr>
      <w:t>; Sākotnējās ietekmes novēr</w:t>
    </w:r>
    <w:r w:rsidR="002F0F2A">
      <w:rPr>
        <w:rFonts w:ascii="Times New Roman" w:hAnsi="Times New Roman" w:cs="Times New Roman"/>
        <w:sz w:val="18"/>
        <w:szCs w:val="18"/>
      </w:rPr>
      <w:t>tējuma ziņojums likumprojektam “</w:t>
    </w:r>
    <w:r w:rsidRPr="00D93EB9">
      <w:rPr>
        <w:rFonts w:ascii="Times New Roman" w:hAnsi="Times New Roman" w:cs="Times New Roman"/>
        <w:sz w:val="18"/>
        <w:szCs w:val="18"/>
      </w:rPr>
      <w:t>Grozījumi Pievienotās vērtības nodokļa likumā”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3DA4" w14:textId="39843491" w:rsidR="002A0447" w:rsidRPr="002F0F2A" w:rsidRDefault="002F0F2A" w:rsidP="002F0F2A">
    <w:pPr>
      <w:pStyle w:val="Footer"/>
      <w:jc w:val="both"/>
      <w:rPr>
        <w:sz w:val="18"/>
        <w:szCs w:val="18"/>
      </w:rPr>
    </w:pPr>
    <w:r>
      <w:rPr>
        <w:rFonts w:ascii="Times New Roman" w:hAnsi="Times New Roman" w:cs="Times New Roman"/>
        <w:sz w:val="18"/>
        <w:szCs w:val="18"/>
      </w:rPr>
      <w:t>FMAnot_16</w:t>
    </w:r>
    <w:r w:rsidR="002A0447">
      <w:rPr>
        <w:rFonts w:ascii="Times New Roman" w:hAnsi="Times New Roman" w:cs="Times New Roman"/>
        <w:sz w:val="18"/>
        <w:szCs w:val="18"/>
      </w:rPr>
      <w:t>0516</w:t>
    </w:r>
    <w:r w:rsidR="002A0447" w:rsidRPr="00D93EB9">
      <w:rPr>
        <w:rFonts w:ascii="Times New Roman" w:hAnsi="Times New Roman" w:cs="Times New Roman"/>
        <w:sz w:val="18"/>
        <w:szCs w:val="18"/>
      </w:rPr>
      <w:t>_PVN</w:t>
    </w:r>
    <w:r w:rsidR="002A0447">
      <w:rPr>
        <w:rFonts w:ascii="Times New Roman" w:hAnsi="Times New Roman" w:cs="Times New Roman"/>
        <w:sz w:val="18"/>
        <w:szCs w:val="18"/>
      </w:rPr>
      <w:t>groz</w:t>
    </w:r>
    <w:r w:rsidR="00C47FE6">
      <w:rPr>
        <w:rFonts w:ascii="Times New Roman" w:hAnsi="Times New Roman" w:cs="Times New Roman"/>
        <w:sz w:val="18"/>
        <w:szCs w:val="18"/>
      </w:rPr>
      <w:t>_MK</w:t>
    </w:r>
    <w:r w:rsidR="002A0447" w:rsidRPr="00D93EB9">
      <w:rPr>
        <w:rFonts w:ascii="Times New Roman" w:hAnsi="Times New Roman" w:cs="Times New Roman"/>
        <w:sz w:val="18"/>
        <w:szCs w:val="18"/>
      </w:rPr>
      <w:t>; Sākotnējās ietekmes novēr</w:t>
    </w:r>
    <w:r>
      <w:rPr>
        <w:rFonts w:ascii="Times New Roman" w:hAnsi="Times New Roman" w:cs="Times New Roman"/>
        <w:sz w:val="18"/>
        <w:szCs w:val="18"/>
      </w:rPr>
      <w:t>tējuma ziņojums likumprojektam “</w:t>
    </w:r>
    <w:r w:rsidR="002A0447" w:rsidRPr="00D93EB9">
      <w:rPr>
        <w:rFonts w:ascii="Times New Roman" w:hAnsi="Times New Roman" w:cs="Times New Roman"/>
        <w:sz w:val="18"/>
        <w:szCs w:val="18"/>
      </w:rPr>
      <w:t>Grozījumi Pievienotās vērtības nodokļa likumā”</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6BD75" w14:textId="53A5D296" w:rsidR="002A0447" w:rsidRPr="00D93EB9" w:rsidRDefault="002A0447" w:rsidP="00851E55">
    <w:pPr>
      <w:pStyle w:val="Footer"/>
      <w:jc w:val="both"/>
      <w:rPr>
        <w:sz w:val="18"/>
        <w:szCs w:val="18"/>
      </w:rPr>
    </w:pPr>
    <w:r>
      <w:rPr>
        <w:rFonts w:ascii="Times New Roman" w:hAnsi="Times New Roman" w:cs="Times New Roman"/>
        <w:sz w:val="18"/>
        <w:szCs w:val="18"/>
      </w:rPr>
      <w:t>FMAnot_110516</w:t>
    </w:r>
    <w:r w:rsidRPr="00D93EB9">
      <w:rPr>
        <w:rFonts w:ascii="Times New Roman" w:hAnsi="Times New Roman" w:cs="Times New Roman"/>
        <w:sz w:val="18"/>
        <w:szCs w:val="18"/>
      </w:rPr>
      <w:t>_PVN</w:t>
    </w:r>
    <w:r>
      <w:rPr>
        <w:rFonts w:ascii="Times New Roman" w:hAnsi="Times New Roman" w:cs="Times New Roman"/>
        <w:sz w:val="18"/>
        <w:szCs w:val="18"/>
      </w:rPr>
      <w:t>groz</w:t>
    </w:r>
    <w:r w:rsidR="00B03BB2">
      <w:rPr>
        <w:rFonts w:ascii="Times New Roman" w:hAnsi="Times New Roman" w:cs="Times New Roman"/>
        <w:sz w:val="18"/>
        <w:szCs w:val="18"/>
      </w:rPr>
      <w:t>_MK</w:t>
    </w:r>
    <w:r w:rsidRPr="00D93EB9">
      <w:rPr>
        <w:rFonts w:ascii="Times New Roman" w:hAnsi="Times New Roman" w:cs="Times New Roman"/>
        <w:sz w:val="18"/>
        <w:szCs w:val="18"/>
      </w:rPr>
      <w:t>; Sākotnējās ietekmes novēr</w:t>
    </w:r>
    <w:r w:rsidR="005B0D8C">
      <w:rPr>
        <w:rFonts w:ascii="Times New Roman" w:hAnsi="Times New Roman" w:cs="Times New Roman"/>
        <w:sz w:val="18"/>
        <w:szCs w:val="18"/>
      </w:rPr>
      <w:t>tējuma ziņojums likumprojektam “</w:t>
    </w:r>
    <w:r w:rsidRPr="00D93EB9">
      <w:rPr>
        <w:rFonts w:ascii="Times New Roman" w:hAnsi="Times New Roman" w:cs="Times New Roman"/>
        <w:sz w:val="18"/>
        <w:szCs w:val="18"/>
      </w:rPr>
      <w:t>Grozījumi Pievienotās vērtības nodokļa likumā”</w:t>
    </w:r>
  </w:p>
  <w:p w14:paraId="3DDDBEC9" w14:textId="40E04653" w:rsidR="002A0447" w:rsidRPr="00851E55" w:rsidRDefault="002A0447" w:rsidP="00851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1A3E4" w14:textId="77777777" w:rsidR="002A0447" w:rsidRDefault="002A0447" w:rsidP="004369B2">
      <w:pPr>
        <w:spacing w:after="0" w:line="240" w:lineRule="auto"/>
      </w:pPr>
      <w:r>
        <w:separator/>
      </w:r>
    </w:p>
  </w:footnote>
  <w:footnote w:type="continuationSeparator" w:id="0">
    <w:p w14:paraId="552D6BC5" w14:textId="77777777" w:rsidR="002A0447" w:rsidRDefault="002A0447" w:rsidP="0043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5857444" w14:textId="12D8248F" w:rsidR="002A0447" w:rsidRPr="00171D36" w:rsidRDefault="002A044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B4238C">
          <w:rPr>
            <w:rFonts w:ascii="Times New Roman" w:hAnsi="Times New Roman" w:cs="Times New Roman"/>
            <w:noProof/>
            <w:sz w:val="24"/>
          </w:rPr>
          <w:t>10</w:t>
        </w:r>
        <w:r w:rsidRPr="00171D36">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52230"/>
      <w:docPartObj>
        <w:docPartGallery w:val="Page Numbers (Top of Page)"/>
        <w:docPartUnique/>
      </w:docPartObj>
    </w:sdtPr>
    <w:sdtEndPr>
      <w:rPr>
        <w:rFonts w:ascii="Times New Roman" w:hAnsi="Times New Roman" w:cs="Times New Roman"/>
        <w:noProof/>
        <w:sz w:val="24"/>
      </w:rPr>
    </w:sdtEndPr>
    <w:sdtContent>
      <w:p w14:paraId="3A24FCD3" w14:textId="27244600" w:rsidR="002A0447" w:rsidRPr="00171D36" w:rsidRDefault="002A044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B4238C">
          <w:rPr>
            <w:rFonts w:ascii="Times New Roman" w:hAnsi="Times New Roman" w:cs="Times New Roman"/>
            <w:noProof/>
            <w:sz w:val="24"/>
          </w:rPr>
          <w:t>9</w:t>
        </w:r>
        <w:r w:rsidRPr="00171D36">
          <w:rPr>
            <w:rFonts w:ascii="Times New Roman" w:hAnsi="Times New Roman" w:cs="Times New Roman"/>
            <w:noProof/>
            <w:sz w:val="24"/>
          </w:rPr>
          <w:fldChar w:fldCharType="end"/>
        </w:r>
      </w:p>
    </w:sdtContent>
  </w:sdt>
  <w:p w14:paraId="38040072" w14:textId="77777777" w:rsidR="002A0447" w:rsidRDefault="002A0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3015" w14:textId="77777777" w:rsidR="002A0447" w:rsidRDefault="002A0447" w:rsidP="00171D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A1D"/>
    <w:multiLevelType w:val="hybridMultilevel"/>
    <w:tmpl w:val="EA544C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2A16DC"/>
    <w:multiLevelType w:val="hybridMultilevel"/>
    <w:tmpl w:val="82AA293A"/>
    <w:lvl w:ilvl="0" w:tplc="9148EB2A">
      <w:start w:val="1"/>
      <w:numFmt w:val="decimal"/>
      <w:lvlText w:val="%1."/>
      <w:lvlJc w:val="left"/>
      <w:pPr>
        <w:ind w:left="420" w:hanging="360"/>
      </w:pPr>
      <w:rPr>
        <w:rFonts w:ascii="Times New Roman" w:hAnsi="Times New Roman" w:cs="Times New Roman" w:hint="default"/>
        <w:i w:val="0"/>
        <w:color w:val="auto"/>
        <w:sz w:val="25"/>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10D61380"/>
    <w:multiLevelType w:val="hybridMultilevel"/>
    <w:tmpl w:val="46BC2D2A"/>
    <w:lvl w:ilvl="0" w:tplc="28443AAC">
      <w:start w:val="1"/>
      <w:numFmt w:val="decimal"/>
      <w:lvlText w:val="%1."/>
      <w:lvlJc w:val="left"/>
      <w:pPr>
        <w:ind w:left="670" w:hanging="570"/>
      </w:pPr>
      <w:rPr>
        <w:rFonts w:eastAsiaTheme="minorEastAsia" w:hint="default"/>
      </w:rPr>
    </w:lvl>
    <w:lvl w:ilvl="1" w:tplc="04260019" w:tentative="1">
      <w:start w:val="1"/>
      <w:numFmt w:val="lowerLetter"/>
      <w:lvlText w:val="%2."/>
      <w:lvlJc w:val="left"/>
      <w:pPr>
        <w:ind w:left="1180" w:hanging="360"/>
      </w:pPr>
    </w:lvl>
    <w:lvl w:ilvl="2" w:tplc="0426001B" w:tentative="1">
      <w:start w:val="1"/>
      <w:numFmt w:val="lowerRoman"/>
      <w:lvlText w:val="%3."/>
      <w:lvlJc w:val="right"/>
      <w:pPr>
        <w:ind w:left="1900" w:hanging="180"/>
      </w:pPr>
    </w:lvl>
    <w:lvl w:ilvl="3" w:tplc="0426000F" w:tentative="1">
      <w:start w:val="1"/>
      <w:numFmt w:val="decimal"/>
      <w:lvlText w:val="%4."/>
      <w:lvlJc w:val="left"/>
      <w:pPr>
        <w:ind w:left="2620" w:hanging="360"/>
      </w:pPr>
    </w:lvl>
    <w:lvl w:ilvl="4" w:tplc="04260019" w:tentative="1">
      <w:start w:val="1"/>
      <w:numFmt w:val="lowerLetter"/>
      <w:lvlText w:val="%5."/>
      <w:lvlJc w:val="left"/>
      <w:pPr>
        <w:ind w:left="3340" w:hanging="360"/>
      </w:pPr>
    </w:lvl>
    <w:lvl w:ilvl="5" w:tplc="0426001B" w:tentative="1">
      <w:start w:val="1"/>
      <w:numFmt w:val="lowerRoman"/>
      <w:lvlText w:val="%6."/>
      <w:lvlJc w:val="right"/>
      <w:pPr>
        <w:ind w:left="4060" w:hanging="180"/>
      </w:pPr>
    </w:lvl>
    <w:lvl w:ilvl="6" w:tplc="0426000F" w:tentative="1">
      <w:start w:val="1"/>
      <w:numFmt w:val="decimal"/>
      <w:lvlText w:val="%7."/>
      <w:lvlJc w:val="left"/>
      <w:pPr>
        <w:ind w:left="4780" w:hanging="360"/>
      </w:pPr>
    </w:lvl>
    <w:lvl w:ilvl="7" w:tplc="04260019" w:tentative="1">
      <w:start w:val="1"/>
      <w:numFmt w:val="lowerLetter"/>
      <w:lvlText w:val="%8."/>
      <w:lvlJc w:val="left"/>
      <w:pPr>
        <w:ind w:left="5500" w:hanging="360"/>
      </w:pPr>
    </w:lvl>
    <w:lvl w:ilvl="8" w:tplc="0426001B" w:tentative="1">
      <w:start w:val="1"/>
      <w:numFmt w:val="lowerRoman"/>
      <w:lvlText w:val="%9."/>
      <w:lvlJc w:val="right"/>
      <w:pPr>
        <w:ind w:left="6220" w:hanging="180"/>
      </w:pPr>
    </w:lvl>
  </w:abstractNum>
  <w:abstractNum w:abstractNumId="3" w15:restartNumberingAfterBreak="0">
    <w:nsid w:val="13DC1F75"/>
    <w:multiLevelType w:val="hybridMultilevel"/>
    <w:tmpl w:val="89DADD06"/>
    <w:lvl w:ilvl="0" w:tplc="E99ED82C">
      <w:start w:val="1"/>
      <w:numFmt w:val="decimal"/>
      <w:lvlText w:val="%1."/>
      <w:lvlJc w:val="left"/>
      <w:pPr>
        <w:ind w:left="741" w:hanging="360"/>
      </w:pPr>
      <w:rPr>
        <w:rFonts w:hint="default"/>
        <w:b w:val="0"/>
        <w:color w:val="auto"/>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4" w15:restartNumberingAfterBreak="0">
    <w:nsid w:val="17CF050B"/>
    <w:multiLevelType w:val="hybridMultilevel"/>
    <w:tmpl w:val="DEFE5EC0"/>
    <w:lvl w:ilvl="0" w:tplc="44D89F32">
      <w:start w:val="1"/>
      <w:numFmt w:val="decimal"/>
      <w:lvlText w:val="%1."/>
      <w:lvlJc w:val="left"/>
      <w:pPr>
        <w:ind w:left="4045" w:hanging="360"/>
      </w:pPr>
      <w:rPr>
        <w:rFonts w:ascii="Times New Roman" w:hAnsi="Times New Roman" w:cs="Times New Roman" w:hint="default"/>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5" w15:restartNumberingAfterBreak="0">
    <w:nsid w:val="17D03E0A"/>
    <w:multiLevelType w:val="hybridMultilevel"/>
    <w:tmpl w:val="6B2C04DA"/>
    <w:lvl w:ilvl="0" w:tplc="9148EB2A">
      <w:start w:val="1"/>
      <w:numFmt w:val="decimal"/>
      <w:lvlText w:val="%1."/>
      <w:lvlJc w:val="left"/>
      <w:pPr>
        <w:ind w:left="420" w:hanging="360"/>
      </w:pPr>
      <w:rPr>
        <w:rFonts w:ascii="Times New Roman" w:hAnsi="Times New Roman" w:cs="Times New Roman" w:hint="default"/>
        <w:i w:val="0"/>
        <w:color w:val="auto"/>
        <w:sz w:val="25"/>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15:restartNumberingAfterBreak="0">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4D6F83"/>
    <w:multiLevelType w:val="hybridMultilevel"/>
    <w:tmpl w:val="D9448814"/>
    <w:lvl w:ilvl="0" w:tplc="853025BA">
      <w:start w:val="1"/>
      <w:numFmt w:val="decimal"/>
      <w:lvlText w:val="%1)"/>
      <w:lvlJc w:val="left"/>
      <w:pPr>
        <w:ind w:left="720" w:hanging="360"/>
      </w:pPr>
      <w:rPr>
        <w:rFonts w:ascii="Times New Roman"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294173"/>
    <w:multiLevelType w:val="hybridMultilevel"/>
    <w:tmpl w:val="CBE2507A"/>
    <w:lvl w:ilvl="0" w:tplc="C0E6C54A">
      <w:start w:val="1"/>
      <w:numFmt w:val="decimal"/>
      <w:lvlText w:val="%1)"/>
      <w:lvlJc w:val="left"/>
      <w:pPr>
        <w:ind w:left="383" w:hanging="360"/>
      </w:pPr>
      <w:rPr>
        <w:rFonts w:ascii="Times New Roman" w:eastAsiaTheme="minorEastAsia" w:hAnsi="Times New Roman" w:cs="Times New Roman"/>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9" w15:restartNumberingAfterBreak="0">
    <w:nsid w:val="39D606DE"/>
    <w:multiLevelType w:val="hybridMultilevel"/>
    <w:tmpl w:val="F7701E1C"/>
    <w:lvl w:ilvl="0" w:tplc="39888550">
      <w:start w:val="1"/>
      <w:numFmt w:val="bullet"/>
      <w:lvlText w:val="–"/>
      <w:lvlJc w:val="left"/>
      <w:pPr>
        <w:ind w:left="1069" w:hanging="360"/>
      </w:pPr>
      <w:rPr>
        <w:rFonts w:ascii="Times New Roman" w:eastAsiaTheme="minorEastAsia"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15:restartNumberingAfterBreak="0">
    <w:nsid w:val="5F9C32A9"/>
    <w:multiLevelType w:val="hybridMultilevel"/>
    <w:tmpl w:val="0DF489FC"/>
    <w:lvl w:ilvl="0" w:tplc="D654E0C2">
      <w:start w:val="3"/>
      <w:numFmt w:val="bullet"/>
      <w:lvlText w:val="-"/>
      <w:lvlJc w:val="left"/>
      <w:pPr>
        <w:ind w:left="460" w:hanging="360"/>
      </w:pPr>
      <w:rPr>
        <w:rFonts w:ascii="Times New Roman" w:eastAsia="Times New Roman" w:hAnsi="Times New Roman" w:cs="Times New Roman" w:hint="default"/>
      </w:rPr>
    </w:lvl>
    <w:lvl w:ilvl="1" w:tplc="04260003" w:tentative="1">
      <w:start w:val="1"/>
      <w:numFmt w:val="bullet"/>
      <w:lvlText w:val="o"/>
      <w:lvlJc w:val="left"/>
      <w:pPr>
        <w:ind w:left="1180" w:hanging="360"/>
      </w:pPr>
      <w:rPr>
        <w:rFonts w:ascii="Courier New" w:hAnsi="Courier New" w:cs="Courier New" w:hint="default"/>
      </w:rPr>
    </w:lvl>
    <w:lvl w:ilvl="2" w:tplc="04260005" w:tentative="1">
      <w:start w:val="1"/>
      <w:numFmt w:val="bullet"/>
      <w:lvlText w:val=""/>
      <w:lvlJc w:val="left"/>
      <w:pPr>
        <w:ind w:left="1900" w:hanging="360"/>
      </w:pPr>
      <w:rPr>
        <w:rFonts w:ascii="Wingdings" w:hAnsi="Wingdings" w:hint="default"/>
      </w:rPr>
    </w:lvl>
    <w:lvl w:ilvl="3" w:tplc="04260001" w:tentative="1">
      <w:start w:val="1"/>
      <w:numFmt w:val="bullet"/>
      <w:lvlText w:val=""/>
      <w:lvlJc w:val="left"/>
      <w:pPr>
        <w:ind w:left="2620" w:hanging="360"/>
      </w:pPr>
      <w:rPr>
        <w:rFonts w:ascii="Symbol" w:hAnsi="Symbol" w:hint="default"/>
      </w:rPr>
    </w:lvl>
    <w:lvl w:ilvl="4" w:tplc="04260003" w:tentative="1">
      <w:start w:val="1"/>
      <w:numFmt w:val="bullet"/>
      <w:lvlText w:val="o"/>
      <w:lvlJc w:val="left"/>
      <w:pPr>
        <w:ind w:left="3340" w:hanging="360"/>
      </w:pPr>
      <w:rPr>
        <w:rFonts w:ascii="Courier New" w:hAnsi="Courier New" w:cs="Courier New" w:hint="default"/>
      </w:rPr>
    </w:lvl>
    <w:lvl w:ilvl="5" w:tplc="04260005" w:tentative="1">
      <w:start w:val="1"/>
      <w:numFmt w:val="bullet"/>
      <w:lvlText w:val=""/>
      <w:lvlJc w:val="left"/>
      <w:pPr>
        <w:ind w:left="4060" w:hanging="360"/>
      </w:pPr>
      <w:rPr>
        <w:rFonts w:ascii="Wingdings" w:hAnsi="Wingdings" w:hint="default"/>
      </w:rPr>
    </w:lvl>
    <w:lvl w:ilvl="6" w:tplc="04260001" w:tentative="1">
      <w:start w:val="1"/>
      <w:numFmt w:val="bullet"/>
      <w:lvlText w:val=""/>
      <w:lvlJc w:val="left"/>
      <w:pPr>
        <w:ind w:left="4780" w:hanging="360"/>
      </w:pPr>
      <w:rPr>
        <w:rFonts w:ascii="Symbol" w:hAnsi="Symbol" w:hint="default"/>
      </w:rPr>
    </w:lvl>
    <w:lvl w:ilvl="7" w:tplc="04260003" w:tentative="1">
      <w:start w:val="1"/>
      <w:numFmt w:val="bullet"/>
      <w:lvlText w:val="o"/>
      <w:lvlJc w:val="left"/>
      <w:pPr>
        <w:ind w:left="5500" w:hanging="360"/>
      </w:pPr>
      <w:rPr>
        <w:rFonts w:ascii="Courier New" w:hAnsi="Courier New" w:cs="Courier New" w:hint="default"/>
      </w:rPr>
    </w:lvl>
    <w:lvl w:ilvl="8" w:tplc="04260005" w:tentative="1">
      <w:start w:val="1"/>
      <w:numFmt w:val="bullet"/>
      <w:lvlText w:val=""/>
      <w:lvlJc w:val="left"/>
      <w:pPr>
        <w:ind w:left="6220" w:hanging="360"/>
      </w:pPr>
      <w:rPr>
        <w:rFonts w:ascii="Wingdings" w:hAnsi="Wingdings" w:hint="default"/>
      </w:rPr>
    </w:lvl>
  </w:abstractNum>
  <w:abstractNum w:abstractNumId="11" w15:restartNumberingAfterBreak="0">
    <w:nsid w:val="60F6032B"/>
    <w:multiLevelType w:val="hybridMultilevel"/>
    <w:tmpl w:val="27B4AF5C"/>
    <w:lvl w:ilvl="0" w:tplc="A4EECF4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15:restartNumberingAfterBreak="0">
    <w:nsid w:val="617A45B7"/>
    <w:multiLevelType w:val="hybridMultilevel"/>
    <w:tmpl w:val="2A30D72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81B2B8F"/>
    <w:multiLevelType w:val="hybridMultilevel"/>
    <w:tmpl w:val="AA6C6342"/>
    <w:lvl w:ilvl="0" w:tplc="70C8314A">
      <w:start w:val="1"/>
      <w:numFmt w:val="decimal"/>
      <w:lvlText w:val="%1."/>
      <w:lvlJc w:val="left"/>
      <w:pPr>
        <w:ind w:left="1101" w:hanging="360"/>
      </w:pPr>
      <w:rPr>
        <w:rFonts w:ascii="Times New Roman" w:eastAsia="Times New Roman" w:hAnsi="Times New Roman" w:cs="Times New Roman"/>
      </w:rPr>
    </w:lvl>
    <w:lvl w:ilvl="1" w:tplc="04260019" w:tentative="1">
      <w:start w:val="1"/>
      <w:numFmt w:val="lowerLetter"/>
      <w:lvlText w:val="%2."/>
      <w:lvlJc w:val="left"/>
      <w:pPr>
        <w:ind w:left="1821" w:hanging="360"/>
      </w:pPr>
    </w:lvl>
    <w:lvl w:ilvl="2" w:tplc="0426001B" w:tentative="1">
      <w:start w:val="1"/>
      <w:numFmt w:val="lowerRoman"/>
      <w:lvlText w:val="%3."/>
      <w:lvlJc w:val="right"/>
      <w:pPr>
        <w:ind w:left="2541" w:hanging="180"/>
      </w:pPr>
    </w:lvl>
    <w:lvl w:ilvl="3" w:tplc="0426000F" w:tentative="1">
      <w:start w:val="1"/>
      <w:numFmt w:val="decimal"/>
      <w:lvlText w:val="%4."/>
      <w:lvlJc w:val="left"/>
      <w:pPr>
        <w:ind w:left="3261" w:hanging="360"/>
      </w:pPr>
    </w:lvl>
    <w:lvl w:ilvl="4" w:tplc="04260019" w:tentative="1">
      <w:start w:val="1"/>
      <w:numFmt w:val="lowerLetter"/>
      <w:lvlText w:val="%5."/>
      <w:lvlJc w:val="left"/>
      <w:pPr>
        <w:ind w:left="3981" w:hanging="360"/>
      </w:pPr>
    </w:lvl>
    <w:lvl w:ilvl="5" w:tplc="0426001B" w:tentative="1">
      <w:start w:val="1"/>
      <w:numFmt w:val="lowerRoman"/>
      <w:lvlText w:val="%6."/>
      <w:lvlJc w:val="right"/>
      <w:pPr>
        <w:ind w:left="4701" w:hanging="180"/>
      </w:pPr>
    </w:lvl>
    <w:lvl w:ilvl="6" w:tplc="0426000F" w:tentative="1">
      <w:start w:val="1"/>
      <w:numFmt w:val="decimal"/>
      <w:lvlText w:val="%7."/>
      <w:lvlJc w:val="left"/>
      <w:pPr>
        <w:ind w:left="5421" w:hanging="360"/>
      </w:pPr>
    </w:lvl>
    <w:lvl w:ilvl="7" w:tplc="04260019" w:tentative="1">
      <w:start w:val="1"/>
      <w:numFmt w:val="lowerLetter"/>
      <w:lvlText w:val="%8."/>
      <w:lvlJc w:val="left"/>
      <w:pPr>
        <w:ind w:left="6141" w:hanging="360"/>
      </w:pPr>
    </w:lvl>
    <w:lvl w:ilvl="8" w:tplc="0426001B" w:tentative="1">
      <w:start w:val="1"/>
      <w:numFmt w:val="lowerRoman"/>
      <w:lvlText w:val="%9."/>
      <w:lvlJc w:val="right"/>
      <w:pPr>
        <w:ind w:left="6861" w:hanging="180"/>
      </w:pPr>
    </w:lvl>
  </w:abstractNum>
  <w:abstractNum w:abstractNumId="14" w15:restartNumberingAfterBreak="0">
    <w:nsid w:val="69A23381"/>
    <w:multiLevelType w:val="hybridMultilevel"/>
    <w:tmpl w:val="F3EE76F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1"/>
  </w:num>
  <w:num w:numId="5">
    <w:abstractNumId w:val="6"/>
  </w:num>
  <w:num w:numId="6">
    <w:abstractNumId w:val="2"/>
  </w:num>
  <w:num w:numId="7">
    <w:abstractNumId w:val="4"/>
  </w:num>
  <w:num w:numId="8">
    <w:abstractNumId w:val="14"/>
  </w:num>
  <w:num w:numId="9">
    <w:abstractNumId w:val="10"/>
  </w:num>
  <w:num w:numId="10">
    <w:abstractNumId w:val="0"/>
  </w:num>
  <w:num w:numId="11">
    <w:abstractNumId w:val="12"/>
  </w:num>
  <w:num w:numId="12">
    <w:abstractNumId w:val="11"/>
  </w:num>
  <w:num w:numId="13">
    <w:abstractNumId w:val="7"/>
  </w:num>
  <w:num w:numId="14">
    <w:abstractNumId w:val="5"/>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8E8"/>
    <w:rsid w:val="00001C19"/>
    <w:rsid w:val="00002AC4"/>
    <w:rsid w:val="00003E71"/>
    <w:rsid w:val="00003F2D"/>
    <w:rsid w:val="00004120"/>
    <w:rsid w:val="0000434C"/>
    <w:rsid w:val="000044FD"/>
    <w:rsid w:val="000050C3"/>
    <w:rsid w:val="00005B65"/>
    <w:rsid w:val="000066F2"/>
    <w:rsid w:val="000071F3"/>
    <w:rsid w:val="00007445"/>
    <w:rsid w:val="00007A44"/>
    <w:rsid w:val="00011A47"/>
    <w:rsid w:val="000125F8"/>
    <w:rsid w:val="00012F4F"/>
    <w:rsid w:val="00013066"/>
    <w:rsid w:val="000136A3"/>
    <w:rsid w:val="00013DA3"/>
    <w:rsid w:val="000143C2"/>
    <w:rsid w:val="00015087"/>
    <w:rsid w:val="00017233"/>
    <w:rsid w:val="00017F2D"/>
    <w:rsid w:val="000207C6"/>
    <w:rsid w:val="000209A4"/>
    <w:rsid w:val="00021DAF"/>
    <w:rsid w:val="00024BC7"/>
    <w:rsid w:val="0002742F"/>
    <w:rsid w:val="000277B3"/>
    <w:rsid w:val="00027E6D"/>
    <w:rsid w:val="000313ED"/>
    <w:rsid w:val="00033F19"/>
    <w:rsid w:val="00034F6A"/>
    <w:rsid w:val="0003706D"/>
    <w:rsid w:val="00037757"/>
    <w:rsid w:val="000410A5"/>
    <w:rsid w:val="000419BA"/>
    <w:rsid w:val="00042943"/>
    <w:rsid w:val="00044FE4"/>
    <w:rsid w:val="00047C66"/>
    <w:rsid w:val="000508D7"/>
    <w:rsid w:val="000538B8"/>
    <w:rsid w:val="0005478E"/>
    <w:rsid w:val="00054E06"/>
    <w:rsid w:val="00056305"/>
    <w:rsid w:val="000612C8"/>
    <w:rsid w:val="000627FE"/>
    <w:rsid w:val="00062FE4"/>
    <w:rsid w:val="00064315"/>
    <w:rsid w:val="0006659D"/>
    <w:rsid w:val="000674A5"/>
    <w:rsid w:val="00067F85"/>
    <w:rsid w:val="00070BAD"/>
    <w:rsid w:val="00071243"/>
    <w:rsid w:val="000712A8"/>
    <w:rsid w:val="00071906"/>
    <w:rsid w:val="00072A6D"/>
    <w:rsid w:val="00073C35"/>
    <w:rsid w:val="0007560A"/>
    <w:rsid w:val="00075663"/>
    <w:rsid w:val="00076147"/>
    <w:rsid w:val="00077871"/>
    <w:rsid w:val="00077906"/>
    <w:rsid w:val="00077B1B"/>
    <w:rsid w:val="00077FF6"/>
    <w:rsid w:val="000824DD"/>
    <w:rsid w:val="0008283D"/>
    <w:rsid w:val="00082EA8"/>
    <w:rsid w:val="00085D9E"/>
    <w:rsid w:val="000863ED"/>
    <w:rsid w:val="000865EF"/>
    <w:rsid w:val="00086F73"/>
    <w:rsid w:val="00093808"/>
    <w:rsid w:val="000941B9"/>
    <w:rsid w:val="00094218"/>
    <w:rsid w:val="00095785"/>
    <w:rsid w:val="00096AA9"/>
    <w:rsid w:val="00096B59"/>
    <w:rsid w:val="00096F4D"/>
    <w:rsid w:val="00097301"/>
    <w:rsid w:val="000A0B88"/>
    <w:rsid w:val="000A150F"/>
    <w:rsid w:val="000A21A6"/>
    <w:rsid w:val="000A38B5"/>
    <w:rsid w:val="000A3A53"/>
    <w:rsid w:val="000A3AEB"/>
    <w:rsid w:val="000A4DCF"/>
    <w:rsid w:val="000A55A7"/>
    <w:rsid w:val="000A6B02"/>
    <w:rsid w:val="000A6BCF"/>
    <w:rsid w:val="000A71B7"/>
    <w:rsid w:val="000A7487"/>
    <w:rsid w:val="000A76F1"/>
    <w:rsid w:val="000B0DD9"/>
    <w:rsid w:val="000B1A2A"/>
    <w:rsid w:val="000B3A22"/>
    <w:rsid w:val="000B40A0"/>
    <w:rsid w:val="000B6F71"/>
    <w:rsid w:val="000C01E7"/>
    <w:rsid w:val="000C1546"/>
    <w:rsid w:val="000C2E1B"/>
    <w:rsid w:val="000C3185"/>
    <w:rsid w:val="000C50DD"/>
    <w:rsid w:val="000C674A"/>
    <w:rsid w:val="000C7217"/>
    <w:rsid w:val="000D14D5"/>
    <w:rsid w:val="000D1A7F"/>
    <w:rsid w:val="000D4B27"/>
    <w:rsid w:val="000E0ABB"/>
    <w:rsid w:val="000E13C6"/>
    <w:rsid w:val="000E22BE"/>
    <w:rsid w:val="000E2D1E"/>
    <w:rsid w:val="000E46D7"/>
    <w:rsid w:val="000E49B9"/>
    <w:rsid w:val="000E4EE4"/>
    <w:rsid w:val="000F0726"/>
    <w:rsid w:val="000F101C"/>
    <w:rsid w:val="000F16A0"/>
    <w:rsid w:val="000F4094"/>
    <w:rsid w:val="000F4A5C"/>
    <w:rsid w:val="000F5120"/>
    <w:rsid w:val="000F56D3"/>
    <w:rsid w:val="000F78B3"/>
    <w:rsid w:val="001001E5"/>
    <w:rsid w:val="00101B54"/>
    <w:rsid w:val="00101DDB"/>
    <w:rsid w:val="001024C4"/>
    <w:rsid w:val="001028F2"/>
    <w:rsid w:val="001030D7"/>
    <w:rsid w:val="00104BFD"/>
    <w:rsid w:val="00104F70"/>
    <w:rsid w:val="0010596A"/>
    <w:rsid w:val="00105E0D"/>
    <w:rsid w:val="00105F95"/>
    <w:rsid w:val="00106E13"/>
    <w:rsid w:val="001075F4"/>
    <w:rsid w:val="00107BB6"/>
    <w:rsid w:val="00110348"/>
    <w:rsid w:val="00112631"/>
    <w:rsid w:val="001166B9"/>
    <w:rsid w:val="00116CAD"/>
    <w:rsid w:val="00117C3F"/>
    <w:rsid w:val="00120B5D"/>
    <w:rsid w:val="0012183D"/>
    <w:rsid w:val="00121E4B"/>
    <w:rsid w:val="001236CD"/>
    <w:rsid w:val="00124547"/>
    <w:rsid w:val="00124F9B"/>
    <w:rsid w:val="001251B2"/>
    <w:rsid w:val="00125A33"/>
    <w:rsid w:val="0012659F"/>
    <w:rsid w:val="00127DB5"/>
    <w:rsid w:val="0013023A"/>
    <w:rsid w:val="00131B50"/>
    <w:rsid w:val="00133320"/>
    <w:rsid w:val="00133AAF"/>
    <w:rsid w:val="001343C0"/>
    <w:rsid w:val="0013630C"/>
    <w:rsid w:val="00136795"/>
    <w:rsid w:val="00137CE0"/>
    <w:rsid w:val="00137F4C"/>
    <w:rsid w:val="00140D30"/>
    <w:rsid w:val="00141DA8"/>
    <w:rsid w:val="00145BBF"/>
    <w:rsid w:val="0014724B"/>
    <w:rsid w:val="0014771B"/>
    <w:rsid w:val="00147E5D"/>
    <w:rsid w:val="0015306F"/>
    <w:rsid w:val="001532D1"/>
    <w:rsid w:val="001561F5"/>
    <w:rsid w:val="00161EA3"/>
    <w:rsid w:val="001636A9"/>
    <w:rsid w:val="00163A60"/>
    <w:rsid w:val="00164274"/>
    <w:rsid w:val="00164329"/>
    <w:rsid w:val="00166E1E"/>
    <w:rsid w:val="00166EA2"/>
    <w:rsid w:val="00167958"/>
    <w:rsid w:val="00170ECE"/>
    <w:rsid w:val="001719E3"/>
    <w:rsid w:val="00171D17"/>
    <w:rsid w:val="00171D36"/>
    <w:rsid w:val="001730E1"/>
    <w:rsid w:val="00174AC6"/>
    <w:rsid w:val="00174FB9"/>
    <w:rsid w:val="00175420"/>
    <w:rsid w:val="00176CB2"/>
    <w:rsid w:val="00176DC1"/>
    <w:rsid w:val="001809EE"/>
    <w:rsid w:val="0018277F"/>
    <w:rsid w:val="0018354B"/>
    <w:rsid w:val="00183F06"/>
    <w:rsid w:val="00184133"/>
    <w:rsid w:val="001854FC"/>
    <w:rsid w:val="00186946"/>
    <w:rsid w:val="00186AF1"/>
    <w:rsid w:val="00192196"/>
    <w:rsid w:val="00195CC3"/>
    <w:rsid w:val="00196154"/>
    <w:rsid w:val="0019649B"/>
    <w:rsid w:val="001A0506"/>
    <w:rsid w:val="001A173B"/>
    <w:rsid w:val="001A30FE"/>
    <w:rsid w:val="001A3439"/>
    <w:rsid w:val="001A464D"/>
    <w:rsid w:val="001A6068"/>
    <w:rsid w:val="001A681D"/>
    <w:rsid w:val="001A6A7F"/>
    <w:rsid w:val="001A6DE9"/>
    <w:rsid w:val="001A7231"/>
    <w:rsid w:val="001A7D41"/>
    <w:rsid w:val="001B0AC6"/>
    <w:rsid w:val="001B1210"/>
    <w:rsid w:val="001B2D57"/>
    <w:rsid w:val="001B2FDD"/>
    <w:rsid w:val="001B42C1"/>
    <w:rsid w:val="001C1119"/>
    <w:rsid w:val="001C144E"/>
    <w:rsid w:val="001C14B6"/>
    <w:rsid w:val="001C25E8"/>
    <w:rsid w:val="001C2F14"/>
    <w:rsid w:val="001C6401"/>
    <w:rsid w:val="001C6B6C"/>
    <w:rsid w:val="001C6CE8"/>
    <w:rsid w:val="001D0E62"/>
    <w:rsid w:val="001D21E5"/>
    <w:rsid w:val="001D42C9"/>
    <w:rsid w:val="001D55F6"/>
    <w:rsid w:val="001D66B7"/>
    <w:rsid w:val="001E1D5D"/>
    <w:rsid w:val="001E2195"/>
    <w:rsid w:val="001E221C"/>
    <w:rsid w:val="001E3DE9"/>
    <w:rsid w:val="001E423B"/>
    <w:rsid w:val="001E4CC2"/>
    <w:rsid w:val="001E4F58"/>
    <w:rsid w:val="001E516D"/>
    <w:rsid w:val="001E69FC"/>
    <w:rsid w:val="001F004D"/>
    <w:rsid w:val="001F0072"/>
    <w:rsid w:val="001F055F"/>
    <w:rsid w:val="001F05AA"/>
    <w:rsid w:val="001F0B44"/>
    <w:rsid w:val="001F13F4"/>
    <w:rsid w:val="001F3159"/>
    <w:rsid w:val="001F34BB"/>
    <w:rsid w:val="001F37E2"/>
    <w:rsid w:val="001F41E7"/>
    <w:rsid w:val="001F5329"/>
    <w:rsid w:val="001F5427"/>
    <w:rsid w:val="001F5E1D"/>
    <w:rsid w:val="001F6940"/>
    <w:rsid w:val="001F7F68"/>
    <w:rsid w:val="00200138"/>
    <w:rsid w:val="0020064B"/>
    <w:rsid w:val="0020107A"/>
    <w:rsid w:val="00201419"/>
    <w:rsid w:val="00201828"/>
    <w:rsid w:val="0020233E"/>
    <w:rsid w:val="002030E5"/>
    <w:rsid w:val="00204A32"/>
    <w:rsid w:val="00205591"/>
    <w:rsid w:val="00205CCF"/>
    <w:rsid w:val="00205DB2"/>
    <w:rsid w:val="00205F39"/>
    <w:rsid w:val="00206258"/>
    <w:rsid w:val="0021040D"/>
    <w:rsid w:val="0021130D"/>
    <w:rsid w:val="002121D7"/>
    <w:rsid w:val="002130ED"/>
    <w:rsid w:val="002133F3"/>
    <w:rsid w:val="00213F48"/>
    <w:rsid w:val="00216A29"/>
    <w:rsid w:val="00216EA7"/>
    <w:rsid w:val="0022006A"/>
    <w:rsid w:val="002207FD"/>
    <w:rsid w:val="00221F5A"/>
    <w:rsid w:val="0022219E"/>
    <w:rsid w:val="00224488"/>
    <w:rsid w:val="0022673F"/>
    <w:rsid w:val="00227CF1"/>
    <w:rsid w:val="0023029C"/>
    <w:rsid w:val="0023149A"/>
    <w:rsid w:val="00232B4D"/>
    <w:rsid w:val="00232D62"/>
    <w:rsid w:val="00232EA5"/>
    <w:rsid w:val="00233CDB"/>
    <w:rsid w:val="00234A68"/>
    <w:rsid w:val="00235345"/>
    <w:rsid w:val="002353EA"/>
    <w:rsid w:val="002361F4"/>
    <w:rsid w:val="002362A9"/>
    <w:rsid w:val="0023636B"/>
    <w:rsid w:val="00236887"/>
    <w:rsid w:val="00236E26"/>
    <w:rsid w:val="002417B5"/>
    <w:rsid w:val="00242A52"/>
    <w:rsid w:val="00244042"/>
    <w:rsid w:val="002441D0"/>
    <w:rsid w:val="00244ED4"/>
    <w:rsid w:val="002473E7"/>
    <w:rsid w:val="00247EBD"/>
    <w:rsid w:val="00250602"/>
    <w:rsid w:val="002507F6"/>
    <w:rsid w:val="00250F7D"/>
    <w:rsid w:val="00252108"/>
    <w:rsid w:val="0025261C"/>
    <w:rsid w:val="00252B3E"/>
    <w:rsid w:val="00253D3A"/>
    <w:rsid w:val="002546D2"/>
    <w:rsid w:val="00254E00"/>
    <w:rsid w:val="002567B1"/>
    <w:rsid w:val="0025789E"/>
    <w:rsid w:val="00270CCE"/>
    <w:rsid w:val="002711CC"/>
    <w:rsid w:val="002731B1"/>
    <w:rsid w:val="0027384E"/>
    <w:rsid w:val="002741EE"/>
    <w:rsid w:val="00274308"/>
    <w:rsid w:val="00274A90"/>
    <w:rsid w:val="0027500F"/>
    <w:rsid w:val="00276EAD"/>
    <w:rsid w:val="00277B1F"/>
    <w:rsid w:val="00280188"/>
    <w:rsid w:val="0028065B"/>
    <w:rsid w:val="002813E2"/>
    <w:rsid w:val="00282F55"/>
    <w:rsid w:val="00284148"/>
    <w:rsid w:val="00284D83"/>
    <w:rsid w:val="00285418"/>
    <w:rsid w:val="00285BE7"/>
    <w:rsid w:val="00286C3C"/>
    <w:rsid w:val="002907F0"/>
    <w:rsid w:val="002909AD"/>
    <w:rsid w:val="00291829"/>
    <w:rsid w:val="002926B8"/>
    <w:rsid w:val="00292F92"/>
    <w:rsid w:val="002951D6"/>
    <w:rsid w:val="0029549F"/>
    <w:rsid w:val="00296224"/>
    <w:rsid w:val="0029664A"/>
    <w:rsid w:val="002A0447"/>
    <w:rsid w:val="002A14CE"/>
    <w:rsid w:val="002A456F"/>
    <w:rsid w:val="002A4F97"/>
    <w:rsid w:val="002A5634"/>
    <w:rsid w:val="002A5855"/>
    <w:rsid w:val="002B19B8"/>
    <w:rsid w:val="002B1D69"/>
    <w:rsid w:val="002B302E"/>
    <w:rsid w:val="002B3655"/>
    <w:rsid w:val="002B36F7"/>
    <w:rsid w:val="002B3DAC"/>
    <w:rsid w:val="002C0DA5"/>
    <w:rsid w:val="002C10EA"/>
    <w:rsid w:val="002C1728"/>
    <w:rsid w:val="002C21ED"/>
    <w:rsid w:val="002C3712"/>
    <w:rsid w:val="002C3769"/>
    <w:rsid w:val="002C3ABB"/>
    <w:rsid w:val="002C5BB1"/>
    <w:rsid w:val="002D08D1"/>
    <w:rsid w:val="002D0BE4"/>
    <w:rsid w:val="002D1ACD"/>
    <w:rsid w:val="002D1DBA"/>
    <w:rsid w:val="002D1EA4"/>
    <w:rsid w:val="002D285E"/>
    <w:rsid w:val="002D3EBD"/>
    <w:rsid w:val="002D5B6F"/>
    <w:rsid w:val="002D6CFF"/>
    <w:rsid w:val="002E1C28"/>
    <w:rsid w:val="002E1CF7"/>
    <w:rsid w:val="002E1DFC"/>
    <w:rsid w:val="002E2B09"/>
    <w:rsid w:val="002E44B7"/>
    <w:rsid w:val="002E4580"/>
    <w:rsid w:val="002E5CB8"/>
    <w:rsid w:val="002E768A"/>
    <w:rsid w:val="002F0F2A"/>
    <w:rsid w:val="002F249C"/>
    <w:rsid w:val="002F29D1"/>
    <w:rsid w:val="002F3515"/>
    <w:rsid w:val="002F3634"/>
    <w:rsid w:val="002F3C1A"/>
    <w:rsid w:val="002F4637"/>
    <w:rsid w:val="002F5FFE"/>
    <w:rsid w:val="002F700B"/>
    <w:rsid w:val="003002AA"/>
    <w:rsid w:val="0030131B"/>
    <w:rsid w:val="00301D9D"/>
    <w:rsid w:val="00301DFD"/>
    <w:rsid w:val="003033B2"/>
    <w:rsid w:val="00303A1E"/>
    <w:rsid w:val="00304983"/>
    <w:rsid w:val="003052EF"/>
    <w:rsid w:val="00305E8A"/>
    <w:rsid w:val="00306ED5"/>
    <w:rsid w:val="00310206"/>
    <w:rsid w:val="0031152D"/>
    <w:rsid w:val="00311AFF"/>
    <w:rsid w:val="00312EFB"/>
    <w:rsid w:val="00313E2A"/>
    <w:rsid w:val="00314CCD"/>
    <w:rsid w:val="00315183"/>
    <w:rsid w:val="003167F5"/>
    <w:rsid w:val="00320F98"/>
    <w:rsid w:val="0032258D"/>
    <w:rsid w:val="00322DFE"/>
    <w:rsid w:val="00323B21"/>
    <w:rsid w:val="00325324"/>
    <w:rsid w:val="0032763C"/>
    <w:rsid w:val="00333A9B"/>
    <w:rsid w:val="00334924"/>
    <w:rsid w:val="00335F6B"/>
    <w:rsid w:val="0034066F"/>
    <w:rsid w:val="00343428"/>
    <w:rsid w:val="00344591"/>
    <w:rsid w:val="00345086"/>
    <w:rsid w:val="003461B4"/>
    <w:rsid w:val="003512D0"/>
    <w:rsid w:val="0035187D"/>
    <w:rsid w:val="003518AE"/>
    <w:rsid w:val="00352DF3"/>
    <w:rsid w:val="0035301C"/>
    <w:rsid w:val="00353520"/>
    <w:rsid w:val="00353557"/>
    <w:rsid w:val="00355A37"/>
    <w:rsid w:val="00355BB8"/>
    <w:rsid w:val="003601EB"/>
    <w:rsid w:val="00360693"/>
    <w:rsid w:val="003635FF"/>
    <w:rsid w:val="00363660"/>
    <w:rsid w:val="0036416C"/>
    <w:rsid w:val="003642B2"/>
    <w:rsid w:val="003654AA"/>
    <w:rsid w:val="00366525"/>
    <w:rsid w:val="0036755F"/>
    <w:rsid w:val="00371037"/>
    <w:rsid w:val="003714C5"/>
    <w:rsid w:val="00371D48"/>
    <w:rsid w:val="003722FD"/>
    <w:rsid w:val="00372F48"/>
    <w:rsid w:val="00373483"/>
    <w:rsid w:val="00375982"/>
    <w:rsid w:val="00375B76"/>
    <w:rsid w:val="003807D5"/>
    <w:rsid w:val="00380812"/>
    <w:rsid w:val="003808AD"/>
    <w:rsid w:val="0038558A"/>
    <w:rsid w:val="003855FF"/>
    <w:rsid w:val="00386316"/>
    <w:rsid w:val="00386D3D"/>
    <w:rsid w:val="003907BE"/>
    <w:rsid w:val="00390975"/>
    <w:rsid w:val="0039251A"/>
    <w:rsid w:val="00393CFF"/>
    <w:rsid w:val="0039446F"/>
    <w:rsid w:val="003955DF"/>
    <w:rsid w:val="003962D5"/>
    <w:rsid w:val="00396337"/>
    <w:rsid w:val="003A1256"/>
    <w:rsid w:val="003A1663"/>
    <w:rsid w:val="003A2457"/>
    <w:rsid w:val="003A3372"/>
    <w:rsid w:val="003A4318"/>
    <w:rsid w:val="003A50CC"/>
    <w:rsid w:val="003B02CB"/>
    <w:rsid w:val="003B1968"/>
    <w:rsid w:val="003B2F31"/>
    <w:rsid w:val="003B3D15"/>
    <w:rsid w:val="003B3FFB"/>
    <w:rsid w:val="003B4B9E"/>
    <w:rsid w:val="003B51C7"/>
    <w:rsid w:val="003B6F6D"/>
    <w:rsid w:val="003B74C9"/>
    <w:rsid w:val="003C04B5"/>
    <w:rsid w:val="003C1E4F"/>
    <w:rsid w:val="003C204A"/>
    <w:rsid w:val="003C2843"/>
    <w:rsid w:val="003C327D"/>
    <w:rsid w:val="003C4E3F"/>
    <w:rsid w:val="003D086D"/>
    <w:rsid w:val="003D0A4F"/>
    <w:rsid w:val="003D26CD"/>
    <w:rsid w:val="003D3422"/>
    <w:rsid w:val="003D38D2"/>
    <w:rsid w:val="003D56D6"/>
    <w:rsid w:val="003D5FA7"/>
    <w:rsid w:val="003D664D"/>
    <w:rsid w:val="003E0BC9"/>
    <w:rsid w:val="003E1193"/>
    <w:rsid w:val="003E13AB"/>
    <w:rsid w:val="003E2191"/>
    <w:rsid w:val="003E23E2"/>
    <w:rsid w:val="003E3572"/>
    <w:rsid w:val="003E4EDD"/>
    <w:rsid w:val="003E5EA0"/>
    <w:rsid w:val="003F124F"/>
    <w:rsid w:val="003F2E4B"/>
    <w:rsid w:val="003F4EB3"/>
    <w:rsid w:val="003F5AD5"/>
    <w:rsid w:val="003F5C23"/>
    <w:rsid w:val="003F5DA0"/>
    <w:rsid w:val="003F61FB"/>
    <w:rsid w:val="003F6A7D"/>
    <w:rsid w:val="003F6F80"/>
    <w:rsid w:val="003F7223"/>
    <w:rsid w:val="003F7A4B"/>
    <w:rsid w:val="003F7BF0"/>
    <w:rsid w:val="00400048"/>
    <w:rsid w:val="004001D3"/>
    <w:rsid w:val="0040070B"/>
    <w:rsid w:val="00400C39"/>
    <w:rsid w:val="00400EB0"/>
    <w:rsid w:val="004029F0"/>
    <w:rsid w:val="0040351E"/>
    <w:rsid w:val="00404FC0"/>
    <w:rsid w:val="00405BC6"/>
    <w:rsid w:val="004079A5"/>
    <w:rsid w:val="00415348"/>
    <w:rsid w:val="00415F33"/>
    <w:rsid w:val="00416136"/>
    <w:rsid w:val="004229F8"/>
    <w:rsid w:val="00422B09"/>
    <w:rsid w:val="00423B97"/>
    <w:rsid w:val="004246AB"/>
    <w:rsid w:val="004249A0"/>
    <w:rsid w:val="00424C6A"/>
    <w:rsid w:val="00424F9A"/>
    <w:rsid w:val="004258EA"/>
    <w:rsid w:val="00425DD6"/>
    <w:rsid w:val="0042678A"/>
    <w:rsid w:val="00427C14"/>
    <w:rsid w:val="00427F59"/>
    <w:rsid w:val="00430E82"/>
    <w:rsid w:val="004310D8"/>
    <w:rsid w:val="004323E6"/>
    <w:rsid w:val="004326FC"/>
    <w:rsid w:val="0043316C"/>
    <w:rsid w:val="0043434C"/>
    <w:rsid w:val="00434D12"/>
    <w:rsid w:val="004353BF"/>
    <w:rsid w:val="004369B2"/>
    <w:rsid w:val="0043773C"/>
    <w:rsid w:val="004402B7"/>
    <w:rsid w:val="00441758"/>
    <w:rsid w:val="004428D4"/>
    <w:rsid w:val="004431BD"/>
    <w:rsid w:val="00443C0C"/>
    <w:rsid w:val="00444F92"/>
    <w:rsid w:val="00445572"/>
    <w:rsid w:val="0044616F"/>
    <w:rsid w:val="0044749C"/>
    <w:rsid w:val="00447E17"/>
    <w:rsid w:val="004544D2"/>
    <w:rsid w:val="00455CA6"/>
    <w:rsid w:val="0045647D"/>
    <w:rsid w:val="004567C1"/>
    <w:rsid w:val="00460345"/>
    <w:rsid w:val="00462F83"/>
    <w:rsid w:val="0046319C"/>
    <w:rsid w:val="004654FF"/>
    <w:rsid w:val="00465C4A"/>
    <w:rsid w:val="00466CF4"/>
    <w:rsid w:val="004723B1"/>
    <w:rsid w:val="004736AC"/>
    <w:rsid w:val="00474628"/>
    <w:rsid w:val="00474EEF"/>
    <w:rsid w:val="00475DE4"/>
    <w:rsid w:val="0047700D"/>
    <w:rsid w:val="00477F6D"/>
    <w:rsid w:val="00477FA6"/>
    <w:rsid w:val="00480676"/>
    <w:rsid w:val="00482278"/>
    <w:rsid w:val="004822D6"/>
    <w:rsid w:val="00485371"/>
    <w:rsid w:val="00485D16"/>
    <w:rsid w:val="0048666A"/>
    <w:rsid w:val="00486E31"/>
    <w:rsid w:val="00487A04"/>
    <w:rsid w:val="004900D0"/>
    <w:rsid w:val="004903A8"/>
    <w:rsid w:val="0049194D"/>
    <w:rsid w:val="00491991"/>
    <w:rsid w:val="004919AC"/>
    <w:rsid w:val="004922F0"/>
    <w:rsid w:val="00492774"/>
    <w:rsid w:val="00492DC2"/>
    <w:rsid w:val="0049346C"/>
    <w:rsid w:val="0049352B"/>
    <w:rsid w:val="0049379D"/>
    <w:rsid w:val="00494102"/>
    <w:rsid w:val="00494180"/>
    <w:rsid w:val="0049537D"/>
    <w:rsid w:val="00496171"/>
    <w:rsid w:val="004A0140"/>
    <w:rsid w:val="004A0FA2"/>
    <w:rsid w:val="004A20D0"/>
    <w:rsid w:val="004A2762"/>
    <w:rsid w:val="004A30A9"/>
    <w:rsid w:val="004A4140"/>
    <w:rsid w:val="004A4B6A"/>
    <w:rsid w:val="004A510B"/>
    <w:rsid w:val="004A5AAF"/>
    <w:rsid w:val="004A6F98"/>
    <w:rsid w:val="004A758F"/>
    <w:rsid w:val="004A7982"/>
    <w:rsid w:val="004B056A"/>
    <w:rsid w:val="004B05D3"/>
    <w:rsid w:val="004B06D2"/>
    <w:rsid w:val="004B07EC"/>
    <w:rsid w:val="004B1B69"/>
    <w:rsid w:val="004B20FD"/>
    <w:rsid w:val="004B247B"/>
    <w:rsid w:val="004B263A"/>
    <w:rsid w:val="004B3F90"/>
    <w:rsid w:val="004B52D2"/>
    <w:rsid w:val="004B53F2"/>
    <w:rsid w:val="004B56B5"/>
    <w:rsid w:val="004B7587"/>
    <w:rsid w:val="004C187A"/>
    <w:rsid w:val="004C3189"/>
    <w:rsid w:val="004C5549"/>
    <w:rsid w:val="004C5B55"/>
    <w:rsid w:val="004C67B2"/>
    <w:rsid w:val="004C6898"/>
    <w:rsid w:val="004D1C3F"/>
    <w:rsid w:val="004D226D"/>
    <w:rsid w:val="004D3097"/>
    <w:rsid w:val="004D4E77"/>
    <w:rsid w:val="004D6D5B"/>
    <w:rsid w:val="004D7081"/>
    <w:rsid w:val="004E04E9"/>
    <w:rsid w:val="004E1770"/>
    <w:rsid w:val="004E2524"/>
    <w:rsid w:val="004E33C8"/>
    <w:rsid w:val="004E49C7"/>
    <w:rsid w:val="004F0469"/>
    <w:rsid w:val="004F06A6"/>
    <w:rsid w:val="004F12C2"/>
    <w:rsid w:val="004F1F14"/>
    <w:rsid w:val="004F2C94"/>
    <w:rsid w:val="004F527E"/>
    <w:rsid w:val="004F6353"/>
    <w:rsid w:val="004F785D"/>
    <w:rsid w:val="004F7CF3"/>
    <w:rsid w:val="00500067"/>
    <w:rsid w:val="00500402"/>
    <w:rsid w:val="00500D7F"/>
    <w:rsid w:val="0050254F"/>
    <w:rsid w:val="0050259D"/>
    <w:rsid w:val="0050267C"/>
    <w:rsid w:val="00502937"/>
    <w:rsid w:val="00503049"/>
    <w:rsid w:val="00503D72"/>
    <w:rsid w:val="00504112"/>
    <w:rsid w:val="00504770"/>
    <w:rsid w:val="0050499F"/>
    <w:rsid w:val="005051D5"/>
    <w:rsid w:val="0050629F"/>
    <w:rsid w:val="005103D4"/>
    <w:rsid w:val="005119D6"/>
    <w:rsid w:val="0051428A"/>
    <w:rsid w:val="00516322"/>
    <w:rsid w:val="00517601"/>
    <w:rsid w:val="00517F51"/>
    <w:rsid w:val="005233FA"/>
    <w:rsid w:val="00524E56"/>
    <w:rsid w:val="005252A7"/>
    <w:rsid w:val="005258CC"/>
    <w:rsid w:val="00526D24"/>
    <w:rsid w:val="005307DD"/>
    <w:rsid w:val="00531F58"/>
    <w:rsid w:val="0053272A"/>
    <w:rsid w:val="00532A1A"/>
    <w:rsid w:val="005332D6"/>
    <w:rsid w:val="00533385"/>
    <w:rsid w:val="00534B0C"/>
    <w:rsid w:val="00534C09"/>
    <w:rsid w:val="00535137"/>
    <w:rsid w:val="005409BA"/>
    <w:rsid w:val="00541141"/>
    <w:rsid w:val="00541CC6"/>
    <w:rsid w:val="00541F67"/>
    <w:rsid w:val="00542124"/>
    <w:rsid w:val="00543049"/>
    <w:rsid w:val="0054344C"/>
    <w:rsid w:val="00543B65"/>
    <w:rsid w:val="005450FD"/>
    <w:rsid w:val="00545E0E"/>
    <w:rsid w:val="00545FF6"/>
    <w:rsid w:val="00546129"/>
    <w:rsid w:val="00546450"/>
    <w:rsid w:val="005477B0"/>
    <w:rsid w:val="0055062B"/>
    <w:rsid w:val="00550879"/>
    <w:rsid w:val="00551EF4"/>
    <w:rsid w:val="00551F62"/>
    <w:rsid w:val="0055290D"/>
    <w:rsid w:val="0055431F"/>
    <w:rsid w:val="0055506C"/>
    <w:rsid w:val="005561E6"/>
    <w:rsid w:val="00556C1B"/>
    <w:rsid w:val="00556E92"/>
    <w:rsid w:val="00560C94"/>
    <w:rsid w:val="0056254F"/>
    <w:rsid w:val="005654D3"/>
    <w:rsid w:val="00566531"/>
    <w:rsid w:val="00567188"/>
    <w:rsid w:val="00567C83"/>
    <w:rsid w:val="00575269"/>
    <w:rsid w:val="005765FB"/>
    <w:rsid w:val="00576A25"/>
    <w:rsid w:val="00580017"/>
    <w:rsid w:val="005823B3"/>
    <w:rsid w:val="005840B6"/>
    <w:rsid w:val="00584507"/>
    <w:rsid w:val="00584AA3"/>
    <w:rsid w:val="00585200"/>
    <w:rsid w:val="005852D2"/>
    <w:rsid w:val="00585557"/>
    <w:rsid w:val="00585B64"/>
    <w:rsid w:val="00585F65"/>
    <w:rsid w:val="005906C4"/>
    <w:rsid w:val="00590CCC"/>
    <w:rsid w:val="00590E95"/>
    <w:rsid w:val="00592AE3"/>
    <w:rsid w:val="0059311E"/>
    <w:rsid w:val="005935A8"/>
    <w:rsid w:val="005938B3"/>
    <w:rsid w:val="00593BB7"/>
    <w:rsid w:val="005942DC"/>
    <w:rsid w:val="00596520"/>
    <w:rsid w:val="00596F47"/>
    <w:rsid w:val="00597631"/>
    <w:rsid w:val="005A0C20"/>
    <w:rsid w:val="005A1D14"/>
    <w:rsid w:val="005A33B6"/>
    <w:rsid w:val="005A39DF"/>
    <w:rsid w:val="005A5076"/>
    <w:rsid w:val="005A5A37"/>
    <w:rsid w:val="005A5C64"/>
    <w:rsid w:val="005A5DD9"/>
    <w:rsid w:val="005A6697"/>
    <w:rsid w:val="005A70D2"/>
    <w:rsid w:val="005B0639"/>
    <w:rsid w:val="005B0D8C"/>
    <w:rsid w:val="005B1B6C"/>
    <w:rsid w:val="005B22B7"/>
    <w:rsid w:val="005B32A1"/>
    <w:rsid w:val="005B33EE"/>
    <w:rsid w:val="005B50E6"/>
    <w:rsid w:val="005B56A2"/>
    <w:rsid w:val="005B669E"/>
    <w:rsid w:val="005B6D97"/>
    <w:rsid w:val="005B6FD3"/>
    <w:rsid w:val="005B7508"/>
    <w:rsid w:val="005C1FB7"/>
    <w:rsid w:val="005C2ABD"/>
    <w:rsid w:val="005C2DF1"/>
    <w:rsid w:val="005C6D71"/>
    <w:rsid w:val="005C77B9"/>
    <w:rsid w:val="005C7C75"/>
    <w:rsid w:val="005C7C9C"/>
    <w:rsid w:val="005D136D"/>
    <w:rsid w:val="005D1556"/>
    <w:rsid w:val="005D50B6"/>
    <w:rsid w:val="005D5BAE"/>
    <w:rsid w:val="005E056B"/>
    <w:rsid w:val="005E09FF"/>
    <w:rsid w:val="005E1193"/>
    <w:rsid w:val="005E1487"/>
    <w:rsid w:val="005E1C9C"/>
    <w:rsid w:val="005E26F3"/>
    <w:rsid w:val="005E2F8B"/>
    <w:rsid w:val="005E4388"/>
    <w:rsid w:val="005E532F"/>
    <w:rsid w:val="005E56CC"/>
    <w:rsid w:val="005E5E64"/>
    <w:rsid w:val="005E5FCA"/>
    <w:rsid w:val="005E6A88"/>
    <w:rsid w:val="005E7AF3"/>
    <w:rsid w:val="005F018A"/>
    <w:rsid w:val="005F26C1"/>
    <w:rsid w:val="005F3251"/>
    <w:rsid w:val="005F414A"/>
    <w:rsid w:val="005F4F95"/>
    <w:rsid w:val="005F5156"/>
    <w:rsid w:val="005F6144"/>
    <w:rsid w:val="005F631D"/>
    <w:rsid w:val="005F70D7"/>
    <w:rsid w:val="005F73B9"/>
    <w:rsid w:val="006006A5"/>
    <w:rsid w:val="0060138D"/>
    <w:rsid w:val="006036EF"/>
    <w:rsid w:val="006051C0"/>
    <w:rsid w:val="006063BC"/>
    <w:rsid w:val="006067AE"/>
    <w:rsid w:val="00607ECD"/>
    <w:rsid w:val="006107BD"/>
    <w:rsid w:val="006112F6"/>
    <w:rsid w:val="006119A1"/>
    <w:rsid w:val="00611C20"/>
    <w:rsid w:val="00616AEA"/>
    <w:rsid w:val="006170FC"/>
    <w:rsid w:val="00617970"/>
    <w:rsid w:val="0062160B"/>
    <w:rsid w:val="00622007"/>
    <w:rsid w:val="00632480"/>
    <w:rsid w:val="0063257C"/>
    <w:rsid w:val="00633B07"/>
    <w:rsid w:val="006345EC"/>
    <w:rsid w:val="00634CAE"/>
    <w:rsid w:val="00635007"/>
    <w:rsid w:val="00635027"/>
    <w:rsid w:val="006354C8"/>
    <w:rsid w:val="006358E7"/>
    <w:rsid w:val="00636151"/>
    <w:rsid w:val="0063638D"/>
    <w:rsid w:val="00640F04"/>
    <w:rsid w:val="006414AD"/>
    <w:rsid w:val="006423B6"/>
    <w:rsid w:val="00643263"/>
    <w:rsid w:val="00645995"/>
    <w:rsid w:val="00646392"/>
    <w:rsid w:val="00646A60"/>
    <w:rsid w:val="006477CB"/>
    <w:rsid w:val="00651B2D"/>
    <w:rsid w:val="006562E0"/>
    <w:rsid w:val="006606FF"/>
    <w:rsid w:val="006610BC"/>
    <w:rsid w:val="006619FF"/>
    <w:rsid w:val="00662CA0"/>
    <w:rsid w:val="00663974"/>
    <w:rsid w:val="00664E67"/>
    <w:rsid w:val="00665314"/>
    <w:rsid w:val="00665490"/>
    <w:rsid w:val="00666C0C"/>
    <w:rsid w:val="00666F67"/>
    <w:rsid w:val="006671FC"/>
    <w:rsid w:val="0066785D"/>
    <w:rsid w:val="0067092B"/>
    <w:rsid w:val="00670D76"/>
    <w:rsid w:val="00672444"/>
    <w:rsid w:val="00672DAC"/>
    <w:rsid w:val="00674D56"/>
    <w:rsid w:val="00675254"/>
    <w:rsid w:val="00675EFB"/>
    <w:rsid w:val="00676C02"/>
    <w:rsid w:val="0068003D"/>
    <w:rsid w:val="00681548"/>
    <w:rsid w:val="006827AC"/>
    <w:rsid w:val="006837F1"/>
    <w:rsid w:val="006842D6"/>
    <w:rsid w:val="006846F7"/>
    <w:rsid w:val="00686DA3"/>
    <w:rsid w:val="0068707F"/>
    <w:rsid w:val="006878C6"/>
    <w:rsid w:val="006934D6"/>
    <w:rsid w:val="00694926"/>
    <w:rsid w:val="00694976"/>
    <w:rsid w:val="00696143"/>
    <w:rsid w:val="00696872"/>
    <w:rsid w:val="00697605"/>
    <w:rsid w:val="0069780A"/>
    <w:rsid w:val="006A0C55"/>
    <w:rsid w:val="006A11E6"/>
    <w:rsid w:val="006A24C9"/>
    <w:rsid w:val="006A293E"/>
    <w:rsid w:val="006A2F18"/>
    <w:rsid w:val="006A31F5"/>
    <w:rsid w:val="006A326F"/>
    <w:rsid w:val="006A471E"/>
    <w:rsid w:val="006A58B0"/>
    <w:rsid w:val="006A76E2"/>
    <w:rsid w:val="006A7AA7"/>
    <w:rsid w:val="006A7F89"/>
    <w:rsid w:val="006B142D"/>
    <w:rsid w:val="006B2115"/>
    <w:rsid w:val="006B2DC9"/>
    <w:rsid w:val="006B4287"/>
    <w:rsid w:val="006B49DD"/>
    <w:rsid w:val="006B6186"/>
    <w:rsid w:val="006B710E"/>
    <w:rsid w:val="006B79FD"/>
    <w:rsid w:val="006C103B"/>
    <w:rsid w:val="006C377F"/>
    <w:rsid w:val="006C4154"/>
    <w:rsid w:val="006C4D67"/>
    <w:rsid w:val="006C5C6F"/>
    <w:rsid w:val="006C62AB"/>
    <w:rsid w:val="006C6655"/>
    <w:rsid w:val="006C6B48"/>
    <w:rsid w:val="006C6FEF"/>
    <w:rsid w:val="006C719C"/>
    <w:rsid w:val="006D0FB6"/>
    <w:rsid w:val="006D1373"/>
    <w:rsid w:val="006D16B5"/>
    <w:rsid w:val="006D241E"/>
    <w:rsid w:val="006D2983"/>
    <w:rsid w:val="006D3637"/>
    <w:rsid w:val="006D3A64"/>
    <w:rsid w:val="006D4C35"/>
    <w:rsid w:val="006E2085"/>
    <w:rsid w:val="006E3BB3"/>
    <w:rsid w:val="006E412A"/>
    <w:rsid w:val="006E534B"/>
    <w:rsid w:val="006E6432"/>
    <w:rsid w:val="006E7B52"/>
    <w:rsid w:val="006F0BB1"/>
    <w:rsid w:val="006F1983"/>
    <w:rsid w:val="006F3A33"/>
    <w:rsid w:val="006F3C37"/>
    <w:rsid w:val="006F6768"/>
    <w:rsid w:val="006F6EFB"/>
    <w:rsid w:val="006F73E1"/>
    <w:rsid w:val="006F7CBA"/>
    <w:rsid w:val="00700110"/>
    <w:rsid w:val="007007BA"/>
    <w:rsid w:val="00700A10"/>
    <w:rsid w:val="00700AD9"/>
    <w:rsid w:val="00701D89"/>
    <w:rsid w:val="007036F4"/>
    <w:rsid w:val="007059C6"/>
    <w:rsid w:val="007079D9"/>
    <w:rsid w:val="007103F1"/>
    <w:rsid w:val="0071422E"/>
    <w:rsid w:val="007145A7"/>
    <w:rsid w:val="007152CB"/>
    <w:rsid w:val="007153BD"/>
    <w:rsid w:val="007159E1"/>
    <w:rsid w:val="00717343"/>
    <w:rsid w:val="00717B59"/>
    <w:rsid w:val="007202D3"/>
    <w:rsid w:val="007203CF"/>
    <w:rsid w:val="00721279"/>
    <w:rsid w:val="0072263E"/>
    <w:rsid w:val="00722824"/>
    <w:rsid w:val="0072329F"/>
    <w:rsid w:val="00723802"/>
    <w:rsid w:val="007253C1"/>
    <w:rsid w:val="00725C4F"/>
    <w:rsid w:val="00725C7F"/>
    <w:rsid w:val="00726802"/>
    <w:rsid w:val="007318A3"/>
    <w:rsid w:val="007319A4"/>
    <w:rsid w:val="00731F56"/>
    <w:rsid w:val="00733A84"/>
    <w:rsid w:val="00733D4E"/>
    <w:rsid w:val="0073566D"/>
    <w:rsid w:val="0073592E"/>
    <w:rsid w:val="0073620D"/>
    <w:rsid w:val="007367C4"/>
    <w:rsid w:val="00740568"/>
    <w:rsid w:val="00740C2D"/>
    <w:rsid w:val="00741C15"/>
    <w:rsid w:val="00742A0A"/>
    <w:rsid w:val="00744560"/>
    <w:rsid w:val="00745AFB"/>
    <w:rsid w:val="007505EB"/>
    <w:rsid w:val="00752A06"/>
    <w:rsid w:val="00753A6D"/>
    <w:rsid w:val="00753C38"/>
    <w:rsid w:val="007542D3"/>
    <w:rsid w:val="00754C07"/>
    <w:rsid w:val="00755F90"/>
    <w:rsid w:val="00756A78"/>
    <w:rsid w:val="007608B1"/>
    <w:rsid w:val="00760969"/>
    <w:rsid w:val="00760B27"/>
    <w:rsid w:val="00760D11"/>
    <w:rsid w:val="00760F61"/>
    <w:rsid w:val="007634F8"/>
    <w:rsid w:val="0076426A"/>
    <w:rsid w:val="0076437C"/>
    <w:rsid w:val="00765E16"/>
    <w:rsid w:val="00767188"/>
    <w:rsid w:val="007701E4"/>
    <w:rsid w:val="00771A61"/>
    <w:rsid w:val="00773564"/>
    <w:rsid w:val="00773677"/>
    <w:rsid w:val="00774E67"/>
    <w:rsid w:val="00774FB2"/>
    <w:rsid w:val="007766F6"/>
    <w:rsid w:val="00776E44"/>
    <w:rsid w:val="00780F05"/>
    <w:rsid w:val="007817A7"/>
    <w:rsid w:val="00781A27"/>
    <w:rsid w:val="00781DF4"/>
    <w:rsid w:val="00783B3F"/>
    <w:rsid w:val="00784413"/>
    <w:rsid w:val="00785299"/>
    <w:rsid w:val="00786632"/>
    <w:rsid w:val="00786848"/>
    <w:rsid w:val="00787650"/>
    <w:rsid w:val="00787C33"/>
    <w:rsid w:val="00795BDA"/>
    <w:rsid w:val="007967A6"/>
    <w:rsid w:val="00796885"/>
    <w:rsid w:val="00796E59"/>
    <w:rsid w:val="00797147"/>
    <w:rsid w:val="007978A1"/>
    <w:rsid w:val="007A026A"/>
    <w:rsid w:val="007A4496"/>
    <w:rsid w:val="007A5365"/>
    <w:rsid w:val="007A5414"/>
    <w:rsid w:val="007A7F1A"/>
    <w:rsid w:val="007B0616"/>
    <w:rsid w:val="007B125E"/>
    <w:rsid w:val="007B22B0"/>
    <w:rsid w:val="007B2372"/>
    <w:rsid w:val="007B2C37"/>
    <w:rsid w:val="007B3EDF"/>
    <w:rsid w:val="007B3FC3"/>
    <w:rsid w:val="007B6EB2"/>
    <w:rsid w:val="007B7B6C"/>
    <w:rsid w:val="007C01C3"/>
    <w:rsid w:val="007C042F"/>
    <w:rsid w:val="007C08F5"/>
    <w:rsid w:val="007C1874"/>
    <w:rsid w:val="007C2883"/>
    <w:rsid w:val="007C3634"/>
    <w:rsid w:val="007C5406"/>
    <w:rsid w:val="007C7070"/>
    <w:rsid w:val="007C7500"/>
    <w:rsid w:val="007C7AE5"/>
    <w:rsid w:val="007C7AEC"/>
    <w:rsid w:val="007D03DA"/>
    <w:rsid w:val="007D146B"/>
    <w:rsid w:val="007D3056"/>
    <w:rsid w:val="007D3073"/>
    <w:rsid w:val="007D3C76"/>
    <w:rsid w:val="007D4452"/>
    <w:rsid w:val="007D5708"/>
    <w:rsid w:val="007D703B"/>
    <w:rsid w:val="007D7612"/>
    <w:rsid w:val="007E0BC6"/>
    <w:rsid w:val="007E3622"/>
    <w:rsid w:val="007E5C26"/>
    <w:rsid w:val="007E6C75"/>
    <w:rsid w:val="007E7484"/>
    <w:rsid w:val="007F035D"/>
    <w:rsid w:val="007F047A"/>
    <w:rsid w:val="007F1EDB"/>
    <w:rsid w:val="007F21A5"/>
    <w:rsid w:val="007F2331"/>
    <w:rsid w:val="007F2A78"/>
    <w:rsid w:val="007F2BFD"/>
    <w:rsid w:val="007F303A"/>
    <w:rsid w:val="007F32B9"/>
    <w:rsid w:val="007F3835"/>
    <w:rsid w:val="007F3911"/>
    <w:rsid w:val="007F4447"/>
    <w:rsid w:val="007F7E98"/>
    <w:rsid w:val="008023D7"/>
    <w:rsid w:val="008024D2"/>
    <w:rsid w:val="008024F1"/>
    <w:rsid w:val="008053B2"/>
    <w:rsid w:val="00805E92"/>
    <w:rsid w:val="00806DBA"/>
    <w:rsid w:val="008079EB"/>
    <w:rsid w:val="00815DC3"/>
    <w:rsid w:val="00816043"/>
    <w:rsid w:val="00822BEB"/>
    <w:rsid w:val="0082303E"/>
    <w:rsid w:val="008231F5"/>
    <w:rsid w:val="00823E55"/>
    <w:rsid w:val="0082427C"/>
    <w:rsid w:val="00824B32"/>
    <w:rsid w:val="00826012"/>
    <w:rsid w:val="00826BB3"/>
    <w:rsid w:val="008310F4"/>
    <w:rsid w:val="008313C7"/>
    <w:rsid w:val="0083172A"/>
    <w:rsid w:val="00831928"/>
    <w:rsid w:val="0083222B"/>
    <w:rsid w:val="008331FB"/>
    <w:rsid w:val="00836902"/>
    <w:rsid w:val="00836F7D"/>
    <w:rsid w:val="00842A43"/>
    <w:rsid w:val="00843663"/>
    <w:rsid w:val="00843AFD"/>
    <w:rsid w:val="00844B59"/>
    <w:rsid w:val="00844CB7"/>
    <w:rsid w:val="0084646A"/>
    <w:rsid w:val="00846958"/>
    <w:rsid w:val="008470A0"/>
    <w:rsid w:val="008517AB"/>
    <w:rsid w:val="00851ACB"/>
    <w:rsid w:val="00851E55"/>
    <w:rsid w:val="008521EA"/>
    <w:rsid w:val="0085451E"/>
    <w:rsid w:val="00854918"/>
    <w:rsid w:val="00856561"/>
    <w:rsid w:val="008608C6"/>
    <w:rsid w:val="008608FC"/>
    <w:rsid w:val="00861308"/>
    <w:rsid w:val="00862FD3"/>
    <w:rsid w:val="00865161"/>
    <w:rsid w:val="0086526D"/>
    <w:rsid w:val="00865A36"/>
    <w:rsid w:val="00865C2B"/>
    <w:rsid w:val="00867305"/>
    <w:rsid w:val="00867787"/>
    <w:rsid w:val="008679A3"/>
    <w:rsid w:val="00870C9D"/>
    <w:rsid w:val="0087130E"/>
    <w:rsid w:val="00871C8D"/>
    <w:rsid w:val="0087233E"/>
    <w:rsid w:val="00873DF6"/>
    <w:rsid w:val="00874568"/>
    <w:rsid w:val="0087502C"/>
    <w:rsid w:val="008769A0"/>
    <w:rsid w:val="00876B5D"/>
    <w:rsid w:val="008802BE"/>
    <w:rsid w:val="00881F59"/>
    <w:rsid w:val="008833EC"/>
    <w:rsid w:val="00883D90"/>
    <w:rsid w:val="00885312"/>
    <w:rsid w:val="00885CAE"/>
    <w:rsid w:val="008903C5"/>
    <w:rsid w:val="00891580"/>
    <w:rsid w:val="00892C67"/>
    <w:rsid w:val="00893C1F"/>
    <w:rsid w:val="00894630"/>
    <w:rsid w:val="00894B2E"/>
    <w:rsid w:val="00895BE3"/>
    <w:rsid w:val="00896C9F"/>
    <w:rsid w:val="008A0EEA"/>
    <w:rsid w:val="008A1801"/>
    <w:rsid w:val="008A2503"/>
    <w:rsid w:val="008A27C5"/>
    <w:rsid w:val="008A3085"/>
    <w:rsid w:val="008A54DE"/>
    <w:rsid w:val="008A5837"/>
    <w:rsid w:val="008A5981"/>
    <w:rsid w:val="008A6111"/>
    <w:rsid w:val="008A68A8"/>
    <w:rsid w:val="008A7536"/>
    <w:rsid w:val="008B0F6B"/>
    <w:rsid w:val="008B26DA"/>
    <w:rsid w:val="008B2F04"/>
    <w:rsid w:val="008B35A0"/>
    <w:rsid w:val="008B3843"/>
    <w:rsid w:val="008B4579"/>
    <w:rsid w:val="008B54E9"/>
    <w:rsid w:val="008B627E"/>
    <w:rsid w:val="008C028A"/>
    <w:rsid w:val="008C0582"/>
    <w:rsid w:val="008C091B"/>
    <w:rsid w:val="008C3AE0"/>
    <w:rsid w:val="008C434C"/>
    <w:rsid w:val="008C4A17"/>
    <w:rsid w:val="008C53AF"/>
    <w:rsid w:val="008D06E6"/>
    <w:rsid w:val="008D4C1F"/>
    <w:rsid w:val="008E0B92"/>
    <w:rsid w:val="008E1670"/>
    <w:rsid w:val="008E1A2B"/>
    <w:rsid w:val="008E1ABA"/>
    <w:rsid w:val="008E1CDD"/>
    <w:rsid w:val="008E1F3D"/>
    <w:rsid w:val="008E1FAC"/>
    <w:rsid w:val="008E2373"/>
    <w:rsid w:val="008E393F"/>
    <w:rsid w:val="008E433C"/>
    <w:rsid w:val="008E441B"/>
    <w:rsid w:val="008E5310"/>
    <w:rsid w:val="008E5B18"/>
    <w:rsid w:val="008E71E9"/>
    <w:rsid w:val="008E731F"/>
    <w:rsid w:val="008F04F9"/>
    <w:rsid w:val="008F0E08"/>
    <w:rsid w:val="008F2BA8"/>
    <w:rsid w:val="008F32A3"/>
    <w:rsid w:val="008F3FB9"/>
    <w:rsid w:val="008F707A"/>
    <w:rsid w:val="00900304"/>
    <w:rsid w:val="00901B16"/>
    <w:rsid w:val="00902EA4"/>
    <w:rsid w:val="0090362A"/>
    <w:rsid w:val="00903A2D"/>
    <w:rsid w:val="0090638D"/>
    <w:rsid w:val="00906D29"/>
    <w:rsid w:val="00907095"/>
    <w:rsid w:val="00907E8C"/>
    <w:rsid w:val="009134EE"/>
    <w:rsid w:val="00914B4D"/>
    <w:rsid w:val="009168BD"/>
    <w:rsid w:val="009169E7"/>
    <w:rsid w:val="009170EA"/>
    <w:rsid w:val="00917BD7"/>
    <w:rsid w:val="00920261"/>
    <w:rsid w:val="0092098F"/>
    <w:rsid w:val="00920A79"/>
    <w:rsid w:val="00920B21"/>
    <w:rsid w:val="0092231D"/>
    <w:rsid w:val="009230A4"/>
    <w:rsid w:val="009253C9"/>
    <w:rsid w:val="00925E34"/>
    <w:rsid w:val="009260B4"/>
    <w:rsid w:val="00930383"/>
    <w:rsid w:val="00930B47"/>
    <w:rsid w:val="00930C42"/>
    <w:rsid w:val="009310B4"/>
    <w:rsid w:val="009310B9"/>
    <w:rsid w:val="00933948"/>
    <w:rsid w:val="00933EBA"/>
    <w:rsid w:val="00934722"/>
    <w:rsid w:val="0093487E"/>
    <w:rsid w:val="00934D07"/>
    <w:rsid w:val="00937D9C"/>
    <w:rsid w:val="0094115F"/>
    <w:rsid w:val="00941E63"/>
    <w:rsid w:val="00942B9F"/>
    <w:rsid w:val="0094378B"/>
    <w:rsid w:val="00945D94"/>
    <w:rsid w:val="0094686C"/>
    <w:rsid w:val="009526DC"/>
    <w:rsid w:val="009532A5"/>
    <w:rsid w:val="009546BF"/>
    <w:rsid w:val="00954DE5"/>
    <w:rsid w:val="00955714"/>
    <w:rsid w:val="00955D91"/>
    <w:rsid w:val="0095614B"/>
    <w:rsid w:val="009569F7"/>
    <w:rsid w:val="0095722C"/>
    <w:rsid w:val="00957476"/>
    <w:rsid w:val="00957E98"/>
    <w:rsid w:val="00960E36"/>
    <w:rsid w:val="00962EEC"/>
    <w:rsid w:val="00962FC9"/>
    <w:rsid w:val="00963C1E"/>
    <w:rsid w:val="00964F3B"/>
    <w:rsid w:val="009659E8"/>
    <w:rsid w:val="00965B97"/>
    <w:rsid w:val="0096605D"/>
    <w:rsid w:val="00966AE4"/>
    <w:rsid w:val="0097347F"/>
    <w:rsid w:val="00975765"/>
    <w:rsid w:val="00977805"/>
    <w:rsid w:val="00980635"/>
    <w:rsid w:val="00982B7C"/>
    <w:rsid w:val="00983254"/>
    <w:rsid w:val="00983615"/>
    <w:rsid w:val="009855D0"/>
    <w:rsid w:val="00986D97"/>
    <w:rsid w:val="00991CBE"/>
    <w:rsid w:val="00992B29"/>
    <w:rsid w:val="009932D5"/>
    <w:rsid w:val="00993EA7"/>
    <w:rsid w:val="009951D5"/>
    <w:rsid w:val="00995E9B"/>
    <w:rsid w:val="0099648E"/>
    <w:rsid w:val="00996E4C"/>
    <w:rsid w:val="009A0A1E"/>
    <w:rsid w:val="009A2F97"/>
    <w:rsid w:val="009A3179"/>
    <w:rsid w:val="009A5674"/>
    <w:rsid w:val="009A5F82"/>
    <w:rsid w:val="009A6CD0"/>
    <w:rsid w:val="009A7D10"/>
    <w:rsid w:val="009B00CA"/>
    <w:rsid w:val="009B1A8B"/>
    <w:rsid w:val="009B2262"/>
    <w:rsid w:val="009C18DB"/>
    <w:rsid w:val="009C29C5"/>
    <w:rsid w:val="009C3D1F"/>
    <w:rsid w:val="009C73A4"/>
    <w:rsid w:val="009C7738"/>
    <w:rsid w:val="009C7B2D"/>
    <w:rsid w:val="009D1C93"/>
    <w:rsid w:val="009D2498"/>
    <w:rsid w:val="009D4A99"/>
    <w:rsid w:val="009D51AB"/>
    <w:rsid w:val="009D5A7C"/>
    <w:rsid w:val="009D5C65"/>
    <w:rsid w:val="009D5F0F"/>
    <w:rsid w:val="009D682C"/>
    <w:rsid w:val="009D75E6"/>
    <w:rsid w:val="009E0F59"/>
    <w:rsid w:val="009E1574"/>
    <w:rsid w:val="009E18BD"/>
    <w:rsid w:val="009E20F9"/>
    <w:rsid w:val="009E229B"/>
    <w:rsid w:val="009E3041"/>
    <w:rsid w:val="009E3773"/>
    <w:rsid w:val="009E7B4D"/>
    <w:rsid w:val="009E7E46"/>
    <w:rsid w:val="009F0AA4"/>
    <w:rsid w:val="009F0BFB"/>
    <w:rsid w:val="009F1CD7"/>
    <w:rsid w:val="009F21E6"/>
    <w:rsid w:val="009F4D9D"/>
    <w:rsid w:val="009F5E35"/>
    <w:rsid w:val="009F6D64"/>
    <w:rsid w:val="009F72C8"/>
    <w:rsid w:val="009F782F"/>
    <w:rsid w:val="009F7855"/>
    <w:rsid w:val="009F78ED"/>
    <w:rsid w:val="00A01492"/>
    <w:rsid w:val="00A02881"/>
    <w:rsid w:val="00A045E2"/>
    <w:rsid w:val="00A05074"/>
    <w:rsid w:val="00A078FF"/>
    <w:rsid w:val="00A1093C"/>
    <w:rsid w:val="00A1100E"/>
    <w:rsid w:val="00A11855"/>
    <w:rsid w:val="00A11C90"/>
    <w:rsid w:val="00A127ED"/>
    <w:rsid w:val="00A13F94"/>
    <w:rsid w:val="00A14481"/>
    <w:rsid w:val="00A15446"/>
    <w:rsid w:val="00A15F45"/>
    <w:rsid w:val="00A2012E"/>
    <w:rsid w:val="00A22790"/>
    <w:rsid w:val="00A228C0"/>
    <w:rsid w:val="00A23B32"/>
    <w:rsid w:val="00A259C9"/>
    <w:rsid w:val="00A25AF9"/>
    <w:rsid w:val="00A271C7"/>
    <w:rsid w:val="00A30BFF"/>
    <w:rsid w:val="00A30C32"/>
    <w:rsid w:val="00A31627"/>
    <w:rsid w:val="00A3208B"/>
    <w:rsid w:val="00A41010"/>
    <w:rsid w:val="00A413B2"/>
    <w:rsid w:val="00A41D31"/>
    <w:rsid w:val="00A426C3"/>
    <w:rsid w:val="00A429EF"/>
    <w:rsid w:val="00A42F34"/>
    <w:rsid w:val="00A43BAA"/>
    <w:rsid w:val="00A43D4B"/>
    <w:rsid w:val="00A45312"/>
    <w:rsid w:val="00A45722"/>
    <w:rsid w:val="00A46B4F"/>
    <w:rsid w:val="00A47DDC"/>
    <w:rsid w:val="00A47FDA"/>
    <w:rsid w:val="00A50455"/>
    <w:rsid w:val="00A50BF5"/>
    <w:rsid w:val="00A51AE5"/>
    <w:rsid w:val="00A53C4B"/>
    <w:rsid w:val="00A54E12"/>
    <w:rsid w:val="00A55113"/>
    <w:rsid w:val="00A56E33"/>
    <w:rsid w:val="00A579C5"/>
    <w:rsid w:val="00A6009E"/>
    <w:rsid w:val="00A62884"/>
    <w:rsid w:val="00A63F6D"/>
    <w:rsid w:val="00A645B5"/>
    <w:rsid w:val="00A65F55"/>
    <w:rsid w:val="00A65F57"/>
    <w:rsid w:val="00A72F64"/>
    <w:rsid w:val="00A7307F"/>
    <w:rsid w:val="00A730F7"/>
    <w:rsid w:val="00A7576D"/>
    <w:rsid w:val="00A7675C"/>
    <w:rsid w:val="00A82C30"/>
    <w:rsid w:val="00A83F35"/>
    <w:rsid w:val="00A87078"/>
    <w:rsid w:val="00A87ABE"/>
    <w:rsid w:val="00A87C85"/>
    <w:rsid w:val="00A90450"/>
    <w:rsid w:val="00A9164A"/>
    <w:rsid w:val="00A9165E"/>
    <w:rsid w:val="00A94ADF"/>
    <w:rsid w:val="00A9511E"/>
    <w:rsid w:val="00A9657B"/>
    <w:rsid w:val="00AA1687"/>
    <w:rsid w:val="00AA1C73"/>
    <w:rsid w:val="00AA21AA"/>
    <w:rsid w:val="00AA22DE"/>
    <w:rsid w:val="00AA6F53"/>
    <w:rsid w:val="00AA7C7A"/>
    <w:rsid w:val="00AB1160"/>
    <w:rsid w:val="00AB3141"/>
    <w:rsid w:val="00AB37EC"/>
    <w:rsid w:val="00AB4526"/>
    <w:rsid w:val="00AB518E"/>
    <w:rsid w:val="00AB52B1"/>
    <w:rsid w:val="00AB54A5"/>
    <w:rsid w:val="00AB5683"/>
    <w:rsid w:val="00AB57D0"/>
    <w:rsid w:val="00AB5BAD"/>
    <w:rsid w:val="00AB60AC"/>
    <w:rsid w:val="00AB739B"/>
    <w:rsid w:val="00AC0167"/>
    <w:rsid w:val="00AC041D"/>
    <w:rsid w:val="00AC14DD"/>
    <w:rsid w:val="00AC2CE4"/>
    <w:rsid w:val="00AC4BE2"/>
    <w:rsid w:val="00AD2645"/>
    <w:rsid w:val="00AD3789"/>
    <w:rsid w:val="00AD473A"/>
    <w:rsid w:val="00AD5E9A"/>
    <w:rsid w:val="00AD6E48"/>
    <w:rsid w:val="00AE021E"/>
    <w:rsid w:val="00AE03D1"/>
    <w:rsid w:val="00AE1145"/>
    <w:rsid w:val="00AE13EF"/>
    <w:rsid w:val="00AE300D"/>
    <w:rsid w:val="00AE54F6"/>
    <w:rsid w:val="00AE6CE0"/>
    <w:rsid w:val="00AF0385"/>
    <w:rsid w:val="00AF0DEF"/>
    <w:rsid w:val="00AF2194"/>
    <w:rsid w:val="00AF3161"/>
    <w:rsid w:val="00AF424C"/>
    <w:rsid w:val="00AF4CF3"/>
    <w:rsid w:val="00AF54D6"/>
    <w:rsid w:val="00AF57D0"/>
    <w:rsid w:val="00AF5F37"/>
    <w:rsid w:val="00AF6121"/>
    <w:rsid w:val="00AF6743"/>
    <w:rsid w:val="00AF6863"/>
    <w:rsid w:val="00AF6AE4"/>
    <w:rsid w:val="00B013C4"/>
    <w:rsid w:val="00B030FC"/>
    <w:rsid w:val="00B034B8"/>
    <w:rsid w:val="00B03690"/>
    <w:rsid w:val="00B03955"/>
    <w:rsid w:val="00B03BB2"/>
    <w:rsid w:val="00B067FA"/>
    <w:rsid w:val="00B1000C"/>
    <w:rsid w:val="00B1027F"/>
    <w:rsid w:val="00B107AB"/>
    <w:rsid w:val="00B1096C"/>
    <w:rsid w:val="00B117AF"/>
    <w:rsid w:val="00B118EC"/>
    <w:rsid w:val="00B1286E"/>
    <w:rsid w:val="00B12EB3"/>
    <w:rsid w:val="00B139E9"/>
    <w:rsid w:val="00B16F15"/>
    <w:rsid w:val="00B175A9"/>
    <w:rsid w:val="00B175E0"/>
    <w:rsid w:val="00B17F25"/>
    <w:rsid w:val="00B20921"/>
    <w:rsid w:val="00B222F0"/>
    <w:rsid w:val="00B23154"/>
    <w:rsid w:val="00B23AC9"/>
    <w:rsid w:val="00B241FD"/>
    <w:rsid w:val="00B24207"/>
    <w:rsid w:val="00B306D2"/>
    <w:rsid w:val="00B30EEF"/>
    <w:rsid w:val="00B311A4"/>
    <w:rsid w:val="00B34110"/>
    <w:rsid w:val="00B3548C"/>
    <w:rsid w:val="00B37E2C"/>
    <w:rsid w:val="00B4027B"/>
    <w:rsid w:val="00B42201"/>
    <w:rsid w:val="00B4238C"/>
    <w:rsid w:val="00B43022"/>
    <w:rsid w:val="00B45B52"/>
    <w:rsid w:val="00B4681E"/>
    <w:rsid w:val="00B46FCB"/>
    <w:rsid w:val="00B47DEA"/>
    <w:rsid w:val="00B51104"/>
    <w:rsid w:val="00B5139D"/>
    <w:rsid w:val="00B51900"/>
    <w:rsid w:val="00B51BE5"/>
    <w:rsid w:val="00B5312E"/>
    <w:rsid w:val="00B5372C"/>
    <w:rsid w:val="00B5506B"/>
    <w:rsid w:val="00B55EB2"/>
    <w:rsid w:val="00B56933"/>
    <w:rsid w:val="00B57DF5"/>
    <w:rsid w:val="00B60D9F"/>
    <w:rsid w:val="00B6158B"/>
    <w:rsid w:val="00B64BD4"/>
    <w:rsid w:val="00B65D67"/>
    <w:rsid w:val="00B65FAE"/>
    <w:rsid w:val="00B666B2"/>
    <w:rsid w:val="00B70707"/>
    <w:rsid w:val="00B73F0D"/>
    <w:rsid w:val="00B74830"/>
    <w:rsid w:val="00B824EA"/>
    <w:rsid w:val="00B84CCD"/>
    <w:rsid w:val="00B85308"/>
    <w:rsid w:val="00B865E0"/>
    <w:rsid w:val="00B929E6"/>
    <w:rsid w:val="00B9516C"/>
    <w:rsid w:val="00B96385"/>
    <w:rsid w:val="00B9797C"/>
    <w:rsid w:val="00B97A36"/>
    <w:rsid w:val="00BA00E1"/>
    <w:rsid w:val="00BA1E8B"/>
    <w:rsid w:val="00BA4585"/>
    <w:rsid w:val="00BA4B49"/>
    <w:rsid w:val="00BA5462"/>
    <w:rsid w:val="00BA58F7"/>
    <w:rsid w:val="00BA5A82"/>
    <w:rsid w:val="00BA5EB9"/>
    <w:rsid w:val="00BA6F45"/>
    <w:rsid w:val="00BB14DE"/>
    <w:rsid w:val="00BB2570"/>
    <w:rsid w:val="00BB3A2A"/>
    <w:rsid w:val="00BB3C4C"/>
    <w:rsid w:val="00BB5B31"/>
    <w:rsid w:val="00BB742A"/>
    <w:rsid w:val="00BC10A1"/>
    <w:rsid w:val="00BC1CD3"/>
    <w:rsid w:val="00BC1E8B"/>
    <w:rsid w:val="00BC451E"/>
    <w:rsid w:val="00BC6F9B"/>
    <w:rsid w:val="00BD20BB"/>
    <w:rsid w:val="00BD2436"/>
    <w:rsid w:val="00BD49E9"/>
    <w:rsid w:val="00BD4A60"/>
    <w:rsid w:val="00BD596A"/>
    <w:rsid w:val="00BD67FD"/>
    <w:rsid w:val="00BD73CA"/>
    <w:rsid w:val="00BE0B3D"/>
    <w:rsid w:val="00BE1116"/>
    <w:rsid w:val="00BE3938"/>
    <w:rsid w:val="00BE3943"/>
    <w:rsid w:val="00BE3ED6"/>
    <w:rsid w:val="00BE6496"/>
    <w:rsid w:val="00BE7C4D"/>
    <w:rsid w:val="00BF1573"/>
    <w:rsid w:val="00BF3DB3"/>
    <w:rsid w:val="00BF413D"/>
    <w:rsid w:val="00BF4472"/>
    <w:rsid w:val="00BF560D"/>
    <w:rsid w:val="00BF6CF4"/>
    <w:rsid w:val="00BF6E02"/>
    <w:rsid w:val="00BF768F"/>
    <w:rsid w:val="00C003A0"/>
    <w:rsid w:val="00C00954"/>
    <w:rsid w:val="00C03343"/>
    <w:rsid w:val="00C03E09"/>
    <w:rsid w:val="00C05026"/>
    <w:rsid w:val="00C05BDF"/>
    <w:rsid w:val="00C06734"/>
    <w:rsid w:val="00C10625"/>
    <w:rsid w:val="00C1149C"/>
    <w:rsid w:val="00C1284D"/>
    <w:rsid w:val="00C13BD6"/>
    <w:rsid w:val="00C15E62"/>
    <w:rsid w:val="00C171CB"/>
    <w:rsid w:val="00C1727C"/>
    <w:rsid w:val="00C178F2"/>
    <w:rsid w:val="00C20BF9"/>
    <w:rsid w:val="00C2204A"/>
    <w:rsid w:val="00C226D6"/>
    <w:rsid w:val="00C22997"/>
    <w:rsid w:val="00C22B47"/>
    <w:rsid w:val="00C2452E"/>
    <w:rsid w:val="00C262F5"/>
    <w:rsid w:val="00C315F1"/>
    <w:rsid w:val="00C31B0F"/>
    <w:rsid w:val="00C32E20"/>
    <w:rsid w:val="00C335E0"/>
    <w:rsid w:val="00C34A63"/>
    <w:rsid w:val="00C35539"/>
    <w:rsid w:val="00C357B0"/>
    <w:rsid w:val="00C36AD7"/>
    <w:rsid w:val="00C40C4E"/>
    <w:rsid w:val="00C40C95"/>
    <w:rsid w:val="00C4158E"/>
    <w:rsid w:val="00C415CE"/>
    <w:rsid w:val="00C41E67"/>
    <w:rsid w:val="00C41E79"/>
    <w:rsid w:val="00C42B35"/>
    <w:rsid w:val="00C4302F"/>
    <w:rsid w:val="00C43244"/>
    <w:rsid w:val="00C43D67"/>
    <w:rsid w:val="00C44237"/>
    <w:rsid w:val="00C4660C"/>
    <w:rsid w:val="00C466F2"/>
    <w:rsid w:val="00C46C4B"/>
    <w:rsid w:val="00C47345"/>
    <w:rsid w:val="00C47FE6"/>
    <w:rsid w:val="00C501E3"/>
    <w:rsid w:val="00C51900"/>
    <w:rsid w:val="00C54D8F"/>
    <w:rsid w:val="00C560EA"/>
    <w:rsid w:val="00C607A9"/>
    <w:rsid w:val="00C61AB5"/>
    <w:rsid w:val="00C61E62"/>
    <w:rsid w:val="00C624CB"/>
    <w:rsid w:val="00C62BE1"/>
    <w:rsid w:val="00C634FC"/>
    <w:rsid w:val="00C63814"/>
    <w:rsid w:val="00C63BC6"/>
    <w:rsid w:val="00C64F29"/>
    <w:rsid w:val="00C65499"/>
    <w:rsid w:val="00C66814"/>
    <w:rsid w:val="00C67CAC"/>
    <w:rsid w:val="00C703F5"/>
    <w:rsid w:val="00C72DA9"/>
    <w:rsid w:val="00C72E19"/>
    <w:rsid w:val="00C736C0"/>
    <w:rsid w:val="00C7379D"/>
    <w:rsid w:val="00C73FEB"/>
    <w:rsid w:val="00C74BA6"/>
    <w:rsid w:val="00C76627"/>
    <w:rsid w:val="00C766D3"/>
    <w:rsid w:val="00C77BD4"/>
    <w:rsid w:val="00C812C7"/>
    <w:rsid w:val="00C82913"/>
    <w:rsid w:val="00C82BD3"/>
    <w:rsid w:val="00C8308E"/>
    <w:rsid w:val="00C83A4A"/>
    <w:rsid w:val="00C842B0"/>
    <w:rsid w:val="00C86B50"/>
    <w:rsid w:val="00C92396"/>
    <w:rsid w:val="00C92867"/>
    <w:rsid w:val="00C930BD"/>
    <w:rsid w:val="00C947C2"/>
    <w:rsid w:val="00C95025"/>
    <w:rsid w:val="00C95529"/>
    <w:rsid w:val="00C97173"/>
    <w:rsid w:val="00CA29BD"/>
    <w:rsid w:val="00CA518E"/>
    <w:rsid w:val="00CA54EF"/>
    <w:rsid w:val="00CA6915"/>
    <w:rsid w:val="00CA71F0"/>
    <w:rsid w:val="00CA71F3"/>
    <w:rsid w:val="00CB2E5A"/>
    <w:rsid w:val="00CB4429"/>
    <w:rsid w:val="00CB67F0"/>
    <w:rsid w:val="00CB779C"/>
    <w:rsid w:val="00CC0DE0"/>
    <w:rsid w:val="00CC2011"/>
    <w:rsid w:val="00CC3404"/>
    <w:rsid w:val="00CC37D5"/>
    <w:rsid w:val="00CC3C16"/>
    <w:rsid w:val="00CC525F"/>
    <w:rsid w:val="00CC68FE"/>
    <w:rsid w:val="00CC69FE"/>
    <w:rsid w:val="00CC730E"/>
    <w:rsid w:val="00CC745B"/>
    <w:rsid w:val="00CD0F36"/>
    <w:rsid w:val="00CD1B47"/>
    <w:rsid w:val="00CD234C"/>
    <w:rsid w:val="00CD4E48"/>
    <w:rsid w:val="00CD5060"/>
    <w:rsid w:val="00CD57C7"/>
    <w:rsid w:val="00CD6114"/>
    <w:rsid w:val="00CD6CF0"/>
    <w:rsid w:val="00CD6DE9"/>
    <w:rsid w:val="00CD6F61"/>
    <w:rsid w:val="00CE07DF"/>
    <w:rsid w:val="00CE12D4"/>
    <w:rsid w:val="00CE1498"/>
    <w:rsid w:val="00CE2572"/>
    <w:rsid w:val="00CE27EE"/>
    <w:rsid w:val="00CE35D0"/>
    <w:rsid w:val="00CE368A"/>
    <w:rsid w:val="00CF0360"/>
    <w:rsid w:val="00CF070C"/>
    <w:rsid w:val="00CF1D88"/>
    <w:rsid w:val="00CF2E23"/>
    <w:rsid w:val="00CF307E"/>
    <w:rsid w:val="00CF310C"/>
    <w:rsid w:val="00CF3582"/>
    <w:rsid w:val="00CF381A"/>
    <w:rsid w:val="00CF6620"/>
    <w:rsid w:val="00CF6995"/>
    <w:rsid w:val="00CF7268"/>
    <w:rsid w:val="00D00267"/>
    <w:rsid w:val="00D00A05"/>
    <w:rsid w:val="00D00B9E"/>
    <w:rsid w:val="00D01D49"/>
    <w:rsid w:val="00D06E35"/>
    <w:rsid w:val="00D06EA2"/>
    <w:rsid w:val="00D07C2C"/>
    <w:rsid w:val="00D10634"/>
    <w:rsid w:val="00D10A68"/>
    <w:rsid w:val="00D1132B"/>
    <w:rsid w:val="00D11633"/>
    <w:rsid w:val="00D13203"/>
    <w:rsid w:val="00D13A0F"/>
    <w:rsid w:val="00D13CA4"/>
    <w:rsid w:val="00D1441E"/>
    <w:rsid w:val="00D14EF4"/>
    <w:rsid w:val="00D15A68"/>
    <w:rsid w:val="00D1702C"/>
    <w:rsid w:val="00D175B3"/>
    <w:rsid w:val="00D20844"/>
    <w:rsid w:val="00D20B04"/>
    <w:rsid w:val="00D2104D"/>
    <w:rsid w:val="00D21680"/>
    <w:rsid w:val="00D21EF7"/>
    <w:rsid w:val="00D23C4A"/>
    <w:rsid w:val="00D2400B"/>
    <w:rsid w:val="00D24398"/>
    <w:rsid w:val="00D2597B"/>
    <w:rsid w:val="00D26EE2"/>
    <w:rsid w:val="00D279E9"/>
    <w:rsid w:val="00D3031B"/>
    <w:rsid w:val="00D30B00"/>
    <w:rsid w:val="00D310BC"/>
    <w:rsid w:val="00D31FDC"/>
    <w:rsid w:val="00D3211B"/>
    <w:rsid w:val="00D322C8"/>
    <w:rsid w:val="00D360EB"/>
    <w:rsid w:val="00D366BC"/>
    <w:rsid w:val="00D36792"/>
    <w:rsid w:val="00D37294"/>
    <w:rsid w:val="00D37AB1"/>
    <w:rsid w:val="00D40A94"/>
    <w:rsid w:val="00D42845"/>
    <w:rsid w:val="00D445E3"/>
    <w:rsid w:val="00D4599A"/>
    <w:rsid w:val="00D468D7"/>
    <w:rsid w:val="00D46F0A"/>
    <w:rsid w:val="00D47419"/>
    <w:rsid w:val="00D5049A"/>
    <w:rsid w:val="00D52381"/>
    <w:rsid w:val="00D54966"/>
    <w:rsid w:val="00D5497F"/>
    <w:rsid w:val="00D54E17"/>
    <w:rsid w:val="00D56095"/>
    <w:rsid w:val="00D565F2"/>
    <w:rsid w:val="00D56E11"/>
    <w:rsid w:val="00D5758E"/>
    <w:rsid w:val="00D57C0C"/>
    <w:rsid w:val="00D57F4A"/>
    <w:rsid w:val="00D60701"/>
    <w:rsid w:val="00D61BBA"/>
    <w:rsid w:val="00D62544"/>
    <w:rsid w:val="00D62EEC"/>
    <w:rsid w:val="00D632AF"/>
    <w:rsid w:val="00D66100"/>
    <w:rsid w:val="00D666B6"/>
    <w:rsid w:val="00D725FE"/>
    <w:rsid w:val="00D7280C"/>
    <w:rsid w:val="00D739B5"/>
    <w:rsid w:val="00D73E93"/>
    <w:rsid w:val="00D74099"/>
    <w:rsid w:val="00D75309"/>
    <w:rsid w:val="00D763AF"/>
    <w:rsid w:val="00D76ED0"/>
    <w:rsid w:val="00D808EB"/>
    <w:rsid w:val="00D81182"/>
    <w:rsid w:val="00D83A27"/>
    <w:rsid w:val="00D83D23"/>
    <w:rsid w:val="00D84CE6"/>
    <w:rsid w:val="00D84EFA"/>
    <w:rsid w:val="00D85E1A"/>
    <w:rsid w:val="00D86085"/>
    <w:rsid w:val="00D864E4"/>
    <w:rsid w:val="00D870D7"/>
    <w:rsid w:val="00D909B1"/>
    <w:rsid w:val="00D90EFC"/>
    <w:rsid w:val="00D916E9"/>
    <w:rsid w:val="00D93111"/>
    <w:rsid w:val="00D93EB9"/>
    <w:rsid w:val="00D94002"/>
    <w:rsid w:val="00D943E3"/>
    <w:rsid w:val="00D954B8"/>
    <w:rsid w:val="00D956B2"/>
    <w:rsid w:val="00D95779"/>
    <w:rsid w:val="00D95A41"/>
    <w:rsid w:val="00D96CE9"/>
    <w:rsid w:val="00D96D1B"/>
    <w:rsid w:val="00D96FCC"/>
    <w:rsid w:val="00D97695"/>
    <w:rsid w:val="00D97822"/>
    <w:rsid w:val="00DA015A"/>
    <w:rsid w:val="00DA4A19"/>
    <w:rsid w:val="00DA5A1C"/>
    <w:rsid w:val="00DA6C86"/>
    <w:rsid w:val="00DB05EF"/>
    <w:rsid w:val="00DB1D2F"/>
    <w:rsid w:val="00DB315A"/>
    <w:rsid w:val="00DB37E2"/>
    <w:rsid w:val="00DB634B"/>
    <w:rsid w:val="00DC023D"/>
    <w:rsid w:val="00DC0370"/>
    <w:rsid w:val="00DC0895"/>
    <w:rsid w:val="00DC0BE8"/>
    <w:rsid w:val="00DC1273"/>
    <w:rsid w:val="00DC1312"/>
    <w:rsid w:val="00DC13BD"/>
    <w:rsid w:val="00DC24AE"/>
    <w:rsid w:val="00DC2E77"/>
    <w:rsid w:val="00DC3630"/>
    <w:rsid w:val="00DC4CA1"/>
    <w:rsid w:val="00DC4E35"/>
    <w:rsid w:val="00DC4F9A"/>
    <w:rsid w:val="00DC4FC0"/>
    <w:rsid w:val="00DC735D"/>
    <w:rsid w:val="00DD1CBF"/>
    <w:rsid w:val="00DD3C6E"/>
    <w:rsid w:val="00DD4142"/>
    <w:rsid w:val="00DD47C8"/>
    <w:rsid w:val="00DD47CA"/>
    <w:rsid w:val="00DD49B6"/>
    <w:rsid w:val="00DD586C"/>
    <w:rsid w:val="00DD58BD"/>
    <w:rsid w:val="00DD7D20"/>
    <w:rsid w:val="00DE002F"/>
    <w:rsid w:val="00DE2111"/>
    <w:rsid w:val="00DE2C62"/>
    <w:rsid w:val="00DE2D3B"/>
    <w:rsid w:val="00DE3EE8"/>
    <w:rsid w:val="00DE4554"/>
    <w:rsid w:val="00DE5F35"/>
    <w:rsid w:val="00DE6036"/>
    <w:rsid w:val="00DE6261"/>
    <w:rsid w:val="00DE6610"/>
    <w:rsid w:val="00DE69D0"/>
    <w:rsid w:val="00DE73E0"/>
    <w:rsid w:val="00DF0641"/>
    <w:rsid w:val="00DF0DED"/>
    <w:rsid w:val="00DF136D"/>
    <w:rsid w:val="00DF1D8B"/>
    <w:rsid w:val="00DF2891"/>
    <w:rsid w:val="00DF300E"/>
    <w:rsid w:val="00DF5521"/>
    <w:rsid w:val="00DF5C1F"/>
    <w:rsid w:val="00DF6772"/>
    <w:rsid w:val="00DF7F62"/>
    <w:rsid w:val="00E00947"/>
    <w:rsid w:val="00E01FC7"/>
    <w:rsid w:val="00E03E5A"/>
    <w:rsid w:val="00E03F19"/>
    <w:rsid w:val="00E0686D"/>
    <w:rsid w:val="00E120A4"/>
    <w:rsid w:val="00E137C0"/>
    <w:rsid w:val="00E13F58"/>
    <w:rsid w:val="00E141B2"/>
    <w:rsid w:val="00E15436"/>
    <w:rsid w:val="00E163C4"/>
    <w:rsid w:val="00E20011"/>
    <w:rsid w:val="00E208B9"/>
    <w:rsid w:val="00E20CA8"/>
    <w:rsid w:val="00E227AA"/>
    <w:rsid w:val="00E22C30"/>
    <w:rsid w:val="00E2316B"/>
    <w:rsid w:val="00E238E6"/>
    <w:rsid w:val="00E26B5A"/>
    <w:rsid w:val="00E26BFA"/>
    <w:rsid w:val="00E3048B"/>
    <w:rsid w:val="00E30F3C"/>
    <w:rsid w:val="00E31DE5"/>
    <w:rsid w:val="00E32DD6"/>
    <w:rsid w:val="00E34CFB"/>
    <w:rsid w:val="00E404DB"/>
    <w:rsid w:val="00E40605"/>
    <w:rsid w:val="00E42794"/>
    <w:rsid w:val="00E42943"/>
    <w:rsid w:val="00E43215"/>
    <w:rsid w:val="00E43B80"/>
    <w:rsid w:val="00E43E40"/>
    <w:rsid w:val="00E45620"/>
    <w:rsid w:val="00E465A2"/>
    <w:rsid w:val="00E5174D"/>
    <w:rsid w:val="00E52099"/>
    <w:rsid w:val="00E52CD2"/>
    <w:rsid w:val="00E52FB5"/>
    <w:rsid w:val="00E53113"/>
    <w:rsid w:val="00E533AB"/>
    <w:rsid w:val="00E544F6"/>
    <w:rsid w:val="00E5580B"/>
    <w:rsid w:val="00E55F3B"/>
    <w:rsid w:val="00E57E2F"/>
    <w:rsid w:val="00E57FCE"/>
    <w:rsid w:val="00E6004A"/>
    <w:rsid w:val="00E60E6E"/>
    <w:rsid w:val="00E64BA4"/>
    <w:rsid w:val="00E66012"/>
    <w:rsid w:val="00E67751"/>
    <w:rsid w:val="00E679B1"/>
    <w:rsid w:val="00E70959"/>
    <w:rsid w:val="00E71B57"/>
    <w:rsid w:val="00E72CE0"/>
    <w:rsid w:val="00E74E50"/>
    <w:rsid w:val="00E75B3D"/>
    <w:rsid w:val="00E762A9"/>
    <w:rsid w:val="00E7789A"/>
    <w:rsid w:val="00E80A81"/>
    <w:rsid w:val="00E80D3E"/>
    <w:rsid w:val="00E82DCB"/>
    <w:rsid w:val="00E841DE"/>
    <w:rsid w:val="00E84781"/>
    <w:rsid w:val="00E85D96"/>
    <w:rsid w:val="00E86166"/>
    <w:rsid w:val="00E862B5"/>
    <w:rsid w:val="00E8633C"/>
    <w:rsid w:val="00E86518"/>
    <w:rsid w:val="00E8652F"/>
    <w:rsid w:val="00E86F71"/>
    <w:rsid w:val="00E87161"/>
    <w:rsid w:val="00E877B0"/>
    <w:rsid w:val="00E87AB7"/>
    <w:rsid w:val="00E902C2"/>
    <w:rsid w:val="00E915F2"/>
    <w:rsid w:val="00E91B2F"/>
    <w:rsid w:val="00E92511"/>
    <w:rsid w:val="00E96220"/>
    <w:rsid w:val="00E973EE"/>
    <w:rsid w:val="00EA09C1"/>
    <w:rsid w:val="00EA0E35"/>
    <w:rsid w:val="00EA2C51"/>
    <w:rsid w:val="00EA365B"/>
    <w:rsid w:val="00EA4199"/>
    <w:rsid w:val="00EA599C"/>
    <w:rsid w:val="00EA67EC"/>
    <w:rsid w:val="00EA6DDF"/>
    <w:rsid w:val="00EB03A5"/>
    <w:rsid w:val="00EB0C84"/>
    <w:rsid w:val="00EB1595"/>
    <w:rsid w:val="00EB1C58"/>
    <w:rsid w:val="00EB230F"/>
    <w:rsid w:val="00EB3C78"/>
    <w:rsid w:val="00EB464E"/>
    <w:rsid w:val="00EB4BBE"/>
    <w:rsid w:val="00EB5033"/>
    <w:rsid w:val="00EB5637"/>
    <w:rsid w:val="00EB5C61"/>
    <w:rsid w:val="00EC100E"/>
    <w:rsid w:val="00EC2F70"/>
    <w:rsid w:val="00EC31CC"/>
    <w:rsid w:val="00EC4C3F"/>
    <w:rsid w:val="00EC574E"/>
    <w:rsid w:val="00EC5E31"/>
    <w:rsid w:val="00EC75EC"/>
    <w:rsid w:val="00ED0552"/>
    <w:rsid w:val="00ED0CC5"/>
    <w:rsid w:val="00ED3C58"/>
    <w:rsid w:val="00ED4614"/>
    <w:rsid w:val="00ED53B3"/>
    <w:rsid w:val="00ED5EB3"/>
    <w:rsid w:val="00ED7D50"/>
    <w:rsid w:val="00EE1725"/>
    <w:rsid w:val="00EE1D30"/>
    <w:rsid w:val="00EE24A7"/>
    <w:rsid w:val="00EE29BC"/>
    <w:rsid w:val="00EE2F22"/>
    <w:rsid w:val="00EE3B01"/>
    <w:rsid w:val="00EE60F2"/>
    <w:rsid w:val="00EE6D99"/>
    <w:rsid w:val="00EF0F81"/>
    <w:rsid w:val="00EF256B"/>
    <w:rsid w:val="00EF324E"/>
    <w:rsid w:val="00EF6992"/>
    <w:rsid w:val="00EF786B"/>
    <w:rsid w:val="00EF7928"/>
    <w:rsid w:val="00EF7B6C"/>
    <w:rsid w:val="00EF7BBB"/>
    <w:rsid w:val="00F01460"/>
    <w:rsid w:val="00F016CD"/>
    <w:rsid w:val="00F01F4E"/>
    <w:rsid w:val="00F0244D"/>
    <w:rsid w:val="00F02959"/>
    <w:rsid w:val="00F02C8F"/>
    <w:rsid w:val="00F0423B"/>
    <w:rsid w:val="00F0451B"/>
    <w:rsid w:val="00F04563"/>
    <w:rsid w:val="00F0661D"/>
    <w:rsid w:val="00F078AF"/>
    <w:rsid w:val="00F10FAF"/>
    <w:rsid w:val="00F1174D"/>
    <w:rsid w:val="00F121D4"/>
    <w:rsid w:val="00F1238D"/>
    <w:rsid w:val="00F12A40"/>
    <w:rsid w:val="00F1331E"/>
    <w:rsid w:val="00F13C13"/>
    <w:rsid w:val="00F14254"/>
    <w:rsid w:val="00F143AE"/>
    <w:rsid w:val="00F1495F"/>
    <w:rsid w:val="00F15109"/>
    <w:rsid w:val="00F15718"/>
    <w:rsid w:val="00F15AD2"/>
    <w:rsid w:val="00F16B06"/>
    <w:rsid w:val="00F16D0A"/>
    <w:rsid w:val="00F17392"/>
    <w:rsid w:val="00F17467"/>
    <w:rsid w:val="00F22174"/>
    <w:rsid w:val="00F23634"/>
    <w:rsid w:val="00F2490D"/>
    <w:rsid w:val="00F265DB"/>
    <w:rsid w:val="00F2710C"/>
    <w:rsid w:val="00F2753F"/>
    <w:rsid w:val="00F32FA6"/>
    <w:rsid w:val="00F33236"/>
    <w:rsid w:val="00F33780"/>
    <w:rsid w:val="00F36600"/>
    <w:rsid w:val="00F372C9"/>
    <w:rsid w:val="00F4028F"/>
    <w:rsid w:val="00F4075D"/>
    <w:rsid w:val="00F4108D"/>
    <w:rsid w:val="00F437F3"/>
    <w:rsid w:val="00F43CFB"/>
    <w:rsid w:val="00F4430E"/>
    <w:rsid w:val="00F44973"/>
    <w:rsid w:val="00F44A85"/>
    <w:rsid w:val="00F462A6"/>
    <w:rsid w:val="00F46D80"/>
    <w:rsid w:val="00F51725"/>
    <w:rsid w:val="00F5237D"/>
    <w:rsid w:val="00F5288B"/>
    <w:rsid w:val="00F5616A"/>
    <w:rsid w:val="00F561D7"/>
    <w:rsid w:val="00F56EA8"/>
    <w:rsid w:val="00F57E68"/>
    <w:rsid w:val="00F6079A"/>
    <w:rsid w:val="00F611EC"/>
    <w:rsid w:val="00F61F43"/>
    <w:rsid w:val="00F62F8F"/>
    <w:rsid w:val="00F637F1"/>
    <w:rsid w:val="00F641D2"/>
    <w:rsid w:val="00F64D14"/>
    <w:rsid w:val="00F70A14"/>
    <w:rsid w:val="00F70BC7"/>
    <w:rsid w:val="00F72056"/>
    <w:rsid w:val="00F73424"/>
    <w:rsid w:val="00F73FCA"/>
    <w:rsid w:val="00F740E5"/>
    <w:rsid w:val="00F74C61"/>
    <w:rsid w:val="00F75C77"/>
    <w:rsid w:val="00F75D5E"/>
    <w:rsid w:val="00F76B7F"/>
    <w:rsid w:val="00F7764D"/>
    <w:rsid w:val="00F779B3"/>
    <w:rsid w:val="00F8093F"/>
    <w:rsid w:val="00F80CE7"/>
    <w:rsid w:val="00F81817"/>
    <w:rsid w:val="00F81E8D"/>
    <w:rsid w:val="00F8287F"/>
    <w:rsid w:val="00F82B79"/>
    <w:rsid w:val="00F84618"/>
    <w:rsid w:val="00F853CC"/>
    <w:rsid w:val="00F86E28"/>
    <w:rsid w:val="00F87F16"/>
    <w:rsid w:val="00F91071"/>
    <w:rsid w:val="00F9141E"/>
    <w:rsid w:val="00F92593"/>
    <w:rsid w:val="00F9283B"/>
    <w:rsid w:val="00F92F50"/>
    <w:rsid w:val="00F943FB"/>
    <w:rsid w:val="00F9471B"/>
    <w:rsid w:val="00F95181"/>
    <w:rsid w:val="00F97440"/>
    <w:rsid w:val="00F977B1"/>
    <w:rsid w:val="00FA2F18"/>
    <w:rsid w:val="00FA487E"/>
    <w:rsid w:val="00FA5E4C"/>
    <w:rsid w:val="00FA5F1D"/>
    <w:rsid w:val="00FA679D"/>
    <w:rsid w:val="00FA6FE9"/>
    <w:rsid w:val="00FA7EA5"/>
    <w:rsid w:val="00FB0A69"/>
    <w:rsid w:val="00FB3349"/>
    <w:rsid w:val="00FB546A"/>
    <w:rsid w:val="00FB66AF"/>
    <w:rsid w:val="00FB723B"/>
    <w:rsid w:val="00FB75EB"/>
    <w:rsid w:val="00FC02B0"/>
    <w:rsid w:val="00FC0FAB"/>
    <w:rsid w:val="00FC183C"/>
    <w:rsid w:val="00FC1BAE"/>
    <w:rsid w:val="00FC22D0"/>
    <w:rsid w:val="00FC2354"/>
    <w:rsid w:val="00FC5340"/>
    <w:rsid w:val="00FC5432"/>
    <w:rsid w:val="00FC591D"/>
    <w:rsid w:val="00FC6921"/>
    <w:rsid w:val="00FC7422"/>
    <w:rsid w:val="00FD163E"/>
    <w:rsid w:val="00FD2B16"/>
    <w:rsid w:val="00FD2C55"/>
    <w:rsid w:val="00FD37A7"/>
    <w:rsid w:val="00FD3C30"/>
    <w:rsid w:val="00FD53D4"/>
    <w:rsid w:val="00FD581A"/>
    <w:rsid w:val="00FE025E"/>
    <w:rsid w:val="00FE054F"/>
    <w:rsid w:val="00FE114D"/>
    <w:rsid w:val="00FE1606"/>
    <w:rsid w:val="00FE2432"/>
    <w:rsid w:val="00FE2766"/>
    <w:rsid w:val="00FE2839"/>
    <w:rsid w:val="00FE2AEC"/>
    <w:rsid w:val="00FE3ADD"/>
    <w:rsid w:val="00FE3E56"/>
    <w:rsid w:val="00FE478C"/>
    <w:rsid w:val="00FE4FC9"/>
    <w:rsid w:val="00FE5A39"/>
    <w:rsid w:val="00FE5DD1"/>
    <w:rsid w:val="00FE7968"/>
    <w:rsid w:val="00FF083D"/>
    <w:rsid w:val="00FF0F13"/>
    <w:rsid w:val="00FF2306"/>
    <w:rsid w:val="00FF2742"/>
    <w:rsid w:val="00FF3E04"/>
    <w:rsid w:val="00FF5875"/>
    <w:rsid w:val="00FF6C87"/>
    <w:rsid w:val="00FF7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F6F066"/>
  <w15:docId w15:val="{35C44D81-2A7C-45AA-BDE6-883C919A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F4"/>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6E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916E9"/>
    <w:rPr>
      <w:rFonts w:cstheme="minorBidi"/>
      <w:color w:val="auto"/>
    </w:rPr>
  </w:style>
  <w:style w:type="paragraph" w:customStyle="1" w:styleId="CM3">
    <w:name w:val="CM3"/>
    <w:basedOn w:val="Default"/>
    <w:next w:val="Default"/>
    <w:uiPriority w:val="99"/>
    <w:rsid w:val="00D916E9"/>
    <w:rPr>
      <w:rFonts w:cstheme="minorBidi"/>
      <w:color w:val="auto"/>
    </w:rPr>
  </w:style>
  <w:style w:type="paragraph" w:customStyle="1" w:styleId="Daaarnumuru">
    <w:name w:val="Daļa ar numuru"/>
    <w:basedOn w:val="Normal"/>
    <w:qFormat/>
    <w:rsid w:val="008F707A"/>
    <w:pPr>
      <w:widowControl w:val="0"/>
      <w:tabs>
        <w:tab w:val="left" w:pos="1072"/>
        <w:tab w:val="left" w:pos="1418"/>
      </w:tabs>
      <w:adjustRightInd w:val="0"/>
      <w:spacing w:before="120" w:after="120" w:line="240" w:lineRule="auto"/>
      <w:jc w:val="both"/>
      <w:textAlignment w:val="baseline"/>
    </w:pPr>
    <w:rPr>
      <w:rFonts w:ascii="Times New Roman" w:eastAsia="Times New Roman" w:hAnsi="Times New Roman" w:cs="Times New Roman"/>
      <w:sz w:val="28"/>
      <w:szCs w:val="28"/>
    </w:rPr>
  </w:style>
  <w:style w:type="paragraph" w:customStyle="1" w:styleId="naisc">
    <w:name w:val="naisc"/>
    <w:basedOn w:val="Normal"/>
    <w:rsid w:val="0083222B"/>
    <w:pPr>
      <w:spacing w:before="75" w:after="75" w:line="240" w:lineRule="auto"/>
      <w:jc w:val="center"/>
    </w:pPr>
    <w:rPr>
      <w:rFonts w:ascii="Times New Roman" w:eastAsia="Times New Roman" w:hAnsi="Times New Roman" w:cs="Times New Roman"/>
      <w:sz w:val="24"/>
      <w:szCs w:val="24"/>
    </w:rPr>
  </w:style>
  <w:style w:type="paragraph" w:customStyle="1" w:styleId="tv2131">
    <w:name w:val="tv2131"/>
    <w:basedOn w:val="Normal"/>
    <w:rsid w:val="00F13C13"/>
    <w:pPr>
      <w:spacing w:after="0" w:line="360" w:lineRule="auto"/>
      <w:ind w:firstLine="300"/>
    </w:pPr>
    <w:rPr>
      <w:rFonts w:ascii="Times New Roman" w:eastAsia="Times New Roman" w:hAnsi="Times New Roman" w:cs="Times New Roman"/>
      <w:color w:val="414142"/>
      <w:sz w:val="20"/>
      <w:szCs w:val="20"/>
    </w:rPr>
  </w:style>
  <w:style w:type="paragraph" w:styleId="NoSpacing">
    <w:name w:val="No Spacing"/>
    <w:uiPriority w:val="1"/>
    <w:qFormat/>
    <w:rsid w:val="00957E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7234">
      <w:bodyDiv w:val="1"/>
      <w:marLeft w:val="0"/>
      <w:marRight w:val="0"/>
      <w:marTop w:val="0"/>
      <w:marBottom w:val="0"/>
      <w:divBdr>
        <w:top w:val="none" w:sz="0" w:space="0" w:color="auto"/>
        <w:left w:val="none" w:sz="0" w:space="0" w:color="auto"/>
        <w:bottom w:val="none" w:sz="0" w:space="0" w:color="auto"/>
        <w:right w:val="none" w:sz="0" w:space="0" w:color="auto"/>
      </w:divBdr>
      <w:divsChild>
        <w:div w:id="1664508484">
          <w:marLeft w:val="0"/>
          <w:marRight w:val="0"/>
          <w:marTop w:val="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0"/>
                  <w:divBdr>
                    <w:top w:val="none" w:sz="0" w:space="0" w:color="auto"/>
                    <w:left w:val="none" w:sz="0" w:space="0" w:color="auto"/>
                    <w:bottom w:val="none" w:sz="0" w:space="0" w:color="auto"/>
                    <w:right w:val="none" w:sz="0" w:space="0" w:color="auto"/>
                  </w:divBdr>
                  <w:divsChild>
                    <w:div w:id="1587494212">
                      <w:marLeft w:val="0"/>
                      <w:marRight w:val="0"/>
                      <w:marTop w:val="0"/>
                      <w:marBottom w:val="0"/>
                      <w:divBdr>
                        <w:top w:val="none" w:sz="0" w:space="0" w:color="auto"/>
                        <w:left w:val="none" w:sz="0" w:space="0" w:color="auto"/>
                        <w:bottom w:val="none" w:sz="0" w:space="0" w:color="auto"/>
                        <w:right w:val="none" w:sz="0" w:space="0" w:color="auto"/>
                      </w:divBdr>
                      <w:divsChild>
                        <w:div w:id="950624563">
                          <w:marLeft w:val="0"/>
                          <w:marRight w:val="0"/>
                          <w:marTop w:val="0"/>
                          <w:marBottom w:val="0"/>
                          <w:divBdr>
                            <w:top w:val="none" w:sz="0" w:space="0" w:color="auto"/>
                            <w:left w:val="none" w:sz="0" w:space="0" w:color="auto"/>
                            <w:bottom w:val="none" w:sz="0" w:space="0" w:color="auto"/>
                            <w:right w:val="none" w:sz="0" w:space="0" w:color="auto"/>
                          </w:divBdr>
                          <w:divsChild>
                            <w:div w:id="464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95617">
      <w:bodyDiv w:val="1"/>
      <w:marLeft w:val="0"/>
      <w:marRight w:val="0"/>
      <w:marTop w:val="0"/>
      <w:marBottom w:val="0"/>
      <w:divBdr>
        <w:top w:val="none" w:sz="0" w:space="0" w:color="auto"/>
        <w:left w:val="none" w:sz="0" w:space="0" w:color="auto"/>
        <w:bottom w:val="none" w:sz="0" w:space="0" w:color="auto"/>
        <w:right w:val="none" w:sz="0" w:space="0" w:color="auto"/>
      </w:divBdr>
    </w:div>
    <w:div w:id="244998164">
      <w:bodyDiv w:val="1"/>
      <w:marLeft w:val="0"/>
      <w:marRight w:val="0"/>
      <w:marTop w:val="0"/>
      <w:marBottom w:val="0"/>
      <w:divBdr>
        <w:top w:val="none" w:sz="0" w:space="0" w:color="auto"/>
        <w:left w:val="none" w:sz="0" w:space="0" w:color="auto"/>
        <w:bottom w:val="none" w:sz="0" w:space="0" w:color="auto"/>
        <w:right w:val="none" w:sz="0" w:space="0" w:color="auto"/>
      </w:divBdr>
    </w:div>
    <w:div w:id="309410698">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26058443">
      <w:bodyDiv w:val="1"/>
      <w:marLeft w:val="0"/>
      <w:marRight w:val="0"/>
      <w:marTop w:val="0"/>
      <w:marBottom w:val="0"/>
      <w:divBdr>
        <w:top w:val="none" w:sz="0" w:space="0" w:color="auto"/>
        <w:left w:val="none" w:sz="0" w:space="0" w:color="auto"/>
        <w:bottom w:val="none" w:sz="0" w:space="0" w:color="auto"/>
        <w:right w:val="none" w:sz="0" w:space="0" w:color="auto"/>
      </w:divBdr>
    </w:div>
    <w:div w:id="1067804370">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66185169">
      <w:bodyDiv w:val="1"/>
      <w:marLeft w:val="0"/>
      <w:marRight w:val="0"/>
      <w:marTop w:val="0"/>
      <w:marBottom w:val="0"/>
      <w:divBdr>
        <w:top w:val="none" w:sz="0" w:space="0" w:color="auto"/>
        <w:left w:val="none" w:sz="0" w:space="0" w:color="auto"/>
        <w:bottom w:val="none" w:sz="0" w:space="0" w:color="auto"/>
        <w:right w:val="none" w:sz="0" w:space="0" w:color="auto"/>
      </w:divBdr>
      <w:divsChild>
        <w:div w:id="444276717">
          <w:marLeft w:val="0"/>
          <w:marRight w:val="0"/>
          <w:marTop w:val="0"/>
          <w:marBottom w:val="0"/>
          <w:divBdr>
            <w:top w:val="none" w:sz="0" w:space="0" w:color="auto"/>
            <w:left w:val="none" w:sz="0" w:space="0" w:color="auto"/>
            <w:bottom w:val="none" w:sz="0" w:space="0" w:color="auto"/>
            <w:right w:val="none" w:sz="0" w:space="0" w:color="auto"/>
          </w:divBdr>
          <w:divsChild>
            <w:div w:id="1487015551">
              <w:marLeft w:val="0"/>
              <w:marRight w:val="0"/>
              <w:marTop w:val="0"/>
              <w:marBottom w:val="0"/>
              <w:divBdr>
                <w:top w:val="none" w:sz="0" w:space="0" w:color="auto"/>
                <w:left w:val="none" w:sz="0" w:space="0" w:color="auto"/>
                <w:bottom w:val="none" w:sz="0" w:space="0" w:color="auto"/>
                <w:right w:val="none" w:sz="0" w:space="0" w:color="auto"/>
              </w:divBdr>
              <w:divsChild>
                <w:div w:id="1456174851">
                  <w:marLeft w:val="0"/>
                  <w:marRight w:val="0"/>
                  <w:marTop w:val="0"/>
                  <w:marBottom w:val="0"/>
                  <w:divBdr>
                    <w:top w:val="none" w:sz="0" w:space="0" w:color="auto"/>
                    <w:left w:val="none" w:sz="0" w:space="0" w:color="auto"/>
                    <w:bottom w:val="none" w:sz="0" w:space="0" w:color="auto"/>
                    <w:right w:val="none" w:sz="0" w:space="0" w:color="auto"/>
                  </w:divBdr>
                  <w:divsChild>
                    <w:div w:id="2093239667">
                      <w:marLeft w:val="0"/>
                      <w:marRight w:val="0"/>
                      <w:marTop w:val="0"/>
                      <w:marBottom w:val="0"/>
                      <w:divBdr>
                        <w:top w:val="none" w:sz="0" w:space="0" w:color="auto"/>
                        <w:left w:val="none" w:sz="0" w:space="0" w:color="auto"/>
                        <w:bottom w:val="none" w:sz="0" w:space="0" w:color="auto"/>
                        <w:right w:val="none" w:sz="0" w:space="0" w:color="auto"/>
                      </w:divBdr>
                      <w:divsChild>
                        <w:div w:id="709837684">
                          <w:marLeft w:val="0"/>
                          <w:marRight w:val="0"/>
                          <w:marTop w:val="0"/>
                          <w:marBottom w:val="0"/>
                          <w:divBdr>
                            <w:top w:val="none" w:sz="0" w:space="0" w:color="auto"/>
                            <w:left w:val="none" w:sz="0" w:space="0" w:color="auto"/>
                            <w:bottom w:val="none" w:sz="0" w:space="0" w:color="auto"/>
                            <w:right w:val="none" w:sz="0" w:space="0" w:color="auto"/>
                          </w:divBdr>
                          <w:divsChild>
                            <w:div w:id="1282760548">
                              <w:marLeft w:val="0"/>
                              <w:marRight w:val="0"/>
                              <w:marTop w:val="0"/>
                              <w:marBottom w:val="0"/>
                              <w:divBdr>
                                <w:top w:val="none" w:sz="0" w:space="0" w:color="auto"/>
                                <w:left w:val="none" w:sz="0" w:space="0" w:color="auto"/>
                                <w:bottom w:val="none" w:sz="0" w:space="0" w:color="auto"/>
                                <w:right w:val="none" w:sz="0" w:space="0" w:color="auto"/>
                              </w:divBdr>
                              <w:divsChild>
                                <w:div w:id="691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93840">
      <w:bodyDiv w:val="1"/>
      <w:marLeft w:val="0"/>
      <w:marRight w:val="0"/>
      <w:marTop w:val="0"/>
      <w:marBottom w:val="0"/>
      <w:divBdr>
        <w:top w:val="none" w:sz="0" w:space="0" w:color="auto"/>
        <w:left w:val="none" w:sz="0" w:space="0" w:color="auto"/>
        <w:bottom w:val="none" w:sz="0" w:space="0" w:color="auto"/>
        <w:right w:val="none" w:sz="0" w:space="0" w:color="auto"/>
      </w:divBdr>
    </w:div>
    <w:div w:id="1403722680">
      <w:bodyDiv w:val="1"/>
      <w:marLeft w:val="0"/>
      <w:marRight w:val="0"/>
      <w:marTop w:val="0"/>
      <w:marBottom w:val="0"/>
      <w:divBdr>
        <w:top w:val="none" w:sz="0" w:space="0" w:color="auto"/>
        <w:left w:val="none" w:sz="0" w:space="0" w:color="auto"/>
        <w:bottom w:val="none" w:sz="0" w:space="0" w:color="auto"/>
        <w:right w:val="none" w:sz="0" w:space="0" w:color="auto"/>
      </w:divBdr>
      <w:divsChild>
        <w:div w:id="1866476716">
          <w:marLeft w:val="0"/>
          <w:marRight w:val="0"/>
          <w:marTop w:val="0"/>
          <w:marBottom w:val="0"/>
          <w:divBdr>
            <w:top w:val="none" w:sz="0" w:space="0" w:color="auto"/>
            <w:left w:val="none" w:sz="0" w:space="0" w:color="auto"/>
            <w:bottom w:val="none" w:sz="0" w:space="0" w:color="auto"/>
            <w:right w:val="none" w:sz="0" w:space="0" w:color="auto"/>
          </w:divBdr>
          <w:divsChild>
            <w:div w:id="549418696">
              <w:marLeft w:val="0"/>
              <w:marRight w:val="0"/>
              <w:marTop w:val="0"/>
              <w:marBottom w:val="0"/>
              <w:divBdr>
                <w:top w:val="none" w:sz="0" w:space="0" w:color="auto"/>
                <w:left w:val="none" w:sz="0" w:space="0" w:color="auto"/>
                <w:bottom w:val="none" w:sz="0" w:space="0" w:color="auto"/>
                <w:right w:val="none" w:sz="0" w:space="0" w:color="auto"/>
              </w:divBdr>
              <w:divsChild>
                <w:div w:id="1840922326">
                  <w:marLeft w:val="0"/>
                  <w:marRight w:val="0"/>
                  <w:marTop w:val="0"/>
                  <w:marBottom w:val="0"/>
                  <w:divBdr>
                    <w:top w:val="none" w:sz="0" w:space="0" w:color="auto"/>
                    <w:left w:val="none" w:sz="0" w:space="0" w:color="auto"/>
                    <w:bottom w:val="none" w:sz="0" w:space="0" w:color="auto"/>
                    <w:right w:val="none" w:sz="0" w:space="0" w:color="auto"/>
                  </w:divBdr>
                  <w:divsChild>
                    <w:div w:id="1635216341">
                      <w:marLeft w:val="0"/>
                      <w:marRight w:val="0"/>
                      <w:marTop w:val="0"/>
                      <w:marBottom w:val="0"/>
                      <w:divBdr>
                        <w:top w:val="none" w:sz="0" w:space="0" w:color="auto"/>
                        <w:left w:val="none" w:sz="0" w:space="0" w:color="auto"/>
                        <w:bottom w:val="none" w:sz="0" w:space="0" w:color="auto"/>
                        <w:right w:val="none" w:sz="0" w:space="0" w:color="auto"/>
                      </w:divBdr>
                      <w:divsChild>
                        <w:div w:id="1823041963">
                          <w:marLeft w:val="0"/>
                          <w:marRight w:val="0"/>
                          <w:marTop w:val="0"/>
                          <w:marBottom w:val="0"/>
                          <w:divBdr>
                            <w:top w:val="none" w:sz="0" w:space="0" w:color="auto"/>
                            <w:left w:val="none" w:sz="0" w:space="0" w:color="auto"/>
                            <w:bottom w:val="none" w:sz="0" w:space="0" w:color="auto"/>
                            <w:right w:val="none" w:sz="0" w:space="0" w:color="auto"/>
                          </w:divBdr>
                          <w:divsChild>
                            <w:div w:id="5673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569802329">
      <w:bodyDiv w:val="1"/>
      <w:marLeft w:val="0"/>
      <w:marRight w:val="0"/>
      <w:marTop w:val="0"/>
      <w:marBottom w:val="0"/>
      <w:divBdr>
        <w:top w:val="none" w:sz="0" w:space="0" w:color="auto"/>
        <w:left w:val="none" w:sz="0" w:space="0" w:color="auto"/>
        <w:bottom w:val="none" w:sz="0" w:space="0" w:color="auto"/>
        <w:right w:val="none" w:sz="0" w:space="0" w:color="auto"/>
      </w:divBdr>
    </w:div>
    <w:div w:id="1792549792">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lena.Kuhalska@f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m.gov.lv/files/nodoklupolitika/18-12-2015_PwC%20Zinojum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wc.com/lv/lv.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7</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DB80BBC-4542-4F46-A742-D4A846E64D33}">
  <ds:schemaRefs>
    <ds:schemaRef ds:uri="http://schemas.microsoft.com/sharepoint/v3/contenttype/forms"/>
  </ds:schemaRefs>
</ds:datastoreItem>
</file>

<file path=customXml/itemProps2.xml><?xml version="1.0" encoding="utf-8"?>
<ds:datastoreItem xmlns:ds="http://schemas.openxmlformats.org/officeDocument/2006/customXml" ds:itemID="{7B87346C-0C43-4220-866D-05E3652FDA13}">
  <ds:schemaRefs>
    <ds:schemaRef ds:uri="http://purl.org/dc/terms/"/>
    <ds:schemaRef ds:uri="http://purl.org/dc/dcmitype/"/>
    <ds:schemaRef ds:uri="2e5bb04e-596e-45bd-9003-43ca78b1ba16"/>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382C207-165A-4319-97B9-16307A86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66B4AF-D9F7-4A0B-998C-C5C9A444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12311</Words>
  <Characters>7018</Characters>
  <Application>Microsoft Office Word</Application>
  <DocSecurity>0</DocSecurity>
  <Lines>58</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Likumprojekta “Grozījumi Pievienotās vērtības nodokļa likumā” sākotnējās ietekmes novērtējuma ziņojums (anotācija)</vt:lpstr>
      <vt:lpstr>Likumprojekts „Grozījumi PVN likumā”</vt:lpstr>
    </vt:vector>
  </TitlesOfParts>
  <Company>Finanšu ministrija</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Pievienotās vērtības nodokļa likumā” sākotnējās ietekmes novērtējuma ziņojums (anotācija)</dc:title>
  <dc:subject>Anotācija</dc:subject>
  <dc:creator>Jeļena Kuhaļska</dc:creator>
  <dc:description>Jelena.Kuhalska@fm.gov.lv_x000d_
67083849</dc:description>
  <cp:lastModifiedBy>Jeļena Kuhaļska</cp:lastModifiedBy>
  <cp:revision>69</cp:revision>
  <cp:lastPrinted>2016-05-10T06:38:00Z</cp:lastPrinted>
  <dcterms:created xsi:type="dcterms:W3CDTF">2016-05-16T11:18:00Z</dcterms:created>
  <dcterms:modified xsi:type="dcterms:W3CDTF">2016-05-20T12:12:00Z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