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83" w:rsidRDefault="002D0EFF" w:rsidP="002D0EFF">
      <w:pPr>
        <w:jc w:val="center"/>
        <w:rPr>
          <w:b/>
          <w:sz w:val="28"/>
          <w:szCs w:val="28"/>
        </w:rPr>
      </w:pPr>
      <w:r w:rsidRPr="002D0EFF">
        <w:rPr>
          <w:b/>
          <w:sz w:val="28"/>
          <w:szCs w:val="28"/>
        </w:rPr>
        <w:t xml:space="preserve">Informatīvais ziņojums "Par Valsts analīzes centra un Monētu </w:t>
      </w:r>
      <w:r w:rsidR="003A594F">
        <w:rPr>
          <w:b/>
          <w:sz w:val="28"/>
          <w:szCs w:val="28"/>
        </w:rPr>
        <w:t>v</w:t>
      </w:r>
      <w:r w:rsidRPr="002D0EFF">
        <w:rPr>
          <w:b/>
          <w:sz w:val="28"/>
          <w:szCs w:val="28"/>
        </w:rPr>
        <w:t>alsts analīzes centra funkciju izpildi"</w:t>
      </w:r>
    </w:p>
    <w:p w:rsidR="002D0EFF" w:rsidRPr="002D0EFF" w:rsidRDefault="002D0EFF" w:rsidP="002D0EFF">
      <w:pPr>
        <w:jc w:val="center"/>
        <w:rPr>
          <w:b/>
          <w:szCs w:val="24"/>
        </w:rPr>
      </w:pPr>
    </w:p>
    <w:p w:rsidR="003941FD" w:rsidRDefault="003941FD" w:rsidP="002D0EFF">
      <w:pPr>
        <w:rPr>
          <w:b/>
          <w:szCs w:val="24"/>
        </w:rPr>
      </w:pPr>
    </w:p>
    <w:p w:rsidR="00EC145E" w:rsidRDefault="00EC145E" w:rsidP="002D0EFF">
      <w:pPr>
        <w:rPr>
          <w:b/>
          <w:szCs w:val="24"/>
        </w:rPr>
      </w:pPr>
    </w:p>
    <w:p w:rsidR="002D0EFF" w:rsidRDefault="002D0EFF" w:rsidP="002D0EFF">
      <w:pPr>
        <w:rPr>
          <w:b/>
          <w:szCs w:val="24"/>
        </w:rPr>
      </w:pPr>
      <w:r w:rsidRPr="002D0EFF">
        <w:rPr>
          <w:b/>
          <w:szCs w:val="24"/>
        </w:rPr>
        <w:t xml:space="preserve">I. </w:t>
      </w:r>
      <w:r w:rsidR="003941FD">
        <w:rPr>
          <w:b/>
          <w:szCs w:val="24"/>
        </w:rPr>
        <w:t>Regulējuma un s</w:t>
      </w:r>
      <w:r w:rsidRPr="002D0EFF">
        <w:rPr>
          <w:b/>
          <w:szCs w:val="24"/>
        </w:rPr>
        <w:t>ituācijas raksturojums</w:t>
      </w:r>
    </w:p>
    <w:p w:rsidR="00C735E2" w:rsidRDefault="00C735E2" w:rsidP="002D0EFF">
      <w:pPr>
        <w:rPr>
          <w:b/>
          <w:szCs w:val="24"/>
        </w:rPr>
      </w:pPr>
    </w:p>
    <w:p w:rsidR="003F30A5" w:rsidRPr="00A35ECD" w:rsidRDefault="003F30A5" w:rsidP="00B27A34">
      <w:pPr>
        <w:rPr>
          <w:szCs w:val="24"/>
        </w:rPr>
      </w:pPr>
      <w:r>
        <w:t xml:space="preserve">Naudas zīmju viltošanas novēršanas jautājumus starptautiskā līmenī regulē 1929. gada 20. aprīļa Ženēvas Starptautiskā konvencija par naudas viltošanas novēršanu, </w:t>
      </w:r>
      <w:r w:rsidR="00857353">
        <w:t xml:space="preserve">savukārt </w:t>
      </w:r>
      <w:r>
        <w:t xml:space="preserve">Eiropas Savienības līmenī </w:t>
      </w:r>
      <w:r w:rsidRPr="004860CA">
        <w:t>–</w:t>
      </w:r>
      <w:r>
        <w:t xml:space="preserve"> </w:t>
      </w:r>
      <w:r w:rsidRPr="0023394A">
        <w:t>Eiropas Padomes 2001. gada 28. jūnija Regula (EK) Nr.</w:t>
      </w:r>
      <w:r w:rsidR="00857353">
        <w:t> </w:t>
      </w:r>
      <w:r w:rsidRPr="0023394A">
        <w:t xml:space="preserve">1338/2001, ar kuru paredz pasākumus, kas vajadzīgi </w:t>
      </w:r>
      <w:proofErr w:type="spellStart"/>
      <w:r w:rsidR="005C4EBF" w:rsidRPr="0003628E">
        <w:rPr>
          <w:i/>
        </w:rPr>
        <w:t>euro</w:t>
      </w:r>
      <w:proofErr w:type="spellEnd"/>
      <w:r w:rsidRPr="0023394A">
        <w:t xml:space="preserve"> aizsardzības pret viltošanu</w:t>
      </w:r>
      <w:r w:rsidR="00A35ECD">
        <w:t>, un Eiropas Centrālās bankas 2001. gada 8. novembra lēmums ECB/2001/11</w:t>
      </w:r>
      <w:r w:rsidR="00A35ECD" w:rsidRPr="00A35ECD">
        <w:rPr>
          <w:rFonts w:ascii="Tahoma" w:hAnsi="Tahoma" w:cs="Tahoma"/>
          <w:color w:val="444444"/>
          <w:sz w:val="19"/>
          <w:szCs w:val="19"/>
        </w:rPr>
        <w:t xml:space="preserve"> </w:t>
      </w:r>
      <w:r w:rsidR="00A35ECD" w:rsidRPr="00A35ECD">
        <w:rPr>
          <w:szCs w:val="24"/>
        </w:rPr>
        <w:t>par dažiem nosacījumiem attiecībā uz piekļuvi naudas viltojumu uzraudzības sistēmai</w:t>
      </w:r>
      <w:r w:rsidRPr="00A35ECD">
        <w:rPr>
          <w:szCs w:val="24"/>
        </w:rPr>
        <w:t>.</w:t>
      </w:r>
    </w:p>
    <w:p w:rsidR="003F30A5" w:rsidRDefault="003F30A5" w:rsidP="00B27A34"/>
    <w:p w:rsidR="00B27A34" w:rsidRPr="0023394A" w:rsidRDefault="003F30A5" w:rsidP="00B27A34">
      <w:r>
        <w:t>Minētie tiesību akti paredz</w:t>
      </w:r>
      <w:r w:rsidR="00B27A34" w:rsidRPr="0023394A">
        <w:t xml:space="preserve"> šādu </w:t>
      </w:r>
      <w:r w:rsidR="0049271D">
        <w:t>centru</w:t>
      </w:r>
      <w:r w:rsidR="000B4DA8">
        <w:t xml:space="preserve"> </w:t>
      </w:r>
      <w:r w:rsidR="00B27A34" w:rsidRPr="0023394A">
        <w:t>izveidi:</w:t>
      </w:r>
    </w:p>
    <w:p w:rsidR="00B27A34" w:rsidRPr="004860CA" w:rsidRDefault="00B27A34" w:rsidP="003F30A5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</w:pPr>
      <w:r w:rsidRPr="004860CA">
        <w:t xml:space="preserve">Valsts analīzes centrs </w:t>
      </w:r>
      <w:r>
        <w:t>(</w:t>
      </w:r>
      <w:r w:rsidRPr="004860CA">
        <w:rPr>
          <w:i/>
        </w:rPr>
        <w:t xml:space="preserve">National </w:t>
      </w:r>
      <w:proofErr w:type="spellStart"/>
      <w:r w:rsidRPr="004860CA">
        <w:rPr>
          <w:i/>
        </w:rPr>
        <w:t>Analys</w:t>
      </w:r>
      <w:r w:rsidR="00CD539C" w:rsidRPr="00650D0D">
        <w:rPr>
          <w:i/>
        </w:rPr>
        <w:t>is</w:t>
      </w:r>
      <w:proofErr w:type="spellEnd"/>
      <w:r w:rsidRPr="004860CA">
        <w:rPr>
          <w:i/>
        </w:rPr>
        <w:t xml:space="preserve"> </w:t>
      </w:r>
      <w:proofErr w:type="spellStart"/>
      <w:r w:rsidRPr="004860CA">
        <w:rPr>
          <w:i/>
        </w:rPr>
        <w:t>Centre</w:t>
      </w:r>
      <w:proofErr w:type="spellEnd"/>
      <w:r w:rsidRPr="004860CA">
        <w:t xml:space="preserve">), kas veic aizdomīgu </w:t>
      </w:r>
      <w:proofErr w:type="spellStart"/>
      <w:r w:rsidR="005C4EBF" w:rsidRPr="0003628E">
        <w:rPr>
          <w:i/>
        </w:rPr>
        <w:t>euro</w:t>
      </w:r>
      <w:proofErr w:type="spellEnd"/>
      <w:r w:rsidRPr="004860CA">
        <w:rPr>
          <w:i/>
        </w:rPr>
        <w:t xml:space="preserve"> </w:t>
      </w:r>
      <w:r w:rsidRPr="004860CA">
        <w:t xml:space="preserve">banknošu identifikāciju un analīzi, viltojumu klasifikāciju un rezultātu ievadi Eiropas Centrālās bankas </w:t>
      </w:r>
      <w:r w:rsidR="00D6229F">
        <w:t>naudas viltojumu uzraudzības sistēmā</w:t>
      </w:r>
      <w:r w:rsidRPr="004860CA">
        <w:t xml:space="preserve"> (</w:t>
      </w:r>
      <w:proofErr w:type="spellStart"/>
      <w:r w:rsidRPr="004860CA">
        <w:rPr>
          <w:i/>
        </w:rPr>
        <w:t>Counterfeit</w:t>
      </w:r>
      <w:proofErr w:type="spellEnd"/>
      <w:r w:rsidRPr="004860CA">
        <w:rPr>
          <w:i/>
        </w:rPr>
        <w:t xml:space="preserve"> Monitoring </w:t>
      </w:r>
      <w:proofErr w:type="spellStart"/>
      <w:r w:rsidRPr="004860CA">
        <w:rPr>
          <w:i/>
        </w:rPr>
        <w:t>System</w:t>
      </w:r>
      <w:proofErr w:type="spellEnd"/>
      <w:r w:rsidRPr="004860CA">
        <w:t>) (tālāk tekstā – CMS sistēma);</w:t>
      </w:r>
    </w:p>
    <w:p w:rsidR="00B27A34" w:rsidRDefault="00B27A34" w:rsidP="002B2D2A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</w:pPr>
      <w:r w:rsidRPr="004860CA">
        <w:t xml:space="preserve">Monētu Valsts analīzes centrs </w:t>
      </w:r>
      <w:r>
        <w:t>(</w:t>
      </w:r>
      <w:proofErr w:type="spellStart"/>
      <w:r w:rsidRPr="004860CA">
        <w:rPr>
          <w:i/>
        </w:rPr>
        <w:t>Coin</w:t>
      </w:r>
      <w:proofErr w:type="spellEnd"/>
      <w:r w:rsidRPr="004860CA">
        <w:rPr>
          <w:i/>
        </w:rPr>
        <w:t xml:space="preserve"> National </w:t>
      </w:r>
      <w:proofErr w:type="spellStart"/>
      <w:r w:rsidRPr="004860CA">
        <w:rPr>
          <w:i/>
        </w:rPr>
        <w:t>Analysis</w:t>
      </w:r>
      <w:proofErr w:type="spellEnd"/>
      <w:r w:rsidRPr="004860CA">
        <w:rPr>
          <w:i/>
        </w:rPr>
        <w:t xml:space="preserve"> </w:t>
      </w:r>
      <w:proofErr w:type="spellStart"/>
      <w:r w:rsidRPr="004860CA">
        <w:rPr>
          <w:i/>
        </w:rPr>
        <w:t>Centre</w:t>
      </w:r>
      <w:proofErr w:type="spellEnd"/>
      <w:r>
        <w:t>)</w:t>
      </w:r>
      <w:r w:rsidRPr="004860CA">
        <w:t xml:space="preserve">, kas veic aizdomīgu </w:t>
      </w:r>
      <w:proofErr w:type="spellStart"/>
      <w:r w:rsidR="005C4EBF" w:rsidRPr="0003628E">
        <w:rPr>
          <w:i/>
        </w:rPr>
        <w:t>euro</w:t>
      </w:r>
      <w:proofErr w:type="spellEnd"/>
      <w:r w:rsidRPr="004860CA">
        <w:t xml:space="preserve"> monētu </w:t>
      </w:r>
      <w:r w:rsidR="00145DF5" w:rsidRPr="004860CA">
        <w:t>identifikāciju un analīzi</w:t>
      </w:r>
      <w:r w:rsidRPr="004860CA">
        <w:t>, viltojumu klasifikāciju un rezultātu ievadi CMS sistēmā;</w:t>
      </w:r>
    </w:p>
    <w:p w:rsidR="00B27A34" w:rsidRPr="005A2E8A" w:rsidRDefault="00B27A34" w:rsidP="002B2D2A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</w:pPr>
      <w:r w:rsidRPr="004860CA">
        <w:rPr>
          <w:rFonts w:ascii="LifeL2-Roman" w:hAnsi="LifeL2-Roman" w:cs="LifeL2-Roman"/>
          <w:lang w:eastAsia="lv-LV"/>
        </w:rPr>
        <w:t xml:space="preserve">Valsts centrālais birojs </w:t>
      </w:r>
      <w:r>
        <w:rPr>
          <w:rFonts w:ascii="LifeL2-Roman" w:hAnsi="LifeL2-Roman" w:cs="LifeL2-Roman"/>
          <w:lang w:eastAsia="lv-LV"/>
        </w:rPr>
        <w:t>(</w:t>
      </w:r>
      <w:r w:rsidRPr="004860CA">
        <w:rPr>
          <w:rFonts w:ascii="LifeL2-Roman" w:hAnsi="LifeL2-Roman" w:cs="LifeL2-Roman"/>
          <w:i/>
          <w:lang w:eastAsia="lv-LV"/>
        </w:rPr>
        <w:t xml:space="preserve">National </w:t>
      </w:r>
      <w:proofErr w:type="spellStart"/>
      <w:r w:rsidRPr="004860CA">
        <w:rPr>
          <w:rFonts w:ascii="LifeL2-Roman" w:hAnsi="LifeL2-Roman" w:cs="LifeL2-Roman"/>
          <w:i/>
          <w:lang w:eastAsia="lv-LV"/>
        </w:rPr>
        <w:t>Central</w:t>
      </w:r>
      <w:proofErr w:type="spellEnd"/>
      <w:r w:rsidRPr="004860CA">
        <w:rPr>
          <w:rFonts w:ascii="LifeL2-Roman" w:hAnsi="LifeL2-Roman" w:cs="LifeL2-Roman"/>
          <w:i/>
          <w:lang w:eastAsia="lv-LV"/>
        </w:rPr>
        <w:t xml:space="preserve"> Office</w:t>
      </w:r>
      <w:r w:rsidRPr="004860CA">
        <w:rPr>
          <w:rFonts w:ascii="LifeL2-Roman" w:hAnsi="LifeL2-Roman" w:cs="LifeL2-Roman"/>
          <w:lang w:eastAsia="lv-LV"/>
        </w:rPr>
        <w:t>), kas</w:t>
      </w:r>
      <w:r w:rsidRPr="004860CA">
        <w:rPr>
          <w:lang w:eastAsia="lv-LV"/>
        </w:rPr>
        <w:t xml:space="preserve"> apkopo </w:t>
      </w:r>
      <w:r w:rsidR="006F21C0">
        <w:rPr>
          <w:lang w:eastAsia="lv-LV"/>
        </w:rPr>
        <w:t>un anal</w:t>
      </w:r>
      <w:r w:rsidR="00BC7977">
        <w:rPr>
          <w:lang w:eastAsia="lv-LV"/>
        </w:rPr>
        <w:t>i</w:t>
      </w:r>
      <w:r w:rsidR="006F21C0">
        <w:rPr>
          <w:lang w:eastAsia="lv-LV"/>
        </w:rPr>
        <w:t xml:space="preserve">zē </w:t>
      </w:r>
      <w:r w:rsidRPr="004860CA">
        <w:rPr>
          <w:lang w:eastAsia="lv-LV"/>
        </w:rPr>
        <w:t>informāciju par vilto</w:t>
      </w:r>
      <w:r w:rsidR="006F21C0">
        <w:rPr>
          <w:lang w:eastAsia="lv-LV"/>
        </w:rPr>
        <w:t>jumiem</w:t>
      </w:r>
      <w:r w:rsidRPr="004860CA">
        <w:rPr>
          <w:lang w:eastAsia="lv-LV"/>
        </w:rPr>
        <w:t xml:space="preserve">, sniedz palīdzību viltošanas novēršanā </w:t>
      </w:r>
      <w:r w:rsidRPr="005A2E8A">
        <w:rPr>
          <w:lang w:eastAsia="lv-LV"/>
        </w:rPr>
        <w:t>un apkarošanā;</w:t>
      </w:r>
    </w:p>
    <w:p w:rsidR="00B27A34" w:rsidRPr="004860CA" w:rsidRDefault="0006765A" w:rsidP="002B2D2A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</w:pPr>
      <w:r w:rsidRPr="00D6229F">
        <w:t>Valsts naudas viltojumu uzraudzības centrs</w:t>
      </w:r>
      <w:r w:rsidR="00B27A34" w:rsidRPr="004860CA">
        <w:t xml:space="preserve"> </w:t>
      </w:r>
      <w:r w:rsidR="00B27A34">
        <w:t>(</w:t>
      </w:r>
      <w:r w:rsidR="00B27A34" w:rsidRPr="004860CA">
        <w:rPr>
          <w:rFonts w:ascii="LifeL2-Roman" w:hAnsi="LifeL2-Roman" w:cs="LifeL2-Roman"/>
          <w:i/>
          <w:lang w:eastAsia="lv-LV"/>
        </w:rPr>
        <w:t xml:space="preserve">National </w:t>
      </w:r>
      <w:proofErr w:type="spellStart"/>
      <w:r w:rsidR="00B27A34" w:rsidRPr="004860CA">
        <w:rPr>
          <w:rFonts w:ascii="LifeL2-Roman" w:hAnsi="LifeL2-Roman" w:cs="LifeL2-Roman"/>
          <w:i/>
          <w:lang w:eastAsia="lv-LV"/>
        </w:rPr>
        <w:t>Counterfeit</w:t>
      </w:r>
      <w:proofErr w:type="spellEnd"/>
      <w:r w:rsidR="00B27A34" w:rsidRPr="004860CA">
        <w:rPr>
          <w:rFonts w:ascii="LifeL2-Roman" w:hAnsi="LifeL2-Roman" w:cs="LifeL2-Roman"/>
          <w:i/>
          <w:lang w:eastAsia="lv-LV"/>
        </w:rPr>
        <w:t xml:space="preserve"> </w:t>
      </w:r>
      <w:proofErr w:type="spellStart"/>
      <w:r w:rsidR="00B27A34" w:rsidRPr="004860CA">
        <w:rPr>
          <w:rFonts w:ascii="LifeL2-Roman" w:hAnsi="LifeL2-Roman" w:cs="LifeL2-Roman"/>
          <w:i/>
          <w:lang w:eastAsia="lv-LV"/>
        </w:rPr>
        <w:t>Centre</w:t>
      </w:r>
      <w:proofErr w:type="spellEnd"/>
      <w:r w:rsidR="00B27A34" w:rsidRPr="004860CA">
        <w:rPr>
          <w:rFonts w:ascii="LifeL2-Roman" w:hAnsi="LifeL2-Roman" w:cs="LifeL2-Roman"/>
          <w:lang w:eastAsia="lv-LV"/>
        </w:rPr>
        <w:t xml:space="preserve">), kas veic CMS sistēmas lietotāju administrēšanu, </w:t>
      </w:r>
      <w:proofErr w:type="spellStart"/>
      <w:r w:rsidR="005C4EBF" w:rsidRPr="0003628E">
        <w:rPr>
          <w:i/>
        </w:rPr>
        <w:t>euro</w:t>
      </w:r>
      <w:proofErr w:type="spellEnd"/>
      <w:r w:rsidR="00B27A34" w:rsidRPr="004860CA">
        <w:rPr>
          <w:rFonts w:ascii="LifeL2-Roman" w:hAnsi="LifeL2-Roman" w:cs="LifeL2-Roman"/>
          <w:lang w:eastAsia="lv-LV"/>
        </w:rPr>
        <w:t xml:space="preserve"> viltojumu tehniskās un statistiskās informācijas apkopošanu un analīzi, profesionālo naudas lietotāju apmācību par </w:t>
      </w:r>
      <w:proofErr w:type="spellStart"/>
      <w:r w:rsidR="005C4EBF" w:rsidRPr="0003628E">
        <w:rPr>
          <w:i/>
        </w:rPr>
        <w:t>euro</w:t>
      </w:r>
      <w:proofErr w:type="spellEnd"/>
      <w:r w:rsidR="00B27A34" w:rsidRPr="004860CA">
        <w:rPr>
          <w:rFonts w:ascii="LifeL2-Roman" w:hAnsi="LifeL2-Roman" w:cs="LifeL2-Roman"/>
          <w:lang w:eastAsia="lv-LV"/>
        </w:rPr>
        <w:t xml:space="preserve"> naudas zīmju drošības pazīmēm un viltojumiem.</w:t>
      </w:r>
    </w:p>
    <w:p w:rsidR="00B27A34" w:rsidRPr="0023394A" w:rsidRDefault="00B27A34" w:rsidP="00B27A34"/>
    <w:p w:rsidR="00B27A34" w:rsidRDefault="009628B9" w:rsidP="00B27A34">
      <w:pPr>
        <w:rPr>
          <w:iCs/>
        </w:rPr>
      </w:pPr>
      <w:r>
        <w:t xml:space="preserve">Atbilstoši Ministru kabineta 2004. gada 17. februāra sēdes </w:t>
      </w:r>
      <w:proofErr w:type="spellStart"/>
      <w:r>
        <w:t>protokollēmumam</w:t>
      </w:r>
      <w:proofErr w:type="spellEnd"/>
      <w:r>
        <w:t xml:space="preserve"> (protokols Nr. 7., 1.§, 4.1. un 4.2. apakšpunkts) </w:t>
      </w:r>
      <w:r w:rsidR="003A594F" w:rsidRPr="004860CA">
        <w:t>Valsts analīzes centr</w:t>
      </w:r>
      <w:r w:rsidR="003A594F">
        <w:t>a</w:t>
      </w:r>
      <w:r w:rsidR="003A594F" w:rsidRPr="004860CA">
        <w:t xml:space="preserve"> </w:t>
      </w:r>
      <w:r w:rsidR="003A594F">
        <w:t xml:space="preserve">un </w:t>
      </w:r>
      <w:r w:rsidR="003A594F" w:rsidRPr="003A594F">
        <w:rPr>
          <w:szCs w:val="24"/>
        </w:rPr>
        <w:t>Monētu valsts analīzes centra</w:t>
      </w:r>
      <w:r w:rsidR="003A594F" w:rsidRPr="0023394A">
        <w:t xml:space="preserve"> </w:t>
      </w:r>
      <w:r w:rsidR="00B27A34" w:rsidRPr="0023394A">
        <w:t>funkcijas šobrīd veic Valsts pol</w:t>
      </w:r>
      <w:r>
        <w:t>icijas Kriminālistikas pārvalde, bet</w:t>
      </w:r>
      <w:r w:rsidR="00B27A34" w:rsidRPr="0023394A">
        <w:t xml:space="preserve"> </w:t>
      </w:r>
      <w:r w:rsidR="003A594F">
        <w:t>Valsts centrālā biroja</w:t>
      </w:r>
      <w:r w:rsidR="00B27A34" w:rsidRPr="0023394A">
        <w:t xml:space="preserve"> funkcijas veic </w:t>
      </w:r>
      <w:r w:rsidR="00B27A34" w:rsidRPr="0023394A">
        <w:rPr>
          <w:iCs/>
        </w:rPr>
        <w:t xml:space="preserve">Valsts policijas Galvenās kriminālpolicijas pārvaldes Ekonomisko noziegumu apkarošanas pārvalde. </w:t>
      </w:r>
      <w:r w:rsidR="0006765A" w:rsidRPr="00D6229F">
        <w:t>Valsts naudas viltojumu uzraudzības centra</w:t>
      </w:r>
      <w:r w:rsidR="00B27A34" w:rsidRPr="0023394A">
        <w:rPr>
          <w:iCs/>
        </w:rPr>
        <w:t xml:space="preserve"> funkcijas veic Latvijas Banka.</w:t>
      </w:r>
    </w:p>
    <w:p w:rsidR="00B27A34" w:rsidRDefault="00B27A34" w:rsidP="00B27A34">
      <w:pPr>
        <w:rPr>
          <w:iCs/>
        </w:rPr>
      </w:pPr>
    </w:p>
    <w:p w:rsidR="002F624D" w:rsidRDefault="002F624D" w:rsidP="00B27A34">
      <w:pPr>
        <w:rPr>
          <w:iCs/>
        </w:rPr>
      </w:pPr>
      <w:r>
        <w:rPr>
          <w:iCs/>
        </w:rPr>
        <w:t>Šobrīd viltojumu atklāšanas un uzskaites procesa norise ietver šādus darbības posmus:</w:t>
      </w:r>
    </w:p>
    <w:p w:rsidR="002F624D" w:rsidRDefault="002F624D" w:rsidP="00B27A34">
      <w:pPr>
        <w:rPr>
          <w:iCs/>
        </w:rPr>
      </w:pPr>
      <w:r w:rsidRPr="004860CA">
        <w:t>–</w:t>
      </w:r>
      <w:r>
        <w:t xml:space="preserve"> </w:t>
      </w:r>
      <w:r w:rsidR="00051DA0">
        <w:rPr>
          <w:iCs/>
        </w:rPr>
        <w:t>a</w:t>
      </w:r>
      <w:r w:rsidR="00B27A34">
        <w:rPr>
          <w:iCs/>
        </w:rPr>
        <w:t>izdomīg</w:t>
      </w:r>
      <w:r w:rsidR="00F65C8B">
        <w:rPr>
          <w:iCs/>
        </w:rPr>
        <w:t>a</w:t>
      </w:r>
      <w:r w:rsidR="00B27A34">
        <w:rPr>
          <w:iCs/>
        </w:rPr>
        <w:t xml:space="preserve">s naudas zīmes </w:t>
      </w:r>
      <w:r>
        <w:rPr>
          <w:iCs/>
        </w:rPr>
        <w:t xml:space="preserve">kredītiestādes, </w:t>
      </w:r>
      <w:r w:rsidR="00C56157">
        <w:t>komercsabiedrības, kas sniedz inkasācijas pakalpojumus</w:t>
      </w:r>
      <w:r>
        <w:rPr>
          <w:iCs/>
        </w:rPr>
        <w:t>, komercsabiedrības un iedzīvotāji</w:t>
      </w:r>
      <w:r w:rsidR="00B27A34">
        <w:rPr>
          <w:iCs/>
        </w:rPr>
        <w:t xml:space="preserve"> nodod Valsts policijai</w:t>
      </w:r>
      <w:r>
        <w:rPr>
          <w:iCs/>
        </w:rPr>
        <w:t>;</w:t>
      </w:r>
    </w:p>
    <w:p w:rsidR="002F624D" w:rsidRDefault="002F624D" w:rsidP="00B27A34">
      <w:pPr>
        <w:rPr>
          <w:iCs/>
        </w:rPr>
      </w:pPr>
      <w:r w:rsidRPr="004860CA">
        <w:t>–</w:t>
      </w:r>
      <w:r>
        <w:t xml:space="preserve"> Valsts policija</w:t>
      </w:r>
      <w:r w:rsidR="00B27A34">
        <w:rPr>
          <w:iCs/>
        </w:rPr>
        <w:t xml:space="preserve"> kā izmeklēšanas iestāde ierosina kriminālprocesu par naudas zīmju iespējamu viltojumu un nozīmē ekspertīzi</w:t>
      </w:r>
      <w:r>
        <w:rPr>
          <w:iCs/>
        </w:rPr>
        <w:t>;</w:t>
      </w:r>
    </w:p>
    <w:p w:rsidR="002F624D" w:rsidRDefault="002F624D" w:rsidP="00B27A34">
      <w:pPr>
        <w:rPr>
          <w:iCs/>
        </w:rPr>
      </w:pPr>
      <w:r w:rsidRPr="004860CA">
        <w:t>–</w:t>
      </w:r>
      <w:r>
        <w:t xml:space="preserve"> </w:t>
      </w:r>
      <w:r>
        <w:rPr>
          <w:iCs/>
        </w:rPr>
        <w:t>e</w:t>
      </w:r>
      <w:r w:rsidR="00B27A34">
        <w:rPr>
          <w:iCs/>
        </w:rPr>
        <w:t xml:space="preserve">kspertīzi veic </w:t>
      </w:r>
      <w:r w:rsidR="00D8339C">
        <w:rPr>
          <w:iCs/>
        </w:rPr>
        <w:t>Valsts policijas Kriminālistikas pārvalde kā</w:t>
      </w:r>
      <w:r w:rsidR="00B27A34">
        <w:rPr>
          <w:iCs/>
        </w:rPr>
        <w:t xml:space="preserve"> </w:t>
      </w:r>
      <w:r w:rsidR="00D8339C">
        <w:rPr>
          <w:iCs/>
        </w:rPr>
        <w:t>Valsts analīzes centra un Monētu valsts analīzes centra funkcijas veicošā iestāde</w:t>
      </w:r>
      <w:r>
        <w:rPr>
          <w:iCs/>
        </w:rPr>
        <w:t>;</w:t>
      </w:r>
    </w:p>
    <w:p w:rsidR="00B27A34" w:rsidRDefault="002F624D" w:rsidP="00B27A34">
      <w:pPr>
        <w:rPr>
          <w:iCs/>
        </w:rPr>
      </w:pPr>
      <w:r w:rsidRPr="004860CA">
        <w:t>–</w:t>
      </w:r>
      <w:r w:rsidR="00B27A34">
        <w:rPr>
          <w:iCs/>
        </w:rPr>
        <w:t xml:space="preserve"> </w:t>
      </w:r>
      <w:r w:rsidR="00986FC8">
        <w:rPr>
          <w:iCs/>
        </w:rPr>
        <w:t xml:space="preserve">pēc ekspertīzes veikšanas, </w:t>
      </w:r>
      <w:r w:rsidR="00D8339C">
        <w:rPr>
          <w:iCs/>
        </w:rPr>
        <w:t>Valsts policijas Kriminālistikas pārvalde</w:t>
      </w:r>
      <w:r w:rsidR="00B27A34">
        <w:rPr>
          <w:iCs/>
        </w:rPr>
        <w:t xml:space="preserve"> ievada datus par </w:t>
      </w:r>
      <w:r w:rsidR="00145DF5">
        <w:rPr>
          <w:iCs/>
        </w:rPr>
        <w:t>konstatētajiem</w:t>
      </w:r>
      <w:r w:rsidR="000600C5">
        <w:rPr>
          <w:iCs/>
        </w:rPr>
        <w:t xml:space="preserve"> </w:t>
      </w:r>
      <w:r w:rsidR="00B27A34">
        <w:rPr>
          <w:iCs/>
        </w:rPr>
        <w:t xml:space="preserve">naudas zīmju viltojumiem CMS sistēmā. </w:t>
      </w:r>
    </w:p>
    <w:p w:rsidR="00EC145E" w:rsidRDefault="00EC145E" w:rsidP="0090041D">
      <w:pPr>
        <w:rPr>
          <w:b/>
          <w:szCs w:val="24"/>
        </w:rPr>
      </w:pPr>
    </w:p>
    <w:p w:rsidR="0090041D" w:rsidRPr="00052BA7" w:rsidRDefault="0090041D" w:rsidP="0090041D">
      <w:pPr>
        <w:rPr>
          <w:b/>
          <w:sz w:val="22"/>
        </w:rPr>
      </w:pPr>
      <w:r>
        <w:rPr>
          <w:b/>
          <w:szCs w:val="24"/>
        </w:rPr>
        <w:t>II. Problēmas formulējums</w:t>
      </w:r>
    </w:p>
    <w:p w:rsidR="0090041D" w:rsidRDefault="0090041D" w:rsidP="00B27A34"/>
    <w:p w:rsidR="00051DA0" w:rsidRDefault="00BF2BD0" w:rsidP="00B27A34">
      <w:r>
        <w:rPr>
          <w:iCs/>
        </w:rPr>
        <w:t xml:space="preserve">Šobrīd </w:t>
      </w:r>
      <w:r w:rsidR="00F84A85">
        <w:rPr>
          <w:iCs/>
        </w:rPr>
        <w:t xml:space="preserve">katrā no </w:t>
      </w:r>
      <w:r>
        <w:rPr>
          <w:iCs/>
        </w:rPr>
        <w:t>viltojumu atklāšanas un uzskaites procesa norise</w:t>
      </w:r>
      <w:r w:rsidR="00F84A85">
        <w:rPr>
          <w:iCs/>
        </w:rPr>
        <w:t>s</w:t>
      </w:r>
      <w:r>
        <w:rPr>
          <w:iCs/>
        </w:rPr>
        <w:t xml:space="preserve"> posmiem būtiski pagarinās laiks no </w:t>
      </w:r>
      <w:r w:rsidR="006872D4">
        <w:rPr>
          <w:iCs/>
        </w:rPr>
        <w:t xml:space="preserve">aizdomīgās </w:t>
      </w:r>
      <w:r>
        <w:rPr>
          <w:iCs/>
        </w:rPr>
        <w:t xml:space="preserve">naudas </w:t>
      </w:r>
      <w:r w:rsidR="006872D4">
        <w:rPr>
          <w:iCs/>
        </w:rPr>
        <w:t xml:space="preserve">zīmes konstatēšanas </w:t>
      </w:r>
      <w:r>
        <w:rPr>
          <w:iCs/>
        </w:rPr>
        <w:t xml:space="preserve">līdz informācijas ievadei </w:t>
      </w:r>
      <w:r>
        <w:rPr>
          <w:iCs/>
        </w:rPr>
        <w:lastRenderedPageBreak/>
        <w:t>CMS sistēmā. Proti,</w:t>
      </w:r>
      <w:r w:rsidR="00110B13">
        <w:rPr>
          <w:iCs/>
        </w:rPr>
        <w:t xml:space="preserve"> aizdomīgās</w:t>
      </w:r>
      <w:r>
        <w:rPr>
          <w:iCs/>
        </w:rPr>
        <w:t xml:space="preserve"> </w:t>
      </w:r>
      <w:r>
        <w:t>n</w:t>
      </w:r>
      <w:r w:rsidR="00B27A34" w:rsidRPr="0023394A">
        <w:t xml:space="preserve">audas </w:t>
      </w:r>
      <w:r w:rsidR="00110B13" w:rsidRPr="0023394A">
        <w:t>zīm</w:t>
      </w:r>
      <w:r w:rsidR="00110B13">
        <w:t>es</w:t>
      </w:r>
      <w:r w:rsidR="00110B13" w:rsidRPr="0023394A">
        <w:t xml:space="preserve"> </w:t>
      </w:r>
      <w:r w:rsidR="00B27A34" w:rsidRPr="0023394A">
        <w:t xml:space="preserve">nonākšanas līdz </w:t>
      </w:r>
      <w:r w:rsidR="000A6329">
        <w:t xml:space="preserve">Valsts policijai, kriminālprocesa ierosināšanas, </w:t>
      </w:r>
      <w:r w:rsidR="00B27A34" w:rsidRPr="0023394A">
        <w:t>ekspertīze</w:t>
      </w:r>
      <w:r w:rsidR="000A6329">
        <w:t>s nozīmēšanas</w:t>
      </w:r>
      <w:r w:rsidR="00B27A34" w:rsidRPr="0023394A">
        <w:t xml:space="preserve"> un </w:t>
      </w:r>
      <w:r w:rsidR="00B27A34">
        <w:t xml:space="preserve">tās </w:t>
      </w:r>
      <w:r w:rsidR="00B27A34" w:rsidRPr="0023394A">
        <w:t xml:space="preserve">veikšanas </w:t>
      </w:r>
      <w:r w:rsidR="000A6329">
        <w:t xml:space="preserve">process </w:t>
      </w:r>
      <w:r w:rsidR="00B27A34" w:rsidRPr="0023394A">
        <w:t>ir ilgs</w:t>
      </w:r>
      <w:r w:rsidR="00B27A34">
        <w:t xml:space="preserve">. Atbilstoši faktiskajai situācijai </w:t>
      </w:r>
      <w:r w:rsidR="000F5139">
        <w:t xml:space="preserve">(2014. gada dati) </w:t>
      </w:r>
      <w:r w:rsidR="00B27A34">
        <w:t xml:space="preserve">kredītiestādes un </w:t>
      </w:r>
      <w:r w:rsidR="00C56157">
        <w:t>komercsabiedrības, kas sniedz inkasācijas pakalpojumus</w:t>
      </w:r>
      <w:r w:rsidR="00B27A34">
        <w:t xml:space="preserve"> aizdomīgas naudas zīmes </w:t>
      </w:r>
      <w:r w:rsidR="00CA1A28">
        <w:t xml:space="preserve">uzkrāj </w:t>
      </w:r>
      <w:r w:rsidR="00B27A34">
        <w:t>un vidēji reizi mēnesī nodod tās Valsts policijai,</w:t>
      </w:r>
      <w:r w:rsidR="00B27A34" w:rsidRPr="0023394A">
        <w:t xml:space="preserve"> </w:t>
      </w:r>
      <w:r w:rsidR="00B27A34">
        <w:t xml:space="preserve">kura arī </w:t>
      </w:r>
      <w:r w:rsidR="00327D47">
        <w:t xml:space="preserve">aizdomīgās naudas zīmes </w:t>
      </w:r>
      <w:r w:rsidR="00B27A34">
        <w:t xml:space="preserve">uzkrāj, lai nerosinātu kriminālprocesu par katru </w:t>
      </w:r>
      <w:r w:rsidR="00327D47">
        <w:t xml:space="preserve">no kredītiestādes, </w:t>
      </w:r>
      <w:r w:rsidR="00C56157">
        <w:t>komercsabiedrības, kas sniedz inkasācijas pakalpojumus</w:t>
      </w:r>
      <w:r w:rsidR="00327D47">
        <w:t xml:space="preserve"> vai citas privātpersonas saņemto </w:t>
      </w:r>
      <w:r w:rsidR="00B27A34">
        <w:t xml:space="preserve">aizdomīgo naudas zīmi. Tādējādi </w:t>
      </w:r>
      <w:r w:rsidR="001A301E">
        <w:t>Valsts policijas Kriminālistikas pārvalde</w:t>
      </w:r>
      <w:r w:rsidR="00B27A34" w:rsidRPr="0023394A">
        <w:t xml:space="preserve"> </w:t>
      </w:r>
      <w:r w:rsidR="00CA1A28">
        <w:t xml:space="preserve">iespējamo </w:t>
      </w:r>
      <w:r w:rsidR="00B27A34" w:rsidRPr="0023394A">
        <w:t xml:space="preserve">viltojumu </w:t>
      </w:r>
      <w:r w:rsidR="00F84A85">
        <w:t xml:space="preserve">naudas zīmju ekspertīzes veikšanai </w:t>
      </w:r>
      <w:r w:rsidR="00B27A34" w:rsidRPr="0023394A">
        <w:t xml:space="preserve">saņem vidēji </w:t>
      </w:r>
      <w:r w:rsidR="00B27A34">
        <w:t>35</w:t>
      </w:r>
      <w:r w:rsidR="00B27A34" w:rsidRPr="0023394A">
        <w:t xml:space="preserve"> </w:t>
      </w:r>
      <w:r w:rsidR="00B27A34">
        <w:t xml:space="preserve">(maksimāli 171) </w:t>
      </w:r>
      <w:r w:rsidR="00B27A34" w:rsidRPr="0023394A">
        <w:t>dien</w:t>
      </w:r>
      <w:r w:rsidR="00B27A34">
        <w:t xml:space="preserve">as </w:t>
      </w:r>
      <w:r w:rsidR="00B27A34" w:rsidRPr="0023394A">
        <w:t xml:space="preserve">pēc </w:t>
      </w:r>
      <w:r w:rsidR="00BD3A2A">
        <w:t>aizdomīgās naudas zīmes konstatēšanas</w:t>
      </w:r>
      <w:r w:rsidR="00B27A34">
        <w:t>,</w:t>
      </w:r>
      <w:r w:rsidR="00B27A34" w:rsidRPr="0023394A">
        <w:t xml:space="preserve"> </w:t>
      </w:r>
      <w:r w:rsidR="001A301E">
        <w:t>tā</w:t>
      </w:r>
      <w:r w:rsidR="00B27A34">
        <w:t xml:space="preserve"> uzkrāj informāciju par </w:t>
      </w:r>
      <w:r w:rsidR="00327D47">
        <w:t xml:space="preserve">konstatētiem </w:t>
      </w:r>
      <w:r w:rsidR="00B27A34">
        <w:t xml:space="preserve">viltojumiem un vidēji divas reizes mēnesī </w:t>
      </w:r>
      <w:r w:rsidR="001A301E">
        <w:t>ier</w:t>
      </w:r>
      <w:r w:rsidR="00CA1A28">
        <w:t>o</w:t>
      </w:r>
      <w:r w:rsidR="001A301E">
        <w:t>d</w:t>
      </w:r>
      <w:r w:rsidR="00CA1A28">
        <w:t>a</w:t>
      </w:r>
      <w:r w:rsidR="001A301E">
        <w:t>s</w:t>
      </w:r>
      <w:r w:rsidR="00B27A34">
        <w:t xml:space="preserve"> Latvijas Bank</w:t>
      </w:r>
      <w:r w:rsidR="001A301E">
        <w:t>ā</w:t>
      </w:r>
      <w:r w:rsidR="00B27A34">
        <w:t xml:space="preserve"> </w:t>
      </w:r>
      <w:r w:rsidR="00CA1A28">
        <w:t>informāciju</w:t>
      </w:r>
      <w:r w:rsidR="00B27A34">
        <w:t xml:space="preserve"> </w:t>
      </w:r>
      <w:r w:rsidR="00CA1A28">
        <w:t xml:space="preserve">par viltojumiem </w:t>
      </w:r>
      <w:r w:rsidR="00B27A34">
        <w:t>ievadīt CMS sistēmā</w:t>
      </w:r>
      <w:r w:rsidR="00CA1A28">
        <w:t>.</w:t>
      </w:r>
      <w:r w:rsidR="00B27A34">
        <w:t xml:space="preserve"> </w:t>
      </w:r>
      <w:r w:rsidR="00CA1A28">
        <w:t>Tādējādi</w:t>
      </w:r>
      <w:r w:rsidR="00B27A34">
        <w:t xml:space="preserve"> no </w:t>
      </w:r>
      <w:r w:rsidR="006A5485">
        <w:t xml:space="preserve">aizdomīgās </w:t>
      </w:r>
      <w:proofErr w:type="spellStart"/>
      <w:r w:rsidR="005C4EBF" w:rsidRPr="0003628E">
        <w:rPr>
          <w:i/>
        </w:rPr>
        <w:t>euro</w:t>
      </w:r>
      <w:proofErr w:type="spellEnd"/>
      <w:r w:rsidR="00B27A34">
        <w:t xml:space="preserve"> </w:t>
      </w:r>
      <w:r w:rsidR="006A5485">
        <w:t xml:space="preserve">naudas zīmes </w:t>
      </w:r>
      <w:r w:rsidR="00B27A34">
        <w:t xml:space="preserve">konstatēšanas līdz datu ievadei </w:t>
      </w:r>
      <w:r w:rsidR="006A5485">
        <w:t xml:space="preserve">par konstatēto naudas zīmes viltojumu </w:t>
      </w:r>
      <w:r w:rsidR="00B27A34">
        <w:t xml:space="preserve">CMS sistēmā </w:t>
      </w:r>
      <w:r w:rsidR="00665AD1">
        <w:t xml:space="preserve">paiet </w:t>
      </w:r>
      <w:r w:rsidR="00B27A34">
        <w:t>vidēji 46 dienas (no 6 līdz 187 dienām).</w:t>
      </w:r>
      <w:r w:rsidR="00B27A34" w:rsidRPr="0023394A">
        <w:t xml:space="preserve"> </w:t>
      </w:r>
      <w:r w:rsidR="00665AD1">
        <w:t xml:space="preserve">Šāda </w:t>
      </w:r>
      <w:r w:rsidR="00051DA0">
        <w:t>situācij</w:t>
      </w:r>
      <w:r w:rsidR="000D63B6">
        <w:t>a</w:t>
      </w:r>
      <w:r w:rsidR="00B27A34" w:rsidRPr="0023394A">
        <w:t xml:space="preserve"> apgrūtina </w:t>
      </w:r>
      <w:r w:rsidR="008C3A04">
        <w:t xml:space="preserve">naudas zīmju </w:t>
      </w:r>
      <w:r w:rsidR="00B27A34" w:rsidRPr="0023394A">
        <w:t xml:space="preserve">viltojumu </w:t>
      </w:r>
      <w:r w:rsidR="00863FFE">
        <w:t xml:space="preserve">ātru </w:t>
      </w:r>
      <w:r w:rsidR="00B27A34" w:rsidRPr="0023394A">
        <w:t>atklāšan</w:t>
      </w:r>
      <w:r w:rsidR="00B27A34">
        <w:t>u</w:t>
      </w:r>
      <w:r w:rsidR="00B27A34" w:rsidRPr="0023394A">
        <w:t xml:space="preserve"> un izplatības novēršan</w:t>
      </w:r>
      <w:r w:rsidR="00B27A34">
        <w:t>u</w:t>
      </w:r>
      <w:r w:rsidR="00051DA0">
        <w:t>.</w:t>
      </w:r>
    </w:p>
    <w:p w:rsidR="00051DA0" w:rsidRDefault="00051DA0" w:rsidP="00B27A34"/>
    <w:p w:rsidR="00B27A34" w:rsidRDefault="00665AD1" w:rsidP="00B27A34">
      <w:r>
        <w:t>C</w:t>
      </w:r>
      <w:r w:rsidR="00051DA0">
        <w:t xml:space="preserve">īņa ar naudas </w:t>
      </w:r>
      <w:r w:rsidR="00B46311">
        <w:t xml:space="preserve">zīmju </w:t>
      </w:r>
      <w:r w:rsidR="00051DA0">
        <w:t>viltošanu ir starptautisk</w:t>
      </w:r>
      <w:r>
        <w:t>a</w:t>
      </w:r>
      <w:r w:rsidR="00051DA0">
        <w:t xml:space="preserve"> mēroga problēma, un naudas zīmju</w:t>
      </w:r>
      <w:r>
        <w:t xml:space="preserve"> tiesisko</w:t>
      </w:r>
      <w:r w:rsidR="00051DA0">
        <w:t xml:space="preserve"> aizsardzību nevar nodrošināt atsevišķas valstis </w:t>
      </w:r>
      <w:r>
        <w:t>izolēti</w:t>
      </w:r>
      <w:r w:rsidR="00051DA0">
        <w:t xml:space="preserve">, it īpaši attiecībā uz </w:t>
      </w:r>
      <w:proofErr w:type="spellStart"/>
      <w:r w:rsidR="005C4EBF" w:rsidRPr="0003628E">
        <w:rPr>
          <w:i/>
        </w:rPr>
        <w:t>euro</w:t>
      </w:r>
      <w:proofErr w:type="spellEnd"/>
      <w:r w:rsidR="00051DA0">
        <w:t xml:space="preserve">, kas ir likumīgs maksāšanas līdzeklis </w:t>
      </w:r>
      <w:r w:rsidR="000770F7">
        <w:t xml:space="preserve">visās </w:t>
      </w:r>
      <w:proofErr w:type="spellStart"/>
      <w:r w:rsidR="000770F7">
        <w:t>eirozonas</w:t>
      </w:r>
      <w:proofErr w:type="spellEnd"/>
      <w:r w:rsidR="000770F7">
        <w:t xml:space="preserve"> valstīs, kā arī </w:t>
      </w:r>
      <w:r>
        <w:t xml:space="preserve">valūta, ko </w:t>
      </w:r>
      <w:r w:rsidR="000770F7">
        <w:t xml:space="preserve">izmanto </w:t>
      </w:r>
      <w:r w:rsidR="00863FFE">
        <w:t>fiziskās un juridiskās personas citās valstīs</w:t>
      </w:r>
      <w:r w:rsidR="000770F7">
        <w:t>.</w:t>
      </w:r>
      <w:r>
        <w:t xml:space="preserve"> L</w:t>
      </w:r>
      <w:r w:rsidR="00E87730">
        <w:t xml:space="preserve">ai nodrošinātu efektīvu </w:t>
      </w:r>
      <w:proofErr w:type="spellStart"/>
      <w:r w:rsidR="005C4EBF" w:rsidRPr="0003628E">
        <w:rPr>
          <w:i/>
        </w:rPr>
        <w:t>euro</w:t>
      </w:r>
      <w:proofErr w:type="spellEnd"/>
      <w:r w:rsidR="00E87730">
        <w:t xml:space="preserve"> aizsardzību,</w:t>
      </w:r>
      <w:r w:rsidR="005E7351">
        <w:t xml:space="preserve"> </w:t>
      </w:r>
      <w:r>
        <w:t>jābūt ciešai un pastāvīgai sadarbībai</w:t>
      </w:r>
      <w:r w:rsidR="005E7351">
        <w:t>,</w:t>
      </w:r>
      <w:r>
        <w:t xml:space="preserve"> </w:t>
      </w:r>
      <w:r w:rsidR="00E87730">
        <w:t>jo īpaš</w:t>
      </w:r>
      <w:r>
        <w:t>i</w:t>
      </w:r>
      <w:r w:rsidR="00E87730">
        <w:t xml:space="preserve"> at</w:t>
      </w:r>
      <w:r w:rsidR="000770F7">
        <w:t xml:space="preserve">tiecībā uz informācijas </w:t>
      </w:r>
      <w:r w:rsidR="005E7351">
        <w:t xml:space="preserve">un pilnīgu, aktuālu un salīdzināmu datu </w:t>
      </w:r>
      <w:r w:rsidR="000770F7">
        <w:t xml:space="preserve">apmaiņu. </w:t>
      </w:r>
      <w:r w:rsidR="00051DA0">
        <w:t xml:space="preserve">Kavēšanās ar </w:t>
      </w:r>
      <w:r w:rsidR="00863FFE">
        <w:t xml:space="preserve">ekspertīzes veikšanu un </w:t>
      </w:r>
      <w:r w:rsidR="00051DA0">
        <w:t xml:space="preserve">datu ievadi CMS sistēmā </w:t>
      </w:r>
      <w:r w:rsidR="00D40AB9">
        <w:t xml:space="preserve">nenodrošina iespēju </w:t>
      </w:r>
      <w:r w:rsidR="00051DA0">
        <w:t xml:space="preserve">Eiropas Komisijai, Eiropas Centrālajai bankai, Eiropolam, kā arī citām Eiropas Savienības valstīm savlaicīgi saņemt aktuālo informāciju par </w:t>
      </w:r>
      <w:r w:rsidR="00D40AB9">
        <w:t xml:space="preserve">Latvijā atklātajiem </w:t>
      </w:r>
      <w:proofErr w:type="spellStart"/>
      <w:r w:rsidR="005C4EBF" w:rsidRPr="0003628E">
        <w:rPr>
          <w:i/>
        </w:rPr>
        <w:t>euro</w:t>
      </w:r>
      <w:proofErr w:type="spellEnd"/>
      <w:r w:rsidR="00051DA0">
        <w:t xml:space="preserve"> viltojumiem</w:t>
      </w:r>
      <w:r w:rsidR="005A6732">
        <w:t xml:space="preserve">, kā arī kavē </w:t>
      </w:r>
      <w:r w:rsidR="00ED12BE">
        <w:t xml:space="preserve">Eiropas Tehnikas un zinātnes centram un </w:t>
      </w:r>
      <w:r w:rsidR="005A6732">
        <w:t>Eiropas Centrālās bankas Naudas viltošanas analīzes centram apkopot informāciju, kvalificēt tehniskos datus</w:t>
      </w:r>
      <w:r w:rsidR="002F7659">
        <w:t>,</w:t>
      </w:r>
      <w:r w:rsidR="005A6732">
        <w:t xml:space="preserve"> veikt to analīzi</w:t>
      </w:r>
      <w:r w:rsidR="002F7659">
        <w:t xml:space="preserve"> un ievietot analīzes rezultātus CMS sistēmā</w:t>
      </w:r>
      <w:r w:rsidR="005A6732">
        <w:t>.</w:t>
      </w:r>
    </w:p>
    <w:p w:rsidR="00051DA0" w:rsidRDefault="00051DA0" w:rsidP="00B27A34"/>
    <w:p w:rsidR="005A6732" w:rsidRDefault="00964683" w:rsidP="005A6732">
      <w:r>
        <w:t>K</w:t>
      </w:r>
      <w:r w:rsidR="005A6732">
        <w:t xml:space="preserve">ā </w:t>
      </w:r>
      <w:r w:rsidR="00D40AB9">
        <w:t>iz</w:t>
      </w:r>
      <w:r w:rsidR="005A6732">
        <w:t>r</w:t>
      </w:r>
      <w:r w:rsidR="00D40AB9">
        <w:t xml:space="preserve">iet </w:t>
      </w:r>
      <w:r w:rsidR="005A6732">
        <w:t xml:space="preserve">no naudas zīmju ekspertīžu datiem, </w:t>
      </w:r>
      <w:r w:rsidR="00071D12">
        <w:t xml:space="preserve">pastāv </w:t>
      </w:r>
      <w:r w:rsidR="005A6732">
        <w:t xml:space="preserve">liels skaits kriminālprocesu, </w:t>
      </w:r>
      <w:r w:rsidR="00D40AB9">
        <w:t xml:space="preserve">kur, jau pēc to </w:t>
      </w:r>
      <w:r w:rsidR="005A6732">
        <w:t>ierosinā</w:t>
      </w:r>
      <w:r w:rsidR="00D40AB9">
        <w:t>šanas</w:t>
      </w:r>
      <w:r w:rsidR="005A6732">
        <w:t xml:space="preserve"> veicot naudas zīmju ekspertīzi</w:t>
      </w:r>
      <w:r w:rsidR="00D40AB9">
        <w:t>,</w:t>
      </w:r>
      <w:r w:rsidR="005A6732">
        <w:t xml:space="preserve"> konstatēts, ka naudas zīmes ir īstas. Kriminālprocesa ierosināšana tikai uz aizdomu pamat</w:t>
      </w:r>
      <w:r>
        <w:t>a</w:t>
      </w:r>
      <w:r w:rsidR="005A6732">
        <w:t xml:space="preserve"> par naudas zīmes viltojumu rada situāciju, ka tiek nevajadzīgi </w:t>
      </w:r>
      <w:r w:rsidR="00D40AB9">
        <w:t xml:space="preserve">rosināti </w:t>
      </w:r>
      <w:r w:rsidR="005A6732">
        <w:t>kriminālprocesi.</w:t>
      </w:r>
    </w:p>
    <w:p w:rsidR="005A6732" w:rsidRDefault="005A6732" w:rsidP="005A6732"/>
    <w:p w:rsidR="005A6732" w:rsidRDefault="005A6732" w:rsidP="005A6732">
      <w:r>
        <w:t>Valsts policijas veikto naudas zīmju ekspertīžu skaits un to rezultāti ir šādi:</w:t>
      </w:r>
    </w:p>
    <w:p w:rsidR="005A6732" w:rsidRDefault="005A6732" w:rsidP="005A6732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6"/>
        <w:gridCol w:w="1256"/>
        <w:gridCol w:w="644"/>
        <w:gridCol w:w="1218"/>
        <w:gridCol w:w="713"/>
        <w:gridCol w:w="709"/>
        <w:gridCol w:w="708"/>
        <w:gridCol w:w="829"/>
        <w:gridCol w:w="781"/>
      </w:tblGrid>
      <w:tr w:rsidR="005A6732" w:rsidTr="0058607D">
        <w:tc>
          <w:tcPr>
            <w:tcW w:w="8414" w:type="dxa"/>
            <w:gridSpan w:val="9"/>
          </w:tcPr>
          <w:p w:rsidR="005A6732" w:rsidRDefault="005A6732" w:rsidP="0081593C">
            <w:pPr>
              <w:jc w:val="center"/>
            </w:pPr>
            <w:r>
              <w:t xml:space="preserve">2015. gadā </w:t>
            </w:r>
          </w:p>
        </w:tc>
      </w:tr>
      <w:tr w:rsidR="005A6732" w:rsidTr="0058607D">
        <w:tc>
          <w:tcPr>
            <w:tcW w:w="3456" w:type="dxa"/>
            <w:gridSpan w:val="3"/>
          </w:tcPr>
          <w:p w:rsidR="005A6732" w:rsidRDefault="005A6732" w:rsidP="0058607D">
            <w:pPr>
              <w:jc w:val="center"/>
            </w:pPr>
            <w:r>
              <w:t>Metāla nauda</w:t>
            </w:r>
          </w:p>
        </w:tc>
        <w:tc>
          <w:tcPr>
            <w:tcW w:w="4958" w:type="dxa"/>
            <w:gridSpan w:val="6"/>
          </w:tcPr>
          <w:p w:rsidR="005A6732" w:rsidRDefault="005A6732" w:rsidP="0058607D">
            <w:pPr>
              <w:jc w:val="center"/>
            </w:pPr>
            <w:r>
              <w:t>Papīra nauda</w:t>
            </w:r>
          </w:p>
        </w:tc>
      </w:tr>
      <w:tr w:rsidR="005A6732" w:rsidTr="0058607D">
        <w:tc>
          <w:tcPr>
            <w:tcW w:w="3456" w:type="dxa"/>
            <w:gridSpan w:val="3"/>
          </w:tcPr>
          <w:p w:rsidR="005A6732" w:rsidRDefault="0081593C" w:rsidP="0081593C">
            <w:pPr>
              <w:jc w:val="center"/>
            </w:pPr>
            <w:r>
              <w:t>373</w:t>
            </w:r>
            <w:r w:rsidR="00B40C78">
              <w:t xml:space="preserve"> </w:t>
            </w:r>
            <w:r w:rsidR="005A6732">
              <w:t>izpildīti lēmumi par ekspertīzi</w:t>
            </w:r>
          </w:p>
        </w:tc>
        <w:tc>
          <w:tcPr>
            <w:tcW w:w="4958" w:type="dxa"/>
            <w:gridSpan w:val="6"/>
          </w:tcPr>
          <w:p w:rsidR="005A6732" w:rsidRDefault="0081593C" w:rsidP="0004381D">
            <w:pPr>
              <w:jc w:val="center"/>
            </w:pPr>
            <w:r>
              <w:t xml:space="preserve">1150 </w:t>
            </w:r>
            <w:r w:rsidR="005A6732">
              <w:t>izpildīti lēmumi par ekspertīzi (</w:t>
            </w:r>
            <w:r w:rsidR="0004381D">
              <w:t xml:space="preserve">195 </w:t>
            </w:r>
            <w:r w:rsidR="005A6732">
              <w:t>lēmumi, kuros ekspertīze vēl nav uzsākta)</w:t>
            </w:r>
          </w:p>
        </w:tc>
      </w:tr>
      <w:tr w:rsidR="005A6732" w:rsidTr="0058607D">
        <w:tc>
          <w:tcPr>
            <w:tcW w:w="1556" w:type="dxa"/>
          </w:tcPr>
          <w:p w:rsidR="005A6732" w:rsidRDefault="005A6732" w:rsidP="0058607D">
            <w:pPr>
              <w:jc w:val="center"/>
            </w:pPr>
            <w:r>
              <w:t>īsta</w:t>
            </w:r>
          </w:p>
        </w:tc>
        <w:tc>
          <w:tcPr>
            <w:tcW w:w="1900" w:type="dxa"/>
            <w:gridSpan w:val="2"/>
          </w:tcPr>
          <w:p w:rsidR="005A6732" w:rsidRDefault="005A6732" w:rsidP="0058607D">
            <w:pPr>
              <w:jc w:val="center"/>
            </w:pPr>
            <w:r>
              <w:t>viltota</w:t>
            </w:r>
          </w:p>
        </w:tc>
        <w:tc>
          <w:tcPr>
            <w:tcW w:w="1218" w:type="dxa"/>
          </w:tcPr>
          <w:p w:rsidR="005A6732" w:rsidRDefault="005A6732" w:rsidP="0058607D">
            <w:pPr>
              <w:jc w:val="center"/>
            </w:pPr>
            <w:r>
              <w:t>īsta</w:t>
            </w:r>
          </w:p>
        </w:tc>
        <w:tc>
          <w:tcPr>
            <w:tcW w:w="3740" w:type="dxa"/>
            <w:gridSpan w:val="5"/>
          </w:tcPr>
          <w:p w:rsidR="005A6732" w:rsidRDefault="005A6732" w:rsidP="0058607D">
            <w:pPr>
              <w:jc w:val="center"/>
            </w:pPr>
            <w:r>
              <w:t>viltota</w:t>
            </w:r>
          </w:p>
        </w:tc>
      </w:tr>
      <w:tr w:rsidR="005A6732" w:rsidTr="0058607D">
        <w:tc>
          <w:tcPr>
            <w:tcW w:w="1556" w:type="dxa"/>
            <w:vMerge w:val="restart"/>
          </w:tcPr>
          <w:p w:rsidR="005A6732" w:rsidRDefault="0081593C" w:rsidP="0081593C">
            <w:pPr>
              <w:jc w:val="center"/>
            </w:pPr>
            <w:r>
              <w:t>210</w:t>
            </w:r>
          </w:p>
        </w:tc>
        <w:tc>
          <w:tcPr>
            <w:tcW w:w="1900" w:type="dxa"/>
            <w:gridSpan w:val="2"/>
          </w:tcPr>
          <w:p w:rsidR="005A6732" w:rsidRDefault="0081593C" w:rsidP="005F5E37">
            <w:pPr>
              <w:jc w:val="center"/>
            </w:pPr>
            <w:r>
              <w:t>207</w:t>
            </w:r>
          </w:p>
        </w:tc>
        <w:tc>
          <w:tcPr>
            <w:tcW w:w="1218" w:type="dxa"/>
            <w:vMerge w:val="restart"/>
          </w:tcPr>
          <w:p w:rsidR="005A6732" w:rsidRDefault="005F5E37" w:rsidP="0058607D">
            <w:pPr>
              <w:jc w:val="center"/>
            </w:pPr>
            <w:r>
              <w:t>63</w:t>
            </w:r>
          </w:p>
        </w:tc>
        <w:tc>
          <w:tcPr>
            <w:tcW w:w="3740" w:type="dxa"/>
            <w:gridSpan w:val="5"/>
          </w:tcPr>
          <w:p w:rsidR="005A6732" w:rsidRDefault="005F5E37" w:rsidP="005F5E37">
            <w:pPr>
              <w:jc w:val="center"/>
            </w:pPr>
            <w:r>
              <w:t>1069</w:t>
            </w:r>
          </w:p>
        </w:tc>
      </w:tr>
      <w:tr w:rsidR="005A6732" w:rsidTr="0058607D">
        <w:tc>
          <w:tcPr>
            <w:tcW w:w="1556" w:type="dxa"/>
            <w:vMerge/>
          </w:tcPr>
          <w:p w:rsidR="005A6732" w:rsidRDefault="005A6732" w:rsidP="0058607D">
            <w:pPr>
              <w:jc w:val="center"/>
            </w:pPr>
          </w:p>
        </w:tc>
        <w:tc>
          <w:tcPr>
            <w:tcW w:w="1256" w:type="dxa"/>
          </w:tcPr>
          <w:p w:rsidR="005A6732" w:rsidRDefault="005A6732" w:rsidP="0058607D">
            <w:pPr>
              <w:jc w:val="center"/>
            </w:pPr>
            <w:r>
              <w:t>EUR</w:t>
            </w:r>
          </w:p>
        </w:tc>
        <w:tc>
          <w:tcPr>
            <w:tcW w:w="644" w:type="dxa"/>
          </w:tcPr>
          <w:p w:rsidR="005A6732" w:rsidRDefault="005A6732" w:rsidP="0058607D">
            <w:pPr>
              <w:jc w:val="center"/>
            </w:pPr>
            <w:r>
              <w:t>LVL</w:t>
            </w:r>
          </w:p>
        </w:tc>
        <w:tc>
          <w:tcPr>
            <w:tcW w:w="1218" w:type="dxa"/>
            <w:vMerge/>
          </w:tcPr>
          <w:p w:rsidR="005A6732" w:rsidRDefault="005A6732" w:rsidP="0058607D">
            <w:pPr>
              <w:jc w:val="center"/>
            </w:pPr>
          </w:p>
        </w:tc>
        <w:tc>
          <w:tcPr>
            <w:tcW w:w="713" w:type="dxa"/>
          </w:tcPr>
          <w:p w:rsidR="005A6732" w:rsidRDefault="005A6732" w:rsidP="0058607D">
            <w:pPr>
              <w:jc w:val="center"/>
            </w:pPr>
            <w:r>
              <w:t>EUR</w:t>
            </w:r>
          </w:p>
        </w:tc>
        <w:tc>
          <w:tcPr>
            <w:tcW w:w="709" w:type="dxa"/>
          </w:tcPr>
          <w:p w:rsidR="005A6732" w:rsidRDefault="005A6732" w:rsidP="0058607D">
            <w:pPr>
              <w:jc w:val="center"/>
            </w:pPr>
            <w:r>
              <w:t>LVL</w:t>
            </w:r>
          </w:p>
        </w:tc>
        <w:tc>
          <w:tcPr>
            <w:tcW w:w="708" w:type="dxa"/>
          </w:tcPr>
          <w:p w:rsidR="005A6732" w:rsidRDefault="005A6732" w:rsidP="0058607D">
            <w:pPr>
              <w:jc w:val="center"/>
            </w:pPr>
            <w:r>
              <w:t>USD</w:t>
            </w:r>
          </w:p>
        </w:tc>
        <w:tc>
          <w:tcPr>
            <w:tcW w:w="829" w:type="dxa"/>
          </w:tcPr>
          <w:p w:rsidR="005A6732" w:rsidRDefault="005A6732" w:rsidP="0058607D">
            <w:pPr>
              <w:jc w:val="center"/>
            </w:pPr>
            <w:r>
              <w:t>GBP</w:t>
            </w:r>
          </w:p>
        </w:tc>
        <w:tc>
          <w:tcPr>
            <w:tcW w:w="781" w:type="dxa"/>
          </w:tcPr>
          <w:p w:rsidR="005A6732" w:rsidRDefault="005A6732" w:rsidP="0058607D">
            <w:pPr>
              <w:jc w:val="center"/>
            </w:pPr>
            <w:r>
              <w:t>RUB</w:t>
            </w:r>
          </w:p>
        </w:tc>
      </w:tr>
      <w:tr w:rsidR="005A6732" w:rsidTr="0058607D">
        <w:tc>
          <w:tcPr>
            <w:tcW w:w="1556" w:type="dxa"/>
            <w:vMerge/>
          </w:tcPr>
          <w:p w:rsidR="005A6732" w:rsidRDefault="005A6732" w:rsidP="0058607D">
            <w:pPr>
              <w:jc w:val="center"/>
            </w:pPr>
          </w:p>
        </w:tc>
        <w:tc>
          <w:tcPr>
            <w:tcW w:w="1256" w:type="dxa"/>
          </w:tcPr>
          <w:p w:rsidR="005A6732" w:rsidRDefault="0081593C" w:rsidP="0081593C">
            <w:pPr>
              <w:jc w:val="center"/>
            </w:pPr>
            <w:r>
              <w:t>185</w:t>
            </w:r>
          </w:p>
        </w:tc>
        <w:tc>
          <w:tcPr>
            <w:tcW w:w="644" w:type="dxa"/>
          </w:tcPr>
          <w:p w:rsidR="005A6732" w:rsidRDefault="005F5E37" w:rsidP="005F5E37">
            <w:pPr>
              <w:jc w:val="center"/>
            </w:pPr>
            <w:r>
              <w:t>22</w:t>
            </w:r>
          </w:p>
        </w:tc>
        <w:tc>
          <w:tcPr>
            <w:tcW w:w="1218" w:type="dxa"/>
            <w:vMerge/>
          </w:tcPr>
          <w:p w:rsidR="005A6732" w:rsidRDefault="005A6732" w:rsidP="0058607D">
            <w:pPr>
              <w:jc w:val="center"/>
            </w:pPr>
          </w:p>
        </w:tc>
        <w:tc>
          <w:tcPr>
            <w:tcW w:w="713" w:type="dxa"/>
          </w:tcPr>
          <w:p w:rsidR="005A6732" w:rsidRDefault="0081593C" w:rsidP="0081593C">
            <w:pPr>
              <w:jc w:val="center"/>
            </w:pPr>
            <w:r>
              <w:t>1025</w:t>
            </w:r>
          </w:p>
        </w:tc>
        <w:tc>
          <w:tcPr>
            <w:tcW w:w="709" w:type="dxa"/>
          </w:tcPr>
          <w:p w:rsidR="005A6732" w:rsidRDefault="005F5E37" w:rsidP="005F5E37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5A6732" w:rsidRDefault="005F5E37" w:rsidP="0058607D">
            <w:pPr>
              <w:jc w:val="center"/>
            </w:pPr>
            <w:r>
              <w:t>34</w:t>
            </w:r>
          </w:p>
        </w:tc>
        <w:tc>
          <w:tcPr>
            <w:tcW w:w="829" w:type="dxa"/>
          </w:tcPr>
          <w:p w:rsidR="005A6732" w:rsidRDefault="005F5E37" w:rsidP="0058607D">
            <w:pPr>
              <w:jc w:val="center"/>
            </w:pPr>
            <w:r>
              <w:t>13</w:t>
            </w:r>
          </w:p>
        </w:tc>
        <w:tc>
          <w:tcPr>
            <w:tcW w:w="781" w:type="dxa"/>
          </w:tcPr>
          <w:p w:rsidR="005A6732" w:rsidRDefault="005F5E37" w:rsidP="0058607D">
            <w:pPr>
              <w:jc w:val="center"/>
            </w:pPr>
            <w:r>
              <w:t>8</w:t>
            </w:r>
          </w:p>
        </w:tc>
      </w:tr>
    </w:tbl>
    <w:p w:rsidR="00071D12" w:rsidRDefault="00071D12" w:rsidP="005A6732"/>
    <w:p w:rsidR="00071D12" w:rsidRDefault="00071D12">
      <w:pPr>
        <w:spacing w:after="200" w:line="276" w:lineRule="auto"/>
        <w:jc w:val="left"/>
      </w:pPr>
      <w:r>
        <w:br w:type="page"/>
      </w:r>
    </w:p>
    <w:p w:rsidR="005A6732" w:rsidRDefault="005A6732" w:rsidP="005A6732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6"/>
        <w:gridCol w:w="1256"/>
        <w:gridCol w:w="644"/>
        <w:gridCol w:w="1218"/>
        <w:gridCol w:w="713"/>
        <w:gridCol w:w="709"/>
        <w:gridCol w:w="708"/>
        <w:gridCol w:w="829"/>
        <w:gridCol w:w="781"/>
      </w:tblGrid>
      <w:tr w:rsidR="005A6732" w:rsidTr="0058607D">
        <w:tc>
          <w:tcPr>
            <w:tcW w:w="8414" w:type="dxa"/>
            <w:gridSpan w:val="9"/>
          </w:tcPr>
          <w:p w:rsidR="005A6732" w:rsidRDefault="005A6732" w:rsidP="0058607D">
            <w:pPr>
              <w:jc w:val="center"/>
            </w:pPr>
            <w:r>
              <w:t xml:space="preserve">2014. gadā </w:t>
            </w:r>
          </w:p>
        </w:tc>
      </w:tr>
      <w:tr w:rsidR="005A6732" w:rsidTr="0058607D">
        <w:tc>
          <w:tcPr>
            <w:tcW w:w="3456" w:type="dxa"/>
            <w:gridSpan w:val="3"/>
          </w:tcPr>
          <w:p w:rsidR="005A6732" w:rsidRDefault="005A6732" w:rsidP="0058607D">
            <w:pPr>
              <w:jc w:val="center"/>
            </w:pPr>
            <w:r>
              <w:t>Metāla nauda</w:t>
            </w:r>
          </w:p>
        </w:tc>
        <w:tc>
          <w:tcPr>
            <w:tcW w:w="4958" w:type="dxa"/>
            <w:gridSpan w:val="6"/>
          </w:tcPr>
          <w:p w:rsidR="005A6732" w:rsidRDefault="005A6732" w:rsidP="0058607D">
            <w:pPr>
              <w:jc w:val="center"/>
            </w:pPr>
            <w:r>
              <w:t>Papīra nauda</w:t>
            </w:r>
          </w:p>
        </w:tc>
      </w:tr>
      <w:tr w:rsidR="005A6732" w:rsidTr="0058607D">
        <w:tc>
          <w:tcPr>
            <w:tcW w:w="3456" w:type="dxa"/>
            <w:gridSpan w:val="3"/>
          </w:tcPr>
          <w:p w:rsidR="005A6732" w:rsidRDefault="005A6732" w:rsidP="0058607D">
            <w:pPr>
              <w:jc w:val="center"/>
            </w:pPr>
            <w:r>
              <w:t>1010 izpildīti lēmumi par ekspertīzi</w:t>
            </w:r>
          </w:p>
        </w:tc>
        <w:tc>
          <w:tcPr>
            <w:tcW w:w="4958" w:type="dxa"/>
            <w:gridSpan w:val="6"/>
          </w:tcPr>
          <w:p w:rsidR="005A6732" w:rsidRDefault="005A6732" w:rsidP="0058607D">
            <w:pPr>
              <w:jc w:val="center"/>
            </w:pPr>
            <w:r>
              <w:t xml:space="preserve">839 izpildīti lēmumi par ekspertīzi </w:t>
            </w:r>
          </w:p>
        </w:tc>
      </w:tr>
      <w:tr w:rsidR="005A6732" w:rsidTr="0058607D">
        <w:tc>
          <w:tcPr>
            <w:tcW w:w="1556" w:type="dxa"/>
          </w:tcPr>
          <w:p w:rsidR="005A6732" w:rsidRDefault="005A6732" w:rsidP="0058607D">
            <w:pPr>
              <w:jc w:val="center"/>
            </w:pPr>
            <w:r>
              <w:t>īsta</w:t>
            </w:r>
          </w:p>
        </w:tc>
        <w:tc>
          <w:tcPr>
            <w:tcW w:w="1900" w:type="dxa"/>
            <w:gridSpan w:val="2"/>
          </w:tcPr>
          <w:p w:rsidR="005A6732" w:rsidRDefault="005A6732" w:rsidP="0058607D">
            <w:pPr>
              <w:jc w:val="center"/>
            </w:pPr>
            <w:r>
              <w:t>viltota</w:t>
            </w:r>
          </w:p>
        </w:tc>
        <w:tc>
          <w:tcPr>
            <w:tcW w:w="1218" w:type="dxa"/>
          </w:tcPr>
          <w:p w:rsidR="005A6732" w:rsidRDefault="005A6732" w:rsidP="0058607D">
            <w:pPr>
              <w:jc w:val="center"/>
            </w:pPr>
            <w:r>
              <w:t>īsta</w:t>
            </w:r>
          </w:p>
        </w:tc>
        <w:tc>
          <w:tcPr>
            <w:tcW w:w="3740" w:type="dxa"/>
            <w:gridSpan w:val="5"/>
          </w:tcPr>
          <w:p w:rsidR="005A6732" w:rsidRDefault="005A6732" w:rsidP="0058607D">
            <w:pPr>
              <w:jc w:val="center"/>
            </w:pPr>
            <w:r>
              <w:t>viltota</w:t>
            </w:r>
          </w:p>
        </w:tc>
      </w:tr>
      <w:tr w:rsidR="005A6732" w:rsidTr="0058607D">
        <w:tc>
          <w:tcPr>
            <w:tcW w:w="1556" w:type="dxa"/>
            <w:vMerge w:val="restart"/>
          </w:tcPr>
          <w:p w:rsidR="005A6732" w:rsidRDefault="005A6732" w:rsidP="0058607D">
            <w:pPr>
              <w:jc w:val="center"/>
            </w:pPr>
            <w:r>
              <w:t>97</w:t>
            </w:r>
          </w:p>
        </w:tc>
        <w:tc>
          <w:tcPr>
            <w:tcW w:w="1900" w:type="dxa"/>
            <w:gridSpan w:val="2"/>
          </w:tcPr>
          <w:p w:rsidR="005A6732" w:rsidRDefault="005A6732" w:rsidP="0058607D">
            <w:pPr>
              <w:jc w:val="center"/>
            </w:pPr>
            <w:r>
              <w:t>913</w:t>
            </w:r>
          </w:p>
        </w:tc>
        <w:tc>
          <w:tcPr>
            <w:tcW w:w="1218" w:type="dxa"/>
            <w:vMerge w:val="restart"/>
          </w:tcPr>
          <w:p w:rsidR="005A6732" w:rsidRDefault="005A6732" w:rsidP="0058607D">
            <w:pPr>
              <w:jc w:val="center"/>
            </w:pPr>
            <w:r>
              <w:t>41</w:t>
            </w:r>
          </w:p>
        </w:tc>
        <w:tc>
          <w:tcPr>
            <w:tcW w:w="3740" w:type="dxa"/>
            <w:gridSpan w:val="5"/>
          </w:tcPr>
          <w:p w:rsidR="005A6732" w:rsidRDefault="005A6732" w:rsidP="0058607D">
            <w:pPr>
              <w:jc w:val="center"/>
            </w:pPr>
            <w:r>
              <w:t>798</w:t>
            </w:r>
          </w:p>
        </w:tc>
      </w:tr>
      <w:tr w:rsidR="005A6732" w:rsidTr="0058607D">
        <w:tc>
          <w:tcPr>
            <w:tcW w:w="1556" w:type="dxa"/>
            <w:vMerge/>
          </w:tcPr>
          <w:p w:rsidR="005A6732" w:rsidRDefault="005A6732" w:rsidP="0058607D">
            <w:pPr>
              <w:jc w:val="center"/>
            </w:pPr>
          </w:p>
        </w:tc>
        <w:tc>
          <w:tcPr>
            <w:tcW w:w="1256" w:type="dxa"/>
          </w:tcPr>
          <w:p w:rsidR="005A6732" w:rsidRDefault="005A6732" w:rsidP="0058607D">
            <w:pPr>
              <w:jc w:val="center"/>
            </w:pPr>
            <w:r>
              <w:t>EUR</w:t>
            </w:r>
          </w:p>
        </w:tc>
        <w:tc>
          <w:tcPr>
            <w:tcW w:w="644" w:type="dxa"/>
          </w:tcPr>
          <w:p w:rsidR="005A6732" w:rsidRDefault="005A6732" w:rsidP="0058607D">
            <w:pPr>
              <w:jc w:val="center"/>
            </w:pPr>
            <w:r>
              <w:t>LVL</w:t>
            </w:r>
          </w:p>
        </w:tc>
        <w:tc>
          <w:tcPr>
            <w:tcW w:w="1218" w:type="dxa"/>
            <w:vMerge/>
          </w:tcPr>
          <w:p w:rsidR="005A6732" w:rsidRDefault="005A6732" w:rsidP="0058607D">
            <w:pPr>
              <w:jc w:val="center"/>
            </w:pPr>
          </w:p>
        </w:tc>
        <w:tc>
          <w:tcPr>
            <w:tcW w:w="713" w:type="dxa"/>
          </w:tcPr>
          <w:p w:rsidR="005A6732" w:rsidRDefault="005A6732" w:rsidP="0058607D">
            <w:pPr>
              <w:jc w:val="center"/>
            </w:pPr>
            <w:r>
              <w:t>EUR</w:t>
            </w:r>
          </w:p>
        </w:tc>
        <w:tc>
          <w:tcPr>
            <w:tcW w:w="709" w:type="dxa"/>
          </w:tcPr>
          <w:p w:rsidR="005A6732" w:rsidRDefault="005A6732" w:rsidP="0058607D">
            <w:pPr>
              <w:jc w:val="center"/>
            </w:pPr>
            <w:r>
              <w:t>LVL</w:t>
            </w:r>
          </w:p>
        </w:tc>
        <w:tc>
          <w:tcPr>
            <w:tcW w:w="708" w:type="dxa"/>
          </w:tcPr>
          <w:p w:rsidR="005A6732" w:rsidRDefault="005A6732" w:rsidP="0058607D">
            <w:pPr>
              <w:jc w:val="center"/>
            </w:pPr>
            <w:r>
              <w:t>USD</w:t>
            </w:r>
          </w:p>
        </w:tc>
        <w:tc>
          <w:tcPr>
            <w:tcW w:w="829" w:type="dxa"/>
          </w:tcPr>
          <w:p w:rsidR="005A6732" w:rsidRDefault="005A6732" w:rsidP="0058607D">
            <w:pPr>
              <w:jc w:val="center"/>
            </w:pPr>
            <w:r>
              <w:t>GBP</w:t>
            </w:r>
          </w:p>
        </w:tc>
        <w:tc>
          <w:tcPr>
            <w:tcW w:w="781" w:type="dxa"/>
          </w:tcPr>
          <w:p w:rsidR="005A6732" w:rsidRDefault="005A6732" w:rsidP="0058607D">
            <w:pPr>
              <w:jc w:val="center"/>
            </w:pPr>
            <w:r>
              <w:t>RUB</w:t>
            </w:r>
          </w:p>
        </w:tc>
      </w:tr>
      <w:tr w:rsidR="005A6732" w:rsidTr="0058607D">
        <w:tc>
          <w:tcPr>
            <w:tcW w:w="1556" w:type="dxa"/>
            <w:vMerge/>
          </w:tcPr>
          <w:p w:rsidR="005A6732" w:rsidRDefault="005A6732" w:rsidP="0058607D">
            <w:pPr>
              <w:jc w:val="center"/>
            </w:pPr>
          </w:p>
        </w:tc>
        <w:tc>
          <w:tcPr>
            <w:tcW w:w="1256" w:type="dxa"/>
          </w:tcPr>
          <w:p w:rsidR="005A6732" w:rsidRDefault="005A6732" w:rsidP="0058607D">
            <w:pPr>
              <w:jc w:val="center"/>
            </w:pPr>
            <w:r>
              <w:t>141</w:t>
            </w:r>
          </w:p>
        </w:tc>
        <w:tc>
          <w:tcPr>
            <w:tcW w:w="644" w:type="dxa"/>
          </w:tcPr>
          <w:p w:rsidR="005A6732" w:rsidRDefault="005A6732" w:rsidP="0058607D">
            <w:pPr>
              <w:jc w:val="center"/>
            </w:pPr>
            <w:r>
              <w:t>772</w:t>
            </w:r>
          </w:p>
        </w:tc>
        <w:tc>
          <w:tcPr>
            <w:tcW w:w="1218" w:type="dxa"/>
            <w:vMerge/>
          </w:tcPr>
          <w:p w:rsidR="005A6732" w:rsidRDefault="005A6732" w:rsidP="0058607D">
            <w:pPr>
              <w:jc w:val="center"/>
            </w:pPr>
          </w:p>
        </w:tc>
        <w:tc>
          <w:tcPr>
            <w:tcW w:w="713" w:type="dxa"/>
          </w:tcPr>
          <w:p w:rsidR="005A6732" w:rsidRDefault="005A6732" w:rsidP="0058607D">
            <w:pPr>
              <w:jc w:val="center"/>
            </w:pPr>
            <w:r>
              <w:t>726</w:t>
            </w:r>
          </w:p>
        </w:tc>
        <w:tc>
          <w:tcPr>
            <w:tcW w:w="709" w:type="dxa"/>
          </w:tcPr>
          <w:p w:rsidR="005A6732" w:rsidRDefault="005A6732" w:rsidP="0058607D">
            <w:pPr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5A6732" w:rsidRDefault="005A6732" w:rsidP="0058607D">
            <w:pPr>
              <w:jc w:val="center"/>
            </w:pPr>
            <w:r>
              <w:t>26</w:t>
            </w:r>
          </w:p>
        </w:tc>
        <w:tc>
          <w:tcPr>
            <w:tcW w:w="829" w:type="dxa"/>
          </w:tcPr>
          <w:p w:rsidR="005A6732" w:rsidRDefault="005A6732" w:rsidP="0058607D">
            <w:pPr>
              <w:jc w:val="center"/>
            </w:pPr>
            <w:r>
              <w:t>16</w:t>
            </w:r>
          </w:p>
        </w:tc>
        <w:tc>
          <w:tcPr>
            <w:tcW w:w="781" w:type="dxa"/>
          </w:tcPr>
          <w:p w:rsidR="005A6732" w:rsidRDefault="005A6732" w:rsidP="0058607D">
            <w:pPr>
              <w:jc w:val="center"/>
            </w:pPr>
            <w:r>
              <w:t>7</w:t>
            </w:r>
          </w:p>
        </w:tc>
      </w:tr>
    </w:tbl>
    <w:p w:rsidR="005A6732" w:rsidRDefault="005A6732" w:rsidP="005A6732"/>
    <w:p w:rsidR="00B27A34" w:rsidRDefault="00BF25F5" w:rsidP="00B27A34">
      <w:r>
        <w:t xml:space="preserve">Valsts analīzes centra un Monētu valsts analīzes centra funkcijas Valsts policijas Kriminālistikas pārvaldē šobrīd nodrošina </w:t>
      </w:r>
      <w:r w:rsidR="005F5E37">
        <w:t>divi</w:t>
      </w:r>
      <w:r>
        <w:t xml:space="preserve"> eksperti</w:t>
      </w:r>
      <w:r w:rsidR="005F5E37">
        <w:t xml:space="preserve"> un divi palīgi, kuri nodarbojas arī ar citiem jautājumiem</w:t>
      </w:r>
      <w:r>
        <w:t xml:space="preserve">. </w:t>
      </w:r>
    </w:p>
    <w:p w:rsidR="00EC145E" w:rsidRDefault="00EC145E" w:rsidP="002D0EFF">
      <w:pPr>
        <w:rPr>
          <w:b/>
          <w:szCs w:val="24"/>
        </w:rPr>
      </w:pPr>
    </w:p>
    <w:p w:rsidR="002D0EFF" w:rsidRDefault="00F560F8" w:rsidP="002D0EFF">
      <w:pPr>
        <w:rPr>
          <w:b/>
          <w:szCs w:val="24"/>
        </w:rPr>
      </w:pPr>
      <w:r>
        <w:rPr>
          <w:b/>
          <w:szCs w:val="24"/>
        </w:rPr>
        <w:t>III</w:t>
      </w:r>
      <w:r w:rsidR="002D0EFF">
        <w:rPr>
          <w:b/>
          <w:szCs w:val="24"/>
        </w:rPr>
        <w:t>. Piedāvātais situācijas risinājums</w:t>
      </w:r>
    </w:p>
    <w:p w:rsidR="00006A33" w:rsidRDefault="00006A33" w:rsidP="00006A33"/>
    <w:p w:rsidR="00526602" w:rsidRDefault="00163432" w:rsidP="00886AFC">
      <w:pPr>
        <w:pStyle w:val="ListParagraph"/>
        <w:ind w:left="0"/>
      </w:pPr>
      <w:r>
        <w:t xml:space="preserve">Ar mērķi veicināt </w:t>
      </w:r>
      <w:proofErr w:type="spellStart"/>
      <w:r w:rsidR="005C4EBF" w:rsidRPr="0003628E">
        <w:rPr>
          <w:i/>
        </w:rPr>
        <w:t>euro</w:t>
      </w:r>
      <w:proofErr w:type="spellEnd"/>
      <w:r>
        <w:t xml:space="preserve"> viltojumu</w:t>
      </w:r>
      <w:r w:rsidRPr="009C22D6">
        <w:t xml:space="preserve"> </w:t>
      </w:r>
      <w:r>
        <w:t xml:space="preserve">savlaicīgu atklāšanu, efektīvāku identifikāciju un analīzi, </w:t>
      </w:r>
      <w:r w:rsidR="005A6732">
        <w:t xml:space="preserve">ātru </w:t>
      </w:r>
      <w:r>
        <w:t>informācijas par viltojumiem sniegšanu, kā arī ar mērķi mazināt nepamatoti ierosinātu kriminālprocesu skaitu</w:t>
      </w:r>
      <w:r w:rsidR="006379B2">
        <w:t xml:space="preserve"> attiecībā uz naudas zīmēm, kuras ekspertīzes laikā atzītas par </w:t>
      </w:r>
      <w:r w:rsidR="0028493D">
        <w:t>īstām</w:t>
      </w:r>
      <w:r>
        <w:t>,</w:t>
      </w:r>
      <w:r w:rsidR="00886AFC" w:rsidRPr="0023394A">
        <w:t xml:space="preserve"> </w:t>
      </w:r>
      <w:r w:rsidR="00837BB5">
        <w:t xml:space="preserve">tiek piedāvāts </w:t>
      </w:r>
      <w:r w:rsidR="00886AFC" w:rsidRPr="0023394A">
        <w:t xml:space="preserve">apvienot </w:t>
      </w:r>
      <w:r w:rsidR="00886AFC">
        <w:t>Valsts analīzes centru</w:t>
      </w:r>
      <w:r w:rsidR="00837BB5">
        <w:t>,</w:t>
      </w:r>
      <w:r w:rsidR="00886AFC">
        <w:t xml:space="preserve"> Monētu valsts analīzes centru</w:t>
      </w:r>
      <w:r w:rsidR="00886AFC" w:rsidRPr="0023394A">
        <w:t xml:space="preserve"> un </w:t>
      </w:r>
      <w:r w:rsidR="0006765A" w:rsidRPr="00D6229F">
        <w:t>Valsts naudas viltojumu uzraudzības centru</w:t>
      </w:r>
      <w:r w:rsidR="00886AFC" w:rsidRPr="0023394A">
        <w:t xml:space="preserve">, izveidojot </w:t>
      </w:r>
      <w:r w:rsidR="00FC23C2" w:rsidRPr="00650D0D">
        <w:t xml:space="preserve">vienotu viltotas naudas identifikācijas </w:t>
      </w:r>
      <w:r w:rsidR="00886AFC" w:rsidRPr="0023394A">
        <w:t>centru Latvijas Bankā</w:t>
      </w:r>
      <w:r w:rsidR="00886AFC">
        <w:t>.</w:t>
      </w:r>
    </w:p>
    <w:p w:rsidR="00526602" w:rsidRPr="00526602" w:rsidRDefault="00526602" w:rsidP="00526602">
      <w:pPr>
        <w:rPr>
          <w:szCs w:val="24"/>
        </w:rPr>
      </w:pPr>
      <w:r w:rsidRPr="00650D0D">
        <w:rPr>
          <w:szCs w:val="24"/>
        </w:rPr>
        <w:t>Valsts centrālā biroja funkcijas arī turpmāk veiks Valsts policijas Galvenās kriminālpolicijas pārvaldes Ekonomisko noziegumu apkarošanas pārvalde</w:t>
      </w:r>
      <w:r>
        <w:rPr>
          <w:szCs w:val="24"/>
        </w:rPr>
        <w:t>.</w:t>
      </w:r>
    </w:p>
    <w:p w:rsidR="001358F8" w:rsidRPr="004860CA" w:rsidRDefault="00886AFC" w:rsidP="00886AFC">
      <w:pPr>
        <w:pStyle w:val="ListParagraph"/>
        <w:ind w:left="0"/>
      </w:pPr>
      <w:r>
        <w:t xml:space="preserve"> </w:t>
      </w:r>
      <w:r w:rsidRPr="0023394A">
        <w:t xml:space="preserve"> </w:t>
      </w:r>
    </w:p>
    <w:p w:rsidR="00006A33" w:rsidRPr="001358F8" w:rsidRDefault="00006A33" w:rsidP="00006A33"/>
    <w:p w:rsidR="00A80C2A" w:rsidDel="00134168" w:rsidRDefault="00C37319" w:rsidP="00A80C2A">
      <w:r>
        <w:t xml:space="preserve">Latvijas Banka jau ilgus gadus sadarbojas ar </w:t>
      </w:r>
      <w:proofErr w:type="spellStart"/>
      <w:r>
        <w:t>tiesībsargājošām</w:t>
      </w:r>
      <w:proofErr w:type="spellEnd"/>
      <w:r>
        <w:t xml:space="preserve"> iestādēm naudas zīmju viltošanas novēršanā un to viltojumu atklāšanā. Īpaši nozīmīga šī sadarbība kļuva pēc Latvijas pievienošanās </w:t>
      </w:r>
      <w:proofErr w:type="spellStart"/>
      <w:r>
        <w:t>eirozonai</w:t>
      </w:r>
      <w:proofErr w:type="spellEnd"/>
      <w:r>
        <w:t xml:space="preserve">. Latvijas Banka iepriekš kā lata naudas zīmju emisijas iestāde, bet tagad kā </w:t>
      </w:r>
      <w:proofErr w:type="spellStart"/>
      <w:r w:rsidR="005C4EBF" w:rsidRPr="0003628E">
        <w:rPr>
          <w:i/>
        </w:rPr>
        <w:t>euro</w:t>
      </w:r>
      <w:proofErr w:type="spellEnd"/>
      <w:r>
        <w:t xml:space="preserve"> naudas zīmju emisijas iestāde jau veic aizdomīgo</w:t>
      </w:r>
      <w:r w:rsidR="0081430A">
        <w:t xml:space="preserve"> un bojāto </w:t>
      </w:r>
      <w:r>
        <w:t xml:space="preserve">lata un </w:t>
      </w:r>
      <w:proofErr w:type="spellStart"/>
      <w:r w:rsidR="0003628E" w:rsidRPr="0003628E">
        <w:rPr>
          <w:i/>
        </w:rPr>
        <w:t>euro</w:t>
      </w:r>
      <w:proofErr w:type="spellEnd"/>
      <w:r>
        <w:t xml:space="preserve"> naudas zīmju ekspertīzi un sniedz atzinumus. </w:t>
      </w:r>
      <w:r w:rsidR="00837BB5">
        <w:t xml:space="preserve">Īstenojot </w:t>
      </w:r>
      <w:r w:rsidR="003C7AE9">
        <w:t xml:space="preserve">piedāvāto </w:t>
      </w:r>
      <w:r w:rsidR="00073D9E">
        <w:t>risināj</w:t>
      </w:r>
      <w:r w:rsidR="00837BB5">
        <w:t>umu,</w:t>
      </w:r>
      <w:r w:rsidR="00DD4621">
        <w:t xml:space="preserve"> naudas zīmju īstumu apliecinātu iestād</w:t>
      </w:r>
      <w:r w:rsidR="0081430A">
        <w:t>e</w:t>
      </w:r>
      <w:r w:rsidR="00DD4621">
        <w:t xml:space="preserve">, kura </w:t>
      </w:r>
      <w:r w:rsidR="003C7AE9">
        <w:t xml:space="preserve">piedalās </w:t>
      </w:r>
      <w:proofErr w:type="spellStart"/>
      <w:r w:rsidR="0003628E" w:rsidRPr="0003628E">
        <w:rPr>
          <w:i/>
        </w:rPr>
        <w:t>euro</w:t>
      </w:r>
      <w:proofErr w:type="spellEnd"/>
      <w:r w:rsidR="003C7AE9">
        <w:t xml:space="preserve"> naudas zīmju dizaina un drošības pazīmju izstrādē, aktīvi līdzdarbojas starptautiskajās un Eiropas Savienības ekspertu darba grupās, </w:t>
      </w:r>
      <w:proofErr w:type="spellStart"/>
      <w:r w:rsidR="003C7AE9">
        <w:t>pasūta</w:t>
      </w:r>
      <w:proofErr w:type="spellEnd"/>
      <w:r w:rsidR="003C7AE9">
        <w:t xml:space="preserve">, ražo un emitē </w:t>
      </w:r>
      <w:proofErr w:type="spellStart"/>
      <w:r w:rsidR="0003628E" w:rsidRPr="0003628E">
        <w:rPr>
          <w:i/>
        </w:rPr>
        <w:t>euro</w:t>
      </w:r>
      <w:proofErr w:type="spellEnd"/>
      <w:r w:rsidR="003C7AE9">
        <w:t xml:space="preserve"> naudas zīmes. </w:t>
      </w:r>
      <w:r w:rsidR="00DD4621">
        <w:t xml:space="preserve">Arī </w:t>
      </w:r>
      <w:r w:rsidR="00A80C2A">
        <w:t xml:space="preserve">citās </w:t>
      </w:r>
      <w:r w:rsidR="00A80C2A" w:rsidDel="00134168">
        <w:t>Eiropas Savienīb</w:t>
      </w:r>
      <w:r w:rsidR="00A80C2A">
        <w:t>as valstīs</w:t>
      </w:r>
      <w:r w:rsidR="00A80C2A" w:rsidDel="00134168">
        <w:t xml:space="preserve"> </w:t>
      </w:r>
      <w:r w:rsidR="00A80C2A">
        <w:t>Valsts analīzes</w:t>
      </w:r>
      <w:r w:rsidR="00A80C2A" w:rsidDel="00134168">
        <w:t xml:space="preserve"> </w:t>
      </w:r>
      <w:r w:rsidR="00A80C2A">
        <w:t xml:space="preserve">un Monētu valsts analīzes centra </w:t>
      </w:r>
      <w:r w:rsidR="00A80C2A" w:rsidDel="00134168">
        <w:t>funkcijas pamatā veic valsts centrālā banka</w:t>
      </w:r>
      <w:r w:rsidR="00C05B30">
        <w:rPr>
          <w:rStyle w:val="FootnoteReference"/>
        </w:rPr>
        <w:footnoteReference w:id="1"/>
      </w:r>
      <w:r w:rsidR="00A80C2A" w:rsidDel="00134168">
        <w:t>.</w:t>
      </w:r>
    </w:p>
    <w:p w:rsidR="00C37319" w:rsidRDefault="00C37319" w:rsidP="00C37319">
      <w:pPr>
        <w:pStyle w:val="ListParagraph"/>
        <w:ind w:left="0"/>
      </w:pPr>
    </w:p>
    <w:p w:rsidR="00006A33" w:rsidRDefault="0031108B" w:rsidP="00006A33">
      <w:r>
        <w:t xml:space="preserve">Latvijas Bankai pārņemot Valsts analīzes centra un Monētu valsts analīzes centra funkciju izpildi, </w:t>
      </w:r>
      <w:r w:rsidR="00006A33" w:rsidRPr="0023394A">
        <w:t>skaidrās naudas apstrādes iestādes (kredītiestādes</w:t>
      </w:r>
      <w:r w:rsidR="00006A33">
        <w:t xml:space="preserve">, </w:t>
      </w:r>
      <w:r w:rsidR="00C56157">
        <w:t>komercsabiedrības, kas sniedz inkasācijas pakalpojumus</w:t>
      </w:r>
      <w:r w:rsidR="00006A33" w:rsidRPr="0023394A">
        <w:t xml:space="preserve"> un valūtas maiņas kapitālsabiedrības) </w:t>
      </w:r>
      <w:r w:rsidR="00837BB5">
        <w:t>v</w:t>
      </w:r>
      <w:r w:rsidR="00837BB5" w:rsidRPr="0023394A">
        <w:t xml:space="preserve">isas aizdomīgās naudas zīmes </w:t>
      </w:r>
      <w:r w:rsidR="009C632B">
        <w:t xml:space="preserve">nekavējoties </w:t>
      </w:r>
      <w:r w:rsidR="00006A33" w:rsidRPr="0023394A">
        <w:t>nodotu Latvijas Bankai</w:t>
      </w:r>
      <w:r w:rsidR="00006A33">
        <w:t xml:space="preserve">. </w:t>
      </w:r>
      <w:r w:rsidR="004C69B4">
        <w:t>Atbilstoši likumam "Par Latvijas Banku" Latvijas Banka jau šobrīd nodrošina kredītiestādēm un to pilnvarotajām</w:t>
      </w:r>
      <w:r w:rsidR="00517486">
        <w:t xml:space="preserve"> </w:t>
      </w:r>
      <w:proofErr w:type="spellStart"/>
      <w:r w:rsidR="00C56157">
        <w:t>komercsabiedrībam</w:t>
      </w:r>
      <w:proofErr w:type="spellEnd"/>
      <w:r w:rsidR="00C56157">
        <w:t>, kas sniedz inkasācijas pakalpojumus</w:t>
      </w:r>
      <w:r w:rsidR="00A8310D">
        <w:t xml:space="preserve"> </w:t>
      </w:r>
      <w:r w:rsidR="004C69B4">
        <w:t xml:space="preserve">skaidrās naudas pieņemšanu un izsniegšanu, un aizdomīgo naudas zīmju </w:t>
      </w:r>
      <w:r w:rsidR="00517486">
        <w:t>nodo</w:t>
      </w:r>
      <w:r w:rsidR="004C69B4">
        <w:t>šana</w:t>
      </w:r>
      <w:r w:rsidR="00517486">
        <w:t xml:space="preserve"> </w:t>
      </w:r>
      <w:r w:rsidR="004C69B4">
        <w:t xml:space="preserve">Latvijas Bankai tiktu operatīvi īstenota šī procesa ietvaros. </w:t>
      </w:r>
      <w:r w:rsidR="00006A33">
        <w:t>A</w:t>
      </w:r>
      <w:r w:rsidR="00006A33" w:rsidRPr="0023394A">
        <w:t>izdomīg</w:t>
      </w:r>
      <w:r w:rsidR="00006A33">
        <w:t>ā</w:t>
      </w:r>
      <w:r w:rsidR="00006A33" w:rsidRPr="0023394A">
        <w:t>s naudas zīmes, k</w:t>
      </w:r>
      <w:r w:rsidR="00006A33">
        <w:t>ur</w:t>
      </w:r>
      <w:r w:rsidR="00006A33" w:rsidRPr="0023394A">
        <w:t xml:space="preserve">as </w:t>
      </w:r>
      <w:r w:rsidR="00006A33" w:rsidRPr="0023394A">
        <w:lastRenderedPageBreak/>
        <w:t>konstatētu citas personas (privātpersonas, tirgotāji)</w:t>
      </w:r>
      <w:r w:rsidR="00006A33">
        <w:t>,</w:t>
      </w:r>
      <w:r w:rsidR="00006A33" w:rsidRPr="0023394A">
        <w:t xml:space="preserve"> </w:t>
      </w:r>
      <w:r w:rsidR="00006A33">
        <w:t>kā līdz šim, sākotnēji nonāktu</w:t>
      </w:r>
      <w:r w:rsidR="00006A33" w:rsidRPr="0023394A">
        <w:t xml:space="preserve"> Valsts policij</w:t>
      </w:r>
      <w:r w:rsidR="00006A33">
        <w:t>ā</w:t>
      </w:r>
      <w:r w:rsidR="00886AFC">
        <w:t xml:space="preserve">, kura </w:t>
      </w:r>
      <w:r w:rsidR="009C632B">
        <w:t xml:space="preserve">tās </w:t>
      </w:r>
      <w:r w:rsidR="00886AFC">
        <w:t xml:space="preserve">nodotu Latvijas Bankai. </w:t>
      </w:r>
      <w:r w:rsidR="00006A33">
        <w:t xml:space="preserve">No šādām citām personām Valsts policijā saņemto aizdomīgo naudas zīmju apjoms ir </w:t>
      </w:r>
      <w:r w:rsidR="00006A33" w:rsidRPr="004B3086">
        <w:t>neliels (2014.</w:t>
      </w:r>
      <w:r w:rsidR="00006A33">
        <w:t xml:space="preserve"> </w:t>
      </w:r>
      <w:r w:rsidR="00006A33" w:rsidRPr="004B3086">
        <w:t>g</w:t>
      </w:r>
      <w:r w:rsidR="00F0231A">
        <w:t>adā</w:t>
      </w:r>
      <w:r w:rsidR="00006A33" w:rsidRPr="004B3086">
        <w:t xml:space="preserve"> tikai 1</w:t>
      </w:r>
      <w:r w:rsidR="00006A33">
        <w:t>5</w:t>
      </w:r>
      <w:r w:rsidR="00006A33" w:rsidRPr="004B3086">
        <w:t>% no visiem viltojumiem atklāja privātpersonas</w:t>
      </w:r>
      <w:r w:rsidR="00E96289">
        <w:t xml:space="preserve"> un</w:t>
      </w:r>
      <w:r w:rsidR="00E96289" w:rsidRPr="004B3086">
        <w:t xml:space="preserve"> </w:t>
      </w:r>
      <w:r w:rsidR="00006A33" w:rsidRPr="004B3086">
        <w:t>tirgotāji).</w:t>
      </w:r>
    </w:p>
    <w:p w:rsidR="00886AFC" w:rsidRDefault="00886AFC" w:rsidP="00006A33"/>
    <w:p w:rsidR="0031108B" w:rsidRDefault="00073D9E" w:rsidP="0031108B">
      <w:pPr>
        <w:pStyle w:val="ListParagraph"/>
        <w:ind w:left="0"/>
      </w:pPr>
      <w:r>
        <w:t xml:space="preserve">Atbilstoši piedāvātajam risinājumam </w:t>
      </w:r>
      <w:r w:rsidR="00006A33">
        <w:t>Latvijas Banka</w:t>
      </w:r>
      <w:r>
        <w:t>, saņemot aizdomīgu</w:t>
      </w:r>
      <w:r w:rsidR="00006A33" w:rsidRPr="0023394A">
        <w:t xml:space="preserve"> naudas zīm</w:t>
      </w:r>
      <w:r>
        <w:t>i,</w:t>
      </w:r>
      <w:r w:rsidR="00006A33" w:rsidRPr="0023394A">
        <w:t xml:space="preserve"> </w:t>
      </w:r>
      <w:r>
        <w:t xml:space="preserve">veiks tās </w:t>
      </w:r>
      <w:r w:rsidR="00006A33" w:rsidRPr="0023394A">
        <w:t>sākotnēju identifikāciju un analīzi</w:t>
      </w:r>
      <w:r w:rsidR="00F22818">
        <w:t>.</w:t>
      </w:r>
      <w:r w:rsidR="00006A33" w:rsidRPr="0023394A">
        <w:t xml:space="preserve"> </w:t>
      </w:r>
      <w:r w:rsidR="00F22818">
        <w:t xml:space="preserve">Latvijas </w:t>
      </w:r>
      <w:r w:rsidR="003D5635">
        <w:t xml:space="preserve">Banka </w:t>
      </w:r>
      <w:r w:rsidR="00F22818">
        <w:t xml:space="preserve">veiks visu naudas zīmju (ne tikai </w:t>
      </w:r>
      <w:proofErr w:type="spellStart"/>
      <w:r w:rsidR="0003628E" w:rsidRPr="0003628E">
        <w:rPr>
          <w:i/>
        </w:rPr>
        <w:t>euro</w:t>
      </w:r>
      <w:proofErr w:type="spellEnd"/>
      <w:r w:rsidR="00F22818">
        <w:t xml:space="preserve">) </w:t>
      </w:r>
      <w:r w:rsidR="00377505">
        <w:t>viltojumu identifikāciju un analīzi</w:t>
      </w:r>
      <w:r w:rsidR="00F22818">
        <w:t>. K</w:t>
      </w:r>
      <w:r w:rsidR="00006A33" w:rsidRPr="0023394A">
        <w:t xml:space="preserve">onstatējot, ka </w:t>
      </w:r>
      <w:r w:rsidR="00B52D4F">
        <w:t>naudaszīme</w:t>
      </w:r>
      <w:r w:rsidR="00F22818">
        <w:t xml:space="preserve"> </w:t>
      </w:r>
      <w:r w:rsidR="00006A33" w:rsidRPr="0023394A">
        <w:t>ir vilto</w:t>
      </w:r>
      <w:r w:rsidR="00FE25CA">
        <w:t>ta</w:t>
      </w:r>
      <w:r w:rsidR="00006A33" w:rsidRPr="0023394A">
        <w:t>,</w:t>
      </w:r>
      <w:r w:rsidR="009C632B">
        <w:t xml:space="preserve"> </w:t>
      </w:r>
      <w:r w:rsidR="00F22818">
        <w:t xml:space="preserve">Latvijas Banka </w:t>
      </w:r>
      <w:r w:rsidR="009C632B">
        <w:t>nek</w:t>
      </w:r>
      <w:r w:rsidR="006379B2">
        <w:t>a</w:t>
      </w:r>
      <w:r w:rsidR="009C632B">
        <w:t>v</w:t>
      </w:r>
      <w:r w:rsidR="006379B2">
        <w:t>ē</w:t>
      </w:r>
      <w:r w:rsidR="009C632B">
        <w:t>joties</w:t>
      </w:r>
      <w:r w:rsidR="00006A33" w:rsidRPr="0023394A">
        <w:t xml:space="preserve"> informē</w:t>
      </w:r>
      <w:r>
        <w:t>s</w:t>
      </w:r>
      <w:r w:rsidR="00006A33" w:rsidRPr="0023394A">
        <w:t xml:space="preserve"> par t</w:t>
      </w:r>
      <w:r w:rsidR="00F22818">
        <w:t>o</w:t>
      </w:r>
      <w:r w:rsidR="00006A33" w:rsidRPr="0023394A">
        <w:t xml:space="preserve"> Valsts policiju, kas atbilstoši Kriminālprocesa likumam ierosinā</w:t>
      </w:r>
      <w:r>
        <w:t>s</w:t>
      </w:r>
      <w:r w:rsidR="00006A33" w:rsidRPr="0023394A">
        <w:t xml:space="preserve"> kriminālprocesu</w:t>
      </w:r>
      <w:r w:rsidR="00006A33">
        <w:t>.</w:t>
      </w:r>
      <w:r w:rsidR="00006A33" w:rsidRPr="0023394A">
        <w:t xml:space="preserve"> </w:t>
      </w:r>
      <w:r w:rsidR="00006A33">
        <w:t xml:space="preserve">Latvijas Bankas </w:t>
      </w:r>
      <w:r w:rsidR="00006A33" w:rsidRPr="0023394A">
        <w:t xml:space="preserve">atzinums </w:t>
      </w:r>
      <w:r w:rsidR="00006A33">
        <w:t xml:space="preserve">par </w:t>
      </w:r>
      <w:r>
        <w:t xml:space="preserve">to, ka </w:t>
      </w:r>
      <w:r w:rsidR="00006A33">
        <w:t xml:space="preserve">naudas zīme </w:t>
      </w:r>
      <w:r>
        <w:t xml:space="preserve">ir </w:t>
      </w:r>
      <w:r w:rsidR="00006A33">
        <w:t>vilto</w:t>
      </w:r>
      <w:r>
        <w:t>ta,</w:t>
      </w:r>
      <w:r w:rsidR="00006A33">
        <w:t xml:space="preserve"> </w:t>
      </w:r>
      <w:r w:rsidR="00006A33" w:rsidRPr="0023394A">
        <w:t>bū</w:t>
      </w:r>
      <w:r>
        <w:t>s</w:t>
      </w:r>
      <w:r w:rsidR="00006A33" w:rsidRPr="0023394A">
        <w:t xml:space="preserve"> izmantojams </w:t>
      </w:r>
      <w:r>
        <w:t>kā</w:t>
      </w:r>
      <w:r w:rsidRPr="0023394A">
        <w:t xml:space="preserve"> </w:t>
      </w:r>
      <w:r w:rsidR="00006A33" w:rsidRPr="0023394A">
        <w:t>pierādījum</w:t>
      </w:r>
      <w:r>
        <w:t>s</w:t>
      </w:r>
      <w:r w:rsidR="00006A33" w:rsidRPr="0023394A">
        <w:t xml:space="preserve"> kriminālprocesā </w:t>
      </w:r>
      <w:r>
        <w:t>(</w:t>
      </w:r>
      <w:r w:rsidR="00006A33" w:rsidRPr="0023394A">
        <w:t>bez tiesu ekspertīzes veikšanas</w:t>
      </w:r>
      <w:r>
        <w:t>)</w:t>
      </w:r>
      <w:r w:rsidR="00886AFC">
        <w:t>.</w:t>
      </w:r>
      <w:r w:rsidR="009C632B">
        <w:t xml:space="preserve"> </w:t>
      </w:r>
      <w:r w:rsidR="0031108B">
        <w:t xml:space="preserve">Latvijas Banka </w:t>
      </w:r>
      <w:r w:rsidR="00F22818">
        <w:t xml:space="preserve">sniegs </w:t>
      </w:r>
      <w:r w:rsidR="0031108B">
        <w:t xml:space="preserve">kompetentās iestādes atzinumu par naudas zīmes </w:t>
      </w:r>
      <w:r w:rsidR="00F22818">
        <w:t xml:space="preserve">īstumu vai </w:t>
      </w:r>
      <w:r w:rsidR="0031108B">
        <w:t>vilto</w:t>
      </w:r>
      <w:r w:rsidR="00F22818">
        <w:t>jumu</w:t>
      </w:r>
      <w:r w:rsidR="0031108B">
        <w:t xml:space="preserve">, </w:t>
      </w:r>
      <w:r w:rsidR="00F22818">
        <w:t xml:space="preserve">un šāds atzinums ietvers </w:t>
      </w:r>
      <w:r w:rsidR="0031108B">
        <w:t xml:space="preserve">visu </w:t>
      </w:r>
      <w:r w:rsidR="00F22818">
        <w:t xml:space="preserve">to </w:t>
      </w:r>
      <w:r w:rsidR="0031108B">
        <w:t>informāciju, k</w:t>
      </w:r>
      <w:r w:rsidR="00F22818">
        <w:t>o</w:t>
      </w:r>
      <w:r w:rsidR="0031108B">
        <w:t xml:space="preserve"> līdz šim saturēja tiesu eksperta naudas ekspertīzes slēdziens, </w:t>
      </w:r>
      <w:r w:rsidR="00F22818">
        <w:t xml:space="preserve">ar mērķi, lai minēto </w:t>
      </w:r>
      <w:r w:rsidR="0031108B">
        <w:t xml:space="preserve">atzinumu var pilnvērtīgi izmantot kā pierādījumu krimināllietā. Tāpat Latvijas Banka pēc procesa virzītāja pieprasījuma </w:t>
      </w:r>
      <w:r w:rsidR="00F22818">
        <w:t xml:space="preserve">savas kompetences ietvaros </w:t>
      </w:r>
      <w:r w:rsidR="0031108B">
        <w:t>sniegs visu nepieciešam</w:t>
      </w:r>
      <w:r w:rsidR="00F22818">
        <w:t>o</w:t>
      </w:r>
      <w:r w:rsidR="0031108B">
        <w:t xml:space="preserve"> papildus informāciju krimināllietas ietvaros. </w:t>
      </w:r>
      <w:r w:rsidR="00017115">
        <w:t xml:space="preserve">Viltojumu identifikācijas un analīzes </w:t>
      </w:r>
      <w:r w:rsidR="0031108B">
        <w:t>veikšanas ietvaros Latvijas Banka nodrošinās nepieciešam</w:t>
      </w:r>
      <w:r w:rsidR="00F22818">
        <w:t>ā</w:t>
      </w:r>
      <w:r w:rsidR="0031108B">
        <w:t xml:space="preserve">s drošības procedūras, lai viltotajai naudas zīmei </w:t>
      </w:r>
      <w:r w:rsidR="00017115">
        <w:t xml:space="preserve">procesa virzītāja uzdevumā Valsts policijas Kriminālistikas pārvalde </w:t>
      </w:r>
      <w:r w:rsidR="0031108B">
        <w:t>varētu veikt arī citas nepieciešamas ekspertīzes (DNS ekspertīze vai daktiloskopiskā ekspertīze).</w:t>
      </w:r>
    </w:p>
    <w:p w:rsidR="0058607D" w:rsidRDefault="0058607D"/>
    <w:p w:rsidR="00C37319" w:rsidRDefault="00C37319" w:rsidP="00C37319">
      <w:pPr>
        <w:pStyle w:val="ListParagraph"/>
        <w:ind w:left="0"/>
      </w:pPr>
      <w:r>
        <w:t>Piedāvātā risinājuma priekšrocības ir šādas:</w:t>
      </w:r>
    </w:p>
    <w:p w:rsidR="00C37319" w:rsidRDefault="00C37319" w:rsidP="00C37319">
      <w:pPr>
        <w:pStyle w:val="ListParagraph"/>
        <w:ind w:left="0"/>
      </w:pPr>
      <w:r>
        <w:t xml:space="preserve">1) ātra aizdomīgu naudas zīmju nonākšana kompetentajā iestādē (Latvijas Bankā), jo kredītiestādes un </w:t>
      </w:r>
      <w:r w:rsidR="00C56157">
        <w:t>komercsabiedrības, kas sniedz inkasācijas pakalpojumus</w:t>
      </w:r>
      <w:r>
        <w:t xml:space="preserve"> nodotu aizdomīgas naudas zīmes kopā ar skaidrās naudas iemaksām, ko kredītiestādes un </w:t>
      </w:r>
      <w:r w:rsidR="00C56157">
        <w:t>komercsabiedrības, kas sniedz inkasācijas pakalpojumus</w:t>
      </w:r>
      <w:r>
        <w:t xml:space="preserve"> veic regulāri (vidēji reizi 3 dienās);</w:t>
      </w:r>
    </w:p>
    <w:p w:rsidR="00E809E7" w:rsidRDefault="00C37319" w:rsidP="00C37319">
      <w:pPr>
        <w:pStyle w:val="ListParagraph"/>
        <w:ind w:left="0"/>
      </w:pPr>
      <w:r>
        <w:t xml:space="preserve">2) ātra naudas zīmju </w:t>
      </w:r>
      <w:r w:rsidR="00E809E7">
        <w:t>viltojumu identifikācija un analīze</w:t>
      </w:r>
      <w:r w:rsidR="00B64DF5">
        <w:t xml:space="preserve"> </w:t>
      </w:r>
      <w:r>
        <w:t>(vidēji 5 dienas)</w:t>
      </w:r>
      <w:r w:rsidR="00E809E7">
        <w:t>;</w:t>
      </w:r>
    </w:p>
    <w:p w:rsidR="00C37319" w:rsidRDefault="00E809E7" w:rsidP="00C37319">
      <w:pPr>
        <w:pStyle w:val="ListParagraph"/>
        <w:ind w:left="0"/>
      </w:pPr>
      <w:r>
        <w:t>3)</w:t>
      </w:r>
      <w:r w:rsidR="00C37319">
        <w:t xml:space="preserve"> nekavējoša datu </w:t>
      </w:r>
      <w:r w:rsidR="00B64DF5">
        <w:t xml:space="preserve">par viltojumiem </w:t>
      </w:r>
      <w:r w:rsidR="00C37319">
        <w:t>ievade CMS sistēmā</w:t>
      </w:r>
      <w:r w:rsidR="006A39AC">
        <w:t xml:space="preserve">, savlaicīgi nodrošinot Eiropas Savienības valstis un kompetentās iestādes ar aktuālo informāciju par Latvijā atklātajiem </w:t>
      </w:r>
      <w:proofErr w:type="spellStart"/>
      <w:r w:rsidR="0003628E" w:rsidRPr="0003628E">
        <w:rPr>
          <w:i/>
        </w:rPr>
        <w:t>euro</w:t>
      </w:r>
      <w:proofErr w:type="spellEnd"/>
      <w:r w:rsidR="006A39AC">
        <w:t xml:space="preserve"> viltojumiem</w:t>
      </w:r>
      <w:r w:rsidR="00B44B7E">
        <w:t xml:space="preserve">, lai tās varētu efektīvāk aizsargāt </w:t>
      </w:r>
      <w:proofErr w:type="spellStart"/>
      <w:r w:rsidR="0003628E" w:rsidRPr="0003628E">
        <w:rPr>
          <w:i/>
        </w:rPr>
        <w:t>euro</w:t>
      </w:r>
      <w:proofErr w:type="spellEnd"/>
      <w:r w:rsidR="00B44B7E">
        <w:t xml:space="preserve"> pret viltošanu un cīnīties ar jau atklātajiem viltošanas gadījumiem;</w:t>
      </w:r>
    </w:p>
    <w:p w:rsidR="0031108B" w:rsidRDefault="00E809E7" w:rsidP="0031108B">
      <w:r>
        <w:t>4</w:t>
      </w:r>
      <w:r w:rsidR="00C37319">
        <w:t>) kriminālprocesu ierosināšana par konstatētajiem naudas zīmju viltojumiem, nevis uz aizdomu pamata par iespē</w:t>
      </w:r>
      <w:r w:rsidR="0031108B">
        <w:t xml:space="preserve">jamiem naudas zīmju viltojumiem, tādējādi samazinot nepamatoti ierosinātu kriminālprocesu skaitu, kā arī būtiski samazinot kriminālprocesa veikšanas termiņus </w:t>
      </w:r>
      <w:r w:rsidR="00F22818">
        <w:t>(tiks ietaupīts laiks tādēļ, ka nebūs jāveic</w:t>
      </w:r>
      <w:r w:rsidR="0031108B">
        <w:t xml:space="preserve"> tiesu ekspertīze</w:t>
      </w:r>
      <w:r w:rsidR="00F22818">
        <w:t>)</w:t>
      </w:r>
      <w:r w:rsidR="0031108B">
        <w:t>.</w:t>
      </w:r>
    </w:p>
    <w:p w:rsidR="00C37319" w:rsidRDefault="00C37319" w:rsidP="00C37319">
      <w:pPr>
        <w:pStyle w:val="ListParagraph"/>
        <w:ind w:left="0"/>
      </w:pPr>
    </w:p>
    <w:p w:rsidR="00335361" w:rsidRDefault="00022437" w:rsidP="00335361">
      <w:r>
        <w:t>Pēc piedāvātā risinājuma</w:t>
      </w:r>
      <w:r w:rsidR="00FA5C9E">
        <w:t xml:space="preserve"> ieviešanas iepriekš minētie</w:t>
      </w:r>
      <w:r w:rsidR="00FA5C9E" w:rsidRPr="00335361">
        <w:t xml:space="preserve"> </w:t>
      </w:r>
      <w:r w:rsidR="00FA5C9E">
        <w:t>Valsts policijas Kriminālistikas pārvalde</w:t>
      </w:r>
      <w:r>
        <w:t>s</w:t>
      </w:r>
      <w:r w:rsidR="00FA5C9E">
        <w:t xml:space="preserve"> eksperti un palīgi turpinās darbu Valsts po</w:t>
      </w:r>
      <w:r>
        <w:t>licijas Kriminālistikas pārvaldē</w:t>
      </w:r>
      <w:r w:rsidR="00FA5C9E">
        <w:t>, bet viņu darba slogs tiks at</w:t>
      </w:r>
      <w:r>
        <w:t>vieglots un šo specialistu resursi</w:t>
      </w:r>
      <w:r w:rsidR="00FA5C9E">
        <w:t xml:space="preserve"> tiks </w:t>
      </w:r>
      <w:r>
        <w:t>no</w:t>
      </w:r>
      <w:r w:rsidR="00FA5C9E">
        <w:t xml:space="preserve">virzīti </w:t>
      </w:r>
      <w:r>
        <w:t>citu ekspertīžu veikšanai. Tādejādi</w:t>
      </w:r>
      <w:r w:rsidR="00090FE5">
        <w:t xml:space="preserve"> </w:t>
      </w:r>
      <w:r w:rsidR="00C37319">
        <w:t>tik</w:t>
      </w:r>
      <w:r w:rsidR="00F22818">
        <w:t>s</w:t>
      </w:r>
      <w:r w:rsidR="00C37319">
        <w:t xml:space="preserve"> </w:t>
      </w:r>
      <w:r w:rsidR="00090FE5">
        <w:t>ietaupīt</w:t>
      </w:r>
      <w:r w:rsidR="00C37319">
        <w:t>i</w:t>
      </w:r>
      <w:r w:rsidR="00090FE5">
        <w:t xml:space="preserve"> Valsts policijas K</w:t>
      </w:r>
      <w:r w:rsidR="00C37319">
        <w:t>riminālistikas pārvaldes resursi</w:t>
      </w:r>
      <w:r w:rsidR="00E91263">
        <w:t>,</w:t>
      </w:r>
      <w:r w:rsidR="00090FE5">
        <w:t xml:space="preserve"> un šo resursu pārdale citu ekspertīžu veikšanai </w:t>
      </w:r>
      <w:r w:rsidR="00E91263">
        <w:t>ļ</w:t>
      </w:r>
      <w:r w:rsidR="00090FE5">
        <w:t>au</w:t>
      </w:r>
      <w:r w:rsidR="00E91263">
        <w:t>s</w:t>
      </w:r>
      <w:r w:rsidR="00090FE5">
        <w:t xml:space="preserve"> samazināt ekspertīžu rindas un </w:t>
      </w:r>
      <w:r w:rsidR="00E91263">
        <w:t>uzlabot</w:t>
      </w:r>
      <w:r w:rsidR="00090FE5">
        <w:t xml:space="preserve"> izmeklēšanas termiņus citos kriminālprocesos.</w:t>
      </w:r>
      <w:r w:rsidR="00335361">
        <w:t xml:space="preserve"> </w:t>
      </w:r>
    </w:p>
    <w:p w:rsidR="00090FE5" w:rsidRDefault="00090FE5" w:rsidP="00006A33"/>
    <w:p w:rsidR="00886AFC" w:rsidRPr="0023394A" w:rsidDel="00134168" w:rsidRDefault="00886AFC" w:rsidP="00006A33"/>
    <w:p w:rsidR="00E31252" w:rsidRDefault="00E16BDD" w:rsidP="00006A33">
      <w:pPr>
        <w:pStyle w:val="ListParagraph"/>
        <w:ind w:left="0"/>
      </w:pPr>
      <w:r>
        <w:t>Latvijas Banka</w:t>
      </w:r>
      <w:r w:rsidR="006379B2">
        <w:t>s rīcībā</w:t>
      </w:r>
      <w:r>
        <w:t xml:space="preserve"> ir </w:t>
      </w:r>
      <w:r w:rsidR="006379B2">
        <w:t>nepieciešami</w:t>
      </w:r>
      <w:r w:rsidR="00E91263">
        <w:t>e</w:t>
      </w:r>
      <w:r w:rsidR="006379B2">
        <w:t xml:space="preserve"> </w:t>
      </w:r>
      <w:r>
        <w:t xml:space="preserve">resursi Valsts analīzes centra un Monētu valsts analīzes centra funkciju </w:t>
      </w:r>
      <w:r w:rsidR="006379B2">
        <w:t>pildīšanai, t.sk. arī citu valūt</w:t>
      </w:r>
      <w:r w:rsidR="00E91263">
        <w:t>u</w:t>
      </w:r>
      <w:r w:rsidR="006379B2">
        <w:t xml:space="preserve"> naudas zīmju </w:t>
      </w:r>
      <w:r w:rsidR="005535D5">
        <w:t xml:space="preserve">viltojumu identifikācijas un analīzes </w:t>
      </w:r>
      <w:r w:rsidR="006379B2">
        <w:t>veikšanai</w:t>
      </w:r>
      <w:r w:rsidR="00E91263">
        <w:t>.</w:t>
      </w:r>
      <w:r w:rsidR="006379B2">
        <w:t xml:space="preserve"> </w:t>
      </w:r>
      <w:r w:rsidR="00EB75FE">
        <w:t xml:space="preserve">Latvijas </w:t>
      </w:r>
      <w:r w:rsidR="00022437">
        <w:t>Bankā</w:t>
      </w:r>
      <w:r w:rsidR="00B522DE">
        <w:t xml:space="preserve"> ir plānots atvērt vienu papildus naudaszīmju eksperta amatu vietu, kā rezultātā Latvijas Bankā kopā būs četri </w:t>
      </w:r>
      <w:r w:rsidR="00B522DE">
        <w:lastRenderedPageBreak/>
        <w:t>naudaszīmju eksperti, no kuriem divi pildīs</w:t>
      </w:r>
      <w:r w:rsidR="00022437">
        <w:t xml:space="preserve"> arī cita</w:t>
      </w:r>
      <w:r w:rsidR="00B522DE">
        <w:t xml:space="preserve">s Latvijas Bankas funkcijas. </w:t>
      </w:r>
      <w:r w:rsidR="00E91263">
        <w:t>V</w:t>
      </w:r>
      <w:r w:rsidR="006379B2">
        <w:t xml:space="preserve">alsts budžeta līdzekļi naudas zīmju </w:t>
      </w:r>
      <w:r w:rsidR="005535D5">
        <w:t xml:space="preserve">viltojumu identifikācijas un analīzes </w:t>
      </w:r>
      <w:r w:rsidR="006379B2">
        <w:t>procesa nodrošināšanai piedāvātā risinājuma ietvaros nebū</w:t>
      </w:r>
      <w:r w:rsidR="00E91263">
        <w:t>s</w:t>
      </w:r>
      <w:r w:rsidR="006379B2">
        <w:t xml:space="preserve"> nepieciešami.</w:t>
      </w:r>
    </w:p>
    <w:p w:rsidR="00E608E1" w:rsidRDefault="00E608E1" w:rsidP="00E608E1"/>
    <w:p w:rsidR="00FC23C2" w:rsidRDefault="00E91263" w:rsidP="00E608E1">
      <w:pPr>
        <w:rPr>
          <w:szCs w:val="24"/>
        </w:rPr>
      </w:pPr>
      <w:r>
        <w:rPr>
          <w:szCs w:val="24"/>
        </w:rPr>
        <w:t>Lai ieviestu piedāvāto risinājumu, b</w:t>
      </w:r>
      <w:r w:rsidR="00052BA7">
        <w:rPr>
          <w:szCs w:val="24"/>
        </w:rPr>
        <w:t>ūtiskas izmaiņas normatīvajā regulējumā nav nepieciešamas. Ņemot vērā, ka Latvijas Banka, pārņemot Valsts analīzes centra un Monētu valsts analīzes centra funkcijas, neveiks naudas zīmju ekspertīzi</w:t>
      </w:r>
      <w:r w:rsidR="0028493D">
        <w:rPr>
          <w:szCs w:val="24"/>
        </w:rPr>
        <w:t xml:space="preserve"> Kriminālprocesa likuma izpratnē</w:t>
      </w:r>
      <w:r w:rsidR="00052BA7">
        <w:rPr>
          <w:szCs w:val="24"/>
        </w:rPr>
        <w:t xml:space="preserve">, bet gan </w:t>
      </w:r>
      <w:r w:rsidR="005535D5">
        <w:rPr>
          <w:szCs w:val="24"/>
        </w:rPr>
        <w:t xml:space="preserve">veiks naudas zīmju viltojumu identifikāciju un analīzi un </w:t>
      </w:r>
      <w:r w:rsidR="00052BA7">
        <w:rPr>
          <w:szCs w:val="24"/>
        </w:rPr>
        <w:t>atbilstoši Kriminālprocesa likuma</w:t>
      </w:r>
      <w:r w:rsidR="005535D5">
        <w:rPr>
          <w:szCs w:val="24"/>
        </w:rPr>
        <w:t xml:space="preserve"> </w:t>
      </w:r>
      <w:r w:rsidR="00052BA7">
        <w:rPr>
          <w:szCs w:val="24"/>
        </w:rPr>
        <w:t>133. pantam sniegs kompetentās institūcijas atzinumu</w:t>
      </w:r>
      <w:r w:rsidR="00D45231">
        <w:rPr>
          <w:szCs w:val="24"/>
        </w:rPr>
        <w:t xml:space="preserve">, </w:t>
      </w:r>
      <w:r w:rsidR="00D45231" w:rsidRPr="00650D0D">
        <w:rPr>
          <w:szCs w:val="24"/>
        </w:rPr>
        <w:t>tika veiktas nepieciešamās izmaiņas Kriminālprocesa 195.pantā,svītrojot prasību par obligātas ekspertīzes veikšanu naudas zīmju viltošanas lietas.</w:t>
      </w:r>
    </w:p>
    <w:p w:rsidR="00DC5038" w:rsidRPr="00052BA7" w:rsidRDefault="00DC5038" w:rsidP="00DC5038">
      <w:pPr>
        <w:rPr>
          <w:szCs w:val="24"/>
        </w:rPr>
      </w:pPr>
      <w:r>
        <w:rPr>
          <w:rFonts w:eastAsia="Calibri"/>
        </w:rPr>
        <w:t xml:space="preserve">Vienlaikus </w:t>
      </w:r>
      <w:r w:rsidR="00022437">
        <w:rPr>
          <w:rFonts w:eastAsia="Calibri"/>
        </w:rPr>
        <w:t xml:space="preserve">nepieciešams atzīt </w:t>
      </w:r>
      <w:r w:rsidRPr="00071BB3">
        <w:rPr>
          <w:rFonts w:eastAsia="Calibri"/>
        </w:rPr>
        <w:t>par aktualitāti zaudējušiem</w:t>
      </w:r>
      <w:r w:rsidDel="00DC5038">
        <w:rPr>
          <w:rFonts w:eastAsia="Calibri"/>
        </w:rPr>
        <w:t xml:space="preserve"> </w:t>
      </w:r>
      <w:r>
        <w:rPr>
          <w:rFonts w:eastAsia="Calibri"/>
        </w:rPr>
        <w:t xml:space="preserve">uzdevumus, kas ir doti </w:t>
      </w:r>
      <w:r w:rsidRPr="00071BB3">
        <w:rPr>
          <w:rFonts w:eastAsia="Calibri"/>
        </w:rPr>
        <w:t xml:space="preserve">Ministru kabineta 2004.gada 17.februāra sēdes </w:t>
      </w:r>
      <w:proofErr w:type="spellStart"/>
      <w:r w:rsidRPr="00071BB3">
        <w:rPr>
          <w:rFonts w:eastAsia="Calibri"/>
        </w:rPr>
        <w:t>protokollēmum</w:t>
      </w:r>
      <w:r>
        <w:rPr>
          <w:rFonts w:eastAsia="Calibri"/>
        </w:rPr>
        <w:t>ā</w:t>
      </w:r>
      <w:proofErr w:type="spellEnd"/>
      <w:r>
        <w:rPr>
          <w:rFonts w:eastAsia="Calibri"/>
        </w:rPr>
        <w:t xml:space="preserve"> </w:t>
      </w:r>
      <w:r w:rsidRPr="00071BB3">
        <w:rPr>
          <w:rFonts w:eastAsia="Calibri"/>
        </w:rPr>
        <w:t>Nr.7 1.§</w:t>
      </w:r>
      <w:r>
        <w:rPr>
          <w:rFonts w:eastAsia="Calibri"/>
        </w:rPr>
        <w:t xml:space="preserve"> “</w:t>
      </w:r>
      <w:r w:rsidRPr="00071BB3">
        <w:rPr>
          <w:rFonts w:eastAsia="Calibri"/>
        </w:rPr>
        <w:t xml:space="preserve">Par Ministru kabineta 2004.gada 10.februāra sēdes </w:t>
      </w:r>
      <w:proofErr w:type="spellStart"/>
      <w:r w:rsidRPr="00071BB3">
        <w:rPr>
          <w:rFonts w:eastAsia="Calibri"/>
        </w:rPr>
        <w:t>protokollēmumā</w:t>
      </w:r>
      <w:proofErr w:type="spellEnd"/>
      <w:r w:rsidRPr="00071BB3">
        <w:rPr>
          <w:rFonts w:eastAsia="Calibri"/>
        </w:rPr>
        <w:t xml:space="preserve"> (prot. Nr.6 3.§ 3.-17.punkts) </w:t>
      </w:r>
      <w:r>
        <w:rPr>
          <w:rFonts w:eastAsia="Calibri"/>
        </w:rPr>
        <w:t>“</w:t>
      </w:r>
      <w:r w:rsidRPr="00071BB3">
        <w:rPr>
          <w:rFonts w:eastAsia="Calibri"/>
        </w:rPr>
        <w:t>Informācija par ministriju uzdevumiem Visaptverošā monitoringa ziņojumā identificēto trūkumu novēršanai</w:t>
      </w:r>
      <w:r>
        <w:rPr>
          <w:rFonts w:eastAsia="Calibri"/>
        </w:rPr>
        <w:t>”</w:t>
      </w:r>
      <w:r w:rsidRPr="00071BB3" w:rsidDel="00DC5038">
        <w:rPr>
          <w:rFonts w:eastAsia="Calibri"/>
        </w:rPr>
        <w:t xml:space="preserve"> </w:t>
      </w:r>
      <w:r w:rsidRPr="00071BB3">
        <w:rPr>
          <w:rFonts w:eastAsia="Calibri"/>
        </w:rPr>
        <w:t xml:space="preserve"> doto uzdevumu izpildi” 4.1. un 4.2.apakšpunktā</w:t>
      </w:r>
      <w:r>
        <w:rPr>
          <w:rFonts w:eastAsia="Calibri"/>
        </w:rPr>
        <w:t>.</w:t>
      </w:r>
      <w:r w:rsidRPr="00071BB3">
        <w:rPr>
          <w:rFonts w:eastAsia="Calibri"/>
        </w:rPr>
        <w:t xml:space="preserve"> </w:t>
      </w:r>
    </w:p>
    <w:p w:rsidR="008B2183" w:rsidRDefault="008B2183" w:rsidP="008B2183">
      <w:pPr>
        <w:spacing w:after="120"/>
      </w:pPr>
    </w:p>
    <w:p w:rsidR="00474CC0" w:rsidRPr="00783D00" w:rsidRDefault="00474CC0" w:rsidP="00474CC0">
      <w:pPr>
        <w:pStyle w:val="NormalWeb"/>
        <w:spacing w:before="0" w:beforeAutospacing="0" w:after="0" w:afterAutospacing="0"/>
      </w:pPr>
      <w:r>
        <w:t>F</w:t>
      </w:r>
      <w:r w:rsidRPr="00783D00">
        <w:t>inanšu ministr</w:t>
      </w:r>
      <w: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</w:t>
      </w:r>
      <w:r w:rsidRPr="00783D00">
        <w:t>.</w:t>
      </w:r>
      <w:r>
        <w:t xml:space="preserve"> Reizniece-Ozola</w:t>
      </w:r>
    </w:p>
    <w:p w:rsidR="008B2183" w:rsidRDefault="008B2183" w:rsidP="008B2183">
      <w:pPr>
        <w:spacing w:after="120"/>
      </w:pPr>
    </w:p>
    <w:p w:rsidR="008B2183" w:rsidRPr="00774CA8" w:rsidRDefault="008B2183" w:rsidP="008B2183">
      <w:pPr>
        <w:spacing w:after="120"/>
      </w:pPr>
      <w:r w:rsidRPr="00774CA8">
        <w:tab/>
      </w:r>
      <w:r w:rsidRPr="00774CA8">
        <w:tab/>
      </w:r>
      <w:r w:rsidRPr="00774CA8">
        <w:tab/>
      </w:r>
    </w:p>
    <w:p w:rsidR="008B2183" w:rsidRPr="00774CA8" w:rsidRDefault="008B2183" w:rsidP="008B2183">
      <w:pPr>
        <w:pStyle w:val="Header"/>
        <w:rPr>
          <w:sz w:val="20"/>
        </w:rPr>
      </w:pPr>
    </w:p>
    <w:p w:rsidR="008B2183" w:rsidRPr="00774CA8" w:rsidRDefault="008B2183" w:rsidP="008B2183">
      <w:pPr>
        <w:pStyle w:val="Header"/>
        <w:rPr>
          <w:sz w:val="20"/>
        </w:rPr>
      </w:pPr>
    </w:p>
    <w:p w:rsidR="00A1596C" w:rsidRDefault="00065F47" w:rsidP="008B2183">
      <w:pPr>
        <w:rPr>
          <w:rFonts w:eastAsia="Calibri"/>
          <w:sz w:val="20"/>
        </w:rPr>
      </w:pPr>
      <w:r>
        <w:rPr>
          <w:rFonts w:eastAsia="Calibri"/>
          <w:sz w:val="20"/>
        </w:rPr>
        <w:t>01.06.2016 16:31</w:t>
      </w:r>
      <w:bookmarkStart w:id="0" w:name="_GoBack"/>
      <w:bookmarkEnd w:id="0"/>
    </w:p>
    <w:p w:rsidR="00474CC0" w:rsidRDefault="005E0BA6" w:rsidP="008B2183">
      <w:pPr>
        <w:rPr>
          <w:rFonts w:eastAsia="Calibri"/>
          <w:sz w:val="20"/>
        </w:rPr>
      </w:pPr>
      <w:r>
        <w:rPr>
          <w:rFonts w:eastAsia="Calibri"/>
          <w:sz w:val="20"/>
        </w:rPr>
        <w:t>1681</w:t>
      </w:r>
    </w:p>
    <w:p w:rsidR="00750568" w:rsidRDefault="00750568" w:rsidP="008B2183">
      <w:pPr>
        <w:rPr>
          <w:rFonts w:eastAsia="Calibri"/>
          <w:sz w:val="20"/>
        </w:rPr>
      </w:pPr>
      <w:r>
        <w:rPr>
          <w:rFonts w:eastAsia="Calibri"/>
          <w:sz w:val="20"/>
        </w:rPr>
        <w:t>I</w:t>
      </w:r>
      <w:r w:rsidR="008B2183">
        <w:rPr>
          <w:rFonts w:eastAsia="Calibri"/>
          <w:sz w:val="20"/>
        </w:rPr>
        <w:t xml:space="preserve">. </w:t>
      </w:r>
      <w:r>
        <w:rPr>
          <w:rFonts w:eastAsia="Calibri"/>
          <w:sz w:val="20"/>
        </w:rPr>
        <w:t>Tuševs</w:t>
      </w:r>
      <w:r w:rsidR="00BA7569">
        <w:rPr>
          <w:rFonts w:eastAsia="Calibri"/>
          <w:sz w:val="20"/>
        </w:rPr>
        <w:t>,</w:t>
      </w:r>
      <w:r>
        <w:rPr>
          <w:rFonts w:eastAsia="Calibri"/>
          <w:sz w:val="20"/>
        </w:rPr>
        <w:t xml:space="preserve"> 640995441</w:t>
      </w:r>
      <w:r w:rsidR="008B2183" w:rsidRPr="00774CA8">
        <w:rPr>
          <w:rFonts w:eastAsia="Calibri"/>
          <w:sz w:val="20"/>
        </w:rPr>
        <w:t xml:space="preserve"> </w:t>
      </w:r>
    </w:p>
    <w:p w:rsidR="008B2183" w:rsidRPr="00774CA8" w:rsidRDefault="00750568" w:rsidP="008B2183">
      <w:pPr>
        <w:rPr>
          <w:rFonts w:eastAsia="Calibri"/>
          <w:sz w:val="20"/>
        </w:rPr>
      </w:pPr>
      <w:r>
        <w:rPr>
          <w:rFonts w:eastAsia="Calibri"/>
          <w:sz w:val="20"/>
        </w:rPr>
        <w:t>ignats.tusevs</w:t>
      </w:r>
      <w:r w:rsidR="008B2183" w:rsidRPr="00774CA8">
        <w:rPr>
          <w:rFonts w:eastAsia="Calibri"/>
          <w:sz w:val="20"/>
        </w:rPr>
        <w:t>@</w:t>
      </w:r>
      <w:r w:rsidR="008B2183">
        <w:rPr>
          <w:rFonts w:eastAsia="Calibri"/>
          <w:sz w:val="20"/>
        </w:rPr>
        <w:t>fm</w:t>
      </w:r>
      <w:r w:rsidR="008B2183" w:rsidRPr="00774CA8">
        <w:rPr>
          <w:rFonts w:eastAsia="Calibri"/>
          <w:sz w:val="20"/>
        </w:rPr>
        <w:t>.gov.lv</w:t>
      </w:r>
    </w:p>
    <w:p w:rsidR="008B2183" w:rsidRPr="002D0EFF" w:rsidRDefault="008B2183" w:rsidP="002D0EFF">
      <w:pPr>
        <w:rPr>
          <w:b/>
          <w:szCs w:val="24"/>
        </w:rPr>
      </w:pPr>
    </w:p>
    <w:sectPr w:rsidR="008B2183" w:rsidRPr="002D0EFF" w:rsidSect="000D63B6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04" w:rsidRDefault="00C82804" w:rsidP="008B2183">
      <w:r>
        <w:separator/>
      </w:r>
    </w:p>
  </w:endnote>
  <w:endnote w:type="continuationSeparator" w:id="0">
    <w:p w:rsidR="00C82804" w:rsidRDefault="00C82804" w:rsidP="008B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feL2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83" w:rsidRPr="0017476C" w:rsidRDefault="008B2183" w:rsidP="0090041D">
    <w:pPr>
      <w:pStyle w:val="Footer"/>
    </w:pPr>
    <w:r w:rsidRPr="0017476C">
      <w:t>FMInfozin_</w:t>
    </w:r>
    <w:r w:rsidR="00790BC5">
      <w:t>270</w:t>
    </w:r>
    <w:r w:rsidR="003249DA">
      <w:t>5</w:t>
    </w:r>
    <w:r w:rsidR="00790BC5">
      <w:t>2016_</w:t>
    </w:r>
    <w:r w:rsidRPr="0017476C">
      <w:t xml:space="preserve">NAC_CNAC; Informatīvais ziņojums "Par Valsts analīzes centra un Monētu Valsts analīzes centra funkciju izpildi"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B6" w:rsidRPr="0017476C" w:rsidRDefault="000D63B6" w:rsidP="000D63B6">
    <w:pPr>
      <w:pStyle w:val="Footer"/>
    </w:pPr>
    <w:r w:rsidRPr="0017476C">
      <w:t>FMInfozin_</w:t>
    </w:r>
    <w:r w:rsidR="00790BC5">
      <w:t>270</w:t>
    </w:r>
    <w:r w:rsidR="003249DA">
      <w:t>5</w:t>
    </w:r>
    <w:r w:rsidR="00790BC5">
      <w:t>2016_</w:t>
    </w:r>
    <w:r w:rsidRPr="0017476C">
      <w:t xml:space="preserve">NAC_CNAC; Informatīvais ziņojums "Par Valsts analīzes centra un Monētu Valsts analīzes centra funkciju izpildi" </w:t>
    </w:r>
  </w:p>
  <w:p w:rsidR="000D63B6" w:rsidRDefault="000D6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04" w:rsidRDefault="00C82804" w:rsidP="008B2183">
      <w:r>
        <w:separator/>
      </w:r>
    </w:p>
  </w:footnote>
  <w:footnote w:type="continuationSeparator" w:id="0">
    <w:p w:rsidR="00C82804" w:rsidRDefault="00C82804" w:rsidP="008B2183">
      <w:r>
        <w:continuationSeparator/>
      </w:r>
    </w:p>
  </w:footnote>
  <w:footnote w:id="1">
    <w:p w:rsidR="00C05B30" w:rsidRDefault="00C05B30">
      <w:pPr>
        <w:pStyle w:val="FootnoteText"/>
      </w:pPr>
      <w:r>
        <w:rPr>
          <w:rStyle w:val="FootnoteReference"/>
        </w:rPr>
        <w:footnoteRef/>
      </w:r>
      <w:r>
        <w:t>20 no 28 Eiropas Savienības valstīm Valsts analīzes centra</w:t>
      </w:r>
      <w:r w:rsidRPr="004860CA">
        <w:t xml:space="preserve"> </w:t>
      </w:r>
      <w:r>
        <w:t>(</w:t>
      </w:r>
      <w:r w:rsidRPr="004860CA">
        <w:rPr>
          <w:i/>
        </w:rPr>
        <w:t xml:space="preserve">National </w:t>
      </w:r>
      <w:proofErr w:type="spellStart"/>
      <w:r w:rsidRPr="004860CA">
        <w:rPr>
          <w:i/>
        </w:rPr>
        <w:t>Analys</w:t>
      </w:r>
      <w:r w:rsidR="00FD2348" w:rsidRPr="00650D0D">
        <w:rPr>
          <w:i/>
        </w:rPr>
        <w:t>is</w:t>
      </w:r>
      <w:proofErr w:type="spellEnd"/>
      <w:r w:rsidRPr="004860CA">
        <w:rPr>
          <w:i/>
        </w:rPr>
        <w:t xml:space="preserve"> </w:t>
      </w:r>
      <w:proofErr w:type="spellStart"/>
      <w:r w:rsidRPr="004860CA">
        <w:rPr>
          <w:i/>
        </w:rPr>
        <w:t>Centre</w:t>
      </w:r>
      <w:proofErr w:type="spellEnd"/>
      <w:r w:rsidRPr="004860CA">
        <w:t>)</w:t>
      </w:r>
      <w:r>
        <w:t xml:space="preserve"> funkcijas veic centrālās bankas. Monētu Valsts analīzes centra</w:t>
      </w:r>
      <w:r w:rsidRPr="004860CA">
        <w:t xml:space="preserve"> </w:t>
      </w:r>
      <w:r>
        <w:t>(</w:t>
      </w:r>
      <w:proofErr w:type="spellStart"/>
      <w:r w:rsidRPr="004860CA">
        <w:rPr>
          <w:i/>
        </w:rPr>
        <w:t>Coin</w:t>
      </w:r>
      <w:proofErr w:type="spellEnd"/>
      <w:r w:rsidRPr="004860CA">
        <w:rPr>
          <w:i/>
        </w:rPr>
        <w:t xml:space="preserve"> National </w:t>
      </w:r>
      <w:proofErr w:type="spellStart"/>
      <w:r w:rsidRPr="004860CA">
        <w:rPr>
          <w:i/>
        </w:rPr>
        <w:t>Analysis</w:t>
      </w:r>
      <w:proofErr w:type="spellEnd"/>
      <w:r w:rsidRPr="004860CA">
        <w:rPr>
          <w:i/>
        </w:rPr>
        <w:t xml:space="preserve"> </w:t>
      </w:r>
      <w:proofErr w:type="spellStart"/>
      <w:r w:rsidRPr="004860CA">
        <w:rPr>
          <w:i/>
        </w:rPr>
        <w:t>Centre</w:t>
      </w:r>
      <w:proofErr w:type="spellEnd"/>
      <w:r>
        <w:t>) funkcijas centrālās bankas veic 14 no 28 Eiropas Savienības valstīm.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601446"/>
      <w:docPartObj>
        <w:docPartGallery w:val="Page Numbers (Top of Page)"/>
        <w:docPartUnique/>
      </w:docPartObj>
    </w:sdtPr>
    <w:sdtEndPr/>
    <w:sdtContent>
      <w:p w:rsidR="000D63B6" w:rsidRDefault="00350E3E">
        <w:pPr>
          <w:pStyle w:val="Header"/>
          <w:jc w:val="center"/>
        </w:pPr>
        <w:r>
          <w:fldChar w:fldCharType="begin"/>
        </w:r>
        <w:r w:rsidR="001E4C03">
          <w:instrText xml:space="preserve"> PAGE   \* MERGEFORMAT </w:instrText>
        </w:r>
        <w:r>
          <w:fldChar w:fldCharType="separate"/>
        </w:r>
        <w:r w:rsidR="00065F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63B6" w:rsidRDefault="000D6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EF87E1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89A7966"/>
    <w:multiLevelType w:val="hybridMultilevel"/>
    <w:tmpl w:val="0EF08A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5BB3FB7"/>
    <w:multiLevelType w:val="hybridMultilevel"/>
    <w:tmpl w:val="982C5F96"/>
    <w:lvl w:ilvl="0" w:tplc="3514C9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FF"/>
    <w:rsid w:val="00006A33"/>
    <w:rsid w:val="00017115"/>
    <w:rsid w:val="00017287"/>
    <w:rsid w:val="00022437"/>
    <w:rsid w:val="0003628E"/>
    <w:rsid w:val="0004381D"/>
    <w:rsid w:val="00051DA0"/>
    <w:rsid w:val="00052BA7"/>
    <w:rsid w:val="000600C5"/>
    <w:rsid w:val="00065F47"/>
    <w:rsid w:val="0006765A"/>
    <w:rsid w:val="00071BB3"/>
    <w:rsid w:val="00071D12"/>
    <w:rsid w:val="00073D9E"/>
    <w:rsid w:val="000770F7"/>
    <w:rsid w:val="000848DA"/>
    <w:rsid w:val="00090FE5"/>
    <w:rsid w:val="00093CC9"/>
    <w:rsid w:val="000A6329"/>
    <w:rsid w:val="000B4DA8"/>
    <w:rsid w:val="000D63B6"/>
    <w:rsid w:val="000F2D1E"/>
    <w:rsid w:val="000F5139"/>
    <w:rsid w:val="00103521"/>
    <w:rsid w:val="00106BDD"/>
    <w:rsid w:val="00110B13"/>
    <w:rsid w:val="00114A9A"/>
    <w:rsid w:val="0011623E"/>
    <w:rsid w:val="00126A70"/>
    <w:rsid w:val="001358F8"/>
    <w:rsid w:val="00143496"/>
    <w:rsid w:val="00145DF5"/>
    <w:rsid w:val="00147820"/>
    <w:rsid w:val="00163432"/>
    <w:rsid w:val="0017476C"/>
    <w:rsid w:val="001A301E"/>
    <w:rsid w:val="001A7BC9"/>
    <w:rsid w:val="001B3680"/>
    <w:rsid w:val="001B59E7"/>
    <w:rsid w:val="001B7AF9"/>
    <w:rsid w:val="001D5076"/>
    <w:rsid w:val="001D6EFB"/>
    <w:rsid w:val="001E4C03"/>
    <w:rsid w:val="00202C0F"/>
    <w:rsid w:val="00204243"/>
    <w:rsid w:val="00230E21"/>
    <w:rsid w:val="0025216B"/>
    <w:rsid w:val="002528DD"/>
    <w:rsid w:val="00253CE9"/>
    <w:rsid w:val="00257987"/>
    <w:rsid w:val="00281FDB"/>
    <w:rsid w:val="0028493D"/>
    <w:rsid w:val="00291344"/>
    <w:rsid w:val="002B1556"/>
    <w:rsid w:val="002B2D2A"/>
    <w:rsid w:val="002D0EFF"/>
    <w:rsid w:val="002D2B57"/>
    <w:rsid w:val="002F624D"/>
    <w:rsid w:val="002F7659"/>
    <w:rsid w:val="003020A9"/>
    <w:rsid w:val="0031108B"/>
    <w:rsid w:val="00314E3E"/>
    <w:rsid w:val="003249DA"/>
    <w:rsid w:val="00327D47"/>
    <w:rsid w:val="00335361"/>
    <w:rsid w:val="003416E5"/>
    <w:rsid w:val="003433FE"/>
    <w:rsid w:val="00343FA8"/>
    <w:rsid w:val="00345720"/>
    <w:rsid w:val="00346B12"/>
    <w:rsid w:val="00350E3E"/>
    <w:rsid w:val="00353604"/>
    <w:rsid w:val="003679F3"/>
    <w:rsid w:val="00370829"/>
    <w:rsid w:val="00375DAE"/>
    <w:rsid w:val="00377505"/>
    <w:rsid w:val="00377897"/>
    <w:rsid w:val="003941FD"/>
    <w:rsid w:val="003A594F"/>
    <w:rsid w:val="003B1BCD"/>
    <w:rsid w:val="003C5C01"/>
    <w:rsid w:val="003C7AE9"/>
    <w:rsid w:val="003D3F8F"/>
    <w:rsid w:val="003D5635"/>
    <w:rsid w:val="003D5D71"/>
    <w:rsid w:val="003E4855"/>
    <w:rsid w:val="003F30A5"/>
    <w:rsid w:val="00401A82"/>
    <w:rsid w:val="00405008"/>
    <w:rsid w:val="00405075"/>
    <w:rsid w:val="00414F67"/>
    <w:rsid w:val="00416F66"/>
    <w:rsid w:val="00424316"/>
    <w:rsid w:val="0046602C"/>
    <w:rsid w:val="00474CC0"/>
    <w:rsid w:val="00482537"/>
    <w:rsid w:val="0049271D"/>
    <w:rsid w:val="004957F6"/>
    <w:rsid w:val="004A3638"/>
    <w:rsid w:val="004B171A"/>
    <w:rsid w:val="004C4FE5"/>
    <w:rsid w:val="004C69B4"/>
    <w:rsid w:val="00514CAF"/>
    <w:rsid w:val="00517486"/>
    <w:rsid w:val="00526602"/>
    <w:rsid w:val="0054316B"/>
    <w:rsid w:val="005535D5"/>
    <w:rsid w:val="005710D5"/>
    <w:rsid w:val="00580253"/>
    <w:rsid w:val="0058607D"/>
    <w:rsid w:val="005A2E8A"/>
    <w:rsid w:val="005A6732"/>
    <w:rsid w:val="005A7571"/>
    <w:rsid w:val="005C4EBF"/>
    <w:rsid w:val="005D783A"/>
    <w:rsid w:val="005E0BA6"/>
    <w:rsid w:val="005E7351"/>
    <w:rsid w:val="005F5E37"/>
    <w:rsid w:val="00601838"/>
    <w:rsid w:val="00601CDC"/>
    <w:rsid w:val="0060623A"/>
    <w:rsid w:val="006379B2"/>
    <w:rsid w:val="00641AF9"/>
    <w:rsid w:val="00650D0D"/>
    <w:rsid w:val="00665AD1"/>
    <w:rsid w:val="00676CC3"/>
    <w:rsid w:val="006872D4"/>
    <w:rsid w:val="006A0F84"/>
    <w:rsid w:val="006A39AC"/>
    <w:rsid w:val="006A5485"/>
    <w:rsid w:val="006B1AF4"/>
    <w:rsid w:val="006B68EE"/>
    <w:rsid w:val="006C0C5B"/>
    <w:rsid w:val="006C5CDD"/>
    <w:rsid w:val="006D39EB"/>
    <w:rsid w:val="006F18C9"/>
    <w:rsid w:val="006F21C0"/>
    <w:rsid w:val="00715BCF"/>
    <w:rsid w:val="007215DB"/>
    <w:rsid w:val="00750568"/>
    <w:rsid w:val="007603A5"/>
    <w:rsid w:val="00765360"/>
    <w:rsid w:val="00790BC5"/>
    <w:rsid w:val="007A0773"/>
    <w:rsid w:val="007C7354"/>
    <w:rsid w:val="007E51FA"/>
    <w:rsid w:val="00803AE7"/>
    <w:rsid w:val="0081430A"/>
    <w:rsid w:val="00814BED"/>
    <w:rsid w:val="0081593C"/>
    <w:rsid w:val="00837BB5"/>
    <w:rsid w:val="00857353"/>
    <w:rsid w:val="00863FFE"/>
    <w:rsid w:val="00876CD8"/>
    <w:rsid w:val="00877815"/>
    <w:rsid w:val="00886AFC"/>
    <w:rsid w:val="00887821"/>
    <w:rsid w:val="00890C4E"/>
    <w:rsid w:val="00891315"/>
    <w:rsid w:val="008A5F00"/>
    <w:rsid w:val="008B2183"/>
    <w:rsid w:val="008C36E6"/>
    <w:rsid w:val="008C3A04"/>
    <w:rsid w:val="008C7CC1"/>
    <w:rsid w:val="008E32D6"/>
    <w:rsid w:val="008F763B"/>
    <w:rsid w:val="0090041D"/>
    <w:rsid w:val="00914860"/>
    <w:rsid w:val="00914AC7"/>
    <w:rsid w:val="009152C8"/>
    <w:rsid w:val="00936ED6"/>
    <w:rsid w:val="0094625A"/>
    <w:rsid w:val="00957410"/>
    <w:rsid w:val="009628B9"/>
    <w:rsid w:val="00964683"/>
    <w:rsid w:val="00986FC8"/>
    <w:rsid w:val="009879AD"/>
    <w:rsid w:val="00994EEF"/>
    <w:rsid w:val="009B683A"/>
    <w:rsid w:val="009C632B"/>
    <w:rsid w:val="009E7DB4"/>
    <w:rsid w:val="009F7A51"/>
    <w:rsid w:val="00A06D70"/>
    <w:rsid w:val="00A1267B"/>
    <w:rsid w:val="00A1596C"/>
    <w:rsid w:val="00A3478B"/>
    <w:rsid w:val="00A35ECD"/>
    <w:rsid w:val="00A473BF"/>
    <w:rsid w:val="00A562AB"/>
    <w:rsid w:val="00A80C2A"/>
    <w:rsid w:val="00A8264B"/>
    <w:rsid w:val="00A8310D"/>
    <w:rsid w:val="00A94D4C"/>
    <w:rsid w:val="00AD04C0"/>
    <w:rsid w:val="00AD09C1"/>
    <w:rsid w:val="00AE581B"/>
    <w:rsid w:val="00AF51B7"/>
    <w:rsid w:val="00B20F63"/>
    <w:rsid w:val="00B24B88"/>
    <w:rsid w:val="00B27A34"/>
    <w:rsid w:val="00B30644"/>
    <w:rsid w:val="00B35C04"/>
    <w:rsid w:val="00B40C78"/>
    <w:rsid w:val="00B426C3"/>
    <w:rsid w:val="00B44B7E"/>
    <w:rsid w:val="00B46311"/>
    <w:rsid w:val="00B522DE"/>
    <w:rsid w:val="00B52D4F"/>
    <w:rsid w:val="00B64858"/>
    <w:rsid w:val="00B64DF5"/>
    <w:rsid w:val="00B72488"/>
    <w:rsid w:val="00B81949"/>
    <w:rsid w:val="00BA4A0D"/>
    <w:rsid w:val="00BA7569"/>
    <w:rsid w:val="00BB2587"/>
    <w:rsid w:val="00BC3245"/>
    <w:rsid w:val="00BC3992"/>
    <w:rsid w:val="00BC7977"/>
    <w:rsid w:val="00BD3A2A"/>
    <w:rsid w:val="00BE2291"/>
    <w:rsid w:val="00BF25F5"/>
    <w:rsid w:val="00BF2BD0"/>
    <w:rsid w:val="00BF5CB1"/>
    <w:rsid w:val="00C05B30"/>
    <w:rsid w:val="00C072CA"/>
    <w:rsid w:val="00C30CDB"/>
    <w:rsid w:val="00C315C4"/>
    <w:rsid w:val="00C33016"/>
    <w:rsid w:val="00C37319"/>
    <w:rsid w:val="00C56157"/>
    <w:rsid w:val="00C735E2"/>
    <w:rsid w:val="00C81177"/>
    <w:rsid w:val="00C82804"/>
    <w:rsid w:val="00C86F2E"/>
    <w:rsid w:val="00CA1A28"/>
    <w:rsid w:val="00CA4415"/>
    <w:rsid w:val="00CD539C"/>
    <w:rsid w:val="00CE5073"/>
    <w:rsid w:val="00D1451D"/>
    <w:rsid w:val="00D1472A"/>
    <w:rsid w:val="00D237E0"/>
    <w:rsid w:val="00D26DF3"/>
    <w:rsid w:val="00D40AB9"/>
    <w:rsid w:val="00D45231"/>
    <w:rsid w:val="00D57C57"/>
    <w:rsid w:val="00D6229F"/>
    <w:rsid w:val="00D64688"/>
    <w:rsid w:val="00D67452"/>
    <w:rsid w:val="00D71536"/>
    <w:rsid w:val="00D7489B"/>
    <w:rsid w:val="00D8339C"/>
    <w:rsid w:val="00DC5038"/>
    <w:rsid w:val="00DD4621"/>
    <w:rsid w:val="00DD7183"/>
    <w:rsid w:val="00DE13F6"/>
    <w:rsid w:val="00DE2D46"/>
    <w:rsid w:val="00E111A9"/>
    <w:rsid w:val="00E12FE0"/>
    <w:rsid w:val="00E147A5"/>
    <w:rsid w:val="00E16BDD"/>
    <w:rsid w:val="00E250C0"/>
    <w:rsid w:val="00E258C6"/>
    <w:rsid w:val="00E31252"/>
    <w:rsid w:val="00E608E1"/>
    <w:rsid w:val="00E809E7"/>
    <w:rsid w:val="00E85437"/>
    <w:rsid w:val="00E87730"/>
    <w:rsid w:val="00E91263"/>
    <w:rsid w:val="00E96289"/>
    <w:rsid w:val="00EB75FE"/>
    <w:rsid w:val="00EC145E"/>
    <w:rsid w:val="00EC195C"/>
    <w:rsid w:val="00ED12BE"/>
    <w:rsid w:val="00F0125C"/>
    <w:rsid w:val="00F0231A"/>
    <w:rsid w:val="00F22818"/>
    <w:rsid w:val="00F306CA"/>
    <w:rsid w:val="00F47E1A"/>
    <w:rsid w:val="00F5330F"/>
    <w:rsid w:val="00F55804"/>
    <w:rsid w:val="00F560F8"/>
    <w:rsid w:val="00F65C8B"/>
    <w:rsid w:val="00F6688C"/>
    <w:rsid w:val="00F84A85"/>
    <w:rsid w:val="00FA5C9E"/>
    <w:rsid w:val="00FC23C2"/>
    <w:rsid w:val="00FD2348"/>
    <w:rsid w:val="00FD6465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EE05F-ABA5-4EDB-B643-82C1E86F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8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autoRedefine/>
    <w:qFormat/>
    <w:rsid w:val="00DD7183"/>
    <w:pPr>
      <w:keepNext/>
      <w:keepLines/>
      <w:numPr>
        <w:numId w:val="20"/>
      </w:numPr>
      <w:spacing w:before="480"/>
      <w:jc w:val="left"/>
      <w:outlineLvl w:val="0"/>
    </w:pPr>
    <w:rPr>
      <w:caps/>
      <w:kern w:val="28"/>
    </w:rPr>
  </w:style>
  <w:style w:type="paragraph" w:styleId="Heading2">
    <w:name w:val="heading 2"/>
    <w:basedOn w:val="Normal"/>
    <w:link w:val="Heading2Char"/>
    <w:autoRedefine/>
    <w:qFormat/>
    <w:rsid w:val="00DD7183"/>
    <w:pPr>
      <w:keepLines/>
      <w:numPr>
        <w:ilvl w:val="1"/>
        <w:numId w:val="20"/>
      </w:numPr>
      <w:spacing w:before="240"/>
      <w:outlineLvl w:val="1"/>
    </w:pPr>
  </w:style>
  <w:style w:type="paragraph" w:styleId="Heading3">
    <w:name w:val="heading 3"/>
    <w:basedOn w:val="Normal"/>
    <w:link w:val="Heading3Char"/>
    <w:autoRedefine/>
    <w:qFormat/>
    <w:rsid w:val="00DD7183"/>
    <w:pPr>
      <w:keepLines/>
      <w:numPr>
        <w:ilvl w:val="2"/>
        <w:numId w:val="20"/>
      </w:numPr>
      <w:spacing w:before="240"/>
      <w:outlineLvl w:val="2"/>
    </w:pPr>
  </w:style>
  <w:style w:type="paragraph" w:styleId="Heading4">
    <w:name w:val="heading 4"/>
    <w:basedOn w:val="Normal"/>
    <w:link w:val="Heading4Char"/>
    <w:autoRedefine/>
    <w:qFormat/>
    <w:rsid w:val="00DD7183"/>
    <w:pPr>
      <w:keepLines/>
      <w:numPr>
        <w:ilvl w:val="3"/>
        <w:numId w:val="20"/>
      </w:numPr>
      <w:spacing w:before="120"/>
      <w:outlineLvl w:val="3"/>
    </w:pPr>
  </w:style>
  <w:style w:type="paragraph" w:styleId="Heading5">
    <w:name w:val="heading 5"/>
    <w:basedOn w:val="Normal"/>
    <w:link w:val="Heading5Char"/>
    <w:autoRedefine/>
    <w:qFormat/>
    <w:rsid w:val="00DD7183"/>
    <w:pPr>
      <w:numPr>
        <w:ilvl w:val="4"/>
        <w:numId w:val="20"/>
      </w:numPr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qFormat/>
    <w:rsid w:val="00DD7183"/>
    <w:pPr>
      <w:keepLines/>
      <w:numPr>
        <w:ilvl w:val="5"/>
        <w:numId w:val="20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qFormat/>
    <w:rsid w:val="00DD7183"/>
    <w:pPr>
      <w:keepLines/>
      <w:numPr>
        <w:ilvl w:val="6"/>
        <w:numId w:val="20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qFormat/>
    <w:rsid w:val="00DD7183"/>
    <w:pPr>
      <w:keepLines/>
      <w:numPr>
        <w:ilvl w:val="7"/>
        <w:numId w:val="20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qFormat/>
    <w:rsid w:val="00DD7183"/>
    <w:pPr>
      <w:keepLines/>
      <w:numPr>
        <w:ilvl w:val="8"/>
        <w:numId w:val="20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183"/>
    <w:rPr>
      <w:rFonts w:ascii="Times New Roman" w:eastAsia="Times New Roman" w:hAnsi="Times New Roman" w:cs="Times New Roman"/>
      <w:caps/>
      <w:kern w:val="28"/>
      <w:sz w:val="24"/>
      <w:szCs w:val="20"/>
    </w:rPr>
  </w:style>
  <w:style w:type="paragraph" w:customStyle="1" w:styleId="Autors">
    <w:name w:val="Autors"/>
    <w:basedOn w:val="Normal"/>
    <w:next w:val="Normal"/>
    <w:autoRedefine/>
    <w:rsid w:val="00DD7183"/>
    <w:pPr>
      <w:tabs>
        <w:tab w:val="right" w:pos="9072"/>
      </w:tabs>
      <w:spacing w:before="960"/>
    </w:pPr>
  </w:style>
  <w:style w:type="paragraph" w:customStyle="1" w:styleId="Datums1">
    <w:name w:val="Datums1"/>
    <w:basedOn w:val="Normal"/>
    <w:next w:val="Normal"/>
    <w:autoRedefine/>
    <w:rsid w:val="00DD7183"/>
    <w:pPr>
      <w:spacing w:before="1680"/>
    </w:pPr>
  </w:style>
  <w:style w:type="paragraph" w:styleId="Header">
    <w:name w:val="header"/>
    <w:aliases w:val="18pt Bold"/>
    <w:basedOn w:val="Normal"/>
    <w:link w:val="HeaderChar"/>
    <w:autoRedefine/>
    <w:uiPriority w:val="99"/>
    <w:rsid w:val="00DD7183"/>
    <w:pPr>
      <w:tabs>
        <w:tab w:val="right" w:pos="9072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D7183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DD7183"/>
    <w:rPr>
      <w:b/>
      <w:bCs/>
    </w:rPr>
  </w:style>
  <w:style w:type="paragraph" w:customStyle="1" w:styleId="Kam">
    <w:name w:val="Kam"/>
    <w:basedOn w:val="Normal"/>
    <w:autoRedefine/>
    <w:rsid w:val="00DD7183"/>
    <w:pPr>
      <w:spacing w:before="240"/>
    </w:pPr>
  </w:style>
  <w:style w:type="paragraph" w:customStyle="1" w:styleId="Kam2">
    <w:name w:val="Kam 2"/>
    <w:basedOn w:val="Kam"/>
    <w:autoRedefine/>
    <w:rsid w:val="00DD7183"/>
    <w:pPr>
      <w:spacing w:before="0"/>
    </w:pPr>
  </w:style>
  <w:style w:type="paragraph" w:styleId="Footer">
    <w:name w:val="footer"/>
    <w:basedOn w:val="Normal"/>
    <w:link w:val="FooterChar"/>
    <w:autoRedefine/>
    <w:rsid w:val="0090041D"/>
    <w:pPr>
      <w:tabs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0041D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DD7183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718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D7183"/>
  </w:style>
  <w:style w:type="paragraph" w:customStyle="1" w:styleId="NAapaksnodala">
    <w:name w:val="NA apaksnodala"/>
    <w:basedOn w:val="Normal"/>
    <w:rsid w:val="00DD7183"/>
    <w:pPr>
      <w:numPr>
        <w:ilvl w:val="1"/>
        <w:numId w:val="2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Normal"/>
    <w:rsid w:val="00DD7183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Normal"/>
    <w:rsid w:val="00DD7183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Normal"/>
    <w:next w:val="Normal"/>
    <w:autoRedefine/>
    <w:qFormat/>
    <w:rsid w:val="00DD7183"/>
    <w:pPr>
      <w:keepNext/>
      <w:keepLines/>
      <w:numPr>
        <w:numId w:val="2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Normal"/>
    <w:next w:val="Normal"/>
    <w:qFormat/>
    <w:rsid w:val="00DD7183"/>
    <w:pPr>
      <w:numPr>
        <w:numId w:val="3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Normal"/>
    <w:rsid w:val="00DD7183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Normal"/>
    <w:rsid w:val="00DD7183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Normal"/>
    <w:qFormat/>
    <w:rsid w:val="00DD7183"/>
    <w:pPr>
      <w:numPr>
        <w:numId w:val="7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Normal"/>
    <w:qFormat/>
    <w:rsid w:val="00DD7183"/>
    <w:pPr>
      <w:keepLines/>
      <w:numPr>
        <w:ilvl w:val="1"/>
        <w:numId w:val="7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Normal"/>
    <w:qFormat/>
    <w:rsid w:val="00DD7183"/>
    <w:pPr>
      <w:keepLines/>
      <w:numPr>
        <w:ilvl w:val="2"/>
        <w:numId w:val="7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Normal"/>
    <w:qFormat/>
    <w:rsid w:val="00DD7183"/>
    <w:pPr>
      <w:keepLines/>
      <w:numPr>
        <w:ilvl w:val="3"/>
        <w:numId w:val="7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oka">
    <w:name w:val="No ka"/>
    <w:basedOn w:val="Kam2"/>
    <w:autoRedefine/>
    <w:rsid w:val="00DD7183"/>
    <w:pPr>
      <w:tabs>
        <w:tab w:val="right" w:pos="9072"/>
      </w:tabs>
    </w:pPr>
  </w:style>
  <w:style w:type="paragraph" w:customStyle="1" w:styleId="Nobeigums">
    <w:name w:val="Nobeigums"/>
    <w:basedOn w:val="Normal"/>
    <w:rsid w:val="00DD7183"/>
  </w:style>
  <w:style w:type="paragraph" w:customStyle="1" w:styleId="Nosaukums1">
    <w:name w:val="Nosaukums1"/>
    <w:basedOn w:val="Normal"/>
    <w:next w:val="Normal"/>
    <w:autoRedefine/>
    <w:rsid w:val="00DD7183"/>
    <w:pPr>
      <w:spacing w:before="480" w:after="480"/>
      <w:ind w:right="2835"/>
    </w:pPr>
    <w:rPr>
      <w:sz w:val="28"/>
    </w:rPr>
  </w:style>
  <w:style w:type="paragraph" w:styleId="BodyText">
    <w:name w:val="Body Text"/>
    <w:basedOn w:val="Normal"/>
    <w:link w:val="BodyTextChar"/>
    <w:rsid w:val="00DD7183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DD7183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DD7183"/>
    <w:pPr>
      <w:tabs>
        <w:tab w:val="left" w:pos="284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D7183"/>
    <w:rPr>
      <w:rFonts w:ascii="Times New Roman" w:eastAsia="Times New Roman" w:hAnsi="Times New Roman" w:cs="Times New Roman"/>
      <w:sz w:val="24"/>
      <w:szCs w:val="20"/>
    </w:rPr>
  </w:style>
  <w:style w:type="paragraph" w:customStyle="1" w:styleId="Papilduinformacija">
    <w:name w:val="Papildu informacija"/>
    <w:basedOn w:val="Normal"/>
    <w:next w:val="Normal"/>
    <w:autoRedefine/>
    <w:rsid w:val="00DD7183"/>
    <w:pPr>
      <w:spacing w:before="480"/>
    </w:pPr>
  </w:style>
  <w:style w:type="paragraph" w:customStyle="1" w:styleId="Papilduinformacija2">
    <w:name w:val="Papildu informacija 2"/>
    <w:basedOn w:val="Normal"/>
    <w:autoRedefine/>
    <w:rsid w:val="00DD7183"/>
  </w:style>
  <w:style w:type="paragraph" w:customStyle="1" w:styleId="Registracijasnumurs">
    <w:name w:val="Registracijas numurs"/>
    <w:basedOn w:val="Normal"/>
    <w:next w:val="Kam"/>
    <w:autoRedefine/>
    <w:rsid w:val="00DD7183"/>
  </w:style>
  <w:style w:type="paragraph" w:styleId="TOC1">
    <w:name w:val="toc 1"/>
    <w:basedOn w:val="Normal"/>
    <w:next w:val="Normal"/>
    <w:autoRedefine/>
    <w:semiHidden/>
    <w:rsid w:val="00DD7183"/>
    <w:pPr>
      <w:spacing w:before="240"/>
    </w:pPr>
  </w:style>
  <w:style w:type="paragraph" w:styleId="TOC2">
    <w:name w:val="toc 2"/>
    <w:basedOn w:val="Normal"/>
    <w:next w:val="Normal"/>
    <w:autoRedefine/>
    <w:semiHidden/>
    <w:rsid w:val="00DD7183"/>
    <w:pPr>
      <w:spacing w:before="240"/>
    </w:pPr>
  </w:style>
  <w:style w:type="paragraph" w:styleId="TOC3">
    <w:name w:val="toc 3"/>
    <w:basedOn w:val="Normal"/>
    <w:next w:val="Normal"/>
    <w:autoRedefine/>
    <w:semiHidden/>
    <w:rsid w:val="00DD7183"/>
    <w:pPr>
      <w:spacing w:before="120"/>
    </w:pPr>
  </w:style>
  <w:style w:type="paragraph" w:styleId="TOC4">
    <w:name w:val="toc 4"/>
    <w:basedOn w:val="Normal"/>
    <w:next w:val="Normal"/>
    <w:autoRedefine/>
    <w:semiHidden/>
    <w:rsid w:val="00DD7183"/>
    <w:pPr>
      <w:ind w:left="720"/>
    </w:pPr>
  </w:style>
  <w:style w:type="paragraph" w:styleId="TOC5">
    <w:name w:val="toc 5"/>
    <w:basedOn w:val="Normal"/>
    <w:next w:val="Normal"/>
    <w:autoRedefine/>
    <w:semiHidden/>
    <w:rsid w:val="00DD7183"/>
    <w:pPr>
      <w:ind w:left="960"/>
    </w:pPr>
  </w:style>
  <w:style w:type="paragraph" w:styleId="TOC6">
    <w:name w:val="toc 6"/>
    <w:basedOn w:val="Normal"/>
    <w:next w:val="Normal"/>
    <w:autoRedefine/>
    <w:semiHidden/>
    <w:rsid w:val="00DD7183"/>
    <w:pPr>
      <w:ind w:left="1200"/>
    </w:pPr>
  </w:style>
  <w:style w:type="paragraph" w:styleId="TOC7">
    <w:name w:val="toc 7"/>
    <w:basedOn w:val="Normal"/>
    <w:next w:val="Normal"/>
    <w:autoRedefine/>
    <w:semiHidden/>
    <w:rsid w:val="00DD7183"/>
    <w:pPr>
      <w:ind w:left="1440"/>
    </w:pPr>
  </w:style>
  <w:style w:type="paragraph" w:styleId="TOC8">
    <w:name w:val="toc 8"/>
    <w:basedOn w:val="Normal"/>
    <w:next w:val="Normal"/>
    <w:autoRedefine/>
    <w:semiHidden/>
    <w:rsid w:val="00DD7183"/>
    <w:pPr>
      <w:ind w:left="1680"/>
    </w:pPr>
  </w:style>
  <w:style w:type="paragraph" w:styleId="TOC9">
    <w:name w:val="toc 9"/>
    <w:basedOn w:val="Normal"/>
    <w:next w:val="Normal"/>
    <w:autoRedefine/>
    <w:semiHidden/>
    <w:rsid w:val="00DD7183"/>
    <w:pPr>
      <w:ind w:left="1920"/>
    </w:pPr>
  </w:style>
  <w:style w:type="paragraph" w:customStyle="1" w:styleId="Teksts1">
    <w:name w:val="Teksts1"/>
    <w:basedOn w:val="Normal"/>
    <w:autoRedefine/>
    <w:rsid w:val="00DD7183"/>
    <w:pPr>
      <w:keepLines/>
      <w:spacing w:before="240"/>
    </w:pPr>
  </w:style>
  <w:style w:type="paragraph" w:customStyle="1" w:styleId="Teksts2">
    <w:name w:val="Teksts2"/>
    <w:basedOn w:val="Normal"/>
    <w:autoRedefine/>
    <w:rsid w:val="00DD7183"/>
    <w:pPr>
      <w:keepLines/>
      <w:spacing w:before="120"/>
    </w:pPr>
  </w:style>
  <w:style w:type="paragraph" w:customStyle="1" w:styleId="Teksts3">
    <w:name w:val="Teksts3"/>
    <w:basedOn w:val="Teksts1"/>
    <w:autoRedefine/>
    <w:rsid w:val="00DD7183"/>
    <w:pPr>
      <w:spacing w:after="120"/>
    </w:pPr>
  </w:style>
  <w:style w:type="paragraph" w:customStyle="1" w:styleId="TekstsN1">
    <w:name w:val="TekstsN1"/>
    <w:basedOn w:val="Normal"/>
    <w:autoRedefine/>
    <w:rsid w:val="00DD7183"/>
    <w:pPr>
      <w:keepLines/>
      <w:numPr>
        <w:numId w:val="11"/>
      </w:numPr>
      <w:spacing w:before="240"/>
      <w:outlineLvl w:val="0"/>
    </w:pPr>
  </w:style>
  <w:style w:type="paragraph" w:customStyle="1" w:styleId="TekstsN2">
    <w:name w:val="TekstsN2"/>
    <w:basedOn w:val="Normal"/>
    <w:autoRedefine/>
    <w:rsid w:val="00DD7183"/>
    <w:pPr>
      <w:keepLines/>
      <w:numPr>
        <w:ilvl w:val="1"/>
        <w:numId w:val="11"/>
      </w:numPr>
      <w:spacing w:before="240"/>
      <w:outlineLvl w:val="1"/>
    </w:pPr>
  </w:style>
  <w:style w:type="paragraph" w:customStyle="1" w:styleId="TekstsN3">
    <w:name w:val="TekstsN3"/>
    <w:basedOn w:val="Normal"/>
    <w:autoRedefine/>
    <w:rsid w:val="00DD7183"/>
    <w:pPr>
      <w:keepLines/>
      <w:numPr>
        <w:ilvl w:val="2"/>
        <w:numId w:val="11"/>
      </w:numPr>
      <w:spacing w:before="120"/>
      <w:outlineLvl w:val="2"/>
    </w:pPr>
  </w:style>
  <w:style w:type="paragraph" w:customStyle="1" w:styleId="TekstsN4">
    <w:name w:val="TekstsN4"/>
    <w:basedOn w:val="Normal"/>
    <w:autoRedefine/>
    <w:rsid w:val="00DD7183"/>
    <w:pPr>
      <w:keepLines/>
      <w:numPr>
        <w:ilvl w:val="3"/>
        <w:numId w:val="11"/>
      </w:numPr>
      <w:outlineLvl w:val="3"/>
    </w:pPr>
  </w:style>
  <w:style w:type="character" w:customStyle="1" w:styleId="Heading2Char">
    <w:name w:val="Heading 2 Char"/>
    <w:basedOn w:val="DefaultParagraphFont"/>
    <w:link w:val="Heading2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DD7183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D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83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C735E2"/>
    <w:rPr>
      <w:vertAlign w:val="superscript"/>
    </w:rPr>
  </w:style>
  <w:style w:type="paragraph" w:customStyle="1" w:styleId="tv2131">
    <w:name w:val="tv2131"/>
    <w:basedOn w:val="Normal"/>
    <w:rsid w:val="00C735E2"/>
    <w:pPr>
      <w:spacing w:line="360" w:lineRule="auto"/>
      <w:ind w:firstLine="133"/>
      <w:jc w:val="left"/>
    </w:pPr>
    <w:rPr>
      <w:color w:val="414142"/>
      <w:sz w:val="9"/>
      <w:szCs w:val="9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339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339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339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39C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339C"/>
    <w:rPr>
      <w:vertAlign w:val="superscript"/>
    </w:rPr>
  </w:style>
  <w:style w:type="table" w:styleId="TableGrid">
    <w:name w:val="Table Grid"/>
    <w:basedOn w:val="TableNormal"/>
    <w:uiPriority w:val="59"/>
    <w:rsid w:val="00BF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25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5F5"/>
    <w:pPr>
      <w:tabs>
        <w:tab w:val="clear" w:pos="284"/>
      </w:tabs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5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4A8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NormalWeb">
    <w:name w:val="Normal (Web)"/>
    <w:basedOn w:val="Normal"/>
    <w:semiHidden/>
    <w:rsid w:val="00474CC0"/>
    <w:pPr>
      <w:spacing w:before="100" w:beforeAutospacing="1" w:after="100" w:afterAutospacing="1"/>
      <w:jc w:val="left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35C4E-22B0-44A0-924E-000BCFC4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8342</Words>
  <Characters>4755</Characters>
  <Application>Microsoft Office Word</Application>
  <DocSecurity>0</DocSecurity>
  <Lines>39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Banka</Company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Valsts analīzes centra un Monētu valsts analīzes centra funkciju izpildi"</dc:title>
  <dc:creator>Ludmila Uzulnika</dc:creator>
  <dc:description>I.Tuševs,t.67095441,e-pasts:ignats.tusevs@fm.gov.lv</dc:description>
  <cp:lastModifiedBy>Gunta Puidīte</cp:lastModifiedBy>
  <cp:revision>10</cp:revision>
  <cp:lastPrinted>2016-04-13T14:07:00Z</cp:lastPrinted>
  <dcterms:created xsi:type="dcterms:W3CDTF">2016-05-30T13:15:00Z</dcterms:created>
  <dcterms:modified xsi:type="dcterms:W3CDTF">2016-06-06T08:21:00Z</dcterms:modified>
</cp:coreProperties>
</file>