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7B278" w14:textId="3FC2ED96" w:rsidR="00067955" w:rsidRPr="00176E0E" w:rsidRDefault="00067955" w:rsidP="00067955">
      <w:pPr>
        <w:pStyle w:val="Virsraksts3"/>
        <w:rPr>
          <w:b/>
          <w:bCs/>
          <w:sz w:val="24"/>
        </w:rPr>
      </w:pPr>
      <w:bookmarkStart w:id="0" w:name="OLE_LINK7"/>
      <w:bookmarkStart w:id="1" w:name="OLE_LINK8"/>
      <w:r w:rsidRPr="003A06E8">
        <w:rPr>
          <w:b/>
          <w:bCs/>
          <w:sz w:val="24"/>
        </w:rPr>
        <w:t>Minis</w:t>
      </w:r>
      <w:bookmarkStart w:id="2" w:name="OLE_LINK1"/>
      <w:bookmarkStart w:id="3" w:name="OLE_LINK2"/>
      <w:bookmarkStart w:id="4" w:name="OLE_LINK3"/>
      <w:r w:rsidRPr="003A06E8">
        <w:rPr>
          <w:b/>
          <w:bCs/>
          <w:sz w:val="24"/>
        </w:rPr>
        <w:t xml:space="preserve">tru kabineta noteikumu projekta </w:t>
      </w:r>
      <w:bookmarkEnd w:id="2"/>
      <w:bookmarkEnd w:id="3"/>
      <w:bookmarkEnd w:id="4"/>
      <w:r w:rsidRPr="003A06E8">
        <w:rPr>
          <w:b/>
          <w:bCs/>
          <w:sz w:val="24"/>
        </w:rPr>
        <w:t>“</w:t>
      </w:r>
      <w:r w:rsidR="00A67766" w:rsidRPr="003A06E8">
        <w:rPr>
          <w:b/>
          <w:sz w:val="24"/>
        </w:rPr>
        <w:t>Noteikumi par atlīdzinām</w:t>
      </w:r>
      <w:r w:rsidR="00A67766" w:rsidRPr="003A06E8">
        <w:rPr>
          <w:b/>
          <w:bCs/>
          <w:sz w:val="24"/>
        </w:rPr>
        <w:t>ām</w:t>
      </w:r>
      <w:r w:rsidR="00A67766" w:rsidRPr="003A06E8">
        <w:rPr>
          <w:b/>
          <w:sz w:val="24"/>
        </w:rPr>
        <w:t xml:space="preserve"> tulka </w:t>
      </w:r>
      <w:r w:rsidR="00A67766" w:rsidRPr="003A06E8">
        <w:rPr>
          <w:b/>
          <w:bCs/>
          <w:sz w:val="24"/>
        </w:rPr>
        <w:t>izmaksām</w:t>
      </w:r>
      <w:r w:rsidR="00A67766" w:rsidRPr="003A06E8">
        <w:rPr>
          <w:b/>
          <w:sz w:val="24"/>
        </w:rPr>
        <w:t xml:space="preserve"> civilprocesā</w:t>
      </w:r>
      <w:r w:rsidRPr="003A06E8">
        <w:rPr>
          <w:b/>
          <w:sz w:val="24"/>
        </w:rPr>
        <w:t>”</w:t>
      </w:r>
      <w:r w:rsidRPr="003A06E8">
        <w:rPr>
          <w:b/>
          <w:color w:val="000000" w:themeColor="text1"/>
          <w:sz w:val="24"/>
        </w:rPr>
        <w:t xml:space="preserve"> sākotnējās ietekmes novērtējuma ziņojums</w:t>
      </w:r>
      <w:r w:rsidRPr="00176E0E">
        <w:rPr>
          <w:b/>
          <w:bCs/>
          <w:color w:val="000000" w:themeColor="text1"/>
          <w:sz w:val="24"/>
        </w:rPr>
        <w:t xml:space="preserve"> </w:t>
      </w:r>
    </w:p>
    <w:p w14:paraId="5AB67F6E" w14:textId="77777777" w:rsidR="00067955" w:rsidRPr="00176E0E" w:rsidRDefault="00067955" w:rsidP="00067955">
      <w:pPr>
        <w:jc w:val="center"/>
        <w:rPr>
          <w:b/>
          <w:bCs/>
          <w:color w:val="000000" w:themeColor="text1"/>
          <w:lang w:val="lv-LV"/>
        </w:rPr>
      </w:pPr>
      <w:r w:rsidRPr="00176E0E">
        <w:rPr>
          <w:b/>
          <w:bCs/>
          <w:color w:val="000000" w:themeColor="text1"/>
          <w:lang w:val="lv-LV"/>
        </w:rPr>
        <w:t>(anotācija)</w:t>
      </w:r>
    </w:p>
    <w:p w14:paraId="264396FF" w14:textId="77777777" w:rsidR="00067955" w:rsidRPr="00176E0E" w:rsidRDefault="00067955" w:rsidP="00067955">
      <w:pPr>
        <w:jc w:val="center"/>
        <w:rPr>
          <w:b/>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067955" w:rsidRPr="00176E0E" w14:paraId="6BC970C4" w14:textId="77777777" w:rsidTr="00627BC9">
        <w:tc>
          <w:tcPr>
            <w:tcW w:w="5000" w:type="pct"/>
            <w:gridSpan w:val="3"/>
            <w:vAlign w:val="center"/>
          </w:tcPr>
          <w:bookmarkEnd w:id="0"/>
          <w:bookmarkEnd w:id="1"/>
          <w:p w14:paraId="0A048E08" w14:textId="77777777" w:rsidR="00067955" w:rsidRPr="00176E0E" w:rsidRDefault="00067955" w:rsidP="007E08E3">
            <w:pPr>
              <w:jc w:val="center"/>
              <w:rPr>
                <w:b/>
                <w:bCs/>
                <w:color w:val="000000" w:themeColor="text1"/>
                <w:lang w:val="lv-LV" w:eastAsia="lv-LV"/>
              </w:rPr>
            </w:pPr>
            <w:r w:rsidRPr="00176E0E">
              <w:rPr>
                <w:b/>
                <w:bCs/>
                <w:color w:val="000000" w:themeColor="text1"/>
                <w:lang w:val="lv-LV" w:eastAsia="lv-LV"/>
              </w:rPr>
              <w:t>I. Tiesību akta projekta izstrādes nepieciešamība</w:t>
            </w:r>
          </w:p>
        </w:tc>
      </w:tr>
      <w:tr w:rsidR="00067955" w:rsidRPr="00DA1781" w14:paraId="09024C68" w14:textId="77777777" w:rsidTr="00627BC9">
        <w:tc>
          <w:tcPr>
            <w:tcW w:w="250" w:type="pct"/>
          </w:tcPr>
          <w:p w14:paraId="29F80152" w14:textId="77777777" w:rsidR="00067955" w:rsidRPr="00176E0E" w:rsidRDefault="00067955" w:rsidP="007E08E3">
            <w:pPr>
              <w:jc w:val="center"/>
              <w:rPr>
                <w:color w:val="000000" w:themeColor="text1"/>
                <w:lang w:val="lv-LV" w:eastAsia="lv-LV"/>
              </w:rPr>
            </w:pPr>
            <w:r w:rsidRPr="00176E0E">
              <w:rPr>
                <w:color w:val="000000" w:themeColor="text1"/>
                <w:lang w:val="lv-LV" w:eastAsia="lv-LV"/>
              </w:rPr>
              <w:t>1.</w:t>
            </w:r>
          </w:p>
        </w:tc>
        <w:tc>
          <w:tcPr>
            <w:tcW w:w="1397" w:type="pct"/>
          </w:tcPr>
          <w:p w14:paraId="2A5772D8" w14:textId="77777777" w:rsidR="00067955" w:rsidRPr="00176E0E" w:rsidRDefault="00067955" w:rsidP="007E08E3">
            <w:pPr>
              <w:jc w:val="both"/>
              <w:rPr>
                <w:color w:val="000000" w:themeColor="text1"/>
                <w:lang w:val="lv-LV" w:eastAsia="lv-LV"/>
              </w:rPr>
            </w:pPr>
            <w:r w:rsidRPr="00176E0E">
              <w:rPr>
                <w:color w:val="000000" w:themeColor="text1"/>
                <w:lang w:val="lv-LV" w:eastAsia="lv-LV"/>
              </w:rPr>
              <w:t>Pamatojums</w:t>
            </w:r>
          </w:p>
        </w:tc>
        <w:tc>
          <w:tcPr>
            <w:tcW w:w="3353" w:type="pct"/>
          </w:tcPr>
          <w:p w14:paraId="77DD89F4" w14:textId="59C062F8" w:rsidR="00067955" w:rsidRPr="00176E0E" w:rsidRDefault="00067955" w:rsidP="008E5A4C">
            <w:pPr>
              <w:ind w:firstLine="394"/>
              <w:jc w:val="both"/>
              <w:rPr>
                <w:lang w:val="lv-LV"/>
              </w:rPr>
            </w:pPr>
            <w:r w:rsidRPr="003A06E8">
              <w:rPr>
                <w:lang w:val="lv-LV"/>
              </w:rPr>
              <w:t xml:space="preserve">Ministru kabineta noteikumu projekts </w:t>
            </w:r>
            <w:r w:rsidR="00A67766" w:rsidRPr="003A06E8">
              <w:rPr>
                <w:lang w:val="lv-LV"/>
              </w:rPr>
              <w:t>“Noteikumi par atlīdzinām</w:t>
            </w:r>
            <w:r w:rsidR="00A67766" w:rsidRPr="003A06E8">
              <w:rPr>
                <w:bCs/>
                <w:lang w:val="lv-LV"/>
              </w:rPr>
              <w:t>ām</w:t>
            </w:r>
            <w:r w:rsidR="00A67766" w:rsidRPr="003A06E8">
              <w:rPr>
                <w:lang w:val="lv-LV"/>
              </w:rPr>
              <w:t xml:space="preserve"> tulka </w:t>
            </w:r>
            <w:r w:rsidR="00A67766" w:rsidRPr="003A06E8">
              <w:rPr>
                <w:bCs/>
                <w:lang w:val="lv-LV"/>
              </w:rPr>
              <w:t>izmaksām</w:t>
            </w:r>
            <w:r w:rsidR="00A67766" w:rsidRPr="003A06E8">
              <w:rPr>
                <w:lang w:val="lv-LV"/>
              </w:rPr>
              <w:t xml:space="preserve"> civilprocesā”</w:t>
            </w:r>
            <w:r w:rsidRPr="003A06E8">
              <w:rPr>
                <w:lang w:val="lv-LV"/>
              </w:rPr>
              <w:t xml:space="preserve"> (turpmāk – Ministru kabineta noteikumi) izstrādāts,</w:t>
            </w:r>
            <w:r w:rsidRPr="00176E0E">
              <w:rPr>
                <w:lang w:val="lv-LV"/>
              </w:rPr>
              <w:t xml:space="preserve"> pamatojoties uz Civilprocesa likuma </w:t>
            </w:r>
            <w:proofErr w:type="gramStart"/>
            <w:r w:rsidRPr="00176E0E">
              <w:rPr>
                <w:lang w:val="lv-LV"/>
              </w:rPr>
              <w:t>44.panta</w:t>
            </w:r>
            <w:proofErr w:type="gramEnd"/>
            <w:r w:rsidRPr="00176E0E">
              <w:rPr>
                <w:lang w:val="lv-LV"/>
              </w:rPr>
              <w:t xml:space="preserve"> pirmās daļas 4. un 5.punktu (redakcijas stājas spēkā 2016.gada 31.jūlijā).</w:t>
            </w:r>
          </w:p>
        </w:tc>
      </w:tr>
      <w:tr w:rsidR="00067955" w:rsidRPr="00DA1781" w14:paraId="5CFC83F8" w14:textId="77777777" w:rsidTr="00627BC9">
        <w:tc>
          <w:tcPr>
            <w:tcW w:w="250" w:type="pct"/>
          </w:tcPr>
          <w:p w14:paraId="3839E183" w14:textId="77777777" w:rsidR="00067955" w:rsidRPr="00176E0E" w:rsidRDefault="00067955" w:rsidP="007E08E3">
            <w:pPr>
              <w:jc w:val="center"/>
              <w:rPr>
                <w:color w:val="000000" w:themeColor="text1"/>
                <w:lang w:val="lv-LV" w:eastAsia="lv-LV"/>
              </w:rPr>
            </w:pPr>
            <w:r w:rsidRPr="00176E0E">
              <w:rPr>
                <w:color w:val="000000" w:themeColor="text1"/>
                <w:lang w:val="lv-LV" w:eastAsia="lv-LV"/>
              </w:rPr>
              <w:t>2.</w:t>
            </w:r>
          </w:p>
        </w:tc>
        <w:tc>
          <w:tcPr>
            <w:tcW w:w="1397" w:type="pct"/>
          </w:tcPr>
          <w:p w14:paraId="1F8D2D1E" w14:textId="77777777" w:rsidR="00067955" w:rsidRPr="00176E0E" w:rsidRDefault="00067955" w:rsidP="007E08E3">
            <w:pPr>
              <w:jc w:val="both"/>
              <w:rPr>
                <w:color w:val="000000" w:themeColor="text1"/>
                <w:lang w:val="lv-LV" w:eastAsia="lv-LV"/>
              </w:rPr>
            </w:pPr>
            <w:r w:rsidRPr="00176E0E">
              <w:rPr>
                <w:color w:val="000000"/>
                <w:lang w:val="lv-LV"/>
              </w:rPr>
              <w:t>Pašreizējā situācija un problēmas, kuru risināšanai tiesību akta projekts izstrādāts, tiesiskā regulējuma mērķis un būtība</w:t>
            </w:r>
          </w:p>
        </w:tc>
        <w:tc>
          <w:tcPr>
            <w:tcW w:w="3353" w:type="pct"/>
          </w:tcPr>
          <w:p w14:paraId="16E179BD" w14:textId="05F72EA4" w:rsidR="00DC2054" w:rsidRDefault="00601A30" w:rsidP="00DC2054">
            <w:pPr>
              <w:tabs>
                <w:tab w:val="left" w:pos="1252"/>
              </w:tabs>
              <w:ind w:firstLine="394"/>
              <w:jc w:val="both"/>
              <w:rPr>
                <w:lang w:val="lv-LV"/>
              </w:rPr>
            </w:pPr>
            <w:proofErr w:type="gramStart"/>
            <w:r>
              <w:rPr>
                <w:lang w:val="lv-LV"/>
              </w:rPr>
              <w:t>2016.gada</w:t>
            </w:r>
            <w:proofErr w:type="gramEnd"/>
            <w:r>
              <w:rPr>
                <w:lang w:val="lv-LV"/>
              </w:rPr>
              <w:t xml:space="preserve"> 31.jūlijā </w:t>
            </w:r>
            <w:r w:rsidR="00B905B9">
              <w:rPr>
                <w:lang w:val="lv-LV"/>
              </w:rPr>
              <w:t xml:space="preserve">stāsies spēkā </w:t>
            </w:r>
            <w:r>
              <w:rPr>
                <w:lang w:val="lv-LV"/>
              </w:rPr>
              <w:t xml:space="preserve">grozījumi </w:t>
            </w:r>
            <w:r w:rsidR="00DC2054">
              <w:rPr>
                <w:lang w:val="lv-LV"/>
              </w:rPr>
              <w:t>virknē Civilprocesa likuma pantu</w:t>
            </w:r>
            <w:r w:rsidR="00A523CD">
              <w:rPr>
                <w:lang w:val="lv-LV"/>
              </w:rPr>
              <w:t>. A</w:t>
            </w:r>
            <w:r w:rsidR="003A06E8">
              <w:rPr>
                <w:lang w:val="lv-LV"/>
              </w:rPr>
              <w:t>ttiecīgo grozījumu</w:t>
            </w:r>
            <w:r w:rsidR="00DC2054">
              <w:rPr>
                <w:lang w:val="lv-LV"/>
              </w:rPr>
              <w:t xml:space="preserve"> mērķis ir </w:t>
            </w:r>
            <w:r w:rsidR="00DC2054" w:rsidRPr="00DC2054">
              <w:rPr>
                <w:lang w:val="lv-LV"/>
              </w:rPr>
              <w:t>samērot valsts pienākumu nodrošināt bezmaksas tulku ties</w:t>
            </w:r>
            <w:r w:rsidR="00DC2054">
              <w:rPr>
                <w:lang w:val="lv-LV"/>
              </w:rPr>
              <w:t xml:space="preserve">as sēdē </w:t>
            </w:r>
            <w:r w:rsidR="00DC2054" w:rsidRPr="00DC2054">
              <w:rPr>
                <w:lang w:val="lv-LV"/>
              </w:rPr>
              <w:t>un saskaņot šo valsts pienākumu ar citām Civilprocesa likuma normām</w:t>
            </w:r>
            <w:r w:rsidR="00B905B9">
              <w:rPr>
                <w:lang w:val="lv-LV"/>
              </w:rPr>
              <w:t>.</w:t>
            </w:r>
          </w:p>
          <w:p w14:paraId="0E313828" w14:textId="320BDEEE" w:rsidR="00DC2054" w:rsidRPr="00DC2054" w:rsidRDefault="00DC2054" w:rsidP="00DC2054">
            <w:pPr>
              <w:tabs>
                <w:tab w:val="left" w:pos="1252"/>
              </w:tabs>
              <w:ind w:firstLine="394"/>
              <w:jc w:val="both"/>
              <w:rPr>
                <w:lang w:val="lv-LV"/>
              </w:rPr>
            </w:pPr>
            <w:r w:rsidRPr="00DC2054">
              <w:rPr>
                <w:lang w:val="lv-LV"/>
              </w:rPr>
              <w:t xml:space="preserve">Civilprocesa likuma </w:t>
            </w:r>
            <w:proofErr w:type="gramStart"/>
            <w:r w:rsidRPr="00DC2054">
              <w:rPr>
                <w:lang w:val="lv-LV"/>
              </w:rPr>
              <w:t>13.panta</w:t>
            </w:r>
            <w:proofErr w:type="gramEnd"/>
            <w:r w:rsidRPr="00DC2054">
              <w:rPr>
                <w:lang w:val="lv-LV"/>
              </w:rPr>
              <w:t xml:space="preserve"> ceturtā daļa paredz, ka lietas dalībniekiem, izņemot juridisko personu pārstāvjus, kas nepārvalda tiesvedības valodu, tiesa nodrošina tiesības iepazīties ar lietas materiāliem un piedalīties procesuālajās darbībās, izmantojot tulka palīdzību. </w:t>
            </w:r>
            <w:r w:rsidR="00B905B9">
              <w:rPr>
                <w:lang w:val="lv-LV"/>
              </w:rPr>
              <w:t>Principā minētā norma pašreiz</w:t>
            </w:r>
            <w:r w:rsidRPr="00DC2054">
              <w:rPr>
                <w:lang w:val="lv-LV"/>
              </w:rPr>
              <w:t xml:space="preserve"> paredz plašu, faktiski neierobežotu valsts pienākumu nodrošināt tulku tiesvedības procesā jebkurai fiziskajai personai, kura nepārvalda tiesvedības valodu (valsts valodu). Tomēr pēdējos gados tiesās ne tikai palielinās pārrobežu lietu skaits, bet arī likumsakarīgi vērojama tendence pieaugt gan to </w:t>
            </w:r>
            <w:r w:rsidRPr="003A06E8">
              <w:rPr>
                <w:lang w:val="lv-LV"/>
              </w:rPr>
              <w:t>lietu skaitam, kurās personas izmanto tiesības pieprasīt va</w:t>
            </w:r>
            <w:r w:rsidRPr="00A523CD">
              <w:rPr>
                <w:lang w:val="lv-LV"/>
              </w:rPr>
              <w:t xml:space="preserve">lsts nodrošināta tulka klātbūtni tiesvedības procesā, gan arī pieaugt </w:t>
            </w:r>
            <w:r w:rsidRPr="007F623C">
              <w:rPr>
                <w:lang w:val="lv-LV"/>
              </w:rPr>
              <w:t>to valodu lokam, uz kurām tulka klātbūtne ir nodrošināma.</w:t>
            </w:r>
            <w:r w:rsidRPr="00DC2054">
              <w:rPr>
                <w:lang w:val="lv-LV"/>
              </w:rPr>
              <w:t xml:space="preserve"> </w:t>
            </w:r>
          </w:p>
          <w:p w14:paraId="114410E7" w14:textId="75BC3357" w:rsidR="00DC2054" w:rsidRPr="00DC2054" w:rsidRDefault="00B905B9" w:rsidP="00DC2054">
            <w:pPr>
              <w:tabs>
                <w:tab w:val="left" w:pos="1252"/>
              </w:tabs>
              <w:ind w:firstLine="394"/>
              <w:jc w:val="both"/>
              <w:rPr>
                <w:lang w:val="lv-LV"/>
              </w:rPr>
            </w:pPr>
            <w:r>
              <w:rPr>
                <w:lang w:val="lv-LV"/>
              </w:rPr>
              <w:t>C</w:t>
            </w:r>
            <w:r w:rsidR="00DC2054" w:rsidRPr="00DC2054">
              <w:rPr>
                <w:lang w:val="lv-LV"/>
              </w:rPr>
              <w:t xml:space="preserve">ivillietās pastāv plaši noteikts valsts pienākums nodrošināt tulka palīdzību tiesas sēdē personām, kas nesaprot valsts valodu, pat tādās civillietās, kur personai ir iespēja pašai sev nodrošināt tulka palīdzību, ievērojot tās materiālo stāvokli. Turklāt nereti šāds beznosacījuma valsts pienākums tiek izmantots ļaunprātīgi, pieprasot tulka klātbūtni pat gadījumos, kad fiziskajai personai ir pilnvarots pārstāvis vai kad personai nav grūtību saprast tiesvedības valodu. Taču apstākļos, kad Latvijas tiesām ir ierobežota budžeta līdzekļu pieejamība, šāda tulka palīdzības nodrošināšana visām procesos iesaistītajām fiziskajām personām ir neefektīva un nerada ieguldījuma atgriezenisko saikni. </w:t>
            </w:r>
          </w:p>
          <w:p w14:paraId="6B62C3A9" w14:textId="0422AAD1" w:rsidR="00FF6001" w:rsidRDefault="00B905B9" w:rsidP="00B905B9">
            <w:pPr>
              <w:tabs>
                <w:tab w:val="left" w:pos="1252"/>
              </w:tabs>
              <w:jc w:val="both"/>
              <w:rPr>
                <w:lang w:val="lv-LV"/>
              </w:rPr>
            </w:pPr>
            <w:r>
              <w:rPr>
                <w:lang w:val="lv-LV"/>
              </w:rPr>
              <w:t xml:space="preserve">       Tomēr </w:t>
            </w:r>
            <w:r w:rsidR="00DC2054" w:rsidRPr="00DC2054">
              <w:rPr>
                <w:lang w:val="lv-LV"/>
              </w:rPr>
              <w:t xml:space="preserve">Civilprocesa likums paredz virkni gadījumu, kad noteiktās lietu kategorijās noteikti lietas dalībnieki uz likuma pamata ir atbrīvojami no tiesas izdevumu segšanas. Šāds atbrīvojums ir pamatots vai nu ar pašām lietu kategorijām, kur ir prezumējamas grūtības personām atrast nepieciešamos finanšu resursus, lai tiesātos pret nereti ekonomiski spēcīgāku otro pusi </w:t>
            </w:r>
            <w:proofErr w:type="gramStart"/>
            <w:r w:rsidR="00DC2054" w:rsidRPr="00DC2054">
              <w:rPr>
                <w:lang w:val="lv-LV"/>
              </w:rPr>
              <w:t>(</w:t>
            </w:r>
            <w:proofErr w:type="gramEnd"/>
            <w:r w:rsidR="00DC2054" w:rsidRPr="00DC2054">
              <w:rPr>
                <w:lang w:val="lv-LV"/>
              </w:rPr>
              <w:t xml:space="preserve">piemēram, darba tiesiskie prasījumi, uzturēšanas saistību lietas), vai arī ar paša lietas dalībnieka īpaši aizsargājamo statusu, piemēram, lietās attiecībā uz bērniem, </w:t>
            </w:r>
            <w:r w:rsidR="00DC2054" w:rsidRPr="00DC2054">
              <w:rPr>
                <w:lang w:val="lv-LV"/>
              </w:rPr>
              <w:lastRenderedPageBreak/>
              <w:t xml:space="preserve">personām ar rīcībspējas ierobežojumiem, vardarbībā cietušajām personām vai personām, kuras saņem valsts nodrošinātu juridisko palīdzību, ņemot vērā personas maznodrošinātās vai trūcīgās personas statusu u.tml. </w:t>
            </w:r>
            <w:r>
              <w:rPr>
                <w:lang w:val="lv-LV"/>
              </w:rPr>
              <w:t>F</w:t>
            </w:r>
            <w:r w:rsidR="00DC2054" w:rsidRPr="00DC2054">
              <w:rPr>
                <w:lang w:val="lv-LV"/>
              </w:rPr>
              <w:t>iziskas personas var iegūt atbrīvojumu no tiesas izdevumu samaksas arī uz individuāla tiesas lēmuma pamata, ja tiesas ieskatā, izvērtējot personas mantisko stāvokli, ir pamatoti atbrīvot personu no tiesas izdevumu samaksas. Tādējādi šobrīd Civilprocesa likuma 13.panta ceturtajā daļā paredzētais pienākums nodrošināt jebkurai fiziskajai personai tulka palīdzību, ja tā nesaprot tiesvedības valodu</w:t>
            </w:r>
            <w:r>
              <w:rPr>
                <w:lang w:val="lv-LV"/>
              </w:rPr>
              <w:t xml:space="preserve"> (valsts valodu)</w:t>
            </w:r>
            <w:r w:rsidR="00DC2054" w:rsidRPr="00DC2054">
              <w:rPr>
                <w:lang w:val="lv-LV"/>
              </w:rPr>
              <w:t xml:space="preserve">, neatbilst kopējai Civilprocesa likuma pieejai, kur atbrīvojuma pamatā ir konkrēti apsvērumi par tiesvedībai pakļauto lietu vai lietas dalībnieka statusu vai mantisko stāvokli lietā, nevis apsvērumi par to, vai persona saprot vai nesaprot tiesvedības valodu. </w:t>
            </w:r>
            <w:r w:rsidR="00FF6001">
              <w:rPr>
                <w:lang w:val="lv-LV"/>
              </w:rPr>
              <w:t>Savukārt tie, kuriem tiesa atbilstoši Civilprocesa likuma normām nenodrošinās iespēju izmantot valsts apmaksātu tulku, varēs raduš</w:t>
            </w:r>
            <w:r w:rsidR="00F07A7F">
              <w:rPr>
                <w:lang w:val="lv-LV"/>
              </w:rPr>
              <w:t>ās izmaksas par</w:t>
            </w:r>
            <w:r w:rsidR="00FF6001">
              <w:rPr>
                <w:lang w:val="lv-LV"/>
              </w:rPr>
              <w:t xml:space="preserve"> tulk</w:t>
            </w:r>
            <w:r w:rsidR="00F07A7F">
              <w:rPr>
                <w:lang w:val="lv-LV"/>
              </w:rPr>
              <w:t>u</w:t>
            </w:r>
            <w:r w:rsidR="00FF6001">
              <w:rPr>
                <w:lang w:val="lv-LV"/>
              </w:rPr>
              <w:t xml:space="preserve"> piedzīt no lietā zaudējušās puses. </w:t>
            </w:r>
          </w:p>
          <w:p w14:paraId="0608992A" w14:textId="25072227" w:rsidR="00067955" w:rsidRPr="00176E0E" w:rsidRDefault="00FF6001" w:rsidP="00B905B9">
            <w:pPr>
              <w:tabs>
                <w:tab w:val="left" w:pos="1252"/>
              </w:tabs>
              <w:jc w:val="both"/>
              <w:rPr>
                <w:lang w:val="lv-LV"/>
              </w:rPr>
            </w:pPr>
            <w:r>
              <w:rPr>
                <w:lang w:val="lv-LV"/>
              </w:rPr>
              <w:t xml:space="preserve">        Proti, </w:t>
            </w:r>
            <w:r w:rsidR="00067955" w:rsidRPr="00F54EB7">
              <w:rPr>
                <w:lang w:val="lv-LV"/>
              </w:rPr>
              <w:t xml:space="preserve">Civilprocesa likuma </w:t>
            </w:r>
            <w:proofErr w:type="gramStart"/>
            <w:r w:rsidR="00067955" w:rsidRPr="00F54EB7">
              <w:rPr>
                <w:lang w:val="lv-LV"/>
              </w:rPr>
              <w:t>33.panta</w:t>
            </w:r>
            <w:proofErr w:type="gramEnd"/>
            <w:r w:rsidR="00067955" w:rsidRPr="00F54EB7">
              <w:rPr>
                <w:lang w:val="lv-LV"/>
              </w:rPr>
              <w:t xml:space="preserve"> trešās daļas 5.punkts</w:t>
            </w:r>
            <w:r w:rsidR="00B50814">
              <w:rPr>
                <w:lang w:val="lv-LV"/>
              </w:rPr>
              <w:t xml:space="preserve"> (redakcija stājas spēkā 2016.gada 31.jūlijā) </w:t>
            </w:r>
            <w:r w:rsidR="00067955" w:rsidRPr="00F54EB7">
              <w:rPr>
                <w:lang w:val="lv-LV"/>
              </w:rPr>
              <w:t xml:space="preserve"> paredz, ka ar lietas vešanu saistītie izdevumi tostarp ir izdevumi par tulka palīdzību tiesas sēdē, kurus varēs piedzīt no lietā zaudējušās puses saskaņā ar Civilprocesa likuma 44.panta pirmās daļas 4.</w:t>
            </w:r>
            <w:r w:rsidR="004460BF">
              <w:rPr>
                <w:lang w:val="lv-LV"/>
              </w:rPr>
              <w:t xml:space="preserve"> </w:t>
            </w:r>
            <w:r w:rsidR="00067955" w:rsidRPr="00F54EB7">
              <w:rPr>
                <w:lang w:val="lv-LV"/>
              </w:rPr>
              <w:t>un 5.punkt</w:t>
            </w:r>
            <w:r w:rsidR="00E36012">
              <w:rPr>
                <w:lang w:val="lv-LV"/>
              </w:rPr>
              <w:t>u</w:t>
            </w:r>
            <w:r w:rsidR="00067955" w:rsidRPr="00F54EB7">
              <w:rPr>
                <w:lang w:val="lv-LV"/>
              </w:rPr>
              <w:t>. Proti, Civilprocesa likuma 44.panta pirmās daļas 4. un 5.punkts nosaka, ka tulka izdevumi sakarā ar pušu piedalīšanos tiesas sēdē un pušu vai to pārstāvju klātbūtni vai piedalīšanos pierādījumu iegūšanā, pēc Latvijas lūguma pierādījumus iegūstot ārvalstī,</w:t>
            </w:r>
            <w:r w:rsidR="00E36012" w:rsidRPr="00F54EB7">
              <w:rPr>
                <w:lang w:val="lv-LV"/>
              </w:rPr>
              <w:t xml:space="preserve"> </w:t>
            </w:r>
            <w:r w:rsidR="00067955" w:rsidRPr="00F54EB7">
              <w:rPr>
                <w:lang w:val="lv-LV"/>
              </w:rPr>
              <w:t>atlīdzināmi to faktiskajā apmērā, tomēr ne vairāk par Ministru kabineta notei</w:t>
            </w:r>
            <w:r w:rsidR="00E36012">
              <w:rPr>
                <w:lang w:val="lv-LV"/>
              </w:rPr>
              <w:t>ktajām likmēm</w:t>
            </w:r>
            <w:r w:rsidR="00067955" w:rsidRPr="00F54EB7">
              <w:rPr>
                <w:lang w:val="lv-LV"/>
              </w:rPr>
              <w:t xml:space="preserve">. Līdz ar ko likumdevējs ir deleģējis Ministru kabinetam noteikt </w:t>
            </w:r>
            <w:r w:rsidR="008E5A4C">
              <w:rPr>
                <w:lang w:val="lv-LV"/>
              </w:rPr>
              <w:t>atlīdzinām</w:t>
            </w:r>
            <w:r w:rsidR="00A67766">
              <w:rPr>
                <w:lang w:val="lv-LV"/>
              </w:rPr>
              <w:t xml:space="preserve">ās </w:t>
            </w:r>
            <w:r w:rsidR="00FC2D6C" w:rsidRPr="00F54EB7">
              <w:rPr>
                <w:lang w:val="lv-LV"/>
              </w:rPr>
              <w:t>likmes</w:t>
            </w:r>
            <w:r w:rsidR="00B50814">
              <w:rPr>
                <w:lang w:val="lv-LV"/>
              </w:rPr>
              <w:t xml:space="preserve"> (apmērus)</w:t>
            </w:r>
            <w:r w:rsidR="00FC2D6C" w:rsidRPr="00F54EB7">
              <w:rPr>
                <w:lang w:val="lv-LV"/>
              </w:rPr>
              <w:t xml:space="preserve"> </w:t>
            </w:r>
            <w:r w:rsidR="00A67766">
              <w:rPr>
                <w:lang w:val="lv-LV"/>
              </w:rPr>
              <w:t>par izmaksām, kas pusei radušās nodrošinot tulku un</w:t>
            </w:r>
            <w:r w:rsidR="00067955" w:rsidRPr="00F54EB7">
              <w:rPr>
                <w:lang w:val="lv-LV"/>
              </w:rPr>
              <w:t>, kur</w:t>
            </w:r>
            <w:r w:rsidR="00A67766">
              <w:rPr>
                <w:lang w:val="lv-LV"/>
              </w:rPr>
              <w:t>as</w:t>
            </w:r>
            <w:r w:rsidR="00067955" w:rsidRPr="00F54EB7">
              <w:rPr>
                <w:lang w:val="lv-LV"/>
              </w:rPr>
              <w:t xml:space="preserve"> būs iespējams noteiktā kārtībā piedzīt no lietā zaudējušās puses. Taču vienlaikus attiecībā uz atlīdzinām</w:t>
            </w:r>
            <w:r w:rsidR="00A67766">
              <w:rPr>
                <w:lang w:val="lv-LV"/>
              </w:rPr>
              <w:t>ām</w:t>
            </w:r>
            <w:r w:rsidR="00067955" w:rsidRPr="00F54EB7">
              <w:rPr>
                <w:lang w:val="lv-LV"/>
              </w:rPr>
              <w:t xml:space="preserve"> tulka </w:t>
            </w:r>
            <w:r w:rsidR="00A67766">
              <w:rPr>
                <w:lang w:val="lv-LV"/>
              </w:rPr>
              <w:t>izmaksām</w:t>
            </w:r>
            <w:r w:rsidR="00A67766" w:rsidRPr="00F54EB7">
              <w:rPr>
                <w:lang w:val="lv-LV"/>
              </w:rPr>
              <w:t xml:space="preserve"> </w:t>
            </w:r>
            <w:r w:rsidR="00067955" w:rsidRPr="00F54EB7">
              <w:rPr>
                <w:lang w:val="lv-LV"/>
              </w:rPr>
              <w:t xml:space="preserve">likumdevējs ir noteicis </w:t>
            </w:r>
            <w:r w:rsidR="0060334C" w:rsidRPr="00F54EB7">
              <w:rPr>
                <w:lang w:val="lv-LV"/>
              </w:rPr>
              <w:t xml:space="preserve">arī to, ka </w:t>
            </w:r>
            <w:r w:rsidR="00067955" w:rsidRPr="00F54EB7">
              <w:rPr>
                <w:lang w:val="lv-LV"/>
              </w:rPr>
              <w:t>tikai tād</w:t>
            </w:r>
            <w:r w:rsidR="00A67766">
              <w:rPr>
                <w:lang w:val="lv-LV"/>
              </w:rPr>
              <w:t>as</w:t>
            </w:r>
            <w:r w:rsidR="00067955" w:rsidRPr="00F54EB7">
              <w:rPr>
                <w:lang w:val="lv-LV"/>
              </w:rPr>
              <w:t xml:space="preserve"> tulka </w:t>
            </w:r>
            <w:r w:rsidR="00A67766">
              <w:rPr>
                <w:lang w:val="lv-LV"/>
              </w:rPr>
              <w:t>izmaksas</w:t>
            </w:r>
            <w:r w:rsidR="00A67766" w:rsidRPr="00F54EB7">
              <w:rPr>
                <w:lang w:val="lv-LV"/>
              </w:rPr>
              <w:t xml:space="preserve"> </w:t>
            </w:r>
            <w:r w:rsidR="00067955" w:rsidRPr="00F54EB7">
              <w:rPr>
                <w:lang w:val="lv-LV"/>
              </w:rPr>
              <w:t>varēs piedzīt no lietā zaudējušās puses</w:t>
            </w:r>
            <w:r w:rsidR="00857E5E">
              <w:rPr>
                <w:lang w:val="lv-LV"/>
              </w:rPr>
              <w:t xml:space="preserve"> Civilprocesa likuma 44.panta kārtībā</w:t>
            </w:r>
            <w:r w:rsidR="00067955" w:rsidRPr="00F54EB7">
              <w:rPr>
                <w:lang w:val="lv-LV"/>
              </w:rPr>
              <w:t>, kas raduš</w:t>
            </w:r>
            <w:r w:rsidR="00A67766">
              <w:rPr>
                <w:lang w:val="lv-LV"/>
              </w:rPr>
              <w:t>ās</w:t>
            </w:r>
            <w:r w:rsidR="00067955" w:rsidRPr="00176E0E">
              <w:rPr>
                <w:lang w:val="lv-LV"/>
              </w:rPr>
              <w:t xml:space="preserve"> sakarā ar pušu piedalīšanos tiesas sēdē un pušu vai to pārstāvju klātbūtni vai piedalīšanos pierādījumu iegūšanā, pēc Latvijas lūguma pierādījumus iegūstot ārvalstīs. </w:t>
            </w:r>
          </w:p>
          <w:p w14:paraId="12E89BC1" w14:textId="1DB5F7B4" w:rsidR="00627BC9" w:rsidRPr="00176E0E" w:rsidRDefault="00067955" w:rsidP="00472970">
            <w:pPr>
              <w:tabs>
                <w:tab w:val="left" w:pos="1252"/>
              </w:tabs>
              <w:ind w:firstLine="394"/>
              <w:jc w:val="both"/>
              <w:rPr>
                <w:lang w:val="lv-LV"/>
              </w:rPr>
            </w:pPr>
            <w:r w:rsidRPr="00176E0E">
              <w:rPr>
                <w:lang w:val="lv-LV"/>
              </w:rPr>
              <w:t xml:space="preserve">Ministru kabineta noteikumos ietvertās </w:t>
            </w:r>
            <w:r w:rsidR="008E5A4C">
              <w:rPr>
                <w:lang w:val="lv-LV"/>
              </w:rPr>
              <w:t>atlīdzināmās tulka izmaksas</w:t>
            </w:r>
            <w:r w:rsidRPr="00176E0E">
              <w:rPr>
                <w:lang w:val="lv-LV"/>
              </w:rPr>
              <w:t xml:space="preserve"> par tulka pakalpojumiem nav attiecināmas uz tulka sniegtajiem pakalpojumiem, kas ir sniegti ārpus Ministru kabineta noteikumos noteiktā tvēru</w:t>
            </w:r>
            <w:r w:rsidR="0060334C">
              <w:rPr>
                <w:lang w:val="lv-LV"/>
              </w:rPr>
              <w:t>ma. Proti, Ministru kabineta no</w:t>
            </w:r>
            <w:r w:rsidRPr="00176E0E">
              <w:rPr>
                <w:lang w:val="lv-LV"/>
              </w:rPr>
              <w:t>teikumi nav attiecināmi uz jebkād</w:t>
            </w:r>
            <w:r w:rsidR="00A67766">
              <w:rPr>
                <w:lang w:val="lv-LV"/>
              </w:rPr>
              <w:t>ām</w:t>
            </w:r>
            <w:r w:rsidRPr="00176E0E">
              <w:rPr>
                <w:lang w:val="lv-LV"/>
              </w:rPr>
              <w:t xml:space="preserve"> ci</w:t>
            </w:r>
            <w:r w:rsidR="00515A99">
              <w:rPr>
                <w:lang w:val="lv-LV"/>
              </w:rPr>
              <w:t>t</w:t>
            </w:r>
            <w:r w:rsidR="00A67766">
              <w:rPr>
                <w:lang w:val="lv-LV"/>
              </w:rPr>
              <w:t>ām</w:t>
            </w:r>
            <w:r w:rsidRPr="00176E0E">
              <w:rPr>
                <w:lang w:val="lv-LV"/>
              </w:rPr>
              <w:t xml:space="preserve"> tulka </w:t>
            </w:r>
            <w:r w:rsidR="00A67766">
              <w:rPr>
                <w:lang w:val="lv-LV"/>
              </w:rPr>
              <w:t>izmaksām</w:t>
            </w:r>
            <w:r w:rsidR="00A67766" w:rsidRPr="00176E0E">
              <w:rPr>
                <w:lang w:val="lv-LV"/>
              </w:rPr>
              <w:t xml:space="preserve"> </w:t>
            </w:r>
            <w:r w:rsidRPr="00176E0E">
              <w:rPr>
                <w:lang w:val="lv-LV"/>
              </w:rPr>
              <w:t xml:space="preserve">ārpus tiesas sēdes vai neiegūstot pierādījumus ārvalstīs. </w:t>
            </w:r>
            <w:r w:rsidR="00627BC9" w:rsidRPr="00ED42DA">
              <w:rPr>
                <w:lang w:val="lv-LV"/>
              </w:rPr>
              <w:t>Tas nozīmē, ka tulku faktiski noteiktie izcenojumi par sniegto pakalpojumu var pārsniegt Ministru kabineta noteikumos n</w:t>
            </w:r>
            <w:r w:rsidR="00ED42DA" w:rsidRPr="00ED42DA">
              <w:rPr>
                <w:lang w:val="lv-LV"/>
              </w:rPr>
              <w:t>oteikt</w:t>
            </w:r>
            <w:r w:rsidR="008E5A4C">
              <w:rPr>
                <w:lang w:val="lv-LV"/>
              </w:rPr>
              <w:t>os atlīdzinām</w:t>
            </w:r>
            <w:r w:rsidR="00A67766">
              <w:rPr>
                <w:lang w:val="lv-LV"/>
              </w:rPr>
              <w:t>ās</w:t>
            </w:r>
            <w:r w:rsidR="00ED42DA" w:rsidRPr="00ED42DA">
              <w:rPr>
                <w:lang w:val="lv-LV"/>
              </w:rPr>
              <w:t xml:space="preserve"> tulk</w:t>
            </w:r>
            <w:r w:rsidR="008E5A4C">
              <w:rPr>
                <w:lang w:val="lv-LV"/>
              </w:rPr>
              <w:t>a</w:t>
            </w:r>
            <w:r w:rsidR="00ED42DA" w:rsidRPr="00ED42DA">
              <w:rPr>
                <w:lang w:val="lv-LV"/>
              </w:rPr>
              <w:t xml:space="preserve"> </w:t>
            </w:r>
            <w:r w:rsidR="008E5A4C">
              <w:rPr>
                <w:lang w:val="lv-LV"/>
              </w:rPr>
              <w:t>iz</w:t>
            </w:r>
            <w:r w:rsidR="00A67766">
              <w:rPr>
                <w:lang w:val="lv-LV"/>
              </w:rPr>
              <w:t>maksas</w:t>
            </w:r>
            <w:r w:rsidR="00627BC9" w:rsidRPr="00ED42DA">
              <w:rPr>
                <w:lang w:val="lv-LV"/>
              </w:rPr>
              <w:t>.</w:t>
            </w:r>
            <w:r w:rsidR="005F1BDB">
              <w:rPr>
                <w:lang w:val="lv-LV"/>
              </w:rPr>
              <w:t xml:space="preserve"> </w:t>
            </w:r>
            <w:r w:rsidR="005F1BDB" w:rsidRPr="005F1BDB">
              <w:rPr>
                <w:lang w:val="lv-LV"/>
              </w:rPr>
              <w:t xml:space="preserve">Proti, nav izslēgts tas, ka pusei var nākties segt radušos starpību starp </w:t>
            </w:r>
            <w:r w:rsidR="005F1BDB" w:rsidRPr="005F1BDB">
              <w:rPr>
                <w:lang w:val="lv-LV"/>
              </w:rPr>
              <w:lastRenderedPageBreak/>
              <w:t xml:space="preserve">tulka sniegtā pakalpojuma faktisko izcenojumu un no lietā zaudējušās puses </w:t>
            </w:r>
            <w:r w:rsidR="00625F25" w:rsidRPr="005F1BDB">
              <w:rPr>
                <w:lang w:val="lv-LV"/>
              </w:rPr>
              <w:t>piedz</w:t>
            </w:r>
            <w:r w:rsidR="00625F25">
              <w:rPr>
                <w:lang w:val="lv-LV"/>
              </w:rPr>
              <w:t>ītās</w:t>
            </w:r>
            <w:r w:rsidR="00625F25" w:rsidRPr="005F1BDB">
              <w:rPr>
                <w:lang w:val="lv-LV"/>
              </w:rPr>
              <w:t xml:space="preserve"> </w:t>
            </w:r>
            <w:r w:rsidR="005F1BDB" w:rsidRPr="005F1BDB">
              <w:rPr>
                <w:lang w:val="lv-LV"/>
              </w:rPr>
              <w:t xml:space="preserve">summas. </w:t>
            </w:r>
            <w:r w:rsidR="00627BC9">
              <w:rPr>
                <w:lang w:val="lv-LV"/>
              </w:rPr>
              <w:t xml:space="preserve"> </w:t>
            </w:r>
          </w:p>
          <w:p w14:paraId="00ABF723" w14:textId="7A0B1363" w:rsidR="00E36012" w:rsidRDefault="00067955" w:rsidP="00472970">
            <w:pPr>
              <w:tabs>
                <w:tab w:val="left" w:pos="1252"/>
              </w:tabs>
              <w:ind w:firstLine="394"/>
              <w:jc w:val="both"/>
              <w:rPr>
                <w:lang w:val="lv-LV"/>
              </w:rPr>
            </w:pPr>
            <w:r w:rsidRPr="00176E0E">
              <w:rPr>
                <w:lang w:val="lv-LV"/>
              </w:rPr>
              <w:t xml:space="preserve">Ievērojot, ka </w:t>
            </w:r>
            <w:r w:rsidR="00A67766">
              <w:rPr>
                <w:lang w:val="lv-LV"/>
              </w:rPr>
              <w:t>izmaksas par tulku</w:t>
            </w:r>
            <w:r w:rsidRPr="00176E0E">
              <w:rPr>
                <w:lang w:val="lv-LV"/>
              </w:rPr>
              <w:t>, kas pusei raduš</w:t>
            </w:r>
            <w:r w:rsidR="00A67766">
              <w:rPr>
                <w:lang w:val="lv-LV"/>
              </w:rPr>
              <w:t>ās</w:t>
            </w:r>
            <w:r>
              <w:rPr>
                <w:lang w:val="lv-LV"/>
              </w:rPr>
              <w:t>,</w:t>
            </w:r>
            <w:r w:rsidRPr="00176E0E">
              <w:rPr>
                <w:lang w:val="lv-LV"/>
              </w:rPr>
              <w:t xml:space="preserve"> izmantojot tulka pakalpojumus</w:t>
            </w:r>
            <w:r w:rsidR="00492F78">
              <w:rPr>
                <w:lang w:val="lv-LV"/>
              </w:rPr>
              <w:t xml:space="preserve"> tiesas sēdē vai klātesot pierādījumu iegūšanā ārvalstī</w:t>
            </w:r>
            <w:r>
              <w:rPr>
                <w:lang w:val="lv-LV"/>
              </w:rPr>
              <w:t>,</w:t>
            </w:r>
            <w:r w:rsidRPr="00176E0E">
              <w:rPr>
                <w:lang w:val="lv-LV"/>
              </w:rPr>
              <w:t xml:space="preserve"> varēs piedzīt no lietā zaudējušās puses, jo īpaši ir svarīgi novērst jebkādas pārmērīgas, iespējams, negodprātīg</w:t>
            </w:r>
            <w:r>
              <w:rPr>
                <w:lang w:val="lv-LV"/>
              </w:rPr>
              <w:t>i aprēķināt</w:t>
            </w:r>
            <w:r w:rsidR="00A67766">
              <w:rPr>
                <w:lang w:val="lv-LV"/>
              </w:rPr>
              <w:t>ā</w:t>
            </w:r>
            <w:r>
              <w:rPr>
                <w:lang w:val="lv-LV"/>
              </w:rPr>
              <w:t>s</w:t>
            </w:r>
            <w:r w:rsidRPr="00176E0E">
              <w:rPr>
                <w:lang w:val="lv-LV"/>
              </w:rPr>
              <w:t xml:space="preserve"> izmaksas </w:t>
            </w:r>
            <w:r>
              <w:rPr>
                <w:lang w:val="lv-LV"/>
              </w:rPr>
              <w:t xml:space="preserve">par </w:t>
            </w:r>
            <w:r w:rsidRPr="00176E0E">
              <w:rPr>
                <w:lang w:val="lv-LV"/>
              </w:rPr>
              <w:t>tulka</w:t>
            </w:r>
            <w:r>
              <w:rPr>
                <w:lang w:val="lv-LV"/>
              </w:rPr>
              <w:t xml:space="preserve"> sniegtajiem pakalpojumiem tiesas sēdē vai iegūstot pierādījumus ārvalstīs</w:t>
            </w:r>
            <w:r w:rsidRPr="00176E0E">
              <w:rPr>
                <w:lang w:val="lv-LV"/>
              </w:rPr>
              <w:t xml:space="preserve">. Tādējādi Ministru kabineta noteikumi nosaka </w:t>
            </w:r>
            <w:r w:rsidR="008E5A4C">
              <w:rPr>
                <w:lang w:val="lv-LV"/>
              </w:rPr>
              <w:t>atlīdzinām</w:t>
            </w:r>
            <w:r w:rsidR="00A67766">
              <w:rPr>
                <w:lang w:val="lv-LV"/>
              </w:rPr>
              <w:t>ās</w:t>
            </w:r>
            <w:r w:rsidR="008E5A4C">
              <w:rPr>
                <w:lang w:val="lv-LV"/>
              </w:rPr>
              <w:t xml:space="preserve"> tulka </w:t>
            </w:r>
            <w:r w:rsidR="00A67766">
              <w:rPr>
                <w:lang w:val="lv-LV"/>
              </w:rPr>
              <w:t xml:space="preserve">izmaksas </w:t>
            </w:r>
            <w:r w:rsidRPr="00176E0E">
              <w:rPr>
                <w:lang w:val="lv-LV"/>
              </w:rPr>
              <w:t>par secīgās tulkošanas stundu konkrētā valodu grupā, kuru tiesai jāņem vērā</w:t>
            </w:r>
            <w:r w:rsidR="004C4D0F">
              <w:rPr>
                <w:lang w:val="lv-LV"/>
              </w:rPr>
              <w:t>,</w:t>
            </w:r>
            <w:r w:rsidRPr="00176E0E">
              <w:rPr>
                <w:lang w:val="lv-LV"/>
              </w:rPr>
              <w:t xml:space="preserve"> aprēķinot piedzenamo summu no lietā zaudējušās puses, pamatojoties uz puses iesniegtajiem </w:t>
            </w:r>
            <w:r w:rsidR="009F3E9F">
              <w:rPr>
                <w:lang w:val="lv-LV"/>
              </w:rPr>
              <w:t xml:space="preserve">apliecinošiem </w:t>
            </w:r>
            <w:r w:rsidRPr="00176E0E">
              <w:rPr>
                <w:lang w:val="lv-LV"/>
              </w:rPr>
              <w:t xml:space="preserve">attaisnojuma dokumentiem. </w:t>
            </w:r>
            <w:r w:rsidR="00A67766">
              <w:rPr>
                <w:lang w:val="lv-LV"/>
              </w:rPr>
              <w:t>Izmaksas par tulku</w:t>
            </w:r>
            <w:r w:rsidRPr="00176E0E">
              <w:rPr>
                <w:lang w:val="lv-LV"/>
              </w:rPr>
              <w:t xml:space="preserve"> atlīdzinām</w:t>
            </w:r>
            <w:r w:rsidR="00A67766">
              <w:rPr>
                <w:lang w:val="lv-LV"/>
              </w:rPr>
              <w:t>as</w:t>
            </w:r>
            <w:r w:rsidRPr="00176E0E">
              <w:rPr>
                <w:lang w:val="lv-LV"/>
              </w:rPr>
              <w:t xml:space="preserve"> to faktiskajā apmērā, bet ne vairāk par Ministru kabineta noteikumu </w:t>
            </w:r>
            <w:r w:rsidR="00D415CD">
              <w:rPr>
                <w:lang w:val="lv-LV"/>
              </w:rPr>
              <w:t>p</w:t>
            </w:r>
            <w:r w:rsidRPr="00176E0E">
              <w:rPr>
                <w:lang w:val="lv-LV"/>
              </w:rPr>
              <w:t>ielikumā noteikt</w:t>
            </w:r>
            <w:r w:rsidR="008E5A4C">
              <w:rPr>
                <w:lang w:val="lv-LV"/>
              </w:rPr>
              <w:t>ām</w:t>
            </w:r>
            <w:r w:rsidRPr="00176E0E">
              <w:rPr>
                <w:lang w:val="lv-LV"/>
              </w:rPr>
              <w:t xml:space="preserve"> </w:t>
            </w:r>
            <w:r w:rsidR="008E5A4C">
              <w:rPr>
                <w:lang w:val="lv-LV"/>
              </w:rPr>
              <w:t>atlīdzināmām tulka izmaksām</w:t>
            </w:r>
            <w:r w:rsidRPr="00176E0E">
              <w:rPr>
                <w:lang w:val="lv-LV"/>
              </w:rPr>
              <w:t xml:space="preserve">.  </w:t>
            </w:r>
          </w:p>
          <w:p w14:paraId="7A73E947" w14:textId="77777777" w:rsidR="00067955" w:rsidRDefault="00E36012" w:rsidP="00472970">
            <w:pPr>
              <w:tabs>
                <w:tab w:val="left" w:pos="1252"/>
              </w:tabs>
              <w:ind w:firstLine="394"/>
              <w:jc w:val="both"/>
              <w:rPr>
                <w:color w:val="000000"/>
                <w:lang w:val="lv-LV"/>
              </w:rPr>
            </w:pPr>
            <w:r w:rsidRPr="00176E0E">
              <w:rPr>
                <w:color w:val="000000"/>
                <w:lang w:val="lv-LV"/>
              </w:rPr>
              <w:t>M</w:t>
            </w:r>
            <w:r w:rsidR="00D415CD">
              <w:rPr>
                <w:color w:val="000000"/>
                <w:lang w:val="lv-LV"/>
              </w:rPr>
              <w:t xml:space="preserve">inistru kabineta noteikumos paredzēts spēkā stāšanās datums </w:t>
            </w:r>
            <w:r w:rsidR="00472970">
              <w:rPr>
                <w:color w:val="000000"/>
                <w:lang w:val="lv-LV"/>
              </w:rPr>
              <w:t>(</w:t>
            </w:r>
            <w:proofErr w:type="gramStart"/>
            <w:r w:rsidR="00492182">
              <w:rPr>
                <w:color w:val="000000"/>
                <w:lang w:val="lv-LV"/>
              </w:rPr>
              <w:t>2016.gada</w:t>
            </w:r>
            <w:proofErr w:type="gramEnd"/>
            <w:r w:rsidR="00492182">
              <w:rPr>
                <w:color w:val="000000"/>
                <w:lang w:val="lv-LV"/>
              </w:rPr>
              <w:t xml:space="preserve"> 31.jūlijs</w:t>
            </w:r>
            <w:r w:rsidR="00472970">
              <w:rPr>
                <w:color w:val="000000"/>
                <w:lang w:val="lv-LV"/>
              </w:rPr>
              <w:t>), lai tie stātos spēkā vienlaikus ar atbilstošiem grozījumiem Civilprocesa likumā</w:t>
            </w:r>
            <w:r w:rsidRPr="00176E0E">
              <w:rPr>
                <w:color w:val="000000"/>
                <w:lang w:val="lv-LV"/>
              </w:rPr>
              <w:t>.</w:t>
            </w:r>
          </w:p>
          <w:p w14:paraId="603499C8" w14:textId="15F3BE38" w:rsidR="00492F78" w:rsidRPr="00176E0E" w:rsidRDefault="00F07A7F" w:rsidP="00492F78">
            <w:pPr>
              <w:tabs>
                <w:tab w:val="left" w:pos="1252"/>
              </w:tabs>
              <w:ind w:firstLine="394"/>
              <w:jc w:val="both"/>
              <w:rPr>
                <w:lang w:val="lv-LV"/>
              </w:rPr>
            </w:pPr>
            <w:r>
              <w:rPr>
                <w:color w:val="000000"/>
                <w:lang w:val="lv-LV"/>
              </w:rPr>
              <w:t>Ar</w:t>
            </w:r>
            <w:r w:rsidR="00492F78">
              <w:rPr>
                <w:color w:val="000000"/>
                <w:lang w:val="lv-LV"/>
              </w:rPr>
              <w:t xml:space="preserve"> tiesas pavēstu un citu tiesas dokumentu tulkošanu (rakstveida tulkošanu) saistīto izdevumu un to atlīdzināšanas jautājumus turpina regulēt Civilprocesa likuma 39., 40., 41., </w:t>
            </w:r>
            <w:proofErr w:type="gramStart"/>
            <w:r w:rsidR="00492F78">
              <w:rPr>
                <w:color w:val="000000"/>
                <w:lang w:val="lv-LV"/>
              </w:rPr>
              <w:t>42.pants</w:t>
            </w:r>
            <w:proofErr w:type="gramEnd"/>
            <w:r w:rsidR="00492F78">
              <w:rPr>
                <w:color w:val="000000"/>
                <w:lang w:val="lv-LV"/>
              </w:rPr>
              <w:t xml:space="preserve"> un Ministru kabineta  </w:t>
            </w:r>
            <w:r w:rsidR="00492F78" w:rsidRPr="00492F78">
              <w:rPr>
                <w:color w:val="000000"/>
                <w:lang w:val="lv-LV"/>
              </w:rPr>
              <w:t>2009.gada 1.septembr</w:t>
            </w:r>
            <w:r w:rsidR="00492F78">
              <w:rPr>
                <w:color w:val="000000"/>
                <w:lang w:val="lv-LV"/>
              </w:rPr>
              <w:t>a noteikumi</w:t>
            </w:r>
            <w:r w:rsidR="00492F78" w:rsidRPr="00492F78">
              <w:rPr>
                <w:color w:val="000000"/>
                <w:lang w:val="lv-LV"/>
              </w:rPr>
              <w:t xml:space="preserve"> Nr.983 </w:t>
            </w:r>
            <w:r w:rsidR="00492F78">
              <w:rPr>
                <w:color w:val="000000"/>
                <w:lang w:val="lv-LV"/>
              </w:rPr>
              <w:t>“</w:t>
            </w:r>
            <w:r w:rsidR="00492F78" w:rsidRPr="00492F78">
              <w:rPr>
                <w:color w:val="000000"/>
                <w:lang w:val="lv-LV"/>
              </w:rPr>
              <w:t>Ar lietas izskatīšanu saistīto izdevumu aprēķināšanas kārtība</w:t>
            </w:r>
            <w:r w:rsidR="00492F78">
              <w:rPr>
                <w:color w:val="000000"/>
                <w:lang w:val="lv-LV"/>
              </w:rPr>
              <w:t>”.</w:t>
            </w:r>
          </w:p>
        </w:tc>
      </w:tr>
      <w:tr w:rsidR="00067955" w:rsidRPr="00DA1781" w14:paraId="7EC4859F" w14:textId="77777777" w:rsidTr="00627BC9">
        <w:tc>
          <w:tcPr>
            <w:tcW w:w="250" w:type="pct"/>
          </w:tcPr>
          <w:p w14:paraId="5E5F9F21" w14:textId="77777777" w:rsidR="00067955" w:rsidRPr="00176E0E" w:rsidRDefault="00067955" w:rsidP="007E08E3">
            <w:pPr>
              <w:jc w:val="center"/>
              <w:rPr>
                <w:color w:val="000000" w:themeColor="text1"/>
                <w:lang w:val="lv-LV" w:eastAsia="lv-LV"/>
              </w:rPr>
            </w:pPr>
            <w:r w:rsidRPr="00176E0E">
              <w:rPr>
                <w:color w:val="000000" w:themeColor="text1"/>
                <w:lang w:val="lv-LV" w:eastAsia="lv-LV"/>
              </w:rPr>
              <w:lastRenderedPageBreak/>
              <w:t>3.</w:t>
            </w:r>
          </w:p>
        </w:tc>
        <w:tc>
          <w:tcPr>
            <w:tcW w:w="1397" w:type="pct"/>
          </w:tcPr>
          <w:p w14:paraId="15688D42" w14:textId="77777777" w:rsidR="00067955" w:rsidRPr="00176E0E" w:rsidRDefault="00067955" w:rsidP="007E08E3">
            <w:pPr>
              <w:jc w:val="both"/>
              <w:rPr>
                <w:color w:val="000000" w:themeColor="text1"/>
                <w:lang w:val="lv-LV" w:eastAsia="lv-LV"/>
              </w:rPr>
            </w:pPr>
            <w:r w:rsidRPr="00176E0E">
              <w:rPr>
                <w:color w:val="000000" w:themeColor="text1"/>
                <w:lang w:val="lv-LV" w:eastAsia="lv-LV"/>
              </w:rPr>
              <w:t>Projekta izstrādē iesaistītās institūcijas</w:t>
            </w:r>
          </w:p>
        </w:tc>
        <w:tc>
          <w:tcPr>
            <w:tcW w:w="3353" w:type="pct"/>
          </w:tcPr>
          <w:p w14:paraId="66FFCF67" w14:textId="4CB1FAF5" w:rsidR="00067955" w:rsidRPr="00176E0E" w:rsidRDefault="00983C8C" w:rsidP="00EB72C9">
            <w:pPr>
              <w:ind w:firstLine="394"/>
              <w:jc w:val="both"/>
              <w:rPr>
                <w:color w:val="000000" w:themeColor="text1"/>
                <w:highlight w:val="yellow"/>
                <w:lang w:val="lv-LV" w:eastAsia="lv-LV"/>
              </w:rPr>
            </w:pPr>
            <w:r>
              <w:rPr>
                <w:color w:val="000000"/>
                <w:lang w:val="lv-LV"/>
              </w:rPr>
              <w:t xml:space="preserve">Projekts apspriests ar tieslietu ministra </w:t>
            </w:r>
            <w:proofErr w:type="gramStart"/>
            <w:r>
              <w:rPr>
                <w:color w:val="000000"/>
                <w:lang w:val="lv-LV"/>
              </w:rPr>
              <w:t>2014.gada</w:t>
            </w:r>
            <w:proofErr w:type="gramEnd"/>
            <w:r>
              <w:rPr>
                <w:color w:val="000000"/>
                <w:lang w:val="lv-LV"/>
              </w:rPr>
              <w:t xml:space="preserve"> 23.maija rīkojumu Nr.1-1/208 “Par pastāvīgās darba grupas izveidošanu Civilprocesa likuma grozījumu izstrādei” izveidotajā darba grupā. Šajā darba grupā iekļauti Tieslietu ministrijas, ties</w:t>
            </w:r>
            <w:r w:rsidR="005407B5">
              <w:rPr>
                <w:color w:val="000000"/>
                <w:lang w:val="lv-LV"/>
              </w:rPr>
              <w:t>u</w:t>
            </w:r>
            <w:r>
              <w:rPr>
                <w:color w:val="000000"/>
                <w:lang w:val="lv-LV"/>
              </w:rPr>
              <w:t xml:space="preserve"> varas, Latvijas Zvērinātu advokātu padomes, Latvijas Zvērinātu tiesu izpildītāju padomes, Latvijas Universitātes Juridiskās fakultātes institūciju pārstāvji. </w:t>
            </w:r>
          </w:p>
        </w:tc>
      </w:tr>
      <w:tr w:rsidR="00067955" w:rsidRPr="00983C8C" w14:paraId="30CBE199" w14:textId="77777777" w:rsidTr="00627BC9">
        <w:tc>
          <w:tcPr>
            <w:tcW w:w="250" w:type="pct"/>
          </w:tcPr>
          <w:p w14:paraId="5447117B" w14:textId="733E86A9" w:rsidR="00067955" w:rsidRPr="00176E0E" w:rsidRDefault="00067955" w:rsidP="007E08E3">
            <w:pPr>
              <w:jc w:val="center"/>
              <w:rPr>
                <w:color w:val="000000" w:themeColor="text1"/>
                <w:lang w:val="lv-LV" w:eastAsia="lv-LV"/>
              </w:rPr>
            </w:pPr>
            <w:r w:rsidRPr="00176E0E">
              <w:rPr>
                <w:color w:val="000000" w:themeColor="text1"/>
                <w:lang w:val="lv-LV" w:eastAsia="lv-LV"/>
              </w:rPr>
              <w:t>4.</w:t>
            </w:r>
          </w:p>
        </w:tc>
        <w:tc>
          <w:tcPr>
            <w:tcW w:w="1397" w:type="pct"/>
          </w:tcPr>
          <w:p w14:paraId="45768B1A" w14:textId="77777777" w:rsidR="00067955" w:rsidRPr="00176E0E" w:rsidRDefault="00067955" w:rsidP="007E08E3">
            <w:pPr>
              <w:jc w:val="both"/>
              <w:rPr>
                <w:color w:val="000000" w:themeColor="text1"/>
                <w:lang w:val="lv-LV" w:eastAsia="lv-LV"/>
              </w:rPr>
            </w:pPr>
            <w:r w:rsidRPr="00176E0E">
              <w:rPr>
                <w:color w:val="000000" w:themeColor="text1"/>
                <w:lang w:val="lv-LV" w:eastAsia="lv-LV"/>
              </w:rPr>
              <w:t>Cita informācija</w:t>
            </w:r>
          </w:p>
        </w:tc>
        <w:tc>
          <w:tcPr>
            <w:tcW w:w="3353" w:type="pct"/>
          </w:tcPr>
          <w:p w14:paraId="6FC3421A" w14:textId="7D6CA001" w:rsidR="00067955" w:rsidRPr="00176E0E" w:rsidRDefault="00E36012" w:rsidP="00472970">
            <w:pPr>
              <w:ind w:firstLine="394"/>
              <w:jc w:val="both"/>
              <w:rPr>
                <w:color w:val="000000" w:themeColor="text1"/>
                <w:highlight w:val="yellow"/>
                <w:lang w:val="lv-LV"/>
              </w:rPr>
            </w:pPr>
            <w:r>
              <w:rPr>
                <w:color w:val="000000"/>
                <w:lang w:val="lv-LV"/>
              </w:rPr>
              <w:t>Nav.</w:t>
            </w:r>
          </w:p>
        </w:tc>
      </w:tr>
    </w:tbl>
    <w:p w14:paraId="189A71B1" w14:textId="77777777" w:rsidR="00067955" w:rsidRPr="00176E0E" w:rsidRDefault="00067955" w:rsidP="00067955">
      <w:pPr>
        <w:rPr>
          <w:color w:val="000000" w:themeColor="text1"/>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552"/>
        <w:gridCol w:w="6125"/>
      </w:tblGrid>
      <w:tr w:rsidR="00067955" w:rsidRPr="00DA1781" w14:paraId="72BAD901" w14:textId="77777777" w:rsidTr="007E08E3">
        <w:tc>
          <w:tcPr>
            <w:tcW w:w="0" w:type="auto"/>
            <w:gridSpan w:val="3"/>
            <w:tcBorders>
              <w:top w:val="outset" w:sz="6" w:space="0" w:color="auto"/>
              <w:left w:val="outset" w:sz="6" w:space="0" w:color="auto"/>
              <w:bottom w:val="outset" w:sz="6" w:space="0" w:color="auto"/>
              <w:right w:val="outset" w:sz="6" w:space="0" w:color="auto"/>
            </w:tcBorders>
          </w:tcPr>
          <w:p w14:paraId="7808553C" w14:textId="77777777" w:rsidR="00067955" w:rsidRPr="00176E0E" w:rsidRDefault="00067955" w:rsidP="007E08E3">
            <w:pPr>
              <w:jc w:val="center"/>
              <w:rPr>
                <w:b/>
                <w:color w:val="000000" w:themeColor="text1"/>
                <w:lang w:val="lv-LV"/>
              </w:rPr>
            </w:pPr>
            <w:r w:rsidRPr="00176E0E">
              <w:rPr>
                <w:b/>
                <w:color w:val="000000" w:themeColor="text1"/>
                <w:lang w:val="lv-LV"/>
              </w:rPr>
              <w:t>II. Tiesību akta projekta ietekme uz sabiedrību,</w:t>
            </w:r>
            <w:r w:rsidRPr="00176E0E">
              <w:rPr>
                <w:b/>
                <w:bCs/>
                <w:color w:val="000000" w:themeColor="text1"/>
                <w:lang w:val="lv-LV"/>
              </w:rPr>
              <w:t xml:space="preserve"> tautsaimniecības attīstību un administratīvo slogu</w:t>
            </w:r>
          </w:p>
        </w:tc>
      </w:tr>
      <w:tr w:rsidR="00067955" w:rsidRPr="00DA1781" w14:paraId="68CDDD2A" w14:textId="77777777" w:rsidTr="007E08E3">
        <w:tc>
          <w:tcPr>
            <w:tcW w:w="250" w:type="pct"/>
            <w:tcBorders>
              <w:top w:val="outset" w:sz="6" w:space="0" w:color="auto"/>
              <w:left w:val="outset" w:sz="6" w:space="0" w:color="auto"/>
              <w:right w:val="outset" w:sz="6" w:space="0" w:color="auto"/>
            </w:tcBorders>
          </w:tcPr>
          <w:p w14:paraId="0523DF19" w14:textId="77777777" w:rsidR="00067955" w:rsidRPr="00176E0E" w:rsidRDefault="00067955" w:rsidP="007E08E3">
            <w:pPr>
              <w:jc w:val="center"/>
              <w:rPr>
                <w:color w:val="000000" w:themeColor="text1"/>
                <w:lang w:val="lv-LV"/>
              </w:rPr>
            </w:pPr>
            <w:r w:rsidRPr="00176E0E">
              <w:rPr>
                <w:color w:val="000000" w:themeColor="text1"/>
                <w:lang w:val="lv-LV"/>
              </w:rPr>
              <w:t>1.</w:t>
            </w:r>
          </w:p>
        </w:tc>
        <w:tc>
          <w:tcPr>
            <w:tcW w:w="1397" w:type="pct"/>
            <w:tcBorders>
              <w:top w:val="outset" w:sz="6" w:space="0" w:color="auto"/>
              <w:left w:val="outset" w:sz="6" w:space="0" w:color="auto"/>
              <w:right w:val="outset" w:sz="6" w:space="0" w:color="auto"/>
            </w:tcBorders>
          </w:tcPr>
          <w:p w14:paraId="4C326C91" w14:textId="77777777" w:rsidR="00067955" w:rsidRPr="00176E0E" w:rsidRDefault="00067955" w:rsidP="007E08E3">
            <w:pPr>
              <w:jc w:val="both"/>
              <w:rPr>
                <w:color w:val="000000" w:themeColor="text1"/>
                <w:lang w:val="lv-LV"/>
              </w:rPr>
            </w:pPr>
            <w:r w:rsidRPr="00176E0E">
              <w:rPr>
                <w:color w:val="000000" w:themeColor="text1"/>
                <w:lang w:val="lv-LV"/>
              </w:rPr>
              <w:t>Sabiedrības mērķgrupas, kuras tiesiskais regulējums ietekmē vai varētu ietekmēt</w:t>
            </w:r>
          </w:p>
        </w:tc>
        <w:tc>
          <w:tcPr>
            <w:tcW w:w="3354" w:type="pct"/>
            <w:tcBorders>
              <w:top w:val="outset" w:sz="6" w:space="0" w:color="auto"/>
              <w:left w:val="outset" w:sz="6" w:space="0" w:color="auto"/>
              <w:right w:val="outset" w:sz="6" w:space="0" w:color="auto"/>
            </w:tcBorders>
          </w:tcPr>
          <w:p w14:paraId="457BD024" w14:textId="0C74304C" w:rsidR="009E2D4D" w:rsidRPr="00694121" w:rsidRDefault="00067955" w:rsidP="009E2D4D">
            <w:pPr>
              <w:ind w:firstLine="461"/>
              <w:jc w:val="both"/>
              <w:rPr>
                <w:color w:val="000000"/>
                <w:lang w:val="lv-LV"/>
              </w:rPr>
            </w:pPr>
            <w:r w:rsidRPr="00176E0E">
              <w:rPr>
                <w:color w:val="000000"/>
                <w:lang w:val="lv-LV"/>
              </w:rPr>
              <w:t xml:space="preserve">Ministru kabineta noteikumi radīs ietekmi uz personām, kuras ir iesaistītas </w:t>
            </w:r>
            <w:r>
              <w:rPr>
                <w:color w:val="000000"/>
                <w:lang w:val="lv-LV"/>
              </w:rPr>
              <w:t xml:space="preserve">civilās </w:t>
            </w:r>
            <w:r w:rsidRPr="00176E0E">
              <w:rPr>
                <w:color w:val="000000"/>
                <w:lang w:val="lv-LV"/>
              </w:rPr>
              <w:t>tiesvedības procesos</w:t>
            </w:r>
            <w:r>
              <w:rPr>
                <w:color w:val="000000"/>
                <w:lang w:val="lv-LV"/>
              </w:rPr>
              <w:t xml:space="preserve"> un neprot tiesvedības valodu (valsts valodu)</w:t>
            </w:r>
            <w:r w:rsidRPr="00176E0E">
              <w:rPr>
                <w:color w:val="000000"/>
                <w:lang w:val="lv-LV"/>
              </w:rPr>
              <w:t xml:space="preserve">. Lielāka ietekme </w:t>
            </w:r>
            <w:r>
              <w:rPr>
                <w:color w:val="000000"/>
                <w:lang w:val="lv-LV"/>
              </w:rPr>
              <w:t>tiks radīta uz</w:t>
            </w:r>
            <w:r w:rsidRPr="00176E0E">
              <w:rPr>
                <w:color w:val="000000"/>
                <w:lang w:val="lv-LV"/>
              </w:rPr>
              <w:t xml:space="preserve"> zaudējušo pusi, jo </w:t>
            </w:r>
            <w:r>
              <w:rPr>
                <w:color w:val="000000"/>
                <w:lang w:val="lv-LV"/>
              </w:rPr>
              <w:t>tai ir</w:t>
            </w:r>
            <w:r w:rsidRPr="00176E0E">
              <w:rPr>
                <w:color w:val="000000"/>
                <w:lang w:val="lv-LV"/>
              </w:rPr>
              <w:t xml:space="preserve"> pienākums </w:t>
            </w:r>
            <w:r w:rsidR="00F07A7F">
              <w:rPr>
                <w:color w:val="000000"/>
                <w:lang w:val="lv-LV"/>
              </w:rPr>
              <w:t>izmaksas par tulku</w:t>
            </w:r>
            <w:r>
              <w:rPr>
                <w:color w:val="000000"/>
                <w:lang w:val="lv-LV"/>
              </w:rPr>
              <w:t xml:space="preserve"> </w:t>
            </w:r>
            <w:r w:rsidRPr="00176E0E">
              <w:rPr>
                <w:color w:val="000000"/>
                <w:lang w:val="lv-LV"/>
              </w:rPr>
              <w:t xml:space="preserve">atlīdzināt. </w:t>
            </w:r>
            <w:r w:rsidRPr="00694121">
              <w:rPr>
                <w:color w:val="000000"/>
                <w:lang w:val="lv-LV"/>
              </w:rPr>
              <w:t xml:space="preserve">Ministru kabineta noteikumu </w:t>
            </w:r>
            <w:r w:rsidR="00E36012" w:rsidRPr="00694121">
              <w:rPr>
                <w:color w:val="000000"/>
                <w:lang w:val="lv-LV"/>
              </w:rPr>
              <w:t>p</w:t>
            </w:r>
            <w:r w:rsidRPr="00694121">
              <w:rPr>
                <w:color w:val="000000"/>
                <w:lang w:val="lv-LV"/>
              </w:rPr>
              <w:t>ielikumā ir noteikt</w:t>
            </w:r>
            <w:r w:rsidR="00E36012" w:rsidRPr="00694121">
              <w:rPr>
                <w:color w:val="000000"/>
                <w:lang w:val="lv-LV"/>
              </w:rPr>
              <w:t>as</w:t>
            </w:r>
            <w:r w:rsidR="008E5A4C" w:rsidRPr="00694121">
              <w:rPr>
                <w:color w:val="000000"/>
                <w:lang w:val="lv-LV"/>
              </w:rPr>
              <w:t xml:space="preserve"> atlīdzināmās tulka izmaksas</w:t>
            </w:r>
            <w:r w:rsidR="00A9311F" w:rsidRPr="00694121">
              <w:rPr>
                <w:color w:val="000000"/>
                <w:lang w:val="lv-LV"/>
              </w:rPr>
              <w:t xml:space="preserve"> </w:t>
            </w:r>
            <w:r w:rsidRPr="00694121">
              <w:rPr>
                <w:color w:val="000000"/>
                <w:lang w:val="lv-LV"/>
              </w:rPr>
              <w:t>par secīgās tulkošanas stundu konkrētā val</w:t>
            </w:r>
            <w:r w:rsidR="00C5094D" w:rsidRPr="00694121">
              <w:rPr>
                <w:color w:val="000000"/>
                <w:lang w:val="lv-LV"/>
              </w:rPr>
              <w:t>o</w:t>
            </w:r>
            <w:r w:rsidRPr="00694121">
              <w:rPr>
                <w:color w:val="000000"/>
                <w:lang w:val="lv-LV"/>
              </w:rPr>
              <w:t>du grupā (valodas sagrupētas alfabētiskā secībā)</w:t>
            </w:r>
            <w:r w:rsidR="00A27BAC" w:rsidRPr="00694121">
              <w:rPr>
                <w:color w:val="000000"/>
                <w:lang w:val="lv-LV"/>
              </w:rPr>
              <w:t xml:space="preserve">. </w:t>
            </w:r>
            <w:r w:rsidR="008E5A4C" w:rsidRPr="00694121">
              <w:rPr>
                <w:color w:val="000000"/>
                <w:lang w:val="lv-LV"/>
              </w:rPr>
              <w:t>Atlīdzināmās izmaksas</w:t>
            </w:r>
            <w:r w:rsidRPr="00694121">
              <w:rPr>
                <w:color w:val="000000"/>
                <w:lang w:val="lv-LV"/>
              </w:rPr>
              <w:t xml:space="preserve"> tulkam par secīgās tulkošanas stundu konkrētā val</w:t>
            </w:r>
            <w:r w:rsidR="006F2CDD" w:rsidRPr="00694121">
              <w:rPr>
                <w:color w:val="000000"/>
                <w:lang w:val="lv-LV"/>
              </w:rPr>
              <w:t>o</w:t>
            </w:r>
            <w:r w:rsidRPr="00694121">
              <w:rPr>
                <w:color w:val="000000"/>
                <w:lang w:val="lv-LV"/>
              </w:rPr>
              <w:t>du grupā ir noteikta</w:t>
            </w:r>
            <w:r w:rsidR="00AF7898" w:rsidRPr="00694121">
              <w:rPr>
                <w:color w:val="000000"/>
                <w:lang w:val="lv-LV"/>
              </w:rPr>
              <w:t>s</w:t>
            </w:r>
            <w:r w:rsidR="00A27BAC" w:rsidRPr="00694121">
              <w:rPr>
                <w:color w:val="000000"/>
                <w:lang w:val="lv-LV"/>
              </w:rPr>
              <w:t>,</w:t>
            </w:r>
            <w:r w:rsidRPr="00694121">
              <w:rPr>
                <w:color w:val="000000"/>
                <w:lang w:val="lv-LV"/>
              </w:rPr>
              <w:t xml:space="preserve"> </w:t>
            </w:r>
            <w:r w:rsidR="00AF7898" w:rsidRPr="00694121">
              <w:rPr>
                <w:color w:val="000000"/>
                <w:lang w:val="lv-LV"/>
              </w:rPr>
              <w:t xml:space="preserve">vadoties pēc izcenojumiem, kādi pastāv, </w:t>
            </w:r>
            <w:r w:rsidRPr="00694121">
              <w:rPr>
                <w:color w:val="000000"/>
                <w:lang w:val="lv-LV"/>
              </w:rPr>
              <w:t xml:space="preserve">īstenojot valsts pasūtījumu </w:t>
            </w:r>
            <w:r w:rsidR="006D2DB8" w:rsidRPr="00694121">
              <w:rPr>
                <w:color w:val="000000"/>
                <w:lang w:val="lv-LV"/>
              </w:rPr>
              <w:t>secīgās tulko</w:t>
            </w:r>
            <w:r w:rsidRPr="00694121">
              <w:rPr>
                <w:color w:val="000000"/>
                <w:lang w:val="lv-LV"/>
              </w:rPr>
              <w:t>šanas rajona (pilsētas) tiesu, apgabaltiesu un administra</w:t>
            </w:r>
            <w:r w:rsidR="007F7984" w:rsidRPr="00694121">
              <w:rPr>
                <w:color w:val="000000"/>
                <w:lang w:val="lv-LV"/>
              </w:rPr>
              <w:t xml:space="preserve">tīvo tiesu darba nodrošināšanā, kā </w:t>
            </w:r>
            <w:r w:rsidR="00492182" w:rsidRPr="00694121">
              <w:rPr>
                <w:color w:val="000000"/>
                <w:lang w:val="lv-LV"/>
              </w:rPr>
              <w:lastRenderedPageBreak/>
              <w:t xml:space="preserve">arī </w:t>
            </w:r>
            <w:r w:rsidR="009E2D4D" w:rsidRPr="00694121">
              <w:rPr>
                <w:color w:val="000000"/>
                <w:lang w:val="lv-LV"/>
              </w:rPr>
              <w:t>pēc iegūtās informācijas no Latvijas Tulku un tulkotāju biedrības, proti, kādas</w:t>
            </w:r>
            <w:r w:rsidR="007F7984" w:rsidRPr="00694121">
              <w:rPr>
                <w:color w:val="000000"/>
                <w:lang w:val="lv-LV"/>
              </w:rPr>
              <w:t xml:space="preserve"> </w:t>
            </w:r>
            <w:r w:rsidR="009E2D4D" w:rsidRPr="00694121">
              <w:rPr>
                <w:color w:val="000000"/>
                <w:lang w:val="lv-LV"/>
              </w:rPr>
              <w:t>cenas</w:t>
            </w:r>
            <w:r w:rsidR="007F7984" w:rsidRPr="00694121">
              <w:rPr>
                <w:color w:val="000000"/>
                <w:lang w:val="lv-LV"/>
              </w:rPr>
              <w:t xml:space="preserve"> par tulka sniegtajiem pakalpojumiem </w:t>
            </w:r>
            <w:r w:rsidR="009E2D4D" w:rsidRPr="00694121">
              <w:rPr>
                <w:color w:val="000000"/>
                <w:lang w:val="lv-LV"/>
              </w:rPr>
              <w:t xml:space="preserve">pastāv </w:t>
            </w:r>
            <w:r w:rsidR="007F7984" w:rsidRPr="00694121">
              <w:rPr>
                <w:color w:val="000000"/>
                <w:lang w:val="lv-LV"/>
              </w:rPr>
              <w:t>brīvajā tirgū. Salīdzinot tulka izcenojumus, kādi fiksēti</w:t>
            </w:r>
            <w:r w:rsidR="00DD1816" w:rsidRPr="00694121">
              <w:rPr>
                <w:color w:val="000000"/>
                <w:lang w:val="lv-LV"/>
              </w:rPr>
              <w:t>,</w:t>
            </w:r>
            <w:r w:rsidR="007F7984" w:rsidRPr="00694121">
              <w:rPr>
                <w:color w:val="000000"/>
                <w:lang w:val="lv-LV"/>
              </w:rPr>
              <w:t xml:space="preserve"> īstenojot valsts pasūtījumu</w:t>
            </w:r>
            <w:r w:rsidR="00492182" w:rsidRPr="00694121">
              <w:rPr>
                <w:color w:val="000000"/>
                <w:lang w:val="lv-LV"/>
              </w:rPr>
              <w:t>,</w:t>
            </w:r>
            <w:r w:rsidR="007F7984" w:rsidRPr="00694121">
              <w:rPr>
                <w:color w:val="000000"/>
                <w:lang w:val="lv-LV"/>
              </w:rPr>
              <w:t xml:space="preserve"> ar tiem izcenojumiem, kādi faktiski pastāv brīvajā tirgū</w:t>
            </w:r>
            <w:r w:rsidR="00DD1816" w:rsidRPr="00694121">
              <w:rPr>
                <w:color w:val="000000"/>
                <w:lang w:val="lv-LV"/>
              </w:rPr>
              <w:t>,</w:t>
            </w:r>
            <w:r w:rsidR="007F7984" w:rsidRPr="00694121">
              <w:rPr>
                <w:color w:val="000000"/>
                <w:lang w:val="lv-LV"/>
              </w:rPr>
              <w:t xml:space="preserve"> secinā</w:t>
            </w:r>
            <w:r w:rsidR="00492182" w:rsidRPr="00694121">
              <w:rPr>
                <w:color w:val="000000"/>
                <w:lang w:val="lv-LV"/>
              </w:rPr>
              <w:t>ms</w:t>
            </w:r>
            <w:r w:rsidR="007F7984" w:rsidRPr="00694121">
              <w:rPr>
                <w:color w:val="000000"/>
                <w:lang w:val="lv-LV"/>
              </w:rPr>
              <w:t xml:space="preserve">, ka šie izcenojumi atšķiras. Proti, </w:t>
            </w:r>
            <w:r w:rsidR="009E2D4D" w:rsidRPr="00694121">
              <w:rPr>
                <w:color w:val="000000"/>
                <w:lang w:val="lv-LV"/>
              </w:rPr>
              <w:t>kad tiek sniegts pakalpojums</w:t>
            </w:r>
            <w:r w:rsidR="00DD1816" w:rsidRPr="00694121">
              <w:rPr>
                <w:color w:val="000000"/>
                <w:lang w:val="lv-LV"/>
              </w:rPr>
              <w:t>,</w:t>
            </w:r>
            <w:r w:rsidR="009E2D4D" w:rsidRPr="00694121">
              <w:rPr>
                <w:color w:val="000000"/>
                <w:lang w:val="lv-LV"/>
              </w:rPr>
              <w:t xml:space="preserve"> īstenojot valsts pasūtījumu</w:t>
            </w:r>
            <w:r w:rsidR="00DD1816" w:rsidRPr="00694121">
              <w:rPr>
                <w:color w:val="000000"/>
                <w:lang w:val="lv-LV"/>
              </w:rPr>
              <w:t>,</w:t>
            </w:r>
            <w:r w:rsidR="009E2D4D" w:rsidRPr="00694121">
              <w:rPr>
                <w:color w:val="000000"/>
                <w:lang w:val="lv-LV"/>
              </w:rPr>
              <w:t xml:space="preserve"> </w:t>
            </w:r>
            <w:r w:rsidR="007F7984" w:rsidRPr="00694121">
              <w:rPr>
                <w:color w:val="000000"/>
                <w:lang w:val="lv-LV"/>
              </w:rPr>
              <w:t>vidējais izcenojums</w:t>
            </w:r>
            <w:r w:rsidR="0082566C" w:rsidRPr="00694121">
              <w:rPr>
                <w:color w:val="000000"/>
                <w:lang w:val="lv-LV"/>
              </w:rPr>
              <w:t xml:space="preserve"> ir</w:t>
            </w:r>
            <w:r w:rsidR="007F7984" w:rsidRPr="00694121">
              <w:rPr>
                <w:color w:val="000000"/>
                <w:lang w:val="lv-LV"/>
              </w:rPr>
              <w:t xml:space="preserve"> robežās no 20</w:t>
            </w:r>
            <w:r w:rsidR="005B2C37" w:rsidRPr="00694121">
              <w:rPr>
                <w:color w:val="000000"/>
                <w:lang w:val="lv-LV"/>
              </w:rPr>
              <w:t xml:space="preserve"> </w:t>
            </w:r>
            <w:r w:rsidR="00492182" w:rsidRPr="00694121">
              <w:rPr>
                <w:color w:val="000000"/>
                <w:lang w:val="lv-LV"/>
              </w:rPr>
              <w:t>līdz</w:t>
            </w:r>
            <w:r w:rsidR="00D415CD" w:rsidRPr="00694121">
              <w:rPr>
                <w:color w:val="000000"/>
                <w:lang w:val="lv-LV"/>
              </w:rPr>
              <w:t xml:space="preserve"> </w:t>
            </w:r>
            <w:r w:rsidR="007F7984" w:rsidRPr="00694121">
              <w:rPr>
                <w:color w:val="000000"/>
                <w:lang w:val="lv-LV"/>
              </w:rPr>
              <w:t xml:space="preserve">25 </w:t>
            </w:r>
            <w:proofErr w:type="spellStart"/>
            <w:r w:rsidR="007F7984" w:rsidRPr="00694121">
              <w:rPr>
                <w:i/>
                <w:color w:val="000000"/>
                <w:lang w:val="lv-LV"/>
              </w:rPr>
              <w:t>euro</w:t>
            </w:r>
            <w:proofErr w:type="spellEnd"/>
            <w:r w:rsidR="007F7984" w:rsidRPr="00694121">
              <w:rPr>
                <w:color w:val="000000"/>
                <w:lang w:val="lv-LV"/>
              </w:rPr>
              <w:t xml:space="preserve"> (bez PVN) par vienu stundu</w:t>
            </w:r>
            <w:r w:rsidR="00DD1816" w:rsidRPr="00694121">
              <w:rPr>
                <w:color w:val="000000"/>
                <w:lang w:val="lv-LV"/>
              </w:rPr>
              <w:t>,</w:t>
            </w:r>
            <w:r w:rsidR="0082566C" w:rsidRPr="00694121">
              <w:rPr>
                <w:color w:val="000000"/>
                <w:lang w:val="lv-LV"/>
              </w:rPr>
              <w:t xml:space="preserve"> savukārt, kad</w:t>
            </w:r>
            <w:r w:rsidR="007F7984" w:rsidRPr="00694121">
              <w:rPr>
                <w:color w:val="000000"/>
                <w:lang w:val="lv-LV"/>
              </w:rPr>
              <w:t xml:space="preserve"> </w:t>
            </w:r>
            <w:r w:rsidR="009E2D4D" w:rsidRPr="00694121">
              <w:rPr>
                <w:color w:val="000000"/>
                <w:lang w:val="lv-LV"/>
              </w:rPr>
              <w:t>tulka pakalpojumi tiek sniegti ārpus valsts pasūtījuma</w:t>
            </w:r>
            <w:r w:rsidR="00DD1816" w:rsidRPr="00694121">
              <w:rPr>
                <w:color w:val="000000"/>
                <w:lang w:val="lv-LV"/>
              </w:rPr>
              <w:t xml:space="preserve">, </w:t>
            </w:r>
            <w:r w:rsidR="0082566C" w:rsidRPr="00694121">
              <w:rPr>
                <w:color w:val="000000"/>
                <w:lang w:val="lv-LV"/>
              </w:rPr>
              <w:t>to</w:t>
            </w:r>
            <w:r w:rsidR="009E2D4D" w:rsidRPr="00694121">
              <w:rPr>
                <w:color w:val="000000"/>
                <w:lang w:val="lv-LV"/>
              </w:rPr>
              <w:t xml:space="preserve"> vidējais izcenojums </w:t>
            </w:r>
            <w:r w:rsidR="00E36012" w:rsidRPr="00694121">
              <w:rPr>
                <w:color w:val="000000"/>
                <w:lang w:val="lv-LV"/>
              </w:rPr>
              <w:t xml:space="preserve">ir </w:t>
            </w:r>
            <w:r w:rsidR="007F7984" w:rsidRPr="00694121">
              <w:rPr>
                <w:color w:val="000000"/>
                <w:lang w:val="lv-LV"/>
              </w:rPr>
              <w:t xml:space="preserve">no 30 </w:t>
            </w:r>
            <w:proofErr w:type="spellStart"/>
            <w:r w:rsidR="007F7984" w:rsidRPr="00694121">
              <w:rPr>
                <w:i/>
                <w:color w:val="000000"/>
                <w:lang w:val="lv-LV"/>
              </w:rPr>
              <w:t>euro</w:t>
            </w:r>
            <w:proofErr w:type="spellEnd"/>
            <w:r w:rsidR="007F7984" w:rsidRPr="00694121">
              <w:rPr>
                <w:color w:val="000000"/>
                <w:lang w:val="lv-LV"/>
              </w:rPr>
              <w:t xml:space="preserve"> (bez PVN) par stundu un vairāk. </w:t>
            </w:r>
          </w:p>
          <w:p w14:paraId="39ECCA46" w14:textId="606D934C" w:rsidR="007F7984" w:rsidRPr="00694121" w:rsidRDefault="0082566C" w:rsidP="009E2D4D">
            <w:pPr>
              <w:ind w:firstLine="461"/>
              <w:jc w:val="both"/>
              <w:rPr>
                <w:color w:val="000000"/>
                <w:lang w:val="lv-LV"/>
              </w:rPr>
            </w:pPr>
            <w:r w:rsidRPr="00694121">
              <w:rPr>
                <w:color w:val="000000"/>
                <w:lang w:val="lv-LV"/>
              </w:rPr>
              <w:t xml:space="preserve">Nosakot </w:t>
            </w:r>
            <w:r w:rsidR="008E5A4C" w:rsidRPr="00694121">
              <w:rPr>
                <w:color w:val="000000"/>
                <w:lang w:val="lv-LV"/>
              </w:rPr>
              <w:t>atlīdzinām</w:t>
            </w:r>
            <w:r w:rsidR="00F07A7F">
              <w:rPr>
                <w:color w:val="000000"/>
                <w:lang w:val="lv-LV"/>
              </w:rPr>
              <w:t>ās</w:t>
            </w:r>
            <w:r w:rsidR="008E5A4C" w:rsidRPr="00694121">
              <w:rPr>
                <w:color w:val="000000"/>
                <w:lang w:val="lv-LV"/>
              </w:rPr>
              <w:t xml:space="preserve"> tulka izmaksas</w:t>
            </w:r>
            <w:r w:rsidRPr="00694121">
              <w:rPr>
                <w:color w:val="000000"/>
                <w:lang w:val="lv-LV"/>
              </w:rPr>
              <w:t>, ir v</w:t>
            </w:r>
            <w:r w:rsidR="009E2D4D" w:rsidRPr="00694121">
              <w:rPr>
                <w:color w:val="000000"/>
                <w:lang w:val="lv-LV"/>
              </w:rPr>
              <w:t xml:space="preserve">ērtējams </w:t>
            </w:r>
            <w:r w:rsidR="00067955" w:rsidRPr="00694121">
              <w:rPr>
                <w:color w:val="000000"/>
                <w:lang w:val="lv-LV"/>
              </w:rPr>
              <w:t>tas, ka puse var izvēlēties jebkāda “</w:t>
            </w:r>
            <w:r w:rsidR="00067955" w:rsidRPr="00694121">
              <w:rPr>
                <w:i/>
                <w:color w:val="000000"/>
                <w:lang w:val="lv-LV"/>
              </w:rPr>
              <w:t>izcenojuma</w:t>
            </w:r>
            <w:r w:rsidR="00067955" w:rsidRPr="00694121">
              <w:rPr>
                <w:color w:val="000000"/>
                <w:lang w:val="lv-LV"/>
              </w:rPr>
              <w:t xml:space="preserve">” tulku, </w:t>
            </w:r>
            <w:r w:rsidR="00CE6F40" w:rsidRPr="00694121">
              <w:rPr>
                <w:color w:val="000000"/>
                <w:lang w:val="lv-LV"/>
              </w:rPr>
              <w:t>kā</w:t>
            </w:r>
            <w:r w:rsidR="00067955" w:rsidRPr="00694121">
              <w:rPr>
                <w:color w:val="000000"/>
                <w:lang w:val="lv-LV"/>
              </w:rPr>
              <w:t xml:space="preserve"> arī aspekts, ka tulka </w:t>
            </w:r>
            <w:r w:rsidR="00F07A7F">
              <w:rPr>
                <w:color w:val="000000"/>
                <w:lang w:val="lv-LV"/>
              </w:rPr>
              <w:t>izmaksas</w:t>
            </w:r>
            <w:r w:rsidR="00F07A7F" w:rsidRPr="00694121">
              <w:rPr>
                <w:color w:val="000000"/>
                <w:lang w:val="lv-LV"/>
              </w:rPr>
              <w:t xml:space="preserve"> </w:t>
            </w:r>
            <w:r w:rsidR="00067955" w:rsidRPr="00694121">
              <w:rPr>
                <w:color w:val="000000"/>
                <w:lang w:val="lv-LV"/>
              </w:rPr>
              <w:t>ir piedzenam</w:t>
            </w:r>
            <w:r w:rsidR="00F07A7F">
              <w:rPr>
                <w:color w:val="000000"/>
                <w:lang w:val="lv-LV"/>
              </w:rPr>
              <w:t>as</w:t>
            </w:r>
            <w:r w:rsidR="00067955" w:rsidRPr="00694121">
              <w:rPr>
                <w:color w:val="000000"/>
                <w:lang w:val="lv-LV"/>
              </w:rPr>
              <w:t xml:space="preserve"> no lietā zaudējušās puses. </w:t>
            </w:r>
            <w:r w:rsidRPr="00694121">
              <w:rPr>
                <w:color w:val="000000"/>
                <w:lang w:val="lv-LV"/>
              </w:rPr>
              <w:t>Taču, ja</w:t>
            </w:r>
            <w:r w:rsidR="00067955" w:rsidRPr="00694121">
              <w:rPr>
                <w:color w:val="000000"/>
                <w:lang w:val="lv-LV"/>
              </w:rPr>
              <w:t xml:space="preserve"> tulka </w:t>
            </w:r>
            <w:r w:rsidR="00F07A7F">
              <w:rPr>
                <w:color w:val="000000"/>
                <w:lang w:val="lv-LV"/>
              </w:rPr>
              <w:t>izmaksas</w:t>
            </w:r>
            <w:r w:rsidR="00F07A7F" w:rsidRPr="00694121">
              <w:rPr>
                <w:color w:val="000000"/>
                <w:lang w:val="lv-LV"/>
              </w:rPr>
              <w:t xml:space="preserve"> </w:t>
            </w:r>
            <w:r w:rsidR="00067955" w:rsidRPr="00694121">
              <w:rPr>
                <w:color w:val="000000"/>
                <w:lang w:val="lv-LV"/>
              </w:rPr>
              <w:t>ir piedzenam</w:t>
            </w:r>
            <w:r w:rsidR="00F07A7F">
              <w:rPr>
                <w:color w:val="000000"/>
                <w:lang w:val="lv-LV"/>
              </w:rPr>
              <w:t>as</w:t>
            </w:r>
            <w:r w:rsidR="00067955" w:rsidRPr="00694121">
              <w:rPr>
                <w:color w:val="000000"/>
                <w:lang w:val="lv-LV"/>
              </w:rPr>
              <w:t xml:space="preserve"> no lietā zaudējušās puses, ievērojot </w:t>
            </w:r>
            <w:r w:rsidR="00D37CA2" w:rsidRPr="00694121">
              <w:rPr>
                <w:color w:val="000000"/>
                <w:lang w:val="lv-LV"/>
              </w:rPr>
              <w:t xml:space="preserve">samērīguma </w:t>
            </w:r>
            <w:r w:rsidR="004C4D0F" w:rsidRPr="00694121">
              <w:rPr>
                <w:color w:val="000000"/>
                <w:lang w:val="lv-LV"/>
              </w:rPr>
              <w:t>principu, t</w:t>
            </w:r>
            <w:r w:rsidR="00F07A7F">
              <w:rPr>
                <w:color w:val="000000"/>
                <w:lang w:val="lv-LV"/>
              </w:rPr>
              <w:t>ām</w:t>
            </w:r>
            <w:r w:rsidR="004C4D0F" w:rsidRPr="00694121">
              <w:rPr>
                <w:color w:val="000000"/>
                <w:lang w:val="lv-LV"/>
              </w:rPr>
              <w:t xml:space="preserve"> ir jābūt saprā</w:t>
            </w:r>
            <w:r w:rsidR="00067955" w:rsidRPr="00694121">
              <w:rPr>
                <w:color w:val="000000"/>
                <w:lang w:val="lv-LV"/>
              </w:rPr>
              <w:t>tīg</w:t>
            </w:r>
            <w:r w:rsidR="00F07A7F">
              <w:rPr>
                <w:color w:val="000000"/>
                <w:lang w:val="lv-LV"/>
              </w:rPr>
              <w:t>ām</w:t>
            </w:r>
            <w:r w:rsidR="00067955" w:rsidRPr="00694121">
              <w:rPr>
                <w:color w:val="000000"/>
                <w:lang w:val="lv-LV"/>
              </w:rPr>
              <w:t xml:space="preserve">.  Ministru kabineta noteikumu </w:t>
            </w:r>
            <w:r w:rsidR="00DD1816" w:rsidRPr="00694121">
              <w:rPr>
                <w:color w:val="000000"/>
                <w:lang w:val="lv-LV"/>
              </w:rPr>
              <w:t>p</w:t>
            </w:r>
            <w:r w:rsidR="00067955" w:rsidRPr="00694121">
              <w:rPr>
                <w:color w:val="000000"/>
                <w:lang w:val="lv-LV"/>
              </w:rPr>
              <w:t>ielikumā ir rasts līdzsvars starp tulka izcenojumiem, kādi tiek piemēroti</w:t>
            </w:r>
            <w:r w:rsidR="00DD1816" w:rsidRPr="00694121">
              <w:rPr>
                <w:color w:val="000000"/>
                <w:lang w:val="lv-LV"/>
              </w:rPr>
              <w:t>,</w:t>
            </w:r>
            <w:r w:rsidR="00067955" w:rsidRPr="00694121">
              <w:rPr>
                <w:color w:val="000000"/>
                <w:lang w:val="lv-LV"/>
              </w:rPr>
              <w:t xml:space="preserve"> </w:t>
            </w:r>
            <w:r w:rsidRPr="00694121">
              <w:rPr>
                <w:color w:val="000000"/>
                <w:lang w:val="lv-LV"/>
              </w:rPr>
              <w:t>īstenojot valsts pasūtījumu</w:t>
            </w:r>
            <w:r w:rsidR="00DD1816" w:rsidRPr="00694121">
              <w:rPr>
                <w:color w:val="000000"/>
                <w:lang w:val="lv-LV"/>
              </w:rPr>
              <w:t>,</w:t>
            </w:r>
            <w:r w:rsidR="00067955" w:rsidRPr="00694121">
              <w:rPr>
                <w:color w:val="000000"/>
                <w:lang w:val="lv-LV"/>
              </w:rPr>
              <w:t xml:space="preserve"> un izcenojumiem</w:t>
            </w:r>
            <w:r w:rsidR="004C4D0F" w:rsidRPr="00694121">
              <w:rPr>
                <w:color w:val="000000"/>
                <w:lang w:val="lv-LV"/>
              </w:rPr>
              <w:t>,</w:t>
            </w:r>
            <w:r w:rsidR="00067955" w:rsidRPr="00694121">
              <w:rPr>
                <w:color w:val="000000"/>
                <w:lang w:val="lv-LV"/>
              </w:rPr>
              <w:t xml:space="preserve"> kādi eksistē brīvajā tirgū par tulka sniegt</w:t>
            </w:r>
            <w:r w:rsidR="00FC2D6C" w:rsidRPr="00694121">
              <w:rPr>
                <w:color w:val="000000"/>
                <w:lang w:val="lv-LV"/>
              </w:rPr>
              <w:t xml:space="preserve">ajiem pakalpojumiem klientiem. </w:t>
            </w:r>
            <w:r w:rsidRPr="00694121">
              <w:rPr>
                <w:color w:val="000000"/>
                <w:lang w:val="lv-LV"/>
              </w:rPr>
              <w:t xml:space="preserve">Tādējādi Ministru kabineta </w:t>
            </w:r>
            <w:r w:rsidR="00C477B9" w:rsidRPr="00694121">
              <w:rPr>
                <w:color w:val="000000"/>
                <w:lang w:val="lv-LV"/>
              </w:rPr>
              <w:t xml:space="preserve">noteikumu </w:t>
            </w:r>
            <w:r w:rsidR="00DD1816" w:rsidRPr="00694121">
              <w:rPr>
                <w:color w:val="000000"/>
                <w:lang w:val="lv-LV"/>
              </w:rPr>
              <w:t>p</w:t>
            </w:r>
            <w:r w:rsidRPr="00694121">
              <w:rPr>
                <w:color w:val="000000"/>
                <w:lang w:val="lv-LV"/>
              </w:rPr>
              <w:t>ielikumā ir noteikts, ka</w:t>
            </w:r>
            <w:r w:rsidR="007F7984" w:rsidRPr="00694121">
              <w:rPr>
                <w:color w:val="000000"/>
                <w:lang w:val="lv-LV"/>
              </w:rPr>
              <w:t xml:space="preserve"> </w:t>
            </w:r>
            <w:r w:rsidRPr="00694121">
              <w:rPr>
                <w:color w:val="000000"/>
                <w:lang w:val="lv-LV"/>
              </w:rPr>
              <w:t xml:space="preserve">visām valodu grupām </w:t>
            </w:r>
            <w:r w:rsidR="008E5A4C" w:rsidRPr="00694121">
              <w:rPr>
                <w:color w:val="000000"/>
                <w:lang w:val="lv-LV"/>
              </w:rPr>
              <w:t>atlīdzināmās tulka izmaksas</w:t>
            </w:r>
            <w:r w:rsidRPr="00694121">
              <w:rPr>
                <w:color w:val="000000"/>
                <w:lang w:val="lv-LV"/>
              </w:rPr>
              <w:t xml:space="preserve"> ir</w:t>
            </w:r>
            <w:r w:rsidR="007F7984" w:rsidRPr="00694121">
              <w:rPr>
                <w:color w:val="000000"/>
                <w:lang w:val="lv-LV"/>
              </w:rPr>
              <w:t xml:space="preserve"> 30 </w:t>
            </w:r>
            <w:proofErr w:type="spellStart"/>
            <w:r w:rsidR="007F7984" w:rsidRPr="00694121">
              <w:rPr>
                <w:i/>
                <w:color w:val="000000"/>
                <w:lang w:val="lv-LV"/>
              </w:rPr>
              <w:t>euro</w:t>
            </w:r>
            <w:proofErr w:type="spellEnd"/>
            <w:r w:rsidR="007F7984" w:rsidRPr="00694121">
              <w:rPr>
                <w:color w:val="000000"/>
                <w:lang w:val="lv-LV"/>
              </w:rPr>
              <w:t xml:space="preserve"> (bez PVN) apmērā</w:t>
            </w:r>
            <w:r w:rsidRPr="00694121">
              <w:rPr>
                <w:color w:val="000000"/>
                <w:lang w:val="lv-LV"/>
              </w:rPr>
              <w:t xml:space="preserve"> par vienu</w:t>
            </w:r>
            <w:r w:rsidR="00A9311F" w:rsidRPr="00694121">
              <w:rPr>
                <w:color w:val="000000"/>
                <w:lang w:val="lv-LV"/>
              </w:rPr>
              <w:t xml:space="preserve"> secīgās tulkošanas</w:t>
            </w:r>
            <w:r w:rsidRPr="00694121">
              <w:rPr>
                <w:color w:val="000000"/>
                <w:lang w:val="lv-LV"/>
              </w:rPr>
              <w:t xml:space="preserve"> stundu un</w:t>
            </w:r>
            <w:r w:rsidR="000A2705" w:rsidRPr="00694121">
              <w:rPr>
                <w:color w:val="000000"/>
                <w:lang w:val="lv-LV"/>
              </w:rPr>
              <w:t xml:space="preserve"> </w:t>
            </w:r>
            <w:r w:rsidR="007F7984" w:rsidRPr="00694121">
              <w:rPr>
                <w:color w:val="000000"/>
                <w:lang w:val="lv-LV"/>
              </w:rPr>
              <w:t>Urdu, Pu</w:t>
            </w:r>
            <w:r w:rsidR="000A2705" w:rsidRPr="00694121">
              <w:rPr>
                <w:color w:val="000000"/>
                <w:lang w:val="lv-LV"/>
              </w:rPr>
              <w:t>štu un citām</w:t>
            </w:r>
            <w:r w:rsidR="007F7984" w:rsidRPr="00694121">
              <w:rPr>
                <w:color w:val="000000"/>
                <w:lang w:val="lv-LV"/>
              </w:rPr>
              <w:t xml:space="preserve"> neminēt</w:t>
            </w:r>
            <w:r w:rsidR="000A2705" w:rsidRPr="00694121">
              <w:rPr>
                <w:color w:val="000000"/>
                <w:lang w:val="lv-LV"/>
              </w:rPr>
              <w:t>ām valodā</w:t>
            </w:r>
            <w:r w:rsidRPr="00694121">
              <w:rPr>
                <w:color w:val="000000"/>
                <w:lang w:val="lv-LV"/>
              </w:rPr>
              <w:t>m</w:t>
            </w:r>
            <w:r w:rsidR="000A2705" w:rsidRPr="00694121">
              <w:rPr>
                <w:color w:val="000000"/>
                <w:lang w:val="lv-LV"/>
              </w:rPr>
              <w:t xml:space="preserve"> </w:t>
            </w:r>
            <w:r w:rsidR="00DD1816" w:rsidRPr="00694121">
              <w:rPr>
                <w:color w:val="000000"/>
                <w:lang w:val="lv-LV"/>
              </w:rPr>
              <w:t xml:space="preserve">– </w:t>
            </w:r>
            <w:r w:rsidR="007F7984" w:rsidRPr="00694121">
              <w:rPr>
                <w:color w:val="000000"/>
                <w:lang w:val="lv-LV"/>
              </w:rPr>
              <w:t xml:space="preserve">70 </w:t>
            </w:r>
            <w:proofErr w:type="spellStart"/>
            <w:r w:rsidR="007F7984" w:rsidRPr="00694121">
              <w:rPr>
                <w:i/>
                <w:color w:val="000000"/>
                <w:lang w:val="lv-LV"/>
              </w:rPr>
              <w:t>euro</w:t>
            </w:r>
            <w:proofErr w:type="spellEnd"/>
            <w:r w:rsidR="007F7984" w:rsidRPr="00694121">
              <w:rPr>
                <w:color w:val="000000"/>
                <w:lang w:val="lv-LV"/>
              </w:rPr>
              <w:t xml:space="preserve"> (bez PVN) apmērā</w:t>
            </w:r>
            <w:r w:rsidRPr="00694121">
              <w:rPr>
                <w:color w:val="000000"/>
                <w:lang w:val="lv-LV"/>
              </w:rPr>
              <w:t xml:space="preserve"> par vienu </w:t>
            </w:r>
            <w:r w:rsidR="00A9311F" w:rsidRPr="00694121">
              <w:rPr>
                <w:color w:val="000000"/>
                <w:lang w:val="lv-LV"/>
              </w:rPr>
              <w:t xml:space="preserve">secīgās tulkošanas </w:t>
            </w:r>
            <w:r w:rsidRPr="00694121">
              <w:rPr>
                <w:color w:val="000000"/>
                <w:lang w:val="lv-LV"/>
              </w:rPr>
              <w:t>stundu</w:t>
            </w:r>
            <w:r w:rsidR="007F7984" w:rsidRPr="00694121">
              <w:rPr>
                <w:color w:val="000000"/>
                <w:lang w:val="lv-LV"/>
              </w:rPr>
              <w:t>.</w:t>
            </w:r>
          </w:p>
          <w:p w14:paraId="4C18A710" w14:textId="77777777" w:rsidR="00067955" w:rsidRPr="00176E0E" w:rsidRDefault="00FC2D6C" w:rsidP="007F7984">
            <w:pPr>
              <w:ind w:firstLine="461"/>
              <w:jc w:val="both"/>
              <w:rPr>
                <w:color w:val="000000"/>
                <w:lang w:val="lv-LV"/>
              </w:rPr>
            </w:pPr>
            <w:r w:rsidRPr="00694121">
              <w:rPr>
                <w:color w:val="000000"/>
                <w:lang w:val="lv-LV"/>
              </w:rPr>
              <w:t>Ministru kabineta noteikumi</w:t>
            </w:r>
            <w:r w:rsidR="00067955" w:rsidRPr="00694121">
              <w:rPr>
                <w:color w:val="000000"/>
                <w:lang w:val="lv-LV"/>
              </w:rPr>
              <w:t xml:space="preserve"> </w:t>
            </w:r>
            <w:r w:rsidRPr="00694121">
              <w:rPr>
                <w:color w:val="000000"/>
                <w:lang w:val="lv-LV"/>
              </w:rPr>
              <w:t xml:space="preserve">nerada šķēršļus pusēm piesaistīt tulkus un vienlaikus pasargā lietā zaudējušo pusi no </w:t>
            </w:r>
            <w:r w:rsidR="00067955" w:rsidRPr="00694121">
              <w:rPr>
                <w:color w:val="000000"/>
                <w:lang w:val="lv-LV"/>
              </w:rPr>
              <w:t>nesamērīgu izmaksu piedziņas.</w:t>
            </w:r>
            <w:r w:rsidR="00067955">
              <w:rPr>
                <w:color w:val="000000"/>
                <w:lang w:val="lv-LV"/>
              </w:rPr>
              <w:t xml:space="preserve"> </w:t>
            </w:r>
            <w:r w:rsidR="00067955" w:rsidRPr="00176E0E">
              <w:rPr>
                <w:color w:val="000000"/>
                <w:lang w:val="lv-LV"/>
              </w:rPr>
              <w:t xml:space="preserve"> </w:t>
            </w:r>
          </w:p>
        </w:tc>
      </w:tr>
      <w:tr w:rsidR="00067955" w:rsidRPr="00DA1781" w14:paraId="3122A39F" w14:textId="77777777" w:rsidTr="007E08E3">
        <w:tc>
          <w:tcPr>
            <w:tcW w:w="250" w:type="pct"/>
            <w:tcBorders>
              <w:top w:val="outset" w:sz="6" w:space="0" w:color="auto"/>
              <w:left w:val="outset" w:sz="6" w:space="0" w:color="auto"/>
              <w:right w:val="outset" w:sz="6" w:space="0" w:color="auto"/>
            </w:tcBorders>
          </w:tcPr>
          <w:p w14:paraId="3CAA719E" w14:textId="77777777" w:rsidR="00067955" w:rsidRPr="00176E0E" w:rsidRDefault="00067955" w:rsidP="007E08E3">
            <w:pPr>
              <w:jc w:val="center"/>
              <w:rPr>
                <w:color w:val="000000" w:themeColor="text1"/>
                <w:lang w:val="lv-LV"/>
              </w:rPr>
            </w:pPr>
            <w:r w:rsidRPr="00176E0E">
              <w:rPr>
                <w:color w:val="000000" w:themeColor="text1"/>
                <w:lang w:val="lv-LV"/>
              </w:rPr>
              <w:lastRenderedPageBreak/>
              <w:t>2.</w:t>
            </w:r>
          </w:p>
        </w:tc>
        <w:tc>
          <w:tcPr>
            <w:tcW w:w="1397" w:type="pct"/>
            <w:tcBorders>
              <w:top w:val="outset" w:sz="6" w:space="0" w:color="auto"/>
              <w:left w:val="outset" w:sz="6" w:space="0" w:color="auto"/>
              <w:right w:val="outset" w:sz="6" w:space="0" w:color="auto"/>
            </w:tcBorders>
          </w:tcPr>
          <w:p w14:paraId="71D5A0AC" w14:textId="77777777" w:rsidR="00067955" w:rsidRPr="00176E0E" w:rsidRDefault="00067955" w:rsidP="007E08E3">
            <w:pPr>
              <w:widowControl w:val="0"/>
              <w:jc w:val="both"/>
              <w:rPr>
                <w:color w:val="000000" w:themeColor="text1"/>
                <w:lang w:val="lv-LV"/>
              </w:rPr>
            </w:pPr>
            <w:r w:rsidRPr="00176E0E">
              <w:rPr>
                <w:color w:val="000000" w:themeColor="text1"/>
                <w:lang w:val="lv-LV"/>
              </w:rPr>
              <w:t>Tiesiskā regulējuma ietekme uz tautsaimniecību un administratīvo slogu</w:t>
            </w:r>
          </w:p>
        </w:tc>
        <w:tc>
          <w:tcPr>
            <w:tcW w:w="3354" w:type="pct"/>
            <w:tcBorders>
              <w:top w:val="outset" w:sz="6" w:space="0" w:color="auto"/>
              <w:left w:val="outset" w:sz="6" w:space="0" w:color="auto"/>
              <w:right w:val="outset" w:sz="6" w:space="0" w:color="auto"/>
            </w:tcBorders>
          </w:tcPr>
          <w:p w14:paraId="2B81E45E" w14:textId="2E1E173B" w:rsidR="00067955" w:rsidRPr="0054399A" w:rsidRDefault="009C5169" w:rsidP="00F07A7F">
            <w:pPr>
              <w:widowControl w:val="0"/>
              <w:ind w:firstLine="461"/>
              <w:jc w:val="both"/>
              <w:rPr>
                <w:lang w:val="lv-LV" w:eastAsia="lv-LV"/>
              </w:rPr>
            </w:pPr>
            <w:r>
              <w:rPr>
                <w:lang w:val="lv-LV" w:eastAsia="lv-LV"/>
              </w:rPr>
              <w:t>T</w:t>
            </w:r>
            <w:r w:rsidR="00067955">
              <w:rPr>
                <w:lang w:val="lv-LV" w:eastAsia="lv-LV"/>
              </w:rPr>
              <w:t xml:space="preserve">iesiskais regulējums pusei (kura nepārvalda tiesvedības valodu) uzliek par pienākumu pašai nodrošināt tulka palīdzību un segt no saviem līdzekļiem </w:t>
            </w:r>
            <w:r w:rsidR="00F07A7F">
              <w:rPr>
                <w:lang w:val="lv-LV" w:eastAsia="lv-LV"/>
              </w:rPr>
              <w:t>tulka izmaksu</w:t>
            </w:r>
            <w:proofErr w:type="gramStart"/>
            <w:r w:rsidR="00F07A7F">
              <w:rPr>
                <w:lang w:val="lv-LV" w:eastAsia="lv-LV"/>
              </w:rPr>
              <w:t xml:space="preserve"> </w:t>
            </w:r>
            <w:r w:rsidR="00067955">
              <w:rPr>
                <w:lang w:val="lv-LV" w:eastAsia="lv-LV"/>
              </w:rPr>
              <w:t xml:space="preserve"> </w:t>
            </w:r>
            <w:proofErr w:type="gramEnd"/>
            <w:r w:rsidR="00067955">
              <w:rPr>
                <w:lang w:val="lv-LV" w:eastAsia="lv-LV"/>
              </w:rPr>
              <w:t xml:space="preserve">starpību, kas radīsies starp faktisko izmaksu un Ministru kabineta noteikumu </w:t>
            </w:r>
            <w:r w:rsidR="00DD1816">
              <w:rPr>
                <w:lang w:val="lv-LV" w:eastAsia="lv-LV"/>
              </w:rPr>
              <w:t>p</w:t>
            </w:r>
            <w:r w:rsidR="00067955">
              <w:rPr>
                <w:lang w:val="lv-LV" w:eastAsia="lv-LV"/>
              </w:rPr>
              <w:t xml:space="preserve">ielikumā pieļauto atlīdzināmo </w:t>
            </w:r>
            <w:r w:rsidR="00FC2D6C">
              <w:rPr>
                <w:lang w:val="lv-LV" w:eastAsia="lv-LV"/>
              </w:rPr>
              <w:t xml:space="preserve">tulku </w:t>
            </w:r>
            <w:r w:rsidR="00F07A7F">
              <w:rPr>
                <w:lang w:val="lv-LV" w:eastAsia="lv-LV"/>
              </w:rPr>
              <w:t xml:space="preserve">izmaksu </w:t>
            </w:r>
            <w:r w:rsidR="008E5A4C">
              <w:rPr>
                <w:lang w:val="lv-LV" w:eastAsia="lv-LV"/>
              </w:rPr>
              <w:t>apmēru</w:t>
            </w:r>
            <w:r w:rsidR="00FC2D6C">
              <w:rPr>
                <w:lang w:val="lv-LV" w:eastAsia="lv-LV"/>
              </w:rPr>
              <w:t xml:space="preserve">. </w:t>
            </w:r>
            <w:r w:rsidR="00067955">
              <w:rPr>
                <w:lang w:val="lv-LV" w:eastAsia="lv-LV"/>
              </w:rPr>
              <w:t xml:space="preserve"> </w:t>
            </w:r>
          </w:p>
        </w:tc>
      </w:tr>
      <w:tr w:rsidR="00067955" w:rsidRPr="00B50814" w14:paraId="4145ABD8" w14:textId="77777777" w:rsidTr="007E08E3">
        <w:tc>
          <w:tcPr>
            <w:tcW w:w="250" w:type="pct"/>
            <w:tcBorders>
              <w:top w:val="outset" w:sz="6" w:space="0" w:color="auto"/>
              <w:left w:val="outset" w:sz="6" w:space="0" w:color="auto"/>
              <w:right w:val="outset" w:sz="6" w:space="0" w:color="auto"/>
            </w:tcBorders>
          </w:tcPr>
          <w:p w14:paraId="18EBCA74" w14:textId="77777777" w:rsidR="00067955" w:rsidRPr="00176E0E" w:rsidRDefault="00067955" w:rsidP="007E08E3">
            <w:pPr>
              <w:pStyle w:val="Paraststmeklis"/>
              <w:spacing w:before="0" w:beforeAutospacing="0" w:after="0" w:afterAutospacing="0"/>
              <w:rPr>
                <w:color w:val="000000" w:themeColor="text1"/>
                <w:lang w:val="lv-LV"/>
              </w:rPr>
            </w:pPr>
            <w:r w:rsidRPr="00176E0E">
              <w:rPr>
                <w:color w:val="000000" w:themeColor="text1"/>
                <w:lang w:val="lv-LV"/>
              </w:rPr>
              <w:t>3.</w:t>
            </w:r>
          </w:p>
        </w:tc>
        <w:tc>
          <w:tcPr>
            <w:tcW w:w="1397" w:type="pct"/>
            <w:tcBorders>
              <w:top w:val="outset" w:sz="6" w:space="0" w:color="auto"/>
              <w:left w:val="outset" w:sz="6" w:space="0" w:color="auto"/>
              <w:right w:val="outset" w:sz="6" w:space="0" w:color="auto"/>
            </w:tcBorders>
          </w:tcPr>
          <w:p w14:paraId="28C286C1" w14:textId="77777777" w:rsidR="00067955" w:rsidRPr="00176E0E" w:rsidRDefault="00067955" w:rsidP="007E08E3">
            <w:pPr>
              <w:pStyle w:val="Paraststmeklis"/>
              <w:spacing w:before="0" w:beforeAutospacing="0" w:after="0" w:afterAutospacing="0"/>
              <w:jc w:val="both"/>
              <w:rPr>
                <w:color w:val="000000" w:themeColor="text1"/>
                <w:lang w:val="lv-LV"/>
              </w:rPr>
            </w:pPr>
            <w:r w:rsidRPr="00176E0E">
              <w:rPr>
                <w:color w:val="000000" w:themeColor="text1"/>
                <w:lang w:val="lv-LV"/>
              </w:rPr>
              <w:t>Administratīvo izmaksu monetārs novērtējums</w:t>
            </w:r>
          </w:p>
        </w:tc>
        <w:tc>
          <w:tcPr>
            <w:tcW w:w="3354" w:type="pct"/>
            <w:tcBorders>
              <w:top w:val="outset" w:sz="6" w:space="0" w:color="auto"/>
              <w:left w:val="outset" w:sz="6" w:space="0" w:color="auto"/>
              <w:right w:val="outset" w:sz="6" w:space="0" w:color="auto"/>
            </w:tcBorders>
          </w:tcPr>
          <w:p w14:paraId="49B85FF2" w14:textId="44032004" w:rsidR="00EB72C9" w:rsidRPr="00176E0E" w:rsidRDefault="00EB72C9" w:rsidP="00EB72C9">
            <w:pPr>
              <w:jc w:val="both"/>
              <w:rPr>
                <w:lang w:val="lv-LV" w:eastAsia="lv-LV"/>
              </w:rPr>
            </w:pPr>
            <w:r>
              <w:rPr>
                <w:lang w:val="lv-LV"/>
              </w:rPr>
              <w:t xml:space="preserve">        </w:t>
            </w:r>
            <w:r w:rsidRPr="00EB72C9">
              <w:rPr>
                <w:lang w:val="lv-LV"/>
              </w:rPr>
              <w:t>No Ministru kabineta noteikumos ietvertā regulējuma jaunas administratīvās izmaksas neveidosies</w:t>
            </w:r>
            <w:r>
              <w:rPr>
                <w:lang w:val="lv-LV"/>
              </w:rPr>
              <w:t>.</w:t>
            </w:r>
          </w:p>
        </w:tc>
      </w:tr>
      <w:tr w:rsidR="00067955" w:rsidRPr="00176E0E" w14:paraId="5376B5E0" w14:textId="77777777" w:rsidTr="007E08E3">
        <w:tc>
          <w:tcPr>
            <w:tcW w:w="250" w:type="pct"/>
            <w:tcBorders>
              <w:top w:val="outset" w:sz="6" w:space="0" w:color="auto"/>
              <w:left w:val="outset" w:sz="6" w:space="0" w:color="auto"/>
              <w:right w:val="outset" w:sz="6" w:space="0" w:color="auto"/>
            </w:tcBorders>
          </w:tcPr>
          <w:p w14:paraId="28DE4AA6" w14:textId="77777777" w:rsidR="00067955" w:rsidRPr="00176E0E" w:rsidRDefault="00067955" w:rsidP="007E08E3">
            <w:pPr>
              <w:pStyle w:val="Paraststmeklis"/>
              <w:spacing w:before="0" w:beforeAutospacing="0" w:after="0" w:afterAutospacing="0"/>
              <w:rPr>
                <w:color w:val="000000" w:themeColor="text1"/>
                <w:lang w:val="lv-LV"/>
              </w:rPr>
            </w:pPr>
            <w:r w:rsidRPr="00176E0E">
              <w:rPr>
                <w:color w:val="000000" w:themeColor="text1"/>
                <w:lang w:val="lv-LV"/>
              </w:rPr>
              <w:t>4.</w:t>
            </w:r>
          </w:p>
        </w:tc>
        <w:tc>
          <w:tcPr>
            <w:tcW w:w="1397" w:type="pct"/>
            <w:tcBorders>
              <w:top w:val="outset" w:sz="6" w:space="0" w:color="auto"/>
              <w:left w:val="outset" w:sz="6" w:space="0" w:color="auto"/>
              <w:right w:val="outset" w:sz="6" w:space="0" w:color="auto"/>
            </w:tcBorders>
          </w:tcPr>
          <w:p w14:paraId="72E27939" w14:textId="77777777" w:rsidR="00067955" w:rsidRPr="00176E0E" w:rsidRDefault="00067955" w:rsidP="007E08E3">
            <w:pPr>
              <w:jc w:val="both"/>
              <w:rPr>
                <w:color w:val="000000" w:themeColor="text1"/>
                <w:lang w:val="lv-LV"/>
              </w:rPr>
            </w:pPr>
            <w:r w:rsidRPr="00176E0E">
              <w:rPr>
                <w:color w:val="000000" w:themeColor="text1"/>
                <w:lang w:val="lv-LV"/>
              </w:rPr>
              <w:t>Cita informācija</w:t>
            </w:r>
          </w:p>
        </w:tc>
        <w:tc>
          <w:tcPr>
            <w:tcW w:w="3354" w:type="pct"/>
            <w:tcBorders>
              <w:top w:val="outset" w:sz="6" w:space="0" w:color="auto"/>
              <w:left w:val="outset" w:sz="6" w:space="0" w:color="auto"/>
              <w:right w:val="outset" w:sz="6" w:space="0" w:color="auto"/>
            </w:tcBorders>
            <w:shd w:val="clear" w:color="auto" w:fill="auto"/>
          </w:tcPr>
          <w:p w14:paraId="75518560" w14:textId="77777777" w:rsidR="00067955" w:rsidRPr="00176E0E" w:rsidRDefault="00067955" w:rsidP="008B6627">
            <w:pPr>
              <w:widowControl w:val="0"/>
              <w:ind w:firstLine="461"/>
              <w:jc w:val="both"/>
              <w:rPr>
                <w:color w:val="000000" w:themeColor="text1"/>
                <w:lang w:val="lv-LV"/>
              </w:rPr>
            </w:pPr>
            <w:r w:rsidRPr="00176E0E">
              <w:rPr>
                <w:color w:val="000000" w:themeColor="text1"/>
                <w:lang w:val="lv-LV"/>
              </w:rPr>
              <w:t>Nav.</w:t>
            </w:r>
          </w:p>
        </w:tc>
      </w:tr>
    </w:tbl>
    <w:p w14:paraId="168381D4" w14:textId="27CC48DA" w:rsidR="00067955" w:rsidRPr="00176E0E" w:rsidRDefault="00067955" w:rsidP="00067955">
      <w:pPr>
        <w:jc w:val="both"/>
        <w:rPr>
          <w:i/>
          <w:color w:val="000000" w:themeColor="text1"/>
          <w:lang w:val="lv-LV" w:eastAsia="lv-LV"/>
        </w:rPr>
      </w:pPr>
    </w:p>
    <w:tbl>
      <w:tblPr>
        <w:tblW w:w="5067"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00"/>
        <w:gridCol w:w="3488"/>
        <w:gridCol w:w="5365"/>
      </w:tblGrid>
      <w:tr w:rsidR="00067955" w:rsidRPr="00DA1781" w14:paraId="1591E016" w14:textId="77777777" w:rsidTr="007E08E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4E184EBF" w14:textId="77777777" w:rsidR="00067955" w:rsidRPr="00176E0E" w:rsidRDefault="00067955" w:rsidP="007E08E3">
            <w:pPr>
              <w:jc w:val="center"/>
              <w:rPr>
                <w:b/>
                <w:bCs/>
                <w:color w:val="000000" w:themeColor="text1"/>
                <w:lang w:val="lv-LV" w:eastAsia="lv-LV"/>
              </w:rPr>
            </w:pPr>
            <w:r w:rsidRPr="00176E0E">
              <w:rPr>
                <w:b/>
                <w:bCs/>
                <w:color w:val="000000" w:themeColor="text1"/>
                <w:lang w:val="lv-LV" w:eastAsia="lv-LV"/>
              </w:rPr>
              <w:t xml:space="preserve">VI. Sabiedrības līdzdalība </w:t>
            </w:r>
            <w:r w:rsidRPr="00176E0E">
              <w:rPr>
                <w:b/>
                <w:bCs/>
                <w:color w:val="000000" w:themeColor="text1"/>
                <w:lang w:val="lv-LV"/>
              </w:rPr>
              <w:t>un komunikācijas aktivitātes</w:t>
            </w:r>
          </w:p>
        </w:tc>
      </w:tr>
      <w:tr w:rsidR="00067955" w:rsidRPr="002D105C" w14:paraId="2E5C1D13" w14:textId="77777777" w:rsidTr="007E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184E78A6" w14:textId="77777777" w:rsidR="00067955" w:rsidRPr="00176E0E" w:rsidRDefault="00067955" w:rsidP="007E08E3">
            <w:pPr>
              <w:pStyle w:val="naiskr"/>
              <w:spacing w:before="0" w:beforeAutospacing="0" w:after="0" w:afterAutospacing="0"/>
              <w:rPr>
                <w:color w:val="000000" w:themeColor="text1"/>
              </w:rPr>
            </w:pPr>
            <w:r w:rsidRPr="00176E0E">
              <w:rPr>
                <w:color w:val="000000" w:themeColor="text1"/>
              </w:rPr>
              <w:t>1.</w:t>
            </w:r>
          </w:p>
        </w:tc>
        <w:tc>
          <w:tcPr>
            <w:tcW w:w="1885" w:type="pct"/>
          </w:tcPr>
          <w:p w14:paraId="157724D1" w14:textId="77777777" w:rsidR="00067955" w:rsidRPr="00176E0E" w:rsidRDefault="00067955" w:rsidP="007E08E3">
            <w:pPr>
              <w:pStyle w:val="naiskr"/>
              <w:spacing w:before="0" w:beforeAutospacing="0" w:after="0" w:afterAutospacing="0"/>
              <w:jc w:val="both"/>
              <w:rPr>
                <w:color w:val="000000" w:themeColor="text1"/>
              </w:rPr>
            </w:pPr>
            <w:r w:rsidRPr="00176E0E">
              <w:rPr>
                <w:color w:val="000000" w:themeColor="text1"/>
              </w:rPr>
              <w:t>Plānotās sabiedrības līdzdalības un komunikācijas aktivitātes saistībā ar projektu</w:t>
            </w:r>
          </w:p>
        </w:tc>
        <w:tc>
          <w:tcPr>
            <w:tcW w:w="2899" w:type="pct"/>
          </w:tcPr>
          <w:p w14:paraId="16CC155C" w14:textId="695460F3" w:rsidR="00067955" w:rsidRPr="00176E0E" w:rsidRDefault="003D12B5" w:rsidP="002F03B0">
            <w:pPr>
              <w:ind w:firstLine="478"/>
              <w:jc w:val="both"/>
              <w:rPr>
                <w:color w:val="000000" w:themeColor="text1"/>
                <w:lang w:val="lv-LV"/>
              </w:rPr>
            </w:pPr>
            <w:r>
              <w:rPr>
                <w:lang w:val="lv-LV"/>
              </w:rPr>
              <w:t>Ministru kabineta noteiku</w:t>
            </w:r>
            <w:r w:rsidR="000624C3">
              <w:rPr>
                <w:lang w:val="lv-LV"/>
              </w:rPr>
              <w:t>m</w:t>
            </w:r>
            <w:r w:rsidR="00A62916">
              <w:rPr>
                <w:lang w:val="lv-LV"/>
              </w:rPr>
              <w:t>i</w:t>
            </w:r>
            <w:r w:rsidR="0008333E">
              <w:rPr>
                <w:lang w:val="lv-LV"/>
              </w:rPr>
              <w:t xml:space="preserve"> </w:t>
            </w:r>
            <w:proofErr w:type="gramStart"/>
            <w:r w:rsidR="00983C8C">
              <w:rPr>
                <w:lang w:val="lv-LV"/>
              </w:rPr>
              <w:t>2016.gada</w:t>
            </w:r>
            <w:proofErr w:type="gramEnd"/>
            <w:r w:rsidR="00983C8C">
              <w:rPr>
                <w:lang w:val="lv-LV"/>
              </w:rPr>
              <w:t xml:space="preserve"> 31.martā </w:t>
            </w:r>
            <w:r w:rsidR="0008333E">
              <w:rPr>
                <w:lang w:val="lv-LV"/>
              </w:rPr>
              <w:t>ievietot</w:t>
            </w:r>
            <w:r w:rsidR="00A62916">
              <w:rPr>
                <w:lang w:val="lv-LV"/>
              </w:rPr>
              <w:t>i</w:t>
            </w:r>
            <w:r w:rsidR="0008333E">
              <w:rPr>
                <w:lang w:val="lv-LV"/>
              </w:rPr>
              <w:t xml:space="preserve"> Tieslietu ministrijas mājaslapā</w:t>
            </w:r>
            <w:r w:rsidR="00983C8C">
              <w:rPr>
                <w:lang w:val="lv-LV"/>
              </w:rPr>
              <w:t xml:space="preserve">. </w:t>
            </w:r>
            <w:r w:rsidR="00760A7E">
              <w:rPr>
                <w:lang w:val="lv-LV"/>
              </w:rPr>
              <w:t>S</w:t>
            </w:r>
            <w:r w:rsidR="005F6D2C">
              <w:rPr>
                <w:lang w:val="lv-LV"/>
              </w:rPr>
              <w:t xml:space="preserve">abiedrības pārstāvji divu nedēļu laikā varēja sniegt viedokļus par Ministru kabineta </w:t>
            </w:r>
            <w:r w:rsidR="00A62916">
              <w:rPr>
                <w:lang w:val="lv-LV"/>
              </w:rPr>
              <w:t xml:space="preserve">noteikumiem </w:t>
            </w:r>
            <w:r w:rsidR="005F6D2C">
              <w:rPr>
                <w:lang w:val="lv-LV"/>
              </w:rPr>
              <w:t>Tieslietu ministrijas mājaslap</w:t>
            </w:r>
            <w:r w:rsidR="000624C3">
              <w:rPr>
                <w:lang w:val="lv-LV"/>
              </w:rPr>
              <w:t xml:space="preserve">as sadaļā </w:t>
            </w:r>
            <w:r w:rsidR="005F6D2C">
              <w:rPr>
                <w:lang w:val="lv-LV"/>
              </w:rPr>
              <w:t xml:space="preserve">“Sabiedrības līdzdalība” </w:t>
            </w:r>
            <w:r w:rsidR="002F03B0">
              <w:rPr>
                <w:lang w:val="lv-LV"/>
              </w:rPr>
              <w:t>(</w:t>
            </w:r>
            <w:r w:rsidR="005F6D2C">
              <w:rPr>
                <w:lang w:val="lv-LV"/>
              </w:rPr>
              <w:t>sadaļ</w:t>
            </w:r>
            <w:r w:rsidR="002F03B0">
              <w:rPr>
                <w:lang w:val="lv-LV"/>
              </w:rPr>
              <w:t>ā</w:t>
            </w:r>
            <w:r w:rsidR="005F6D2C">
              <w:rPr>
                <w:lang w:val="lv-LV"/>
              </w:rPr>
              <w:t xml:space="preserve"> </w:t>
            </w:r>
            <w:r w:rsidR="002F03B0">
              <w:rPr>
                <w:lang w:val="lv-LV"/>
              </w:rPr>
              <w:t>– “A</w:t>
            </w:r>
            <w:r w:rsidR="005F6D2C">
              <w:rPr>
                <w:lang w:val="lv-LV"/>
              </w:rPr>
              <w:t>ptaujas</w:t>
            </w:r>
            <w:r w:rsidR="002F03B0">
              <w:rPr>
                <w:lang w:val="lv-LV"/>
              </w:rPr>
              <w:t>,</w:t>
            </w:r>
            <w:r w:rsidR="005F6D2C">
              <w:rPr>
                <w:lang w:val="lv-LV"/>
              </w:rPr>
              <w:t xml:space="preserve"> pētījumi</w:t>
            </w:r>
            <w:r w:rsidR="002F03B0">
              <w:rPr>
                <w:lang w:val="lv-LV"/>
              </w:rPr>
              <w:t>”)</w:t>
            </w:r>
            <w:r w:rsidR="0008333E">
              <w:rPr>
                <w:lang w:val="lv-LV"/>
              </w:rPr>
              <w:t>.</w:t>
            </w:r>
            <w:r w:rsidR="00760A7E">
              <w:rPr>
                <w:lang w:val="lv-LV"/>
              </w:rPr>
              <w:t xml:space="preserve"> </w:t>
            </w:r>
            <w:r w:rsidR="00760A7E" w:rsidRPr="000624C3">
              <w:rPr>
                <w:lang w:val="lv-LV"/>
              </w:rPr>
              <w:t xml:space="preserve">Tāpat </w:t>
            </w:r>
            <w:r w:rsidR="000624C3">
              <w:rPr>
                <w:lang w:val="lv-LV"/>
              </w:rPr>
              <w:t>Ministru kabineta noteikumi</w:t>
            </w:r>
            <w:r w:rsidR="000624C3" w:rsidRPr="000624C3">
              <w:rPr>
                <w:lang w:val="lv-LV"/>
              </w:rPr>
              <w:t xml:space="preserve"> </w:t>
            </w:r>
            <w:r w:rsidR="00983C8C" w:rsidRPr="000624C3">
              <w:rPr>
                <w:lang w:val="lv-LV"/>
              </w:rPr>
              <w:t>saskaņot</w:t>
            </w:r>
            <w:r w:rsidR="000624C3">
              <w:rPr>
                <w:lang w:val="lv-LV"/>
              </w:rPr>
              <w:t>i</w:t>
            </w:r>
            <w:r w:rsidR="00983C8C" w:rsidRPr="000624C3">
              <w:rPr>
                <w:lang w:val="lv-LV"/>
              </w:rPr>
              <w:t xml:space="preserve"> ar Latvijas Tulku un tulkotāju biedrību.</w:t>
            </w:r>
          </w:p>
        </w:tc>
      </w:tr>
      <w:tr w:rsidR="00067955" w:rsidRPr="00DA1781" w14:paraId="0067006B" w14:textId="77777777" w:rsidTr="007E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1ED433A7" w14:textId="77777777" w:rsidR="00067955" w:rsidRPr="00176E0E" w:rsidRDefault="00067955" w:rsidP="007E08E3">
            <w:pPr>
              <w:pStyle w:val="naiskr"/>
              <w:spacing w:before="0" w:beforeAutospacing="0" w:after="0" w:afterAutospacing="0"/>
              <w:rPr>
                <w:color w:val="000000" w:themeColor="text1"/>
              </w:rPr>
            </w:pPr>
            <w:r w:rsidRPr="00176E0E">
              <w:rPr>
                <w:color w:val="000000" w:themeColor="text1"/>
              </w:rPr>
              <w:lastRenderedPageBreak/>
              <w:t>2.</w:t>
            </w:r>
          </w:p>
        </w:tc>
        <w:tc>
          <w:tcPr>
            <w:tcW w:w="1885" w:type="pct"/>
          </w:tcPr>
          <w:p w14:paraId="4DCE47A9" w14:textId="77777777" w:rsidR="00067955" w:rsidRPr="00176E0E" w:rsidRDefault="00067955" w:rsidP="007E08E3">
            <w:pPr>
              <w:pStyle w:val="naiskr"/>
              <w:spacing w:before="0" w:beforeAutospacing="0" w:after="0" w:afterAutospacing="0"/>
              <w:jc w:val="both"/>
              <w:rPr>
                <w:color w:val="000000" w:themeColor="text1"/>
              </w:rPr>
            </w:pPr>
            <w:r w:rsidRPr="00176E0E">
              <w:rPr>
                <w:color w:val="000000" w:themeColor="text1"/>
              </w:rPr>
              <w:t>Sabiedrības līdzdalība projekta izstrādē</w:t>
            </w:r>
          </w:p>
        </w:tc>
        <w:tc>
          <w:tcPr>
            <w:tcW w:w="2899" w:type="pct"/>
          </w:tcPr>
          <w:p w14:paraId="7DA00EDC" w14:textId="2525EC25" w:rsidR="00067955" w:rsidRPr="00176E0E" w:rsidRDefault="0008333E" w:rsidP="002F03B0">
            <w:pPr>
              <w:pStyle w:val="naiskr"/>
              <w:spacing w:before="0" w:beforeAutospacing="0" w:after="0" w:afterAutospacing="0"/>
              <w:ind w:firstLine="478"/>
              <w:jc w:val="both"/>
            </w:pPr>
            <w:r>
              <w:t xml:space="preserve">Ministru kabineta </w:t>
            </w:r>
            <w:r w:rsidR="00A62916">
              <w:t xml:space="preserve">noteikumi </w:t>
            </w:r>
            <w:r>
              <w:t>saskaņot</w:t>
            </w:r>
            <w:r w:rsidR="00A62916">
              <w:t>i</w:t>
            </w:r>
            <w:r>
              <w:t xml:space="preserve"> ar Latvijas Tulku un tulkotāju biedrību. </w:t>
            </w:r>
            <w:r w:rsidR="00760A7E">
              <w:t xml:space="preserve">Sabiedrības pārstāvji divu nedēļu laikā varēja sniegt viedokļus par Ministru kabineta </w:t>
            </w:r>
            <w:r w:rsidR="000624C3">
              <w:t xml:space="preserve">noteikumiem </w:t>
            </w:r>
            <w:r w:rsidR="00760A7E">
              <w:t>Tieslietu ministrijas mājasl</w:t>
            </w:r>
            <w:r w:rsidR="002F03B0">
              <w:t>apas sadaļā</w:t>
            </w:r>
            <w:r w:rsidR="00760A7E">
              <w:t xml:space="preserve"> “Sabiedrības līdzdalība” </w:t>
            </w:r>
            <w:r w:rsidR="002F03B0">
              <w:t>(sadaļā – “Aptaujas, pētījumi”)</w:t>
            </w:r>
            <w:r w:rsidR="00760A7E">
              <w:t xml:space="preserve">. </w:t>
            </w:r>
          </w:p>
        </w:tc>
      </w:tr>
      <w:tr w:rsidR="00067955" w:rsidRPr="002D105C" w14:paraId="04534D7F" w14:textId="77777777" w:rsidTr="007E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0A87AAF8" w14:textId="77777777" w:rsidR="00067955" w:rsidRPr="00176E0E" w:rsidRDefault="00067955" w:rsidP="007E08E3">
            <w:pPr>
              <w:pStyle w:val="naiskr"/>
              <w:spacing w:before="0" w:beforeAutospacing="0" w:after="0" w:afterAutospacing="0"/>
              <w:rPr>
                <w:color w:val="000000" w:themeColor="text1"/>
              </w:rPr>
            </w:pPr>
            <w:r w:rsidRPr="00176E0E">
              <w:rPr>
                <w:color w:val="000000" w:themeColor="text1"/>
              </w:rPr>
              <w:t>3.</w:t>
            </w:r>
          </w:p>
        </w:tc>
        <w:tc>
          <w:tcPr>
            <w:tcW w:w="1885" w:type="pct"/>
          </w:tcPr>
          <w:p w14:paraId="11B69203" w14:textId="77777777" w:rsidR="00067955" w:rsidRPr="00176E0E" w:rsidRDefault="00067955" w:rsidP="007E08E3">
            <w:pPr>
              <w:pStyle w:val="naiskr"/>
              <w:spacing w:before="0" w:beforeAutospacing="0" w:after="0" w:afterAutospacing="0"/>
              <w:jc w:val="both"/>
              <w:rPr>
                <w:color w:val="000000" w:themeColor="text1"/>
              </w:rPr>
            </w:pPr>
            <w:r w:rsidRPr="00176E0E">
              <w:rPr>
                <w:color w:val="000000" w:themeColor="text1"/>
              </w:rPr>
              <w:t>Sabiedrības līdzdalības rezultāti</w:t>
            </w:r>
          </w:p>
        </w:tc>
        <w:tc>
          <w:tcPr>
            <w:tcW w:w="2899" w:type="pct"/>
          </w:tcPr>
          <w:p w14:paraId="240C3B7F" w14:textId="6D572FAA" w:rsidR="00067955" w:rsidRPr="00176E0E" w:rsidRDefault="00556916" w:rsidP="002F03B0">
            <w:pPr>
              <w:pStyle w:val="naiskr"/>
              <w:spacing w:before="0" w:beforeAutospacing="0" w:after="0" w:afterAutospacing="0"/>
              <w:ind w:firstLine="478"/>
              <w:jc w:val="both"/>
              <w:rPr>
                <w:rFonts w:eastAsia="Arial Unicode MS"/>
                <w:color w:val="000000" w:themeColor="text1"/>
              </w:rPr>
            </w:pPr>
            <w:r w:rsidRPr="00176E0E">
              <w:rPr>
                <w:color w:val="000000"/>
              </w:rPr>
              <w:t>Latvijas Tulku un tulkotāju biedrība</w:t>
            </w:r>
            <w:r>
              <w:rPr>
                <w:rFonts w:eastAsia="Arial Unicode MS"/>
                <w:color w:val="000000" w:themeColor="text1"/>
              </w:rPr>
              <w:t xml:space="preserve"> Ministru kabineta noteikumu</w:t>
            </w:r>
            <w:r w:rsidR="002F03B0">
              <w:rPr>
                <w:rFonts w:eastAsia="Arial Unicode MS"/>
                <w:color w:val="000000" w:themeColor="text1"/>
              </w:rPr>
              <w:t>s</w:t>
            </w:r>
            <w:r>
              <w:rPr>
                <w:rFonts w:eastAsia="Arial Unicode MS"/>
                <w:color w:val="000000" w:themeColor="text1"/>
              </w:rPr>
              <w:t xml:space="preserve"> saskaņoja bez iebildumiem</w:t>
            </w:r>
            <w:r w:rsidR="00A9311F">
              <w:rPr>
                <w:rFonts w:eastAsia="Arial Unicode MS"/>
                <w:color w:val="000000" w:themeColor="text1"/>
              </w:rPr>
              <w:t>, izsakot atsevišķus priekšlikumus, kuri daļēji tika ņemti vērā.</w:t>
            </w:r>
            <w:r w:rsidR="0008333E">
              <w:rPr>
                <w:rFonts w:eastAsia="Arial Unicode MS"/>
                <w:color w:val="000000" w:themeColor="text1"/>
              </w:rPr>
              <w:t xml:space="preserve"> </w:t>
            </w:r>
            <w:r w:rsidR="002F03B0">
              <w:rPr>
                <w:rFonts w:eastAsia="Arial Unicode MS"/>
                <w:color w:val="000000" w:themeColor="text1"/>
              </w:rPr>
              <w:t>Par Ministru kabineta noteikumiem sabiedrības pārstāvju rakstveida viedokļi netika saņemti.</w:t>
            </w:r>
          </w:p>
        </w:tc>
      </w:tr>
      <w:tr w:rsidR="00067955" w:rsidRPr="00A9311F" w14:paraId="05F6E226" w14:textId="77777777" w:rsidTr="007E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0AD0AE82" w14:textId="77777777" w:rsidR="00067955" w:rsidRPr="00176E0E" w:rsidRDefault="00067955" w:rsidP="007E08E3">
            <w:pPr>
              <w:pStyle w:val="naiskr"/>
              <w:spacing w:before="0" w:beforeAutospacing="0" w:after="0" w:afterAutospacing="0"/>
              <w:rPr>
                <w:color w:val="000000" w:themeColor="text1"/>
              </w:rPr>
            </w:pPr>
            <w:r w:rsidRPr="00176E0E">
              <w:rPr>
                <w:color w:val="000000" w:themeColor="text1"/>
              </w:rPr>
              <w:t>4.</w:t>
            </w:r>
          </w:p>
        </w:tc>
        <w:tc>
          <w:tcPr>
            <w:tcW w:w="1885" w:type="pct"/>
          </w:tcPr>
          <w:p w14:paraId="02C37740" w14:textId="77777777" w:rsidR="00067955" w:rsidRPr="00176E0E" w:rsidRDefault="00067955" w:rsidP="007E08E3">
            <w:pPr>
              <w:pStyle w:val="naiskr"/>
              <w:spacing w:before="0" w:beforeAutospacing="0" w:after="0" w:afterAutospacing="0"/>
              <w:jc w:val="both"/>
              <w:rPr>
                <w:color w:val="000000" w:themeColor="text1"/>
              </w:rPr>
            </w:pPr>
            <w:r w:rsidRPr="00176E0E">
              <w:rPr>
                <w:color w:val="000000" w:themeColor="text1"/>
              </w:rPr>
              <w:t>Cita informācija</w:t>
            </w:r>
          </w:p>
        </w:tc>
        <w:tc>
          <w:tcPr>
            <w:tcW w:w="2899" w:type="pct"/>
          </w:tcPr>
          <w:p w14:paraId="1FC28F0E" w14:textId="77777777" w:rsidR="00067955" w:rsidRPr="00176E0E" w:rsidRDefault="00067955" w:rsidP="009D0979">
            <w:pPr>
              <w:pStyle w:val="naisc"/>
              <w:spacing w:before="0" w:beforeAutospacing="0" w:after="0" w:afterAutospacing="0"/>
              <w:ind w:firstLine="478"/>
              <w:jc w:val="left"/>
              <w:rPr>
                <w:color w:val="000000" w:themeColor="text1"/>
                <w:sz w:val="24"/>
                <w:szCs w:val="24"/>
                <w:lang w:val="lv-LV"/>
              </w:rPr>
            </w:pPr>
            <w:r w:rsidRPr="00176E0E">
              <w:rPr>
                <w:color w:val="000000" w:themeColor="text1"/>
                <w:sz w:val="24"/>
                <w:szCs w:val="24"/>
                <w:lang w:val="lv-LV"/>
              </w:rPr>
              <w:t>Nav.</w:t>
            </w:r>
          </w:p>
        </w:tc>
      </w:tr>
      <w:tr w:rsidR="00067955" w:rsidRPr="00DA1781" w14:paraId="4DDB0B76" w14:textId="77777777" w:rsidTr="007E08E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6B4E744D" w14:textId="77777777" w:rsidR="00067955" w:rsidRDefault="00067955" w:rsidP="009D0979">
            <w:pPr>
              <w:ind w:firstLine="478"/>
              <w:jc w:val="center"/>
              <w:rPr>
                <w:b/>
                <w:bCs/>
                <w:color w:val="000000" w:themeColor="text1"/>
                <w:lang w:val="lv-LV" w:eastAsia="lv-LV"/>
              </w:rPr>
            </w:pPr>
          </w:p>
          <w:p w14:paraId="3BD0A1C6" w14:textId="77777777" w:rsidR="00067955" w:rsidRPr="00176E0E" w:rsidRDefault="00067955" w:rsidP="009D0979">
            <w:pPr>
              <w:ind w:firstLine="478"/>
              <w:jc w:val="center"/>
              <w:rPr>
                <w:b/>
                <w:bCs/>
                <w:color w:val="000000" w:themeColor="text1"/>
                <w:lang w:val="lv-LV" w:eastAsia="lv-LV"/>
              </w:rPr>
            </w:pPr>
            <w:r w:rsidRPr="00176E0E">
              <w:rPr>
                <w:b/>
                <w:bCs/>
                <w:color w:val="000000" w:themeColor="text1"/>
                <w:lang w:val="lv-LV" w:eastAsia="lv-LV"/>
              </w:rPr>
              <w:t>VII. Tiesību akta projekta izpildes nodrošināšana un tās ietekme uz institūcijām</w:t>
            </w:r>
          </w:p>
        </w:tc>
      </w:tr>
      <w:tr w:rsidR="00067955" w:rsidRPr="00176E0E" w14:paraId="02406B56" w14:textId="77777777" w:rsidTr="007E08E3">
        <w:tc>
          <w:tcPr>
            <w:tcW w:w="216" w:type="pct"/>
            <w:tcBorders>
              <w:top w:val="outset" w:sz="6" w:space="0" w:color="000000"/>
              <w:left w:val="outset" w:sz="6" w:space="0" w:color="000000"/>
              <w:bottom w:val="outset" w:sz="6" w:space="0" w:color="000000"/>
              <w:right w:val="outset" w:sz="6" w:space="0" w:color="000000"/>
            </w:tcBorders>
          </w:tcPr>
          <w:p w14:paraId="6753823C" w14:textId="77777777" w:rsidR="00067955" w:rsidRPr="00176E0E" w:rsidRDefault="00067955" w:rsidP="007E08E3">
            <w:pPr>
              <w:rPr>
                <w:color w:val="000000" w:themeColor="text1"/>
                <w:lang w:val="lv-LV" w:eastAsia="lv-LV"/>
              </w:rPr>
            </w:pPr>
            <w:r w:rsidRPr="00176E0E">
              <w:rPr>
                <w:color w:val="000000" w:themeColor="text1"/>
                <w:lang w:val="lv-LV" w:eastAsia="lv-LV"/>
              </w:rPr>
              <w:t>1.</w:t>
            </w:r>
          </w:p>
        </w:tc>
        <w:tc>
          <w:tcPr>
            <w:tcW w:w="1885" w:type="pct"/>
            <w:tcBorders>
              <w:top w:val="outset" w:sz="6" w:space="0" w:color="000000"/>
              <w:left w:val="outset" w:sz="6" w:space="0" w:color="000000"/>
              <w:bottom w:val="outset" w:sz="6" w:space="0" w:color="000000"/>
              <w:right w:val="outset" w:sz="6" w:space="0" w:color="000000"/>
            </w:tcBorders>
          </w:tcPr>
          <w:p w14:paraId="09B825DF" w14:textId="77777777" w:rsidR="00067955" w:rsidRPr="00176E0E" w:rsidRDefault="00067955" w:rsidP="007E08E3">
            <w:pPr>
              <w:jc w:val="both"/>
              <w:rPr>
                <w:color w:val="000000" w:themeColor="text1"/>
                <w:lang w:val="lv-LV" w:eastAsia="lv-LV"/>
              </w:rPr>
            </w:pPr>
            <w:r w:rsidRPr="00176E0E">
              <w:rPr>
                <w:color w:val="000000" w:themeColor="text1"/>
                <w:lang w:val="lv-LV" w:eastAsia="lv-LV"/>
              </w:rPr>
              <w:t>Projekta izpildē iesaistītās institūcijas</w:t>
            </w:r>
          </w:p>
        </w:tc>
        <w:tc>
          <w:tcPr>
            <w:tcW w:w="2899" w:type="pct"/>
            <w:tcBorders>
              <w:top w:val="outset" w:sz="6" w:space="0" w:color="000000"/>
              <w:left w:val="outset" w:sz="6" w:space="0" w:color="000000"/>
              <w:bottom w:val="outset" w:sz="6" w:space="0" w:color="000000"/>
              <w:right w:val="outset" w:sz="6" w:space="0" w:color="000000"/>
            </w:tcBorders>
          </w:tcPr>
          <w:p w14:paraId="789188F7" w14:textId="6A1DE543" w:rsidR="00067955" w:rsidRPr="00176E0E" w:rsidRDefault="00067955" w:rsidP="009D0979">
            <w:pPr>
              <w:pStyle w:val="Kjene"/>
              <w:tabs>
                <w:tab w:val="clear" w:pos="4153"/>
                <w:tab w:val="clear" w:pos="8306"/>
              </w:tabs>
              <w:snapToGrid/>
              <w:ind w:firstLine="478"/>
              <w:jc w:val="both"/>
              <w:rPr>
                <w:rFonts w:ascii="Times New Roman" w:hAnsi="Times New Roman"/>
                <w:color w:val="000000" w:themeColor="text1"/>
                <w:sz w:val="24"/>
                <w:szCs w:val="24"/>
              </w:rPr>
            </w:pPr>
            <w:r w:rsidRPr="00176E0E">
              <w:rPr>
                <w:rFonts w:ascii="Times New Roman" w:hAnsi="Times New Roman"/>
                <w:sz w:val="24"/>
                <w:szCs w:val="24"/>
              </w:rPr>
              <w:t xml:space="preserve">Latvijas Republikas </w:t>
            </w:r>
            <w:r w:rsidR="0008333E">
              <w:rPr>
                <w:rFonts w:ascii="Times New Roman" w:hAnsi="Times New Roman"/>
                <w:sz w:val="24"/>
                <w:szCs w:val="24"/>
              </w:rPr>
              <w:t xml:space="preserve">vispārējās jurisdikcijas </w:t>
            </w:r>
            <w:r w:rsidRPr="00176E0E">
              <w:rPr>
                <w:rFonts w:ascii="Times New Roman" w:hAnsi="Times New Roman"/>
                <w:sz w:val="24"/>
                <w:szCs w:val="24"/>
              </w:rPr>
              <w:t>tiesas.</w:t>
            </w:r>
          </w:p>
        </w:tc>
      </w:tr>
      <w:tr w:rsidR="00067955" w:rsidRPr="00DA1781" w14:paraId="2A8B82B6" w14:textId="77777777" w:rsidTr="007E08E3">
        <w:tc>
          <w:tcPr>
            <w:tcW w:w="216" w:type="pct"/>
            <w:tcBorders>
              <w:top w:val="outset" w:sz="6" w:space="0" w:color="000000"/>
              <w:left w:val="outset" w:sz="6" w:space="0" w:color="000000"/>
              <w:bottom w:val="outset" w:sz="6" w:space="0" w:color="000000"/>
              <w:right w:val="outset" w:sz="6" w:space="0" w:color="000000"/>
            </w:tcBorders>
          </w:tcPr>
          <w:p w14:paraId="7C62829A" w14:textId="77777777" w:rsidR="00067955" w:rsidRPr="00176E0E" w:rsidRDefault="00067955" w:rsidP="007E08E3">
            <w:pPr>
              <w:rPr>
                <w:color w:val="000000" w:themeColor="text1"/>
                <w:lang w:val="lv-LV" w:eastAsia="lv-LV"/>
              </w:rPr>
            </w:pPr>
            <w:r w:rsidRPr="00176E0E">
              <w:rPr>
                <w:color w:val="000000" w:themeColor="text1"/>
                <w:lang w:val="lv-LV" w:eastAsia="lv-LV"/>
              </w:rPr>
              <w:t>2.</w:t>
            </w:r>
          </w:p>
        </w:tc>
        <w:tc>
          <w:tcPr>
            <w:tcW w:w="1885" w:type="pct"/>
            <w:tcBorders>
              <w:top w:val="outset" w:sz="6" w:space="0" w:color="000000"/>
              <w:left w:val="outset" w:sz="6" w:space="0" w:color="000000"/>
              <w:bottom w:val="outset" w:sz="6" w:space="0" w:color="000000"/>
              <w:right w:val="outset" w:sz="6" w:space="0" w:color="000000"/>
            </w:tcBorders>
          </w:tcPr>
          <w:p w14:paraId="6A394F46" w14:textId="77777777" w:rsidR="00067955" w:rsidRPr="00176E0E" w:rsidRDefault="00067955" w:rsidP="007E08E3">
            <w:pPr>
              <w:jc w:val="both"/>
              <w:rPr>
                <w:color w:val="000000" w:themeColor="text1"/>
                <w:lang w:val="lv-LV"/>
              </w:rPr>
            </w:pPr>
            <w:r w:rsidRPr="00176E0E">
              <w:rPr>
                <w:color w:val="000000" w:themeColor="text1"/>
                <w:lang w:val="lv-LV"/>
              </w:rPr>
              <w:t xml:space="preserve">Projekta izpildes ietekme uz pārvaldes funkcijām un institucionālo struktūru. </w:t>
            </w:r>
          </w:p>
          <w:p w14:paraId="33A30E9E" w14:textId="77777777" w:rsidR="00067955" w:rsidRPr="00176E0E" w:rsidRDefault="00067955" w:rsidP="007E08E3">
            <w:pPr>
              <w:ind w:firstLine="300"/>
              <w:jc w:val="both"/>
              <w:rPr>
                <w:color w:val="000000" w:themeColor="text1"/>
                <w:lang w:val="lv-LV"/>
              </w:rPr>
            </w:pPr>
            <w:r w:rsidRPr="00176E0E">
              <w:rPr>
                <w:color w:val="000000" w:themeColor="text1"/>
                <w:lang w:val="lv-LV"/>
              </w:rPr>
              <w:t>Jaunu institūciju izveide, esošu institūciju likvidācija vai reorganizācija, to ietekme uz institūcijas cilvēkresursiem</w:t>
            </w:r>
          </w:p>
        </w:tc>
        <w:tc>
          <w:tcPr>
            <w:tcW w:w="2899" w:type="pct"/>
            <w:tcBorders>
              <w:top w:val="outset" w:sz="6" w:space="0" w:color="000000"/>
              <w:left w:val="outset" w:sz="6" w:space="0" w:color="000000"/>
              <w:bottom w:val="outset" w:sz="6" w:space="0" w:color="000000"/>
              <w:right w:val="outset" w:sz="6" w:space="0" w:color="000000"/>
            </w:tcBorders>
          </w:tcPr>
          <w:p w14:paraId="1174833E" w14:textId="17F12571" w:rsidR="00067955" w:rsidRPr="006E7DB7" w:rsidRDefault="00067955" w:rsidP="009D0979">
            <w:pPr>
              <w:pStyle w:val="naisnod"/>
              <w:ind w:firstLine="478"/>
              <w:jc w:val="both"/>
              <w:rPr>
                <w:b w:val="0"/>
                <w:color w:val="000000" w:themeColor="text1"/>
              </w:rPr>
            </w:pPr>
            <w:r w:rsidRPr="006E7DB7">
              <w:rPr>
                <w:b w:val="0"/>
                <w:color w:val="000000" w:themeColor="text1"/>
              </w:rPr>
              <w:t>Iesaistītās institūcijas Ministru kabineta noteikumu izpildi nodrošina to esošo funkciju un uzdevumus ietvaros.</w:t>
            </w:r>
          </w:p>
          <w:p w14:paraId="3DDB8BB5" w14:textId="19361B52" w:rsidR="00067955" w:rsidRPr="00176E0E" w:rsidRDefault="00067955" w:rsidP="009D0979">
            <w:pPr>
              <w:pStyle w:val="naiskr"/>
              <w:spacing w:before="0" w:beforeAutospacing="0" w:after="0" w:afterAutospacing="0"/>
              <w:ind w:firstLine="478"/>
              <w:jc w:val="both"/>
              <w:rPr>
                <w:color w:val="000000" w:themeColor="text1"/>
              </w:rPr>
            </w:pPr>
            <w:r w:rsidRPr="006E7DB7">
              <w:rPr>
                <w:color w:val="000000" w:themeColor="text1"/>
              </w:rPr>
              <w:t>Ministru kabineta noteikumu izpildei nav nepieciešams radīt jaunas vai likvidēt esošās institūcijas, kā arī nav nepieciešams reorganizēt esošās institūcijas.</w:t>
            </w:r>
          </w:p>
        </w:tc>
      </w:tr>
      <w:tr w:rsidR="00067955" w:rsidRPr="00176E0E" w14:paraId="17887D9C" w14:textId="77777777" w:rsidTr="007E08E3">
        <w:tc>
          <w:tcPr>
            <w:tcW w:w="216" w:type="pct"/>
            <w:tcBorders>
              <w:top w:val="outset" w:sz="6" w:space="0" w:color="000000"/>
              <w:left w:val="outset" w:sz="6" w:space="0" w:color="000000"/>
              <w:bottom w:val="outset" w:sz="6" w:space="0" w:color="000000"/>
              <w:right w:val="outset" w:sz="6" w:space="0" w:color="000000"/>
            </w:tcBorders>
          </w:tcPr>
          <w:p w14:paraId="45223F6E" w14:textId="77777777" w:rsidR="00067955" w:rsidRPr="00176E0E" w:rsidRDefault="00067955" w:rsidP="007E08E3">
            <w:pPr>
              <w:rPr>
                <w:color w:val="000000" w:themeColor="text1"/>
                <w:lang w:val="lv-LV" w:eastAsia="lv-LV"/>
              </w:rPr>
            </w:pPr>
            <w:r w:rsidRPr="00176E0E">
              <w:rPr>
                <w:color w:val="000000" w:themeColor="text1"/>
                <w:lang w:val="lv-LV" w:eastAsia="lv-LV"/>
              </w:rPr>
              <w:t>3.</w:t>
            </w:r>
          </w:p>
        </w:tc>
        <w:tc>
          <w:tcPr>
            <w:tcW w:w="1885" w:type="pct"/>
            <w:tcBorders>
              <w:top w:val="outset" w:sz="6" w:space="0" w:color="000000"/>
              <w:left w:val="outset" w:sz="6" w:space="0" w:color="000000"/>
              <w:bottom w:val="outset" w:sz="6" w:space="0" w:color="000000"/>
              <w:right w:val="outset" w:sz="6" w:space="0" w:color="000000"/>
            </w:tcBorders>
          </w:tcPr>
          <w:p w14:paraId="4DE84B75" w14:textId="77777777" w:rsidR="00067955" w:rsidRPr="00176E0E" w:rsidRDefault="00067955" w:rsidP="007E08E3">
            <w:pPr>
              <w:jc w:val="both"/>
              <w:rPr>
                <w:color w:val="000000" w:themeColor="text1"/>
                <w:lang w:val="lv-LV" w:eastAsia="lv-LV"/>
              </w:rPr>
            </w:pPr>
            <w:r w:rsidRPr="00176E0E">
              <w:rPr>
                <w:color w:val="000000" w:themeColor="text1"/>
                <w:lang w:val="lv-LV" w:eastAsia="lv-LV"/>
              </w:rPr>
              <w:t>Cita informācija</w:t>
            </w:r>
          </w:p>
        </w:tc>
        <w:tc>
          <w:tcPr>
            <w:tcW w:w="2899" w:type="pct"/>
            <w:tcBorders>
              <w:top w:val="outset" w:sz="6" w:space="0" w:color="000000"/>
              <w:left w:val="outset" w:sz="6" w:space="0" w:color="000000"/>
              <w:bottom w:val="outset" w:sz="6" w:space="0" w:color="000000"/>
              <w:right w:val="outset" w:sz="6" w:space="0" w:color="000000"/>
            </w:tcBorders>
          </w:tcPr>
          <w:p w14:paraId="63A3A1F1" w14:textId="77777777" w:rsidR="00067955" w:rsidRPr="00176E0E" w:rsidRDefault="00067955" w:rsidP="009D0979">
            <w:pPr>
              <w:pStyle w:val="Kjene"/>
              <w:tabs>
                <w:tab w:val="clear" w:pos="4153"/>
                <w:tab w:val="clear" w:pos="8306"/>
              </w:tabs>
              <w:snapToGrid/>
              <w:ind w:firstLine="478"/>
              <w:jc w:val="both"/>
              <w:rPr>
                <w:rFonts w:ascii="Times New Roman" w:hAnsi="Times New Roman"/>
                <w:color w:val="000000" w:themeColor="text1"/>
                <w:sz w:val="24"/>
                <w:szCs w:val="24"/>
              </w:rPr>
            </w:pPr>
            <w:r w:rsidRPr="00176E0E">
              <w:rPr>
                <w:rFonts w:ascii="Times New Roman" w:hAnsi="Times New Roman"/>
                <w:color w:val="000000" w:themeColor="text1"/>
                <w:sz w:val="24"/>
                <w:szCs w:val="24"/>
              </w:rPr>
              <w:t>Nav</w:t>
            </w:r>
            <w:r w:rsidR="003D12B5">
              <w:rPr>
                <w:rFonts w:ascii="Times New Roman" w:hAnsi="Times New Roman"/>
                <w:color w:val="000000" w:themeColor="text1"/>
                <w:sz w:val="24"/>
                <w:szCs w:val="24"/>
              </w:rPr>
              <w:t>.</w:t>
            </w:r>
          </w:p>
        </w:tc>
      </w:tr>
    </w:tbl>
    <w:p w14:paraId="6A478217" w14:textId="72334F4C" w:rsidR="00067955" w:rsidRPr="00176E0E" w:rsidRDefault="00A54C30" w:rsidP="00067955">
      <w:pPr>
        <w:pStyle w:val="naisf"/>
        <w:spacing w:before="0" w:beforeAutospacing="0" w:after="0" w:afterAutospacing="0"/>
        <w:rPr>
          <w:color w:val="000000" w:themeColor="text1"/>
          <w:lang w:val="lv-LV"/>
        </w:rPr>
      </w:pPr>
      <w:r w:rsidRPr="00176E0E">
        <w:rPr>
          <w:i/>
          <w:color w:val="000000" w:themeColor="text1"/>
          <w:lang w:val="lv-LV" w:eastAsia="lv-LV"/>
        </w:rPr>
        <w:t>Anotācijas III, IV</w:t>
      </w:r>
      <w:r>
        <w:rPr>
          <w:i/>
          <w:color w:val="000000" w:themeColor="text1"/>
          <w:lang w:val="lv-LV" w:eastAsia="lv-LV"/>
        </w:rPr>
        <w:t xml:space="preserve"> </w:t>
      </w:r>
      <w:r w:rsidR="0008333E">
        <w:rPr>
          <w:i/>
          <w:color w:val="000000" w:themeColor="text1"/>
          <w:lang w:val="lv-LV" w:eastAsia="lv-LV"/>
        </w:rPr>
        <w:t xml:space="preserve">un </w:t>
      </w:r>
      <w:r w:rsidRPr="00176E0E">
        <w:rPr>
          <w:i/>
          <w:color w:val="000000" w:themeColor="text1"/>
          <w:lang w:val="lv-LV" w:eastAsia="lv-LV"/>
        </w:rPr>
        <w:t xml:space="preserve">V sadaļa – </w:t>
      </w:r>
      <w:r w:rsidR="003D12B5">
        <w:rPr>
          <w:i/>
          <w:color w:val="000000" w:themeColor="text1"/>
          <w:lang w:val="lv-LV" w:eastAsia="lv-LV"/>
        </w:rPr>
        <w:t>Ministru kabineta noteikumi</w:t>
      </w:r>
      <w:r w:rsidRPr="00176E0E">
        <w:rPr>
          <w:i/>
          <w:color w:val="000000" w:themeColor="text1"/>
          <w:lang w:val="lv-LV" w:eastAsia="lv-LV"/>
        </w:rPr>
        <w:t xml:space="preserve"> šo jomu neskar.</w:t>
      </w:r>
    </w:p>
    <w:p w14:paraId="5456A3F1" w14:textId="77777777" w:rsidR="00067955" w:rsidRPr="00176E0E" w:rsidRDefault="00067955" w:rsidP="00067955">
      <w:pPr>
        <w:pStyle w:val="naisf"/>
        <w:spacing w:before="0" w:beforeAutospacing="0" w:after="0" w:afterAutospacing="0"/>
        <w:rPr>
          <w:color w:val="000000" w:themeColor="text1"/>
          <w:lang w:val="lv-LV"/>
        </w:rPr>
      </w:pPr>
    </w:p>
    <w:p w14:paraId="1BD9ED00" w14:textId="77777777" w:rsidR="00DA1781" w:rsidRPr="00DA1781" w:rsidRDefault="00DA1781" w:rsidP="00DA1781">
      <w:pPr>
        <w:tabs>
          <w:tab w:val="right" w:pos="8931"/>
        </w:tabs>
        <w:jc w:val="both"/>
        <w:rPr>
          <w:bCs/>
        </w:rPr>
      </w:pPr>
      <w:proofErr w:type="spellStart"/>
      <w:r w:rsidRPr="00DA1781">
        <w:rPr>
          <w:bCs/>
        </w:rPr>
        <w:t>Iesniedzējs</w:t>
      </w:r>
      <w:proofErr w:type="spellEnd"/>
      <w:r w:rsidRPr="00DA1781">
        <w:rPr>
          <w:bCs/>
        </w:rPr>
        <w:t>:</w:t>
      </w:r>
    </w:p>
    <w:p w14:paraId="1265E08F" w14:textId="77777777" w:rsidR="00DA1781" w:rsidRPr="00DA1781" w:rsidRDefault="00DA1781" w:rsidP="00DA1781">
      <w:pPr>
        <w:pStyle w:val="Apakvirsraksts"/>
        <w:tabs>
          <w:tab w:val="left" w:pos="4665"/>
          <w:tab w:val="left" w:pos="6096"/>
          <w:tab w:val="right" w:pos="8931"/>
        </w:tabs>
        <w:ind w:left="0"/>
        <w:rPr>
          <w:sz w:val="24"/>
          <w:szCs w:val="24"/>
          <w:lang w:val="lv-LV"/>
        </w:rPr>
      </w:pPr>
      <w:r w:rsidRPr="00DA1781">
        <w:rPr>
          <w:sz w:val="24"/>
          <w:szCs w:val="24"/>
          <w:lang w:val="lv-LV"/>
        </w:rPr>
        <w:t>Tieslietu ministrs</w:t>
      </w:r>
      <w:r w:rsidRPr="00DA1781">
        <w:rPr>
          <w:sz w:val="24"/>
          <w:szCs w:val="24"/>
        </w:rPr>
        <w:tab/>
      </w:r>
      <w:r w:rsidRPr="00DA1781">
        <w:rPr>
          <w:sz w:val="24"/>
          <w:szCs w:val="24"/>
        </w:rPr>
        <w:tab/>
      </w:r>
      <w:proofErr w:type="gramStart"/>
      <w:r w:rsidRPr="00DA1781">
        <w:rPr>
          <w:sz w:val="24"/>
          <w:szCs w:val="24"/>
        </w:rPr>
        <w:t xml:space="preserve">        </w:t>
      </w:r>
      <w:r w:rsidRPr="00DA1781">
        <w:rPr>
          <w:sz w:val="24"/>
          <w:szCs w:val="24"/>
          <w:lang w:val="lv-LV"/>
        </w:rPr>
        <w:t xml:space="preserve">     </w:t>
      </w:r>
      <w:proofErr w:type="gramEnd"/>
      <w:r w:rsidRPr="00DA1781">
        <w:rPr>
          <w:sz w:val="24"/>
          <w:szCs w:val="24"/>
          <w:lang w:val="lv-LV"/>
        </w:rPr>
        <w:t>Dzintars Rasnačs</w:t>
      </w:r>
    </w:p>
    <w:p w14:paraId="25434B14" w14:textId="77777777" w:rsidR="00067955" w:rsidRPr="00176E0E" w:rsidRDefault="00067955" w:rsidP="00067955">
      <w:pPr>
        <w:rPr>
          <w:color w:val="000000" w:themeColor="text1"/>
          <w:lang w:val="lv-LV"/>
        </w:rPr>
      </w:pPr>
    </w:p>
    <w:p w14:paraId="21A3F903" w14:textId="77777777" w:rsidR="00067955" w:rsidRPr="00176E0E" w:rsidRDefault="00067955" w:rsidP="00067955">
      <w:pPr>
        <w:rPr>
          <w:color w:val="000000" w:themeColor="text1"/>
          <w:lang w:val="lv-LV"/>
        </w:rPr>
      </w:pPr>
    </w:p>
    <w:p w14:paraId="2A94AB27" w14:textId="58DDDE18" w:rsidR="00067955" w:rsidRPr="0008333E" w:rsidRDefault="00760A7E" w:rsidP="00067955">
      <w:pPr>
        <w:pStyle w:val="Bezatstarpm"/>
        <w:rPr>
          <w:rFonts w:ascii="Times New Roman" w:hAnsi="Times New Roman"/>
        </w:rPr>
      </w:pPr>
      <w:r>
        <w:rPr>
          <w:rFonts w:ascii="Times New Roman" w:hAnsi="Times New Roman"/>
        </w:rPr>
        <w:t>2</w:t>
      </w:r>
      <w:r w:rsidR="00DA1781">
        <w:rPr>
          <w:rFonts w:ascii="Times New Roman" w:hAnsi="Times New Roman"/>
        </w:rPr>
        <w:t>4.05</w:t>
      </w:r>
      <w:r>
        <w:rPr>
          <w:rFonts w:ascii="Times New Roman" w:hAnsi="Times New Roman"/>
        </w:rPr>
        <w:t>.</w:t>
      </w:r>
      <w:r w:rsidR="00067955" w:rsidRPr="0008333E">
        <w:rPr>
          <w:rFonts w:ascii="Times New Roman" w:hAnsi="Times New Roman"/>
        </w:rPr>
        <w:t xml:space="preserve">2016. </w:t>
      </w:r>
      <w:r w:rsidR="00DA1781">
        <w:rPr>
          <w:rFonts w:ascii="Times New Roman" w:hAnsi="Times New Roman"/>
        </w:rPr>
        <w:t>10:30</w:t>
      </w:r>
    </w:p>
    <w:p w14:paraId="2476C073" w14:textId="173AAAF3" w:rsidR="00067955" w:rsidRPr="0008333E" w:rsidRDefault="00EB72C9" w:rsidP="00067955">
      <w:pPr>
        <w:pStyle w:val="Bezatstarpm"/>
        <w:rPr>
          <w:rFonts w:ascii="Times New Roman" w:hAnsi="Times New Roman"/>
        </w:rPr>
      </w:pPr>
      <w:r>
        <w:rPr>
          <w:rFonts w:ascii="Times New Roman" w:hAnsi="Times New Roman"/>
        </w:rPr>
        <w:t>1</w:t>
      </w:r>
      <w:r w:rsidR="00F07A7F">
        <w:rPr>
          <w:rFonts w:ascii="Times New Roman" w:hAnsi="Times New Roman"/>
        </w:rPr>
        <w:t>57</w:t>
      </w:r>
      <w:r w:rsidR="00DA1781">
        <w:rPr>
          <w:rFonts w:ascii="Times New Roman" w:hAnsi="Times New Roman"/>
        </w:rPr>
        <w:t>3</w:t>
      </w:r>
    </w:p>
    <w:p w14:paraId="7AC1C7FA" w14:textId="77777777" w:rsidR="00067955" w:rsidRPr="0008333E" w:rsidRDefault="00067955" w:rsidP="00067955">
      <w:pPr>
        <w:pStyle w:val="Bezatstarpm"/>
        <w:rPr>
          <w:rFonts w:ascii="Times New Roman" w:hAnsi="Times New Roman"/>
        </w:rPr>
      </w:pPr>
      <w:r w:rsidRPr="0008333E">
        <w:rPr>
          <w:rFonts w:ascii="Times New Roman" w:hAnsi="Times New Roman"/>
        </w:rPr>
        <w:t>I.Pelša</w:t>
      </w:r>
    </w:p>
    <w:p w14:paraId="7721B79B" w14:textId="77777777" w:rsidR="00067955" w:rsidRPr="0008333E" w:rsidRDefault="00067955" w:rsidP="00067955">
      <w:pPr>
        <w:pStyle w:val="Bezatstarpm"/>
        <w:rPr>
          <w:rFonts w:ascii="Times New Roman" w:hAnsi="Times New Roman"/>
        </w:rPr>
      </w:pPr>
      <w:r w:rsidRPr="0008333E">
        <w:rPr>
          <w:rFonts w:ascii="Times New Roman" w:hAnsi="Times New Roman"/>
        </w:rPr>
        <w:t>67036994, Ilze.Pelsa@tm.gov.lv</w:t>
      </w:r>
    </w:p>
    <w:p w14:paraId="638DA3D3" w14:textId="77777777" w:rsidR="00A1726F" w:rsidRDefault="00A1726F">
      <w:bookmarkStart w:id="5" w:name="_GoBack"/>
      <w:bookmarkEnd w:id="5"/>
    </w:p>
    <w:sectPr w:rsidR="00A1726F" w:rsidSect="00B50814">
      <w:headerReference w:type="even" r:id="rId9"/>
      <w:headerReference w:type="default" r:id="rId10"/>
      <w:footerReference w:type="default" r:id="rId11"/>
      <w:footerReference w:type="first" r:id="rId12"/>
      <w:pgSz w:w="11906" w:h="16838" w:code="9"/>
      <w:pgMar w:top="1418" w:right="1134" w:bottom="1134" w:left="1701"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F00967" w15:done="0"/>
  <w15:commentEx w15:paraId="20A59933" w15:done="0"/>
  <w15:commentEx w15:paraId="0BF2F8D8" w15:done="0"/>
  <w15:commentEx w15:paraId="03413C9B" w15:done="0"/>
  <w15:commentEx w15:paraId="78BEBA61" w15:done="0"/>
  <w15:commentEx w15:paraId="480124A9" w15:done="0"/>
  <w15:commentEx w15:paraId="3BE40CCA" w15:done="0"/>
  <w15:commentEx w15:paraId="36CB67BE" w15:done="0"/>
  <w15:commentEx w15:paraId="3457AD01" w15:done="0"/>
  <w15:commentEx w15:paraId="2294D6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3D5F8" w14:textId="77777777" w:rsidR="00730C70" w:rsidRDefault="00730C70">
      <w:r>
        <w:separator/>
      </w:r>
    </w:p>
  </w:endnote>
  <w:endnote w:type="continuationSeparator" w:id="0">
    <w:p w14:paraId="7F32379E" w14:textId="77777777" w:rsidR="00730C70" w:rsidRDefault="0073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D92F" w14:textId="64DDAE2F" w:rsidR="0091769B" w:rsidRPr="00A254BE" w:rsidRDefault="00A254BE" w:rsidP="00A254BE">
    <w:pPr>
      <w:pStyle w:val="Virsraksts3"/>
      <w:jc w:val="both"/>
      <w:rPr>
        <w:bCs/>
        <w:sz w:val="20"/>
        <w:szCs w:val="20"/>
      </w:rPr>
    </w:pPr>
    <w:r>
      <w:rPr>
        <w:sz w:val="20"/>
        <w:szCs w:val="20"/>
      </w:rPr>
      <w:t>TM</w:t>
    </w:r>
    <w:r w:rsidRPr="00F43ED9">
      <w:rPr>
        <w:sz w:val="20"/>
        <w:szCs w:val="20"/>
      </w:rPr>
      <w:t>Anot_</w:t>
    </w:r>
    <w:r w:rsidR="00DA1781">
      <w:rPr>
        <w:sz w:val="20"/>
        <w:szCs w:val="20"/>
      </w:rPr>
      <w:t>240516</w:t>
    </w:r>
    <w:r w:rsidRPr="00F43ED9">
      <w:rPr>
        <w:sz w:val="20"/>
        <w:szCs w:val="20"/>
      </w:rPr>
      <w:t>_</w:t>
    </w:r>
    <w:r w:rsidR="00A54C30">
      <w:rPr>
        <w:sz w:val="20"/>
        <w:szCs w:val="20"/>
      </w:rPr>
      <w:t>ATI</w:t>
    </w:r>
    <w:r w:rsidRPr="00F43ED9">
      <w:rPr>
        <w:sz w:val="20"/>
        <w:szCs w:val="20"/>
      </w:rPr>
      <w:t xml:space="preserve">; </w:t>
    </w:r>
    <w:r w:rsidRPr="00F43ED9">
      <w:rPr>
        <w:bCs/>
        <w:sz w:val="20"/>
        <w:szCs w:val="20"/>
      </w:rPr>
      <w:t xml:space="preserve">Ministru kabineta noteikumu projekta </w:t>
    </w:r>
    <w:r w:rsidR="00A67766" w:rsidRPr="005B6E85">
      <w:rPr>
        <w:sz w:val="20"/>
        <w:szCs w:val="20"/>
      </w:rPr>
      <w:t>“Noteikumi par atlīdzinām</w:t>
    </w:r>
    <w:r w:rsidR="00A67766" w:rsidRPr="005B6E85">
      <w:rPr>
        <w:bCs/>
        <w:sz w:val="20"/>
        <w:szCs w:val="20"/>
      </w:rPr>
      <w:t>ām</w:t>
    </w:r>
    <w:r w:rsidR="00A67766" w:rsidRPr="005B6E85">
      <w:rPr>
        <w:sz w:val="20"/>
        <w:szCs w:val="20"/>
      </w:rPr>
      <w:t xml:space="preserve"> tulka </w:t>
    </w:r>
    <w:r w:rsidR="00A67766" w:rsidRPr="005B6E85">
      <w:rPr>
        <w:bCs/>
        <w:sz w:val="20"/>
        <w:szCs w:val="20"/>
      </w:rPr>
      <w:t>izmaksām</w:t>
    </w:r>
    <w:r w:rsidR="00A67766" w:rsidRPr="005B6E85">
      <w:rPr>
        <w:sz w:val="20"/>
        <w:szCs w:val="20"/>
      </w:rPr>
      <w:t xml:space="preserve"> civilprocesā”</w:t>
    </w:r>
    <w:r w:rsidRPr="00F43ED9">
      <w:rPr>
        <w:color w:val="000000" w:themeColor="text1"/>
        <w:sz w:val="20"/>
        <w:szCs w:val="20"/>
      </w:rPr>
      <w:t xml:space="preserve"> sākotnējās ietekmes novērtējuma ziņojums</w:t>
    </w:r>
    <w:r w:rsidRPr="00F43ED9">
      <w:rPr>
        <w:bCs/>
        <w:color w:val="000000" w:themeColor="text1"/>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5F36A" w14:textId="7677D68B" w:rsidR="00F43ED9" w:rsidRPr="00F43ED9" w:rsidRDefault="00EA1883" w:rsidP="00F43ED9">
    <w:pPr>
      <w:pStyle w:val="Virsraksts3"/>
      <w:jc w:val="both"/>
      <w:rPr>
        <w:bCs/>
        <w:sz w:val="20"/>
        <w:szCs w:val="20"/>
      </w:rPr>
    </w:pPr>
    <w:r>
      <w:rPr>
        <w:sz w:val="20"/>
        <w:szCs w:val="20"/>
      </w:rPr>
      <w:t>TM</w:t>
    </w:r>
    <w:r w:rsidRPr="00F43ED9">
      <w:rPr>
        <w:sz w:val="20"/>
        <w:szCs w:val="20"/>
      </w:rPr>
      <w:t>Anot_</w:t>
    </w:r>
    <w:r w:rsidR="00DA1781">
      <w:rPr>
        <w:sz w:val="20"/>
        <w:szCs w:val="20"/>
      </w:rPr>
      <w:t>240516</w:t>
    </w:r>
    <w:r w:rsidRPr="00F43ED9">
      <w:rPr>
        <w:sz w:val="20"/>
        <w:szCs w:val="20"/>
      </w:rPr>
      <w:t>_</w:t>
    </w:r>
    <w:r w:rsidR="00A54C30">
      <w:rPr>
        <w:sz w:val="20"/>
        <w:szCs w:val="20"/>
      </w:rPr>
      <w:t>ATI</w:t>
    </w:r>
    <w:r w:rsidRPr="00F43ED9">
      <w:rPr>
        <w:sz w:val="20"/>
        <w:szCs w:val="20"/>
      </w:rPr>
      <w:t xml:space="preserve">; </w:t>
    </w:r>
    <w:r w:rsidRPr="00F43ED9">
      <w:rPr>
        <w:bCs/>
        <w:sz w:val="20"/>
        <w:szCs w:val="20"/>
      </w:rPr>
      <w:t xml:space="preserve">Ministru kabineta noteikumu projekta </w:t>
    </w:r>
    <w:r w:rsidR="00A67766" w:rsidRPr="00A67766">
      <w:rPr>
        <w:sz w:val="20"/>
        <w:szCs w:val="20"/>
      </w:rPr>
      <w:t>“Noteikumi par atlīdzinām</w:t>
    </w:r>
    <w:r w:rsidR="00A67766" w:rsidRPr="00A67766">
      <w:rPr>
        <w:bCs/>
        <w:sz w:val="20"/>
        <w:szCs w:val="20"/>
      </w:rPr>
      <w:t>ām</w:t>
    </w:r>
    <w:r w:rsidR="00A67766" w:rsidRPr="00A67766">
      <w:rPr>
        <w:sz w:val="20"/>
        <w:szCs w:val="20"/>
      </w:rPr>
      <w:t xml:space="preserve"> tulka </w:t>
    </w:r>
    <w:r w:rsidR="00A67766" w:rsidRPr="00A67766">
      <w:rPr>
        <w:bCs/>
        <w:sz w:val="20"/>
        <w:szCs w:val="20"/>
      </w:rPr>
      <w:t>izmaksām</w:t>
    </w:r>
    <w:r w:rsidR="00A67766" w:rsidRPr="00A67766">
      <w:rPr>
        <w:sz w:val="20"/>
        <w:szCs w:val="20"/>
      </w:rPr>
      <w:t xml:space="preserve"> civilprocesā”</w:t>
    </w:r>
    <w:r w:rsidRPr="00F43ED9">
      <w:rPr>
        <w:color w:val="000000" w:themeColor="text1"/>
        <w:sz w:val="20"/>
        <w:szCs w:val="20"/>
      </w:rPr>
      <w:t xml:space="preserve"> sākotnējās ietekmes novērtējuma ziņojums</w:t>
    </w:r>
    <w:r w:rsidRPr="00F43ED9">
      <w:rPr>
        <w:bCs/>
        <w:color w:val="000000" w:themeColor="text1"/>
        <w:sz w:val="20"/>
        <w:szCs w:val="20"/>
      </w:rPr>
      <w:t xml:space="preserve"> (anotācija)</w:t>
    </w:r>
  </w:p>
  <w:p w14:paraId="1EE7EDFF" w14:textId="77777777" w:rsidR="0091769B" w:rsidRPr="00FD0F9B" w:rsidRDefault="00DA1781" w:rsidP="0088195E">
    <w:pPr>
      <w:jc w:val="both"/>
      <w:rPr>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60E73" w14:textId="77777777" w:rsidR="00730C70" w:rsidRDefault="00730C70">
      <w:r>
        <w:separator/>
      </w:r>
    </w:p>
  </w:footnote>
  <w:footnote w:type="continuationSeparator" w:id="0">
    <w:p w14:paraId="1BF65514" w14:textId="77777777" w:rsidR="00730C70" w:rsidRDefault="00730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022E9" w14:textId="77777777" w:rsidR="0091769B" w:rsidRDefault="00EA188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F57FC8B" w14:textId="77777777" w:rsidR="0091769B" w:rsidRDefault="00DA178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0A7C4" w14:textId="77777777" w:rsidR="0091769B" w:rsidRDefault="00EA188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A1781">
      <w:rPr>
        <w:rStyle w:val="Lappusesnumurs"/>
        <w:noProof/>
      </w:rPr>
      <w:t>5</w:t>
    </w:r>
    <w:r>
      <w:rPr>
        <w:rStyle w:val="Lappusesnumurs"/>
      </w:rPr>
      <w:fldChar w:fldCharType="end"/>
    </w:r>
  </w:p>
  <w:p w14:paraId="04E0C82C" w14:textId="77777777" w:rsidR="0091769B" w:rsidRDefault="00DA178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52FF3"/>
    <w:multiLevelType w:val="hybridMultilevel"/>
    <w:tmpl w:val="ED00B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Stepanova">
    <w15:presenceInfo w15:providerId="Windows Live" w15:userId="d492121099107e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55"/>
    <w:rsid w:val="000207C1"/>
    <w:rsid w:val="00027427"/>
    <w:rsid w:val="00041D4B"/>
    <w:rsid w:val="00053837"/>
    <w:rsid w:val="000624C3"/>
    <w:rsid w:val="00067955"/>
    <w:rsid w:val="00081C03"/>
    <w:rsid w:val="0008333E"/>
    <w:rsid w:val="00085514"/>
    <w:rsid w:val="00091E11"/>
    <w:rsid w:val="000A2705"/>
    <w:rsid w:val="000A4F35"/>
    <w:rsid w:val="000C402E"/>
    <w:rsid w:val="000D5C4D"/>
    <w:rsid w:val="00123903"/>
    <w:rsid w:val="0013317C"/>
    <w:rsid w:val="0013455E"/>
    <w:rsid w:val="00141D8B"/>
    <w:rsid w:val="001623F1"/>
    <w:rsid w:val="001729F2"/>
    <w:rsid w:val="001806E9"/>
    <w:rsid w:val="001851DF"/>
    <w:rsid w:val="001B7CE4"/>
    <w:rsid w:val="001D72E1"/>
    <w:rsid w:val="001F3F95"/>
    <w:rsid w:val="002316A5"/>
    <w:rsid w:val="002325AF"/>
    <w:rsid w:val="00257D8F"/>
    <w:rsid w:val="00265BC2"/>
    <w:rsid w:val="00273779"/>
    <w:rsid w:val="00284836"/>
    <w:rsid w:val="002A6355"/>
    <w:rsid w:val="002B6A50"/>
    <w:rsid w:val="002C34C4"/>
    <w:rsid w:val="002D105C"/>
    <w:rsid w:val="002E25C9"/>
    <w:rsid w:val="002E44F2"/>
    <w:rsid w:val="002E6A17"/>
    <w:rsid w:val="002F03B0"/>
    <w:rsid w:val="003133A2"/>
    <w:rsid w:val="00327EDD"/>
    <w:rsid w:val="00334F1F"/>
    <w:rsid w:val="00341E3F"/>
    <w:rsid w:val="00350951"/>
    <w:rsid w:val="0039324B"/>
    <w:rsid w:val="003A06E8"/>
    <w:rsid w:val="003B2387"/>
    <w:rsid w:val="003C73AE"/>
    <w:rsid w:val="003D09AF"/>
    <w:rsid w:val="003D12B5"/>
    <w:rsid w:val="003D539A"/>
    <w:rsid w:val="003E5920"/>
    <w:rsid w:val="003E74DC"/>
    <w:rsid w:val="0040018D"/>
    <w:rsid w:val="004117BD"/>
    <w:rsid w:val="00425629"/>
    <w:rsid w:val="00425803"/>
    <w:rsid w:val="00430252"/>
    <w:rsid w:val="004460BF"/>
    <w:rsid w:val="00471A41"/>
    <w:rsid w:val="00472970"/>
    <w:rsid w:val="00492182"/>
    <w:rsid w:val="00492F78"/>
    <w:rsid w:val="004A5154"/>
    <w:rsid w:val="004B20BE"/>
    <w:rsid w:val="004B409B"/>
    <w:rsid w:val="004C4D0F"/>
    <w:rsid w:val="004C50C6"/>
    <w:rsid w:val="004E3773"/>
    <w:rsid w:val="005005EC"/>
    <w:rsid w:val="00512133"/>
    <w:rsid w:val="00513CA3"/>
    <w:rsid w:val="00515A99"/>
    <w:rsid w:val="005407B5"/>
    <w:rsid w:val="0054399A"/>
    <w:rsid w:val="00556916"/>
    <w:rsid w:val="005A04CE"/>
    <w:rsid w:val="005B2C37"/>
    <w:rsid w:val="005B654D"/>
    <w:rsid w:val="005D0C87"/>
    <w:rsid w:val="005D0EC8"/>
    <w:rsid w:val="005D14C4"/>
    <w:rsid w:val="005F1BDB"/>
    <w:rsid w:val="005F6D2C"/>
    <w:rsid w:val="00601A30"/>
    <w:rsid w:val="0060334C"/>
    <w:rsid w:val="00605CB1"/>
    <w:rsid w:val="00625F25"/>
    <w:rsid w:val="00627BC9"/>
    <w:rsid w:val="00630E9B"/>
    <w:rsid w:val="006426B9"/>
    <w:rsid w:val="00647E45"/>
    <w:rsid w:val="00670E87"/>
    <w:rsid w:val="0067317B"/>
    <w:rsid w:val="00675186"/>
    <w:rsid w:val="00694121"/>
    <w:rsid w:val="00694DCD"/>
    <w:rsid w:val="006A54F8"/>
    <w:rsid w:val="006A7CCB"/>
    <w:rsid w:val="006B4A2C"/>
    <w:rsid w:val="006C3E7F"/>
    <w:rsid w:val="006D2DB8"/>
    <w:rsid w:val="006F2CDD"/>
    <w:rsid w:val="006F4616"/>
    <w:rsid w:val="006F5427"/>
    <w:rsid w:val="00706572"/>
    <w:rsid w:val="0072258F"/>
    <w:rsid w:val="00730C70"/>
    <w:rsid w:val="007557A0"/>
    <w:rsid w:val="00760A7E"/>
    <w:rsid w:val="0076358B"/>
    <w:rsid w:val="00796A8C"/>
    <w:rsid w:val="007B46F1"/>
    <w:rsid w:val="007C1094"/>
    <w:rsid w:val="007F623C"/>
    <w:rsid w:val="007F6693"/>
    <w:rsid w:val="007F7984"/>
    <w:rsid w:val="0080525C"/>
    <w:rsid w:val="0082566C"/>
    <w:rsid w:val="00831E97"/>
    <w:rsid w:val="0084281C"/>
    <w:rsid w:val="00857E5E"/>
    <w:rsid w:val="00865F88"/>
    <w:rsid w:val="008A1630"/>
    <w:rsid w:val="008A2650"/>
    <w:rsid w:val="008B6627"/>
    <w:rsid w:val="008C5FAD"/>
    <w:rsid w:val="008D758C"/>
    <w:rsid w:val="008E5A4C"/>
    <w:rsid w:val="008F01EF"/>
    <w:rsid w:val="009176AC"/>
    <w:rsid w:val="00926773"/>
    <w:rsid w:val="0093399A"/>
    <w:rsid w:val="00945BA8"/>
    <w:rsid w:val="00983C8C"/>
    <w:rsid w:val="009A4E01"/>
    <w:rsid w:val="009B50AA"/>
    <w:rsid w:val="009B7D1F"/>
    <w:rsid w:val="009C5169"/>
    <w:rsid w:val="009D0979"/>
    <w:rsid w:val="009D4DDA"/>
    <w:rsid w:val="009E2D4D"/>
    <w:rsid w:val="009E51FC"/>
    <w:rsid w:val="009F0480"/>
    <w:rsid w:val="009F3E9F"/>
    <w:rsid w:val="00A1726F"/>
    <w:rsid w:val="00A254BE"/>
    <w:rsid w:val="00A27BAC"/>
    <w:rsid w:val="00A45D28"/>
    <w:rsid w:val="00A505B7"/>
    <w:rsid w:val="00A523CD"/>
    <w:rsid w:val="00A54C30"/>
    <w:rsid w:val="00A62916"/>
    <w:rsid w:val="00A65248"/>
    <w:rsid w:val="00A67766"/>
    <w:rsid w:val="00A71490"/>
    <w:rsid w:val="00A7269F"/>
    <w:rsid w:val="00A9311F"/>
    <w:rsid w:val="00AA35D2"/>
    <w:rsid w:val="00AA483B"/>
    <w:rsid w:val="00AB1B41"/>
    <w:rsid w:val="00AB2C9B"/>
    <w:rsid w:val="00AB5159"/>
    <w:rsid w:val="00AE0C66"/>
    <w:rsid w:val="00AE5617"/>
    <w:rsid w:val="00AF7898"/>
    <w:rsid w:val="00B015C8"/>
    <w:rsid w:val="00B05F16"/>
    <w:rsid w:val="00B22D04"/>
    <w:rsid w:val="00B4051A"/>
    <w:rsid w:val="00B428FE"/>
    <w:rsid w:val="00B50814"/>
    <w:rsid w:val="00B755F3"/>
    <w:rsid w:val="00B905B9"/>
    <w:rsid w:val="00BA4A06"/>
    <w:rsid w:val="00BB206F"/>
    <w:rsid w:val="00BC0F26"/>
    <w:rsid w:val="00C06693"/>
    <w:rsid w:val="00C30712"/>
    <w:rsid w:val="00C34902"/>
    <w:rsid w:val="00C45186"/>
    <w:rsid w:val="00C477B9"/>
    <w:rsid w:val="00C5094D"/>
    <w:rsid w:val="00C64B58"/>
    <w:rsid w:val="00C77D19"/>
    <w:rsid w:val="00CA3791"/>
    <w:rsid w:val="00CA401C"/>
    <w:rsid w:val="00CA6A96"/>
    <w:rsid w:val="00CB7AC0"/>
    <w:rsid w:val="00CC47CB"/>
    <w:rsid w:val="00CE6F40"/>
    <w:rsid w:val="00D12AB4"/>
    <w:rsid w:val="00D37CA2"/>
    <w:rsid w:val="00D415CD"/>
    <w:rsid w:val="00D65101"/>
    <w:rsid w:val="00DA1781"/>
    <w:rsid w:val="00DB6AF3"/>
    <w:rsid w:val="00DC1048"/>
    <w:rsid w:val="00DC2054"/>
    <w:rsid w:val="00DD1816"/>
    <w:rsid w:val="00DD1B14"/>
    <w:rsid w:val="00DD7F27"/>
    <w:rsid w:val="00DF1DDB"/>
    <w:rsid w:val="00E36012"/>
    <w:rsid w:val="00E75890"/>
    <w:rsid w:val="00EA1883"/>
    <w:rsid w:val="00EB6238"/>
    <w:rsid w:val="00EB72C9"/>
    <w:rsid w:val="00EB7700"/>
    <w:rsid w:val="00ED42DA"/>
    <w:rsid w:val="00EE7076"/>
    <w:rsid w:val="00EF6F0A"/>
    <w:rsid w:val="00F07A7F"/>
    <w:rsid w:val="00F452B5"/>
    <w:rsid w:val="00F45D35"/>
    <w:rsid w:val="00F52E9B"/>
    <w:rsid w:val="00F54EB7"/>
    <w:rsid w:val="00F61248"/>
    <w:rsid w:val="00F77D75"/>
    <w:rsid w:val="00F807AF"/>
    <w:rsid w:val="00FB5C31"/>
    <w:rsid w:val="00FC2D6C"/>
    <w:rsid w:val="00FC73E2"/>
    <w:rsid w:val="00FE30D5"/>
    <w:rsid w:val="00FF6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795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067955"/>
    <w:pPr>
      <w:keepNext/>
      <w:jc w:val="center"/>
      <w:outlineLvl w:val="0"/>
    </w:pPr>
    <w:rPr>
      <w:b/>
      <w:bCs/>
      <w:sz w:val="28"/>
      <w:lang w:val="lv-LV"/>
    </w:rPr>
  </w:style>
  <w:style w:type="paragraph" w:styleId="Virsraksts3">
    <w:name w:val="heading 3"/>
    <w:basedOn w:val="Parasts"/>
    <w:next w:val="Parasts"/>
    <w:link w:val="Virsraksts3Rakstz"/>
    <w:qFormat/>
    <w:rsid w:val="00067955"/>
    <w:pPr>
      <w:keepNext/>
      <w:jc w:val="center"/>
      <w:outlineLvl w:val="2"/>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67955"/>
    <w:rPr>
      <w:rFonts w:ascii="Times New Roman" w:eastAsia="Times New Roman" w:hAnsi="Times New Roman" w:cs="Times New Roman"/>
      <w:b/>
      <w:bCs/>
      <w:sz w:val="28"/>
      <w:szCs w:val="24"/>
    </w:rPr>
  </w:style>
  <w:style w:type="character" w:customStyle="1" w:styleId="Virsraksts3Rakstz">
    <w:name w:val="Virsraksts 3 Rakstz."/>
    <w:basedOn w:val="Noklusjumarindkopasfonts"/>
    <w:link w:val="Virsraksts3"/>
    <w:rsid w:val="00067955"/>
    <w:rPr>
      <w:rFonts w:ascii="Times New Roman" w:eastAsia="Times New Roman" w:hAnsi="Times New Roman" w:cs="Times New Roman"/>
      <w:sz w:val="28"/>
      <w:szCs w:val="24"/>
    </w:rPr>
  </w:style>
  <w:style w:type="paragraph" w:customStyle="1" w:styleId="naisc">
    <w:name w:val="naisc"/>
    <w:basedOn w:val="Parasts"/>
    <w:rsid w:val="00067955"/>
    <w:pPr>
      <w:spacing w:before="100" w:beforeAutospacing="1" w:after="100" w:afterAutospacing="1"/>
      <w:jc w:val="center"/>
    </w:pPr>
    <w:rPr>
      <w:rFonts w:eastAsia="Arial Unicode MS"/>
      <w:sz w:val="26"/>
      <w:szCs w:val="26"/>
    </w:rPr>
  </w:style>
  <w:style w:type="paragraph" w:customStyle="1" w:styleId="naisf">
    <w:name w:val="naisf"/>
    <w:basedOn w:val="Parasts"/>
    <w:rsid w:val="00067955"/>
    <w:pPr>
      <w:spacing w:before="100" w:beforeAutospacing="1" w:after="100" w:afterAutospacing="1"/>
      <w:jc w:val="both"/>
    </w:pPr>
    <w:rPr>
      <w:rFonts w:eastAsia="Arial Unicode MS"/>
    </w:rPr>
  </w:style>
  <w:style w:type="paragraph" w:styleId="Paraststmeklis">
    <w:name w:val="Normal (Web)"/>
    <w:basedOn w:val="Parasts"/>
    <w:rsid w:val="00067955"/>
    <w:pPr>
      <w:spacing w:before="100" w:beforeAutospacing="1" w:after="100" w:afterAutospacing="1"/>
    </w:pPr>
    <w:rPr>
      <w:rFonts w:eastAsia="Arial Unicode MS"/>
    </w:rPr>
  </w:style>
  <w:style w:type="paragraph" w:styleId="Kjene">
    <w:name w:val="footer"/>
    <w:basedOn w:val="Parasts"/>
    <w:link w:val="KjeneRakstz"/>
    <w:rsid w:val="00067955"/>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rsid w:val="00067955"/>
    <w:rPr>
      <w:rFonts w:ascii="RimTimes" w:eastAsia="Times New Roman" w:hAnsi="RimTimes" w:cs="Times New Roman"/>
      <w:sz w:val="28"/>
      <w:szCs w:val="20"/>
    </w:rPr>
  </w:style>
  <w:style w:type="character" w:styleId="Komentraatsauce">
    <w:name w:val="annotation reference"/>
    <w:basedOn w:val="Noklusjumarindkopasfonts"/>
    <w:semiHidden/>
    <w:rsid w:val="00067955"/>
    <w:rPr>
      <w:sz w:val="16"/>
      <w:szCs w:val="16"/>
    </w:rPr>
  </w:style>
  <w:style w:type="paragraph" w:styleId="Galvene">
    <w:name w:val="header"/>
    <w:basedOn w:val="Parasts"/>
    <w:link w:val="GalveneRakstz"/>
    <w:rsid w:val="00067955"/>
    <w:pPr>
      <w:tabs>
        <w:tab w:val="center" w:pos="4153"/>
        <w:tab w:val="right" w:pos="8306"/>
      </w:tabs>
    </w:pPr>
  </w:style>
  <w:style w:type="character" w:customStyle="1" w:styleId="GalveneRakstz">
    <w:name w:val="Galvene Rakstz."/>
    <w:basedOn w:val="Noklusjumarindkopasfonts"/>
    <w:link w:val="Galvene"/>
    <w:rsid w:val="00067955"/>
    <w:rPr>
      <w:rFonts w:ascii="Times New Roman" w:eastAsia="Times New Roman" w:hAnsi="Times New Roman" w:cs="Times New Roman"/>
      <w:sz w:val="24"/>
      <w:szCs w:val="24"/>
      <w:lang w:val="en-GB"/>
    </w:rPr>
  </w:style>
  <w:style w:type="character" w:styleId="Lappusesnumurs">
    <w:name w:val="page number"/>
    <w:basedOn w:val="Noklusjumarindkopasfonts"/>
    <w:rsid w:val="00067955"/>
  </w:style>
  <w:style w:type="paragraph" w:styleId="Komentrateksts">
    <w:name w:val="annotation text"/>
    <w:basedOn w:val="Parasts"/>
    <w:link w:val="KomentratekstsRakstz"/>
    <w:uiPriority w:val="99"/>
    <w:rsid w:val="00067955"/>
    <w:rPr>
      <w:sz w:val="20"/>
      <w:szCs w:val="20"/>
    </w:rPr>
  </w:style>
  <w:style w:type="character" w:customStyle="1" w:styleId="KomentratekstsRakstz">
    <w:name w:val="Komentāra teksts Rakstz."/>
    <w:basedOn w:val="Noklusjumarindkopasfonts"/>
    <w:link w:val="Komentrateksts"/>
    <w:uiPriority w:val="99"/>
    <w:rsid w:val="00067955"/>
    <w:rPr>
      <w:rFonts w:ascii="Times New Roman" w:eastAsia="Times New Roman" w:hAnsi="Times New Roman" w:cs="Times New Roman"/>
      <w:sz w:val="20"/>
      <w:szCs w:val="20"/>
      <w:lang w:val="en-GB"/>
    </w:rPr>
  </w:style>
  <w:style w:type="paragraph" w:customStyle="1" w:styleId="naiskr">
    <w:name w:val="naiskr"/>
    <w:basedOn w:val="Parasts"/>
    <w:rsid w:val="00067955"/>
    <w:pPr>
      <w:spacing w:before="100" w:beforeAutospacing="1" w:after="100" w:afterAutospacing="1"/>
    </w:pPr>
    <w:rPr>
      <w:lang w:val="lv-LV" w:eastAsia="lv-LV"/>
    </w:rPr>
  </w:style>
  <w:style w:type="paragraph" w:styleId="Bezatstarpm">
    <w:name w:val="No Spacing"/>
    <w:uiPriority w:val="1"/>
    <w:qFormat/>
    <w:rsid w:val="00067955"/>
    <w:pPr>
      <w:spacing w:after="0" w:line="240" w:lineRule="auto"/>
    </w:pPr>
    <w:rPr>
      <w:rFonts w:ascii="Calibri" w:eastAsia="Calibri" w:hAnsi="Calibri" w:cs="Times New Roman"/>
    </w:rPr>
  </w:style>
  <w:style w:type="paragraph" w:customStyle="1" w:styleId="naisnod">
    <w:name w:val="naisnod"/>
    <w:basedOn w:val="Parasts"/>
    <w:rsid w:val="00067955"/>
    <w:pPr>
      <w:spacing w:before="150" w:after="150"/>
      <w:jc w:val="center"/>
    </w:pPr>
    <w:rPr>
      <w:b/>
      <w:bCs/>
      <w:lang w:val="lv-LV" w:eastAsia="lv-LV"/>
    </w:rPr>
  </w:style>
  <w:style w:type="paragraph" w:styleId="Balonteksts">
    <w:name w:val="Balloon Text"/>
    <w:basedOn w:val="Parasts"/>
    <w:link w:val="BalontekstsRakstz"/>
    <w:uiPriority w:val="99"/>
    <w:semiHidden/>
    <w:unhideWhenUsed/>
    <w:rsid w:val="0006795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7955"/>
    <w:rPr>
      <w:rFonts w:ascii="Tahoma" w:eastAsia="Times New Roman" w:hAnsi="Tahoma" w:cs="Tahoma"/>
      <w:sz w:val="16"/>
      <w:szCs w:val="16"/>
      <w:lang w:val="en-GB"/>
    </w:rPr>
  </w:style>
  <w:style w:type="paragraph" w:styleId="Komentratma">
    <w:name w:val="annotation subject"/>
    <w:basedOn w:val="Komentrateksts"/>
    <w:next w:val="Komentrateksts"/>
    <w:link w:val="KomentratmaRakstz"/>
    <w:uiPriority w:val="99"/>
    <w:semiHidden/>
    <w:unhideWhenUsed/>
    <w:rsid w:val="00A54C30"/>
    <w:rPr>
      <w:b/>
      <w:bCs/>
    </w:rPr>
  </w:style>
  <w:style w:type="character" w:customStyle="1" w:styleId="KomentratmaRakstz">
    <w:name w:val="Komentāra tēma Rakstz."/>
    <w:basedOn w:val="KomentratekstsRakstz"/>
    <w:link w:val="Komentratma"/>
    <w:uiPriority w:val="99"/>
    <w:semiHidden/>
    <w:rsid w:val="00A54C30"/>
    <w:rPr>
      <w:rFonts w:ascii="Times New Roman" w:eastAsia="Times New Roman" w:hAnsi="Times New Roman" w:cs="Times New Roman"/>
      <w:b/>
      <w:bCs/>
      <w:sz w:val="20"/>
      <w:szCs w:val="20"/>
      <w:lang w:val="en-GB"/>
    </w:rPr>
  </w:style>
  <w:style w:type="paragraph" w:styleId="Prskatjums">
    <w:name w:val="Revision"/>
    <w:hidden/>
    <w:uiPriority w:val="99"/>
    <w:semiHidden/>
    <w:rsid w:val="00675186"/>
    <w:pPr>
      <w:spacing w:after="0" w:line="240" w:lineRule="auto"/>
    </w:pPr>
    <w:rPr>
      <w:rFonts w:ascii="Times New Roman" w:eastAsia="Times New Roman" w:hAnsi="Times New Roman" w:cs="Times New Roman"/>
      <w:sz w:val="24"/>
      <w:szCs w:val="24"/>
      <w:lang w:val="en-GB"/>
    </w:rPr>
  </w:style>
  <w:style w:type="paragraph" w:styleId="Apakvirsraksts">
    <w:name w:val="Subtitle"/>
    <w:basedOn w:val="Parasts"/>
    <w:link w:val="ApakvirsrakstsRakstz"/>
    <w:qFormat/>
    <w:rsid w:val="00DA1781"/>
    <w:pPr>
      <w:ind w:left="851"/>
      <w:jc w:val="both"/>
    </w:pPr>
    <w:rPr>
      <w:sz w:val="28"/>
      <w:szCs w:val="20"/>
      <w:lang w:val="x-none" w:eastAsia="lv-LV"/>
    </w:rPr>
  </w:style>
  <w:style w:type="character" w:customStyle="1" w:styleId="ApakvirsrakstsRakstz">
    <w:name w:val="Apakšvirsraksts Rakstz."/>
    <w:basedOn w:val="Noklusjumarindkopasfonts"/>
    <w:link w:val="Apakvirsraksts"/>
    <w:rsid w:val="00DA1781"/>
    <w:rPr>
      <w:rFonts w:ascii="Times New Roman" w:eastAsia="Times New Roman" w:hAnsi="Times New Roman" w:cs="Times New Roman"/>
      <w:sz w:val="28"/>
      <w:szCs w:val="20"/>
      <w:lang w:val="x-none"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795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067955"/>
    <w:pPr>
      <w:keepNext/>
      <w:jc w:val="center"/>
      <w:outlineLvl w:val="0"/>
    </w:pPr>
    <w:rPr>
      <w:b/>
      <w:bCs/>
      <w:sz w:val="28"/>
      <w:lang w:val="lv-LV"/>
    </w:rPr>
  </w:style>
  <w:style w:type="paragraph" w:styleId="Virsraksts3">
    <w:name w:val="heading 3"/>
    <w:basedOn w:val="Parasts"/>
    <w:next w:val="Parasts"/>
    <w:link w:val="Virsraksts3Rakstz"/>
    <w:qFormat/>
    <w:rsid w:val="00067955"/>
    <w:pPr>
      <w:keepNext/>
      <w:jc w:val="center"/>
      <w:outlineLvl w:val="2"/>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67955"/>
    <w:rPr>
      <w:rFonts w:ascii="Times New Roman" w:eastAsia="Times New Roman" w:hAnsi="Times New Roman" w:cs="Times New Roman"/>
      <w:b/>
      <w:bCs/>
      <w:sz w:val="28"/>
      <w:szCs w:val="24"/>
    </w:rPr>
  </w:style>
  <w:style w:type="character" w:customStyle="1" w:styleId="Virsraksts3Rakstz">
    <w:name w:val="Virsraksts 3 Rakstz."/>
    <w:basedOn w:val="Noklusjumarindkopasfonts"/>
    <w:link w:val="Virsraksts3"/>
    <w:rsid w:val="00067955"/>
    <w:rPr>
      <w:rFonts w:ascii="Times New Roman" w:eastAsia="Times New Roman" w:hAnsi="Times New Roman" w:cs="Times New Roman"/>
      <w:sz w:val="28"/>
      <w:szCs w:val="24"/>
    </w:rPr>
  </w:style>
  <w:style w:type="paragraph" w:customStyle="1" w:styleId="naisc">
    <w:name w:val="naisc"/>
    <w:basedOn w:val="Parasts"/>
    <w:rsid w:val="00067955"/>
    <w:pPr>
      <w:spacing w:before="100" w:beforeAutospacing="1" w:after="100" w:afterAutospacing="1"/>
      <w:jc w:val="center"/>
    </w:pPr>
    <w:rPr>
      <w:rFonts w:eastAsia="Arial Unicode MS"/>
      <w:sz w:val="26"/>
      <w:szCs w:val="26"/>
    </w:rPr>
  </w:style>
  <w:style w:type="paragraph" w:customStyle="1" w:styleId="naisf">
    <w:name w:val="naisf"/>
    <w:basedOn w:val="Parasts"/>
    <w:rsid w:val="00067955"/>
    <w:pPr>
      <w:spacing w:before="100" w:beforeAutospacing="1" w:after="100" w:afterAutospacing="1"/>
      <w:jc w:val="both"/>
    </w:pPr>
    <w:rPr>
      <w:rFonts w:eastAsia="Arial Unicode MS"/>
    </w:rPr>
  </w:style>
  <w:style w:type="paragraph" w:styleId="Paraststmeklis">
    <w:name w:val="Normal (Web)"/>
    <w:basedOn w:val="Parasts"/>
    <w:rsid w:val="00067955"/>
    <w:pPr>
      <w:spacing w:before="100" w:beforeAutospacing="1" w:after="100" w:afterAutospacing="1"/>
    </w:pPr>
    <w:rPr>
      <w:rFonts w:eastAsia="Arial Unicode MS"/>
    </w:rPr>
  </w:style>
  <w:style w:type="paragraph" w:styleId="Kjene">
    <w:name w:val="footer"/>
    <w:basedOn w:val="Parasts"/>
    <w:link w:val="KjeneRakstz"/>
    <w:rsid w:val="00067955"/>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rsid w:val="00067955"/>
    <w:rPr>
      <w:rFonts w:ascii="RimTimes" w:eastAsia="Times New Roman" w:hAnsi="RimTimes" w:cs="Times New Roman"/>
      <w:sz w:val="28"/>
      <w:szCs w:val="20"/>
    </w:rPr>
  </w:style>
  <w:style w:type="character" w:styleId="Komentraatsauce">
    <w:name w:val="annotation reference"/>
    <w:basedOn w:val="Noklusjumarindkopasfonts"/>
    <w:semiHidden/>
    <w:rsid w:val="00067955"/>
    <w:rPr>
      <w:sz w:val="16"/>
      <w:szCs w:val="16"/>
    </w:rPr>
  </w:style>
  <w:style w:type="paragraph" w:styleId="Galvene">
    <w:name w:val="header"/>
    <w:basedOn w:val="Parasts"/>
    <w:link w:val="GalveneRakstz"/>
    <w:rsid w:val="00067955"/>
    <w:pPr>
      <w:tabs>
        <w:tab w:val="center" w:pos="4153"/>
        <w:tab w:val="right" w:pos="8306"/>
      </w:tabs>
    </w:pPr>
  </w:style>
  <w:style w:type="character" w:customStyle="1" w:styleId="GalveneRakstz">
    <w:name w:val="Galvene Rakstz."/>
    <w:basedOn w:val="Noklusjumarindkopasfonts"/>
    <w:link w:val="Galvene"/>
    <w:rsid w:val="00067955"/>
    <w:rPr>
      <w:rFonts w:ascii="Times New Roman" w:eastAsia="Times New Roman" w:hAnsi="Times New Roman" w:cs="Times New Roman"/>
      <w:sz w:val="24"/>
      <w:szCs w:val="24"/>
      <w:lang w:val="en-GB"/>
    </w:rPr>
  </w:style>
  <w:style w:type="character" w:styleId="Lappusesnumurs">
    <w:name w:val="page number"/>
    <w:basedOn w:val="Noklusjumarindkopasfonts"/>
    <w:rsid w:val="00067955"/>
  </w:style>
  <w:style w:type="paragraph" w:styleId="Komentrateksts">
    <w:name w:val="annotation text"/>
    <w:basedOn w:val="Parasts"/>
    <w:link w:val="KomentratekstsRakstz"/>
    <w:uiPriority w:val="99"/>
    <w:rsid w:val="00067955"/>
    <w:rPr>
      <w:sz w:val="20"/>
      <w:szCs w:val="20"/>
    </w:rPr>
  </w:style>
  <w:style w:type="character" w:customStyle="1" w:styleId="KomentratekstsRakstz">
    <w:name w:val="Komentāra teksts Rakstz."/>
    <w:basedOn w:val="Noklusjumarindkopasfonts"/>
    <w:link w:val="Komentrateksts"/>
    <w:uiPriority w:val="99"/>
    <w:rsid w:val="00067955"/>
    <w:rPr>
      <w:rFonts w:ascii="Times New Roman" w:eastAsia="Times New Roman" w:hAnsi="Times New Roman" w:cs="Times New Roman"/>
      <w:sz w:val="20"/>
      <w:szCs w:val="20"/>
      <w:lang w:val="en-GB"/>
    </w:rPr>
  </w:style>
  <w:style w:type="paragraph" w:customStyle="1" w:styleId="naiskr">
    <w:name w:val="naiskr"/>
    <w:basedOn w:val="Parasts"/>
    <w:rsid w:val="00067955"/>
    <w:pPr>
      <w:spacing w:before="100" w:beforeAutospacing="1" w:after="100" w:afterAutospacing="1"/>
    </w:pPr>
    <w:rPr>
      <w:lang w:val="lv-LV" w:eastAsia="lv-LV"/>
    </w:rPr>
  </w:style>
  <w:style w:type="paragraph" w:styleId="Bezatstarpm">
    <w:name w:val="No Spacing"/>
    <w:uiPriority w:val="1"/>
    <w:qFormat/>
    <w:rsid w:val="00067955"/>
    <w:pPr>
      <w:spacing w:after="0" w:line="240" w:lineRule="auto"/>
    </w:pPr>
    <w:rPr>
      <w:rFonts w:ascii="Calibri" w:eastAsia="Calibri" w:hAnsi="Calibri" w:cs="Times New Roman"/>
    </w:rPr>
  </w:style>
  <w:style w:type="paragraph" w:customStyle="1" w:styleId="naisnod">
    <w:name w:val="naisnod"/>
    <w:basedOn w:val="Parasts"/>
    <w:rsid w:val="00067955"/>
    <w:pPr>
      <w:spacing w:before="150" w:after="150"/>
      <w:jc w:val="center"/>
    </w:pPr>
    <w:rPr>
      <w:b/>
      <w:bCs/>
      <w:lang w:val="lv-LV" w:eastAsia="lv-LV"/>
    </w:rPr>
  </w:style>
  <w:style w:type="paragraph" w:styleId="Balonteksts">
    <w:name w:val="Balloon Text"/>
    <w:basedOn w:val="Parasts"/>
    <w:link w:val="BalontekstsRakstz"/>
    <w:uiPriority w:val="99"/>
    <w:semiHidden/>
    <w:unhideWhenUsed/>
    <w:rsid w:val="0006795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7955"/>
    <w:rPr>
      <w:rFonts w:ascii="Tahoma" w:eastAsia="Times New Roman" w:hAnsi="Tahoma" w:cs="Tahoma"/>
      <w:sz w:val="16"/>
      <w:szCs w:val="16"/>
      <w:lang w:val="en-GB"/>
    </w:rPr>
  </w:style>
  <w:style w:type="paragraph" w:styleId="Komentratma">
    <w:name w:val="annotation subject"/>
    <w:basedOn w:val="Komentrateksts"/>
    <w:next w:val="Komentrateksts"/>
    <w:link w:val="KomentratmaRakstz"/>
    <w:uiPriority w:val="99"/>
    <w:semiHidden/>
    <w:unhideWhenUsed/>
    <w:rsid w:val="00A54C30"/>
    <w:rPr>
      <w:b/>
      <w:bCs/>
    </w:rPr>
  </w:style>
  <w:style w:type="character" w:customStyle="1" w:styleId="KomentratmaRakstz">
    <w:name w:val="Komentāra tēma Rakstz."/>
    <w:basedOn w:val="KomentratekstsRakstz"/>
    <w:link w:val="Komentratma"/>
    <w:uiPriority w:val="99"/>
    <w:semiHidden/>
    <w:rsid w:val="00A54C30"/>
    <w:rPr>
      <w:rFonts w:ascii="Times New Roman" w:eastAsia="Times New Roman" w:hAnsi="Times New Roman" w:cs="Times New Roman"/>
      <w:b/>
      <w:bCs/>
      <w:sz w:val="20"/>
      <w:szCs w:val="20"/>
      <w:lang w:val="en-GB"/>
    </w:rPr>
  </w:style>
  <w:style w:type="paragraph" w:styleId="Prskatjums">
    <w:name w:val="Revision"/>
    <w:hidden/>
    <w:uiPriority w:val="99"/>
    <w:semiHidden/>
    <w:rsid w:val="00675186"/>
    <w:pPr>
      <w:spacing w:after="0" w:line="240" w:lineRule="auto"/>
    </w:pPr>
    <w:rPr>
      <w:rFonts w:ascii="Times New Roman" w:eastAsia="Times New Roman" w:hAnsi="Times New Roman" w:cs="Times New Roman"/>
      <w:sz w:val="24"/>
      <w:szCs w:val="24"/>
      <w:lang w:val="en-GB"/>
    </w:rPr>
  </w:style>
  <w:style w:type="paragraph" w:styleId="Apakvirsraksts">
    <w:name w:val="Subtitle"/>
    <w:basedOn w:val="Parasts"/>
    <w:link w:val="ApakvirsrakstsRakstz"/>
    <w:qFormat/>
    <w:rsid w:val="00DA1781"/>
    <w:pPr>
      <w:ind w:left="851"/>
      <w:jc w:val="both"/>
    </w:pPr>
    <w:rPr>
      <w:sz w:val="28"/>
      <w:szCs w:val="20"/>
      <w:lang w:val="x-none" w:eastAsia="lv-LV"/>
    </w:rPr>
  </w:style>
  <w:style w:type="character" w:customStyle="1" w:styleId="ApakvirsrakstsRakstz">
    <w:name w:val="Apakšvirsraksts Rakstz."/>
    <w:basedOn w:val="Noklusjumarindkopasfonts"/>
    <w:link w:val="Apakvirsraksts"/>
    <w:rsid w:val="00DA1781"/>
    <w:rPr>
      <w:rFonts w:ascii="Times New Roman" w:eastAsia="Times New Roman" w:hAnsi="Times New Roman" w:cs="Times New Roman"/>
      <w:sz w:val="28"/>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8411-36CE-4C98-9577-1223A56C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8059</Words>
  <Characters>4595</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atlīdzināmiem tulka izdevumiem civilprocesā” sākotnējās ietekmes novērtējuma ziņojums (anotācija)</vt:lpstr>
      <vt:lpstr>Ministru kabineta noteikumu projekta “Noteikumi par atlīdzināmiem tulka izdevumiem civilprocesā” sākotnējās ietekmes novērtējuma ziņojums (anotācija)</vt:lpstr>
    </vt:vector>
  </TitlesOfParts>
  <Company>Tieslietu Sektors</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atlīdzināmiem tulka izdevumiem civilprocesā” sākotnējās ietekmes novērtējuma ziņojums (anotācija)</dc:title>
  <dc:subject>Anotācija</dc:subject>
  <dc:creator>Ilze Pelsa</dc:creator>
  <dc:description>67036994, Ilze.Pelsa@tm.gov.lv</dc:description>
  <cp:lastModifiedBy>Ilze Pelsa</cp:lastModifiedBy>
  <cp:revision>12</cp:revision>
  <cp:lastPrinted>2016-04-29T10:50:00Z</cp:lastPrinted>
  <dcterms:created xsi:type="dcterms:W3CDTF">2016-04-29T10:11:00Z</dcterms:created>
  <dcterms:modified xsi:type="dcterms:W3CDTF">2016-05-24T07:05:00Z</dcterms:modified>
</cp:coreProperties>
</file>