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2F" w:rsidRPr="005A261B" w:rsidRDefault="0083522F" w:rsidP="00B33436">
      <w:pPr>
        <w:spacing w:after="0" w:line="240" w:lineRule="auto"/>
        <w:rPr>
          <w:rFonts w:ascii="Times New Roman" w:hAnsi="Times New Roman"/>
          <w:i/>
          <w:sz w:val="24"/>
          <w:szCs w:val="24"/>
        </w:rPr>
      </w:pPr>
    </w:p>
    <w:p w:rsidR="0083522F" w:rsidRPr="004C4D48" w:rsidRDefault="0083522F" w:rsidP="0083522F">
      <w:pPr>
        <w:spacing w:after="0" w:line="240" w:lineRule="auto"/>
        <w:jc w:val="center"/>
        <w:rPr>
          <w:rFonts w:ascii="Times New Roman" w:hAnsi="Times New Roman"/>
          <w:b/>
          <w:sz w:val="26"/>
          <w:szCs w:val="26"/>
        </w:rPr>
      </w:pPr>
      <w:r w:rsidRPr="004C4D48">
        <w:rPr>
          <w:rFonts w:ascii="Times New Roman" w:hAnsi="Times New Roman"/>
          <w:b/>
          <w:sz w:val="26"/>
          <w:szCs w:val="26"/>
        </w:rPr>
        <w:t xml:space="preserve">Informatīvais </w:t>
      </w:r>
      <w:smartTag w:uri="schemas-tilde-lv/tildestengine" w:element="veidnes">
        <w:smartTagPr>
          <w:attr w:name="text" w:val="ziņojums"/>
          <w:attr w:name="baseform" w:val="ziņojums"/>
          <w:attr w:name="id" w:val="-1"/>
        </w:smartTagPr>
        <w:r w:rsidRPr="004C4D48">
          <w:rPr>
            <w:rFonts w:ascii="Times New Roman" w:hAnsi="Times New Roman"/>
            <w:b/>
            <w:sz w:val="26"/>
            <w:szCs w:val="26"/>
          </w:rPr>
          <w:t>ziņojums</w:t>
        </w:r>
      </w:smartTag>
      <w:r w:rsidRPr="004C4D48">
        <w:rPr>
          <w:rFonts w:ascii="Times New Roman" w:hAnsi="Times New Roman"/>
          <w:b/>
          <w:sz w:val="26"/>
          <w:szCs w:val="26"/>
        </w:rPr>
        <w:t xml:space="preserve"> </w:t>
      </w:r>
    </w:p>
    <w:p w:rsidR="0083522F" w:rsidRPr="004C4D48" w:rsidRDefault="0083522F" w:rsidP="004C4D48">
      <w:pPr>
        <w:spacing w:after="0" w:line="240" w:lineRule="auto"/>
        <w:jc w:val="center"/>
        <w:rPr>
          <w:rFonts w:ascii="Times New Roman" w:hAnsi="Times New Roman"/>
          <w:b/>
          <w:sz w:val="26"/>
          <w:szCs w:val="26"/>
        </w:rPr>
      </w:pPr>
      <w:r w:rsidRPr="004C4D48">
        <w:rPr>
          <w:rFonts w:ascii="Times New Roman" w:hAnsi="Times New Roman"/>
          <w:b/>
          <w:sz w:val="26"/>
          <w:szCs w:val="26"/>
        </w:rPr>
        <w:t>par Ministru kabineta 2014. gada 17. jūnija sēdes p</w:t>
      </w:r>
      <w:r w:rsidR="002744C7" w:rsidRPr="004C4D48">
        <w:rPr>
          <w:rFonts w:ascii="Times New Roman" w:hAnsi="Times New Roman"/>
          <w:b/>
          <w:sz w:val="26"/>
          <w:szCs w:val="26"/>
        </w:rPr>
        <w:t>rotokol</w:t>
      </w:r>
      <w:r w:rsidR="000072B5" w:rsidRPr="004C4D48">
        <w:rPr>
          <w:rFonts w:ascii="Times New Roman" w:hAnsi="Times New Roman"/>
          <w:b/>
          <w:sz w:val="26"/>
          <w:szCs w:val="26"/>
        </w:rPr>
        <w:t>lēmuma</w:t>
      </w:r>
      <w:r w:rsidR="002744C7" w:rsidRPr="004C4D48">
        <w:rPr>
          <w:rFonts w:ascii="Times New Roman" w:hAnsi="Times New Roman"/>
          <w:b/>
          <w:sz w:val="26"/>
          <w:szCs w:val="26"/>
        </w:rPr>
        <w:t xml:space="preserve">  (prot. Nr. 33 92. §)</w:t>
      </w:r>
      <w:r w:rsidR="004C4D48">
        <w:rPr>
          <w:rFonts w:ascii="Times New Roman" w:hAnsi="Times New Roman"/>
          <w:b/>
          <w:sz w:val="26"/>
          <w:szCs w:val="26"/>
        </w:rPr>
        <w:t xml:space="preserve"> </w:t>
      </w:r>
      <w:r w:rsidR="000072B5" w:rsidRPr="004C4D48">
        <w:rPr>
          <w:rFonts w:ascii="Times New Roman" w:hAnsi="Times New Roman"/>
          <w:b/>
          <w:sz w:val="26"/>
          <w:szCs w:val="26"/>
        </w:rPr>
        <w:t xml:space="preserve">„Informatīvais ziņojums „Par gadījumiem, kad konstatēti pārkāpumi sūdzību par iespējamu vardarbību, ko izdarījušas valsts amatpersonas, pildot dienesta pienākumus, efektīvā izmeklēšanā”” </w:t>
      </w:r>
      <w:r w:rsidR="004D16A2" w:rsidRPr="004C4D48">
        <w:rPr>
          <w:rFonts w:ascii="Times New Roman" w:hAnsi="Times New Roman"/>
          <w:b/>
          <w:sz w:val="26"/>
          <w:szCs w:val="26"/>
        </w:rPr>
        <w:t xml:space="preserve">4., </w:t>
      </w:r>
      <w:r w:rsidR="00651835" w:rsidRPr="004C4D48">
        <w:rPr>
          <w:rFonts w:ascii="Times New Roman" w:hAnsi="Times New Roman"/>
          <w:b/>
          <w:sz w:val="26"/>
          <w:szCs w:val="26"/>
        </w:rPr>
        <w:t>6. </w:t>
      </w:r>
      <w:r w:rsidR="004D16A2" w:rsidRPr="004C4D48">
        <w:rPr>
          <w:rFonts w:ascii="Times New Roman" w:hAnsi="Times New Roman"/>
          <w:b/>
          <w:sz w:val="26"/>
          <w:szCs w:val="26"/>
        </w:rPr>
        <w:t>un 7. </w:t>
      </w:r>
      <w:r w:rsidR="00651835" w:rsidRPr="004C4D48">
        <w:rPr>
          <w:rFonts w:ascii="Times New Roman" w:hAnsi="Times New Roman"/>
          <w:b/>
          <w:sz w:val="26"/>
          <w:szCs w:val="26"/>
        </w:rPr>
        <w:t>punktā dot</w:t>
      </w:r>
      <w:r w:rsidR="00D16EBD">
        <w:rPr>
          <w:rFonts w:ascii="Times New Roman" w:hAnsi="Times New Roman"/>
          <w:b/>
          <w:sz w:val="26"/>
          <w:szCs w:val="26"/>
        </w:rPr>
        <w:t>o</w:t>
      </w:r>
      <w:r w:rsidR="00651835" w:rsidRPr="004C4D48">
        <w:rPr>
          <w:rFonts w:ascii="Times New Roman" w:hAnsi="Times New Roman"/>
          <w:b/>
          <w:sz w:val="26"/>
          <w:szCs w:val="26"/>
        </w:rPr>
        <w:t xml:space="preserve"> uzdevum</w:t>
      </w:r>
      <w:r w:rsidR="00D16EBD">
        <w:rPr>
          <w:rFonts w:ascii="Times New Roman" w:hAnsi="Times New Roman"/>
          <w:b/>
          <w:sz w:val="26"/>
          <w:szCs w:val="26"/>
        </w:rPr>
        <w:t>u</w:t>
      </w:r>
      <w:r w:rsidR="00651835" w:rsidRPr="004C4D48">
        <w:rPr>
          <w:rFonts w:ascii="Times New Roman" w:hAnsi="Times New Roman"/>
          <w:b/>
          <w:sz w:val="26"/>
          <w:szCs w:val="26"/>
        </w:rPr>
        <w:t xml:space="preserve"> izpildi</w:t>
      </w:r>
    </w:p>
    <w:p w:rsidR="0083522F" w:rsidRPr="005A261B" w:rsidRDefault="0083522F" w:rsidP="0083522F">
      <w:pPr>
        <w:spacing w:after="0" w:line="240" w:lineRule="auto"/>
        <w:jc w:val="center"/>
        <w:rPr>
          <w:rFonts w:ascii="Times New Roman" w:hAnsi="Times New Roman"/>
          <w:b/>
          <w:sz w:val="24"/>
          <w:szCs w:val="24"/>
        </w:rPr>
      </w:pPr>
    </w:p>
    <w:p w:rsidR="0083522F" w:rsidRPr="004C4D48" w:rsidRDefault="0083522F" w:rsidP="0083522F">
      <w:pPr>
        <w:spacing w:after="0" w:line="240" w:lineRule="auto"/>
        <w:ind w:firstLine="720"/>
        <w:jc w:val="both"/>
        <w:rPr>
          <w:rFonts w:ascii="Times New Roman" w:hAnsi="Times New Roman"/>
          <w:sz w:val="26"/>
          <w:szCs w:val="26"/>
        </w:rPr>
      </w:pPr>
      <w:r w:rsidRPr="004C4D48">
        <w:rPr>
          <w:rFonts w:ascii="Times New Roman" w:hAnsi="Times New Roman"/>
          <w:sz w:val="26"/>
          <w:szCs w:val="26"/>
        </w:rPr>
        <w:t>Šis informatīvais ziņojums izstrādāts atbilstoši Ministru kabineta 2014. gada 17. jūnija sēdes protokol</w:t>
      </w:r>
      <w:r w:rsidR="000072B5" w:rsidRPr="004C4D48">
        <w:rPr>
          <w:rFonts w:ascii="Times New Roman" w:hAnsi="Times New Roman"/>
          <w:sz w:val="26"/>
          <w:szCs w:val="26"/>
        </w:rPr>
        <w:t>lēmuma</w:t>
      </w:r>
      <w:r w:rsidRPr="004C4D48">
        <w:rPr>
          <w:rFonts w:ascii="Times New Roman" w:hAnsi="Times New Roman"/>
          <w:sz w:val="26"/>
          <w:szCs w:val="26"/>
        </w:rPr>
        <w:t xml:space="preserve">  (prot. Nr. 33 92. §) </w:t>
      </w:r>
      <w:r w:rsidR="00077E13" w:rsidRPr="004C4D48">
        <w:rPr>
          <w:rFonts w:ascii="Times New Roman" w:hAnsi="Times New Roman"/>
          <w:sz w:val="26"/>
          <w:szCs w:val="26"/>
        </w:rPr>
        <w:t>„</w:t>
      </w:r>
      <w:r w:rsidRPr="004C4D48">
        <w:rPr>
          <w:rFonts w:ascii="Times New Roman" w:hAnsi="Times New Roman"/>
          <w:sz w:val="26"/>
          <w:szCs w:val="26"/>
        </w:rPr>
        <w:t xml:space="preserve">Informatīvais ziņojums </w:t>
      </w:r>
      <w:r w:rsidR="00077E13" w:rsidRPr="004C4D48">
        <w:rPr>
          <w:rFonts w:ascii="Times New Roman" w:hAnsi="Times New Roman"/>
          <w:sz w:val="26"/>
          <w:szCs w:val="26"/>
        </w:rPr>
        <w:t>„</w:t>
      </w:r>
      <w:r w:rsidRPr="004C4D48">
        <w:rPr>
          <w:rFonts w:ascii="Times New Roman" w:hAnsi="Times New Roman"/>
          <w:sz w:val="26"/>
          <w:szCs w:val="26"/>
        </w:rPr>
        <w:t>Par gadījumiem, kad konstatēti pārkāpumi sūdzību par iespējamu vardarbību, ko izdarījušas valsts amatpersonas, pildot dienesta pienākumus, efektīvā izmeklēšanā”</w:t>
      </w:r>
      <w:r w:rsidR="000072B5" w:rsidRPr="004C4D48">
        <w:rPr>
          <w:rFonts w:ascii="Times New Roman" w:hAnsi="Times New Roman"/>
          <w:sz w:val="26"/>
          <w:szCs w:val="26"/>
        </w:rPr>
        <w:t>”</w:t>
      </w:r>
      <w:r w:rsidR="002744C7" w:rsidRPr="004C4D48">
        <w:rPr>
          <w:rFonts w:ascii="Times New Roman" w:hAnsi="Times New Roman"/>
          <w:sz w:val="26"/>
          <w:szCs w:val="26"/>
        </w:rPr>
        <w:t xml:space="preserve"> (turpmāk – </w:t>
      </w:r>
      <w:r w:rsidR="000072B5" w:rsidRPr="004C4D48">
        <w:rPr>
          <w:rFonts w:ascii="Times New Roman" w:hAnsi="Times New Roman"/>
          <w:sz w:val="26"/>
          <w:szCs w:val="26"/>
        </w:rPr>
        <w:t>p</w:t>
      </w:r>
      <w:r w:rsidR="002744C7" w:rsidRPr="004C4D48">
        <w:rPr>
          <w:rFonts w:ascii="Times New Roman" w:hAnsi="Times New Roman"/>
          <w:sz w:val="26"/>
          <w:szCs w:val="26"/>
        </w:rPr>
        <w:t>rotokol</w:t>
      </w:r>
      <w:r w:rsidR="000072B5" w:rsidRPr="004C4D48">
        <w:rPr>
          <w:rFonts w:ascii="Times New Roman" w:hAnsi="Times New Roman"/>
          <w:sz w:val="26"/>
          <w:szCs w:val="26"/>
        </w:rPr>
        <w:t>lēmums</w:t>
      </w:r>
      <w:r w:rsidR="002744C7" w:rsidRPr="004C4D48">
        <w:rPr>
          <w:rFonts w:ascii="Times New Roman" w:hAnsi="Times New Roman"/>
          <w:sz w:val="26"/>
          <w:szCs w:val="26"/>
        </w:rPr>
        <w:t>)</w:t>
      </w:r>
      <w:r w:rsidRPr="004C4D48">
        <w:rPr>
          <w:rFonts w:ascii="Times New Roman" w:hAnsi="Times New Roman"/>
          <w:sz w:val="26"/>
          <w:szCs w:val="26"/>
        </w:rPr>
        <w:t xml:space="preserve"> 7. punktā </w:t>
      </w:r>
      <w:r w:rsidR="002744C7" w:rsidRPr="004C4D48">
        <w:rPr>
          <w:rFonts w:ascii="Times New Roman" w:hAnsi="Times New Roman"/>
          <w:sz w:val="26"/>
          <w:szCs w:val="26"/>
        </w:rPr>
        <w:t>noteiktajam</w:t>
      </w:r>
      <w:r w:rsidRPr="004C4D48">
        <w:rPr>
          <w:rFonts w:ascii="Times New Roman" w:hAnsi="Times New Roman"/>
          <w:sz w:val="26"/>
          <w:szCs w:val="26"/>
        </w:rPr>
        <w:t xml:space="preserve"> uzdevuma</w:t>
      </w:r>
      <w:r w:rsidR="002744C7" w:rsidRPr="004C4D48">
        <w:rPr>
          <w:rFonts w:ascii="Times New Roman" w:hAnsi="Times New Roman"/>
          <w:sz w:val="26"/>
          <w:szCs w:val="26"/>
        </w:rPr>
        <w:t>m</w:t>
      </w:r>
      <w:r w:rsidRPr="004C4D48">
        <w:rPr>
          <w:rFonts w:ascii="Times New Roman" w:hAnsi="Times New Roman"/>
          <w:sz w:val="26"/>
          <w:szCs w:val="26"/>
        </w:rPr>
        <w:t>, kas nosaka Tieslietu ministrijai līdz 2016. gada 1. janvārim iesniegt Ministru kabinetā informāciju par protokollēmuma 4.</w:t>
      </w:r>
      <w:r w:rsidR="00ED6DA3">
        <w:rPr>
          <w:rFonts w:ascii="Times New Roman" w:hAnsi="Times New Roman"/>
          <w:sz w:val="26"/>
          <w:szCs w:val="26"/>
        </w:rPr>
        <w:t xml:space="preserve"> </w:t>
      </w:r>
      <w:r w:rsidR="002744C7" w:rsidRPr="004C4D48">
        <w:rPr>
          <w:rFonts w:ascii="Times New Roman" w:hAnsi="Times New Roman"/>
          <w:sz w:val="26"/>
          <w:szCs w:val="26"/>
        </w:rPr>
        <w:t xml:space="preserve">un </w:t>
      </w:r>
      <w:r w:rsidRPr="004C4D48">
        <w:rPr>
          <w:rFonts w:ascii="Times New Roman" w:hAnsi="Times New Roman"/>
          <w:sz w:val="26"/>
          <w:szCs w:val="26"/>
        </w:rPr>
        <w:t>6.</w:t>
      </w:r>
      <w:r w:rsidR="002744C7" w:rsidRPr="004C4D48">
        <w:rPr>
          <w:rFonts w:ascii="Times New Roman" w:hAnsi="Times New Roman"/>
          <w:sz w:val="26"/>
          <w:szCs w:val="26"/>
        </w:rPr>
        <w:t> </w:t>
      </w:r>
      <w:r w:rsidRPr="004C4D48">
        <w:rPr>
          <w:rFonts w:ascii="Times New Roman" w:hAnsi="Times New Roman"/>
          <w:sz w:val="26"/>
          <w:szCs w:val="26"/>
        </w:rPr>
        <w:t xml:space="preserve">punktā minēto uzdevumu izpildi. </w:t>
      </w:r>
    </w:p>
    <w:p w:rsidR="0083522F" w:rsidRPr="004C4D48" w:rsidRDefault="0083522F" w:rsidP="0083522F">
      <w:pPr>
        <w:spacing w:after="0" w:line="240" w:lineRule="auto"/>
        <w:ind w:firstLine="720"/>
        <w:jc w:val="both"/>
        <w:rPr>
          <w:rFonts w:ascii="Times New Roman" w:hAnsi="Times New Roman"/>
          <w:sz w:val="26"/>
          <w:szCs w:val="26"/>
        </w:rPr>
      </w:pPr>
      <w:r w:rsidRPr="004C4D48">
        <w:rPr>
          <w:rFonts w:ascii="Times New Roman" w:hAnsi="Times New Roman"/>
          <w:sz w:val="26"/>
          <w:szCs w:val="26"/>
        </w:rPr>
        <w:t xml:space="preserve">Atbilstoši </w:t>
      </w:r>
      <w:r w:rsidR="000072B5" w:rsidRPr="004C4D48">
        <w:rPr>
          <w:rFonts w:ascii="Times New Roman" w:hAnsi="Times New Roman"/>
          <w:sz w:val="26"/>
          <w:szCs w:val="26"/>
        </w:rPr>
        <w:t>p</w:t>
      </w:r>
      <w:r w:rsidR="002744C7" w:rsidRPr="004C4D48">
        <w:rPr>
          <w:rFonts w:ascii="Times New Roman" w:hAnsi="Times New Roman"/>
          <w:sz w:val="26"/>
          <w:szCs w:val="26"/>
        </w:rPr>
        <w:t>rotokol</w:t>
      </w:r>
      <w:r w:rsidR="000072B5" w:rsidRPr="004C4D48">
        <w:rPr>
          <w:rFonts w:ascii="Times New Roman" w:hAnsi="Times New Roman"/>
          <w:sz w:val="26"/>
          <w:szCs w:val="26"/>
        </w:rPr>
        <w:t>lēmuma</w:t>
      </w:r>
      <w:r w:rsidR="002744C7" w:rsidRPr="004C4D48">
        <w:rPr>
          <w:rFonts w:ascii="Times New Roman" w:hAnsi="Times New Roman"/>
          <w:sz w:val="26"/>
          <w:szCs w:val="26"/>
        </w:rPr>
        <w:t xml:space="preserve"> </w:t>
      </w:r>
      <w:r w:rsidRPr="004C4D48">
        <w:rPr>
          <w:rFonts w:ascii="Times New Roman" w:hAnsi="Times New Roman"/>
          <w:sz w:val="26"/>
          <w:szCs w:val="26"/>
        </w:rPr>
        <w:t xml:space="preserve">4. punktā noteiktajam Iekšlietu ministrijai un Tieslietu ministrijai uzdots pilnveidot normatīvo regulējumu, lai nodrošinātu, ka Valsts policijas un Ieslodzījuma vietu pārvaldes uzņemtie videoieraksti no dienesta transportlīdzekļiem un dienesta telpām, kur tiek veiktas jebkādas darbības ar personām, tiek saglabāti tik ilgu laika periodu, lai nodrošinātu sūdzību objektīvu izmeklēšanu. </w:t>
      </w:r>
      <w:r w:rsidR="002744C7" w:rsidRPr="004C4D48">
        <w:rPr>
          <w:rFonts w:ascii="Times New Roman" w:hAnsi="Times New Roman"/>
          <w:sz w:val="26"/>
          <w:szCs w:val="26"/>
        </w:rPr>
        <w:t>A</w:t>
      </w:r>
      <w:r w:rsidRPr="004C4D48">
        <w:rPr>
          <w:rFonts w:ascii="Times New Roman" w:hAnsi="Times New Roman"/>
          <w:sz w:val="26"/>
          <w:szCs w:val="26"/>
        </w:rPr>
        <w:t xml:space="preserve">tbilstoši </w:t>
      </w:r>
      <w:proofErr w:type="spellStart"/>
      <w:r w:rsidR="000072B5" w:rsidRPr="004C4D48">
        <w:rPr>
          <w:rFonts w:ascii="Times New Roman" w:hAnsi="Times New Roman"/>
          <w:sz w:val="26"/>
          <w:szCs w:val="26"/>
        </w:rPr>
        <w:t>p</w:t>
      </w:r>
      <w:r w:rsidR="002744C7" w:rsidRPr="004C4D48">
        <w:rPr>
          <w:rFonts w:ascii="Times New Roman" w:hAnsi="Times New Roman"/>
          <w:sz w:val="26"/>
          <w:szCs w:val="26"/>
        </w:rPr>
        <w:t>rotokol</w:t>
      </w:r>
      <w:r w:rsidR="000072B5" w:rsidRPr="004C4D48">
        <w:rPr>
          <w:rFonts w:ascii="Times New Roman" w:hAnsi="Times New Roman"/>
          <w:sz w:val="26"/>
          <w:szCs w:val="26"/>
        </w:rPr>
        <w:t>lēmuma</w:t>
      </w:r>
      <w:proofErr w:type="spellEnd"/>
      <w:r w:rsidR="002744C7" w:rsidRPr="004C4D48">
        <w:rPr>
          <w:rFonts w:ascii="Times New Roman" w:hAnsi="Times New Roman"/>
          <w:sz w:val="26"/>
          <w:szCs w:val="26"/>
        </w:rPr>
        <w:t xml:space="preserve"> </w:t>
      </w:r>
      <w:r w:rsidRPr="004C4D48">
        <w:rPr>
          <w:rFonts w:ascii="Times New Roman" w:hAnsi="Times New Roman"/>
          <w:sz w:val="26"/>
          <w:szCs w:val="26"/>
        </w:rPr>
        <w:t>6. punktā noteiktajam Tieslietu ministrijai uzdots, sadarbojoties ar kompetentajām iestādēm, informēt Ieslodzījuma vietu pārvaldi par pienācīgu, vispusīgu un savlaicīgu ieslodzīto personu medicīnas dokumentācijas aizpildīšanas nozīmi Iekšējā drošības biroja amatpersonu veikto izmeklēšanu un Eiropas Cilvēktiesību tiesas spriedumu kontekstā.</w:t>
      </w:r>
      <w:r w:rsidR="004D16A2" w:rsidRPr="004C4D48">
        <w:rPr>
          <w:rFonts w:ascii="Times New Roman" w:hAnsi="Times New Roman"/>
          <w:sz w:val="26"/>
          <w:szCs w:val="26"/>
        </w:rPr>
        <w:t xml:space="preserve"> </w:t>
      </w:r>
    </w:p>
    <w:p w:rsidR="0083522F" w:rsidRPr="004C4D48" w:rsidRDefault="0083522F" w:rsidP="0083522F">
      <w:pPr>
        <w:autoSpaceDE w:val="0"/>
        <w:autoSpaceDN w:val="0"/>
        <w:adjustRightInd w:val="0"/>
        <w:spacing w:after="0" w:line="240" w:lineRule="auto"/>
        <w:ind w:firstLine="720"/>
        <w:jc w:val="both"/>
        <w:rPr>
          <w:rFonts w:ascii="Times New Roman" w:hAnsi="Times New Roman"/>
          <w:sz w:val="26"/>
          <w:szCs w:val="26"/>
        </w:rPr>
      </w:pPr>
    </w:p>
    <w:p w:rsidR="00CF7BD0" w:rsidRPr="004C4D48" w:rsidRDefault="00C6100A" w:rsidP="0083522F">
      <w:pPr>
        <w:autoSpaceDE w:val="0"/>
        <w:autoSpaceDN w:val="0"/>
        <w:adjustRightInd w:val="0"/>
        <w:spacing w:after="0" w:line="240" w:lineRule="auto"/>
        <w:ind w:firstLine="720"/>
        <w:jc w:val="both"/>
        <w:rPr>
          <w:rFonts w:ascii="Times New Roman" w:hAnsi="Times New Roman"/>
          <w:sz w:val="26"/>
          <w:szCs w:val="26"/>
        </w:rPr>
      </w:pPr>
      <w:r w:rsidRPr="004C4D48">
        <w:rPr>
          <w:rFonts w:ascii="Times New Roman" w:hAnsi="Times New Roman"/>
          <w:sz w:val="26"/>
          <w:szCs w:val="26"/>
        </w:rPr>
        <w:t xml:space="preserve">Attiecībā uz </w:t>
      </w:r>
      <w:r w:rsidR="000072B5" w:rsidRPr="004C4D48">
        <w:rPr>
          <w:rFonts w:ascii="Times New Roman" w:hAnsi="Times New Roman"/>
          <w:sz w:val="26"/>
          <w:szCs w:val="26"/>
        </w:rPr>
        <w:t>p</w:t>
      </w:r>
      <w:r w:rsidRPr="004C4D48">
        <w:rPr>
          <w:rFonts w:ascii="Times New Roman" w:hAnsi="Times New Roman"/>
          <w:sz w:val="26"/>
          <w:szCs w:val="26"/>
        </w:rPr>
        <w:t>rotokol</w:t>
      </w:r>
      <w:r w:rsidR="000072B5" w:rsidRPr="004C4D48">
        <w:rPr>
          <w:rFonts w:ascii="Times New Roman" w:hAnsi="Times New Roman"/>
          <w:sz w:val="26"/>
          <w:szCs w:val="26"/>
        </w:rPr>
        <w:t>lēmuma</w:t>
      </w:r>
      <w:r w:rsidRPr="004C4D48">
        <w:rPr>
          <w:rFonts w:ascii="Times New Roman" w:hAnsi="Times New Roman"/>
          <w:sz w:val="26"/>
          <w:szCs w:val="26"/>
        </w:rPr>
        <w:t xml:space="preserve">  4. punktā </w:t>
      </w:r>
      <w:r w:rsidR="002744C7" w:rsidRPr="004C4D48">
        <w:rPr>
          <w:rFonts w:ascii="Times New Roman" w:hAnsi="Times New Roman"/>
          <w:sz w:val="26"/>
          <w:szCs w:val="26"/>
        </w:rPr>
        <w:t>dotā uzdevuma izpildi, informējam</w:t>
      </w:r>
      <w:r w:rsidRPr="004C4D48">
        <w:rPr>
          <w:rFonts w:ascii="Times New Roman" w:hAnsi="Times New Roman"/>
          <w:sz w:val="26"/>
          <w:szCs w:val="26"/>
        </w:rPr>
        <w:t>, ka atbilstoši Ieslodzījuma vietu pārvaldes likuma 2. panta pirmajā daļā noteiktajam Ieslodzījuma vietu pārvalde ir Tieslietu ministrijas padotībā esoša valsts pārvaldes iestāde, kas īsteno valsts politiku apcietinājuma kā drošības līdzekļa un brīvības atņemšanas kā kriminālsoda izpildes jomā.</w:t>
      </w:r>
      <w:r w:rsidR="00367562" w:rsidRPr="004C4D48">
        <w:rPr>
          <w:rFonts w:ascii="Times New Roman" w:hAnsi="Times New Roman"/>
          <w:sz w:val="26"/>
          <w:szCs w:val="26"/>
        </w:rPr>
        <w:t xml:space="preserve"> Saskaņā ar Ministru kabineta 2005. gada 1. novembra noteikum</w:t>
      </w:r>
      <w:r w:rsidR="00077E13" w:rsidRPr="004C4D48">
        <w:rPr>
          <w:rFonts w:ascii="Times New Roman" w:hAnsi="Times New Roman"/>
          <w:sz w:val="26"/>
          <w:szCs w:val="26"/>
        </w:rPr>
        <w:t>u</w:t>
      </w:r>
      <w:r w:rsidR="00367562" w:rsidRPr="004C4D48">
        <w:rPr>
          <w:rFonts w:ascii="Times New Roman" w:hAnsi="Times New Roman"/>
          <w:sz w:val="26"/>
          <w:szCs w:val="26"/>
        </w:rPr>
        <w:t xml:space="preserve"> Nr. 827 </w:t>
      </w:r>
      <w:r w:rsidR="00077E13" w:rsidRPr="004C4D48">
        <w:rPr>
          <w:rFonts w:ascii="Times New Roman" w:hAnsi="Times New Roman"/>
          <w:sz w:val="26"/>
          <w:szCs w:val="26"/>
        </w:rPr>
        <w:t>„</w:t>
      </w:r>
      <w:r w:rsidR="00367562" w:rsidRPr="004C4D48">
        <w:rPr>
          <w:rFonts w:ascii="Times New Roman" w:hAnsi="Times New Roman"/>
          <w:sz w:val="26"/>
          <w:szCs w:val="26"/>
        </w:rPr>
        <w:t xml:space="preserve">Ieslodzījuma vietu pārvaldes nolikums” 4.1. un 4.2. apakšpunktā noteikto, lai nodrošinātu minēto Ieslodzījuma vietu pārvaldes funkciju izpildi, pārvalde tai skaitā veic ieslodzījuma vietu apsardzi, uzrauga un nodrošina ieslodzītajām personām noteikto uzvedības normu un tiesību ievērošanu, kā arī pienākumu izpildi. </w:t>
      </w:r>
      <w:r w:rsidR="00CF7BD0" w:rsidRPr="004C4D48">
        <w:rPr>
          <w:rFonts w:ascii="Times New Roman" w:hAnsi="Times New Roman"/>
          <w:sz w:val="26"/>
          <w:szCs w:val="26"/>
        </w:rPr>
        <w:t>Saskaņā ar Latvijas Sodu izpildes kodeksa 13. panta pirmajā daļā noteikto brīvības atņemšanas sodu izpilda slēgtajā cietumā, daļēji slēgtajā cietumā, atklātajā cietumā, kā arī audzināšanas iestādēs nepilngadīgajiem. Turpat 50.</w:t>
      </w:r>
      <w:r w:rsidR="00CF7BD0" w:rsidRPr="004C4D48">
        <w:rPr>
          <w:rFonts w:ascii="Times New Roman" w:hAnsi="Times New Roman"/>
          <w:sz w:val="26"/>
          <w:szCs w:val="26"/>
          <w:vertAlign w:val="superscript"/>
        </w:rPr>
        <w:t>4</w:t>
      </w:r>
      <w:r w:rsidR="00CF7BD0" w:rsidRPr="004C4D48">
        <w:rPr>
          <w:rFonts w:ascii="Times New Roman" w:hAnsi="Times New Roman"/>
          <w:sz w:val="26"/>
          <w:szCs w:val="26"/>
        </w:rPr>
        <w:t> panta otrajā daļā ir noteikts, ka slēgtajos cietumos tiek nodrošināta notiesāto pastiprināta a</w:t>
      </w:r>
      <w:r w:rsidR="002744C7" w:rsidRPr="004C4D48">
        <w:rPr>
          <w:rFonts w:ascii="Times New Roman" w:hAnsi="Times New Roman"/>
          <w:sz w:val="26"/>
          <w:szCs w:val="26"/>
        </w:rPr>
        <w:t>psardze un maksimāla uzraudzība, savukārt</w:t>
      </w:r>
      <w:r w:rsidR="00CF7BD0" w:rsidRPr="004C4D48">
        <w:rPr>
          <w:rFonts w:ascii="Times New Roman" w:hAnsi="Times New Roman"/>
          <w:sz w:val="26"/>
          <w:szCs w:val="26"/>
        </w:rPr>
        <w:t xml:space="preserve"> 50.</w:t>
      </w:r>
      <w:r w:rsidR="00CF7BD0" w:rsidRPr="004C4D48">
        <w:rPr>
          <w:rFonts w:ascii="Times New Roman" w:hAnsi="Times New Roman"/>
          <w:sz w:val="26"/>
          <w:szCs w:val="26"/>
          <w:vertAlign w:val="superscript"/>
        </w:rPr>
        <w:t>5</w:t>
      </w:r>
      <w:r w:rsidR="00CF7BD0" w:rsidRPr="004C4D48">
        <w:rPr>
          <w:rFonts w:ascii="Times New Roman" w:hAnsi="Times New Roman"/>
          <w:sz w:val="26"/>
          <w:szCs w:val="26"/>
        </w:rPr>
        <w:t> panta otrajā daļā ir noteikts, ka daļēji slēgtajos cietumos tiek nodrošināta notiesāto ap</w:t>
      </w:r>
      <w:r w:rsidR="00333FCA" w:rsidRPr="004C4D48">
        <w:rPr>
          <w:rFonts w:ascii="Times New Roman" w:hAnsi="Times New Roman"/>
          <w:sz w:val="26"/>
          <w:szCs w:val="26"/>
        </w:rPr>
        <w:t>sardze un pastāvīga uzraudzība. Notiesāto uzraudzība var izpausties arī videonovērošanas veidā.</w:t>
      </w:r>
    </w:p>
    <w:p w:rsidR="00367562" w:rsidRPr="004C4D48" w:rsidRDefault="00367562" w:rsidP="002744C7">
      <w:pPr>
        <w:pStyle w:val="Bezatstarpm"/>
        <w:ind w:firstLine="682"/>
        <w:jc w:val="both"/>
        <w:rPr>
          <w:rFonts w:ascii="Times New Roman" w:hAnsi="Times New Roman"/>
          <w:sz w:val="26"/>
          <w:szCs w:val="26"/>
        </w:rPr>
      </w:pPr>
      <w:r w:rsidRPr="004C4D48">
        <w:rPr>
          <w:rFonts w:ascii="Times New Roman" w:hAnsi="Times New Roman"/>
          <w:sz w:val="26"/>
          <w:szCs w:val="26"/>
        </w:rPr>
        <w:t xml:space="preserve">Atbilstoši Fizisko personu datu aizsardzības likuma 6. pantā noteiktajam ikvienai fiziskajai personai ir tiesības uz savu personas datu aizsardzību. Turpat 7. panta trešajā punktā ir noteikts, ka personas datu apstrāde ir atļauta tikai tad, ja likumā nav noteikts citādi, un, ja datu apstrāde nepieciešama pārzinim likumā noteikto </w:t>
      </w:r>
      <w:r w:rsidRPr="004C4D48">
        <w:rPr>
          <w:rFonts w:ascii="Times New Roman" w:hAnsi="Times New Roman"/>
          <w:sz w:val="26"/>
          <w:szCs w:val="26"/>
        </w:rPr>
        <w:lastRenderedPageBreak/>
        <w:t xml:space="preserve">pienākumu veikšanai. </w:t>
      </w:r>
      <w:r w:rsidR="00DF6AD0" w:rsidRPr="004C4D48">
        <w:rPr>
          <w:rFonts w:ascii="Times New Roman" w:hAnsi="Times New Roman"/>
          <w:sz w:val="26"/>
          <w:szCs w:val="26"/>
        </w:rPr>
        <w:t>Ņemot vērā to, ka k</w:t>
      </w:r>
      <w:r w:rsidR="00CF7BD0" w:rsidRPr="004C4D48">
        <w:rPr>
          <w:rFonts w:ascii="Times New Roman" w:hAnsi="Times New Roman"/>
          <w:sz w:val="26"/>
          <w:szCs w:val="26"/>
        </w:rPr>
        <w:t>valitatīva un sabiedrībai droša ieslodzījuma izpilde ir būtiska sabiedr</w:t>
      </w:r>
      <w:r w:rsidR="00DF6AD0" w:rsidRPr="004C4D48">
        <w:rPr>
          <w:rFonts w:ascii="Times New Roman" w:hAnsi="Times New Roman"/>
          <w:sz w:val="26"/>
          <w:szCs w:val="26"/>
        </w:rPr>
        <w:t>ības interešu nodrošināšana</w:t>
      </w:r>
      <w:r w:rsidR="00BE00A1" w:rsidRPr="004C4D48">
        <w:rPr>
          <w:rFonts w:ascii="Times New Roman" w:hAnsi="Times New Roman"/>
          <w:sz w:val="26"/>
          <w:szCs w:val="26"/>
        </w:rPr>
        <w:t>i</w:t>
      </w:r>
      <w:r w:rsidR="00DF6AD0" w:rsidRPr="004C4D48">
        <w:rPr>
          <w:rFonts w:ascii="Times New Roman" w:hAnsi="Times New Roman"/>
          <w:sz w:val="26"/>
          <w:szCs w:val="26"/>
        </w:rPr>
        <w:t xml:space="preserve">, jo </w:t>
      </w:r>
      <w:r w:rsidR="00CF7BD0" w:rsidRPr="004C4D48">
        <w:rPr>
          <w:rFonts w:ascii="Times New Roman" w:hAnsi="Times New Roman"/>
          <w:sz w:val="26"/>
          <w:szCs w:val="26"/>
        </w:rPr>
        <w:t xml:space="preserve">skar </w:t>
      </w:r>
      <w:r w:rsidR="00DF6AD0" w:rsidRPr="004C4D48">
        <w:rPr>
          <w:rFonts w:ascii="Times New Roman" w:hAnsi="Times New Roman"/>
          <w:sz w:val="26"/>
          <w:szCs w:val="26"/>
        </w:rPr>
        <w:t xml:space="preserve">gan </w:t>
      </w:r>
      <w:r w:rsidR="00CF7BD0" w:rsidRPr="004C4D48">
        <w:rPr>
          <w:rFonts w:ascii="Times New Roman" w:hAnsi="Times New Roman"/>
          <w:sz w:val="26"/>
          <w:szCs w:val="26"/>
        </w:rPr>
        <w:t>ieslo</w:t>
      </w:r>
      <w:r w:rsidR="00DF6AD0" w:rsidRPr="004C4D48">
        <w:rPr>
          <w:rFonts w:ascii="Times New Roman" w:hAnsi="Times New Roman"/>
          <w:sz w:val="26"/>
          <w:szCs w:val="26"/>
        </w:rPr>
        <w:t>dzīto cilvēktiesību īstenošanu, gan sabiedrības drošību, līdz ar to personas datu apstrādes aizsardzība ir sevišķi svarīga. Atbilstoši ieslodzījuma vietu spe</w:t>
      </w:r>
      <w:r w:rsidR="00BE00A1" w:rsidRPr="004C4D48">
        <w:rPr>
          <w:rFonts w:ascii="Times New Roman" w:hAnsi="Times New Roman"/>
          <w:sz w:val="26"/>
          <w:szCs w:val="26"/>
        </w:rPr>
        <w:t>c</w:t>
      </w:r>
      <w:r w:rsidR="00DF6AD0" w:rsidRPr="004C4D48">
        <w:rPr>
          <w:rFonts w:ascii="Times New Roman" w:hAnsi="Times New Roman"/>
          <w:sz w:val="26"/>
          <w:szCs w:val="26"/>
        </w:rPr>
        <w:t>i</w:t>
      </w:r>
      <w:r w:rsidR="00BE00A1" w:rsidRPr="004C4D48">
        <w:rPr>
          <w:rFonts w:ascii="Times New Roman" w:hAnsi="Times New Roman"/>
          <w:sz w:val="26"/>
          <w:szCs w:val="26"/>
        </w:rPr>
        <w:t>f</w:t>
      </w:r>
      <w:r w:rsidR="00DF6AD0" w:rsidRPr="004C4D48">
        <w:rPr>
          <w:rFonts w:ascii="Times New Roman" w:hAnsi="Times New Roman"/>
          <w:sz w:val="26"/>
          <w:szCs w:val="26"/>
        </w:rPr>
        <w:t xml:space="preserve">ikai un </w:t>
      </w:r>
      <w:r w:rsidR="00481A85" w:rsidRPr="004C4D48">
        <w:rPr>
          <w:rFonts w:ascii="Times New Roman" w:hAnsi="Times New Roman"/>
          <w:sz w:val="26"/>
          <w:szCs w:val="26"/>
        </w:rPr>
        <w:t>Latvijas Sodu izpildes kodeksā</w:t>
      </w:r>
      <w:r w:rsidR="00DF6AD0" w:rsidRPr="004C4D48">
        <w:rPr>
          <w:rFonts w:ascii="Times New Roman" w:hAnsi="Times New Roman"/>
          <w:sz w:val="26"/>
          <w:szCs w:val="26"/>
        </w:rPr>
        <w:t xml:space="preserve"> noteiktajam kriminālsodu izpildes mērķim nav nepieciešams izstrādāt ārējos normatīvos aktus personas datu apstrādes aizsardzībai, jo šādas informācijas publiskošana nav nepieciešama drošības apsvērumu dēļ.</w:t>
      </w:r>
      <w:r w:rsidR="00AF5D6C" w:rsidRPr="004C4D48">
        <w:rPr>
          <w:rFonts w:ascii="Times New Roman" w:hAnsi="Times New Roman"/>
          <w:sz w:val="26"/>
          <w:szCs w:val="26"/>
        </w:rPr>
        <w:t xml:space="preserve"> Tamdēļ, lai nodrošinātu </w:t>
      </w:r>
      <w:r w:rsidR="00177CE5" w:rsidRPr="004C4D48">
        <w:rPr>
          <w:rFonts w:ascii="Times New Roman" w:hAnsi="Times New Roman"/>
          <w:sz w:val="26"/>
          <w:szCs w:val="26"/>
        </w:rPr>
        <w:t xml:space="preserve">ieslodzīto </w:t>
      </w:r>
      <w:r w:rsidR="00AF5D6C" w:rsidRPr="004C4D48">
        <w:rPr>
          <w:rFonts w:ascii="Times New Roman" w:hAnsi="Times New Roman"/>
          <w:sz w:val="26"/>
          <w:szCs w:val="26"/>
        </w:rPr>
        <w:t>personas datu aizsardzību</w:t>
      </w:r>
      <w:r w:rsidR="007D1EB8" w:rsidRPr="004C4D48">
        <w:rPr>
          <w:rFonts w:ascii="Times New Roman" w:hAnsi="Times New Roman"/>
          <w:sz w:val="26"/>
          <w:szCs w:val="26"/>
        </w:rPr>
        <w:t>, kā arī, lai izpildītu</w:t>
      </w:r>
      <w:r w:rsidR="00AF5D6C" w:rsidRPr="004C4D48">
        <w:rPr>
          <w:rFonts w:ascii="Times New Roman" w:hAnsi="Times New Roman"/>
          <w:sz w:val="26"/>
          <w:szCs w:val="26"/>
        </w:rPr>
        <w:t xml:space="preserve"> </w:t>
      </w:r>
      <w:r w:rsidR="00BE00A1" w:rsidRPr="004C4D48">
        <w:rPr>
          <w:rFonts w:ascii="Times New Roman" w:hAnsi="Times New Roman"/>
          <w:sz w:val="26"/>
          <w:szCs w:val="26"/>
        </w:rPr>
        <w:t>p</w:t>
      </w:r>
      <w:r w:rsidR="00177CE5" w:rsidRPr="004C4D48">
        <w:rPr>
          <w:rFonts w:ascii="Times New Roman" w:hAnsi="Times New Roman"/>
          <w:sz w:val="26"/>
          <w:szCs w:val="26"/>
        </w:rPr>
        <w:t>rotokol</w:t>
      </w:r>
      <w:r w:rsidR="00BE00A1" w:rsidRPr="004C4D48">
        <w:rPr>
          <w:rFonts w:ascii="Times New Roman" w:hAnsi="Times New Roman"/>
          <w:sz w:val="26"/>
          <w:szCs w:val="26"/>
        </w:rPr>
        <w:t>lēmuma</w:t>
      </w:r>
      <w:r w:rsidR="00177CE5" w:rsidRPr="004C4D48">
        <w:rPr>
          <w:rFonts w:ascii="Times New Roman" w:hAnsi="Times New Roman"/>
          <w:sz w:val="26"/>
          <w:szCs w:val="26"/>
        </w:rPr>
        <w:t xml:space="preserve"> 4.</w:t>
      </w:r>
      <w:r w:rsidR="00481A85" w:rsidRPr="004C4D48">
        <w:rPr>
          <w:rFonts w:ascii="Times New Roman" w:hAnsi="Times New Roman"/>
          <w:sz w:val="26"/>
          <w:szCs w:val="26"/>
        </w:rPr>
        <w:t> </w:t>
      </w:r>
      <w:r w:rsidR="00177CE5" w:rsidRPr="004C4D48">
        <w:rPr>
          <w:rFonts w:ascii="Times New Roman" w:hAnsi="Times New Roman"/>
          <w:sz w:val="26"/>
          <w:szCs w:val="26"/>
        </w:rPr>
        <w:t>punktā</w:t>
      </w:r>
      <w:r w:rsidR="00AF5D6C" w:rsidRPr="004C4D48">
        <w:rPr>
          <w:rFonts w:ascii="Times New Roman" w:hAnsi="Times New Roman"/>
          <w:sz w:val="26"/>
          <w:szCs w:val="26"/>
        </w:rPr>
        <w:t xml:space="preserve"> doto uzdevumu, 2015. gada 2. novembrī tika apstiprināti Ieslodzījuma vietu pārvalde</w:t>
      </w:r>
      <w:r w:rsidR="00177CE5" w:rsidRPr="004C4D48">
        <w:rPr>
          <w:rFonts w:ascii="Times New Roman" w:hAnsi="Times New Roman"/>
          <w:sz w:val="26"/>
          <w:szCs w:val="26"/>
        </w:rPr>
        <w:t>s</w:t>
      </w:r>
      <w:r w:rsidR="00AF5D6C" w:rsidRPr="004C4D48">
        <w:rPr>
          <w:rFonts w:ascii="Times New Roman" w:hAnsi="Times New Roman"/>
          <w:sz w:val="26"/>
          <w:szCs w:val="26"/>
        </w:rPr>
        <w:t xml:space="preserve"> iekšējie noteikumi Nr. 1/12-n.-36 </w:t>
      </w:r>
      <w:r w:rsidR="00BE00A1" w:rsidRPr="004C4D48">
        <w:rPr>
          <w:rFonts w:ascii="Times New Roman" w:hAnsi="Times New Roman"/>
          <w:sz w:val="26"/>
          <w:szCs w:val="26"/>
        </w:rPr>
        <w:t>„</w:t>
      </w:r>
      <w:r w:rsidR="00AF5D6C" w:rsidRPr="004C4D48">
        <w:rPr>
          <w:rFonts w:ascii="Times New Roman" w:hAnsi="Times New Roman"/>
          <w:sz w:val="26"/>
          <w:szCs w:val="26"/>
        </w:rPr>
        <w:t xml:space="preserve">Personas datu apstrādes aizsardzības kārtība”, kas stājās spēkā 2015. gada 1. decembrī. Iekšējie noteikumi nosaka Ieslodzījuma vietu pārvaldes amatpersonu un darbinieku tiesības un pienākumus, veicot fiziskas personas datu apstrādi, lietojot ārējās un Ieslodzījuma vietu pārvaldes </w:t>
      </w:r>
      <w:r w:rsidR="00356770" w:rsidRPr="004C4D48">
        <w:rPr>
          <w:rFonts w:ascii="Times New Roman" w:hAnsi="Times New Roman"/>
          <w:sz w:val="26"/>
          <w:szCs w:val="26"/>
        </w:rPr>
        <w:t xml:space="preserve">personas </w:t>
      </w:r>
      <w:r w:rsidR="00AF5D6C" w:rsidRPr="004C4D48">
        <w:rPr>
          <w:rFonts w:ascii="Times New Roman" w:hAnsi="Times New Roman"/>
          <w:sz w:val="26"/>
          <w:szCs w:val="26"/>
        </w:rPr>
        <w:t>datu apstrādes sistēmas, tai skaitā personas datu apstrādes organizāciju un klasifikāciju, personas datu apstrādes sistēmas drošības un aizsardzības noteikumus, personas datu apstrādē iesaistīto nodarbināto tiesības, pienākumus un atbildību, lietotāja tiesību piešķiršanas un administrēšanas kārtību un informācijas sistēmas paroles uzbūves nosac</w:t>
      </w:r>
      <w:r w:rsidR="00356770" w:rsidRPr="004C4D48">
        <w:rPr>
          <w:rFonts w:ascii="Times New Roman" w:hAnsi="Times New Roman"/>
          <w:sz w:val="26"/>
          <w:szCs w:val="26"/>
        </w:rPr>
        <w:t>īj</w:t>
      </w:r>
      <w:r w:rsidR="00AF5D6C" w:rsidRPr="004C4D48">
        <w:rPr>
          <w:rFonts w:ascii="Times New Roman" w:hAnsi="Times New Roman"/>
          <w:sz w:val="26"/>
          <w:szCs w:val="26"/>
        </w:rPr>
        <w:t xml:space="preserve">umus, videonovērošanas kārtību, kā arī informācijas nesēja glabāšanas un iznīcināšanas kārtību. </w:t>
      </w:r>
    </w:p>
    <w:p w:rsidR="00CF7BD0" w:rsidRPr="004C4D48" w:rsidRDefault="00CF7BD0" w:rsidP="0083522F">
      <w:pPr>
        <w:autoSpaceDE w:val="0"/>
        <w:autoSpaceDN w:val="0"/>
        <w:adjustRightInd w:val="0"/>
        <w:spacing w:after="0" w:line="240" w:lineRule="auto"/>
        <w:ind w:firstLine="720"/>
        <w:jc w:val="both"/>
        <w:rPr>
          <w:rFonts w:ascii="Times New Roman" w:hAnsi="Times New Roman"/>
          <w:sz w:val="26"/>
          <w:szCs w:val="26"/>
        </w:rPr>
      </w:pPr>
    </w:p>
    <w:p w:rsidR="00A86D66" w:rsidRPr="004C4D48" w:rsidRDefault="00A86D66" w:rsidP="00A86D66">
      <w:pPr>
        <w:pStyle w:val="naisf"/>
        <w:spacing w:before="0" w:after="0"/>
        <w:ind w:firstLine="680"/>
        <w:jc w:val="both"/>
        <w:rPr>
          <w:sz w:val="26"/>
          <w:szCs w:val="26"/>
        </w:rPr>
      </w:pPr>
      <w:r w:rsidRPr="004C4D48">
        <w:rPr>
          <w:sz w:val="26"/>
          <w:szCs w:val="26"/>
        </w:rPr>
        <w:t xml:space="preserve">Attiecībā uz </w:t>
      </w:r>
      <w:proofErr w:type="spellStart"/>
      <w:r w:rsidRPr="004C4D48">
        <w:rPr>
          <w:sz w:val="26"/>
          <w:szCs w:val="26"/>
        </w:rPr>
        <w:t>protokol</w:t>
      </w:r>
      <w:r w:rsidR="00A76297" w:rsidRPr="004C4D48">
        <w:rPr>
          <w:sz w:val="26"/>
          <w:szCs w:val="26"/>
        </w:rPr>
        <w:t>lēmuma</w:t>
      </w:r>
      <w:proofErr w:type="spellEnd"/>
      <w:r w:rsidRPr="004C4D48">
        <w:rPr>
          <w:sz w:val="26"/>
          <w:szCs w:val="26"/>
        </w:rPr>
        <w:t xml:space="preserve">  6.</w:t>
      </w:r>
      <w:r w:rsidR="00C6100A" w:rsidRPr="004C4D48">
        <w:rPr>
          <w:sz w:val="26"/>
          <w:szCs w:val="26"/>
        </w:rPr>
        <w:t> </w:t>
      </w:r>
      <w:r w:rsidRPr="004C4D48">
        <w:rPr>
          <w:sz w:val="26"/>
          <w:szCs w:val="26"/>
        </w:rPr>
        <w:t xml:space="preserve">punktā </w:t>
      </w:r>
      <w:r w:rsidR="00333FCA" w:rsidRPr="004C4D48">
        <w:rPr>
          <w:sz w:val="26"/>
          <w:szCs w:val="26"/>
        </w:rPr>
        <w:t>dotā uzdevuma izpildi, informējam</w:t>
      </w:r>
      <w:r w:rsidRPr="004C4D48">
        <w:rPr>
          <w:sz w:val="26"/>
          <w:szCs w:val="26"/>
        </w:rPr>
        <w:t xml:space="preserve">, ka </w:t>
      </w:r>
      <w:r w:rsidR="00A76297" w:rsidRPr="004C4D48">
        <w:rPr>
          <w:sz w:val="26"/>
          <w:szCs w:val="26"/>
        </w:rPr>
        <w:t xml:space="preserve">Apvienoto Nāciju Organizācijas </w:t>
      </w:r>
      <w:r w:rsidRPr="004C4D48">
        <w:rPr>
          <w:noProof/>
          <w:sz w:val="26"/>
          <w:szCs w:val="26"/>
        </w:rPr>
        <w:t xml:space="preserve">Augstā komisāra cilvēktiesību jautājumos birojs un iesaistītie eksperti 1999. gadā izstrādāja Stambulas protokolu jeb Rokasgrāmatu par spīdzināšanas un citu nežēlīgas, necilvēcīgas vai pazemojošas izturēšanās vai sodīšanas veidu efektīvu izmeklēšanu un dokumentēšanu (turpmāk - Stambulas protokols). Šis dokuments satur starptautiskas vadlīnijas to personu stāvokļa efektīvai novērtēšanai, kuras apgalvo, ka </w:t>
      </w:r>
      <w:r w:rsidR="00177CE5" w:rsidRPr="004C4D48">
        <w:rPr>
          <w:noProof/>
          <w:sz w:val="26"/>
          <w:szCs w:val="26"/>
        </w:rPr>
        <w:t xml:space="preserve">ieslodzījuma vietā ir </w:t>
      </w:r>
      <w:r w:rsidRPr="004C4D48">
        <w:rPr>
          <w:noProof/>
          <w:sz w:val="26"/>
          <w:szCs w:val="26"/>
        </w:rPr>
        <w:t>notikusi spīdzināšana un slikta izturēšanās, iespējamo spīdzināšanas gadījumu izmeklēšanai un konstatējumu paziņošanai tiesai vai citām izmeklēšanas iestādēm.</w:t>
      </w:r>
      <w:r w:rsidRPr="004C4D48">
        <w:rPr>
          <w:sz w:val="26"/>
          <w:szCs w:val="26"/>
        </w:rPr>
        <w:t xml:space="preserve"> </w:t>
      </w:r>
      <w:r w:rsidR="00A76297" w:rsidRPr="004C4D48">
        <w:rPr>
          <w:noProof/>
          <w:sz w:val="26"/>
          <w:szCs w:val="26"/>
        </w:rPr>
        <w:t xml:space="preserve">Starmbulas protokolā </w:t>
      </w:r>
      <w:r w:rsidRPr="004C4D48">
        <w:rPr>
          <w:noProof/>
          <w:sz w:val="26"/>
          <w:szCs w:val="26"/>
        </w:rPr>
        <w:t>iekļauti spīdzināšanas un citu nežēlīgas, necilvēcīgas vai pazemojošas izturēšanās vai sodīšanas veidu efektīvas izmeklēšanas un dokumentēšanas principi.</w:t>
      </w:r>
      <w:r w:rsidRPr="004C4D48">
        <w:rPr>
          <w:sz w:val="26"/>
          <w:szCs w:val="26"/>
        </w:rPr>
        <w:t xml:space="preserve"> </w:t>
      </w:r>
      <w:r w:rsidRPr="004C4D48">
        <w:rPr>
          <w:noProof/>
          <w:sz w:val="26"/>
          <w:szCs w:val="26"/>
        </w:rPr>
        <w:t xml:space="preserve">Šajos principos izklāstīti minimālie standarti, kas valstīm jāievēro, lai nodrošinātu efektīvu spīdzināšanas dokumentēšanu. Apvienoto Nāciju Organizācijas Cilvēktiesību komisija 2003. gada 23. aprīļa rezolūcijā vērsa valstu uzmanību uz nepieciešamību izmantot Stambulas protokolu kā efektīvu spīdzināšanas novēršanas instrumentu. Tāpat uz šo dokumentu savās vadlīnijās atsaucas arī </w:t>
      </w:r>
      <w:r w:rsidR="00177CE5" w:rsidRPr="004C4D48">
        <w:rPr>
          <w:noProof/>
          <w:sz w:val="26"/>
          <w:szCs w:val="26"/>
        </w:rPr>
        <w:t>starptautiskās cilvēktiesību kontroles organizācijas.</w:t>
      </w:r>
      <w:r w:rsidRPr="004C4D48">
        <w:rPr>
          <w:noProof/>
          <w:sz w:val="26"/>
          <w:szCs w:val="26"/>
        </w:rPr>
        <w:t xml:space="preserve">  </w:t>
      </w:r>
    </w:p>
    <w:p w:rsidR="00A86D66" w:rsidRPr="004C4D48" w:rsidRDefault="00A86D66" w:rsidP="00A86D66">
      <w:pPr>
        <w:shd w:val="clear" w:color="auto" w:fill="FFFFFF"/>
        <w:spacing w:after="0" w:line="240" w:lineRule="auto"/>
        <w:ind w:firstLine="680"/>
        <w:jc w:val="both"/>
        <w:rPr>
          <w:rFonts w:ascii="Times New Roman" w:hAnsi="Times New Roman"/>
          <w:noProof/>
          <w:sz w:val="26"/>
          <w:szCs w:val="26"/>
        </w:rPr>
      </w:pPr>
      <w:r w:rsidRPr="004C4D48">
        <w:rPr>
          <w:rFonts w:ascii="Times New Roman" w:hAnsi="Times New Roman"/>
          <w:sz w:val="26"/>
          <w:szCs w:val="26"/>
        </w:rPr>
        <w:t xml:space="preserve">Ņemot vērā </w:t>
      </w:r>
      <w:r w:rsidR="00333FCA" w:rsidRPr="004C4D48">
        <w:rPr>
          <w:rFonts w:ascii="Times New Roman" w:hAnsi="Times New Roman"/>
          <w:sz w:val="26"/>
          <w:szCs w:val="26"/>
        </w:rPr>
        <w:t>Stambulas</w:t>
      </w:r>
      <w:r w:rsidR="00177CE5" w:rsidRPr="004C4D48">
        <w:rPr>
          <w:rFonts w:ascii="Times New Roman" w:hAnsi="Times New Roman"/>
          <w:sz w:val="26"/>
          <w:szCs w:val="26"/>
        </w:rPr>
        <w:t xml:space="preserve"> protokola nozīmīgumu</w:t>
      </w:r>
      <w:r w:rsidRPr="004C4D48">
        <w:rPr>
          <w:rFonts w:ascii="Times New Roman" w:hAnsi="Times New Roman"/>
          <w:sz w:val="26"/>
          <w:szCs w:val="26"/>
        </w:rPr>
        <w:t>, Tieslietu ministrija nodrošināja Stambulas protokola tulkošanu latviešu valodā un 2014. gada 24. februārī nosūtīja to Ieslodzījuma vietu pārvaldei ar aicinājumu ieviest kā ikdienā izmantojamu dokumentu ieslodzīto miesas bojājumu un traumu reģistrēšanai un darbinieku apmācībai</w:t>
      </w:r>
      <w:r w:rsidRPr="004C4D48">
        <w:rPr>
          <w:rFonts w:ascii="Times New Roman" w:hAnsi="Times New Roman"/>
          <w:noProof/>
          <w:sz w:val="26"/>
          <w:szCs w:val="26"/>
        </w:rPr>
        <w:t xml:space="preserve">. </w:t>
      </w:r>
    </w:p>
    <w:p w:rsidR="00A86D66" w:rsidRPr="004C4D48" w:rsidRDefault="005914AC" w:rsidP="00A86D66">
      <w:pPr>
        <w:shd w:val="clear" w:color="auto" w:fill="FFFFFF"/>
        <w:spacing w:after="0" w:line="240" w:lineRule="auto"/>
        <w:ind w:firstLine="680"/>
        <w:jc w:val="both"/>
        <w:rPr>
          <w:rFonts w:ascii="Times New Roman" w:hAnsi="Times New Roman"/>
          <w:noProof/>
          <w:sz w:val="26"/>
          <w:szCs w:val="26"/>
        </w:rPr>
      </w:pPr>
      <w:r w:rsidRPr="004C4D48">
        <w:rPr>
          <w:rFonts w:ascii="Times New Roman" w:hAnsi="Times New Roman"/>
          <w:noProof/>
          <w:sz w:val="26"/>
          <w:szCs w:val="26"/>
        </w:rPr>
        <w:t>Tāpat a</w:t>
      </w:r>
      <w:r w:rsidR="00A86D66" w:rsidRPr="004C4D48">
        <w:rPr>
          <w:rFonts w:ascii="Times New Roman" w:hAnsi="Times New Roman"/>
          <w:noProof/>
          <w:sz w:val="26"/>
          <w:szCs w:val="26"/>
        </w:rPr>
        <w:t xml:space="preserve">rī Ministru kabineta 2015. gada 2. jūnija noteikumos Nr. 276 “Apcietināto un notiesāto personu veselības aprūpes īstenošanas kārtība” </w:t>
      </w:r>
      <w:r w:rsidR="00A86D66" w:rsidRPr="004C4D48">
        <w:rPr>
          <w:rFonts w:ascii="Times New Roman" w:hAnsi="Times New Roman"/>
          <w:sz w:val="26"/>
          <w:szCs w:val="26"/>
        </w:rPr>
        <w:t>tika noteikta</w:t>
      </w:r>
      <w:r w:rsidR="00737016" w:rsidRPr="004C4D48">
        <w:rPr>
          <w:rFonts w:ascii="Times New Roman" w:hAnsi="Times New Roman"/>
          <w:sz w:val="26"/>
          <w:szCs w:val="26"/>
        </w:rPr>
        <w:t xml:space="preserve"> ieslodzījuma vietu amatpersonu </w:t>
      </w:r>
      <w:r w:rsidR="00A86D66" w:rsidRPr="004C4D48">
        <w:rPr>
          <w:rFonts w:ascii="Times New Roman" w:hAnsi="Times New Roman"/>
          <w:sz w:val="26"/>
          <w:szCs w:val="26"/>
        </w:rPr>
        <w:t xml:space="preserve">un darbinieku rīcība noteiktos gadījumos, tai skaitā medicīniskās dokumentācijas aizpildīšanā (piemēram, traumu apskates lapa). </w:t>
      </w:r>
      <w:r w:rsidR="00333FCA" w:rsidRPr="004C4D48">
        <w:rPr>
          <w:rFonts w:ascii="Times New Roman" w:hAnsi="Times New Roman"/>
          <w:sz w:val="26"/>
          <w:szCs w:val="26"/>
        </w:rPr>
        <w:t xml:space="preserve">Tādejādi, </w:t>
      </w:r>
      <w:r w:rsidR="00A86D66" w:rsidRPr="004C4D48">
        <w:rPr>
          <w:rFonts w:ascii="Times New Roman" w:hAnsi="Times New Roman"/>
          <w:sz w:val="26"/>
          <w:szCs w:val="26"/>
        </w:rPr>
        <w:t>izstrādājot minētos noteikumus, Ieslodzījuma vietu pārvalde un Tieslietu ministrija</w:t>
      </w:r>
      <w:r w:rsidR="00333FCA" w:rsidRPr="004C4D48">
        <w:rPr>
          <w:rFonts w:ascii="Times New Roman" w:hAnsi="Times New Roman"/>
          <w:sz w:val="26"/>
          <w:szCs w:val="26"/>
        </w:rPr>
        <w:t xml:space="preserve"> ir </w:t>
      </w:r>
      <w:r w:rsidR="00333FCA" w:rsidRPr="004C4D48">
        <w:rPr>
          <w:rFonts w:ascii="Times New Roman" w:hAnsi="Times New Roman"/>
          <w:sz w:val="26"/>
          <w:szCs w:val="26"/>
        </w:rPr>
        <w:lastRenderedPageBreak/>
        <w:t>ņēmušas</w:t>
      </w:r>
      <w:r w:rsidR="00A86D66" w:rsidRPr="004C4D48">
        <w:rPr>
          <w:rFonts w:ascii="Times New Roman" w:hAnsi="Times New Roman"/>
          <w:sz w:val="26"/>
          <w:szCs w:val="26"/>
        </w:rPr>
        <w:t xml:space="preserve"> vērā </w:t>
      </w:r>
      <w:r w:rsidR="00A86D66" w:rsidRPr="004C4D48">
        <w:rPr>
          <w:rFonts w:ascii="Times New Roman" w:hAnsi="Times New Roman"/>
          <w:noProof/>
          <w:sz w:val="26"/>
          <w:szCs w:val="26"/>
        </w:rPr>
        <w:t xml:space="preserve">Stambulas protokolā </w:t>
      </w:r>
      <w:r w:rsidR="00333FCA" w:rsidRPr="004C4D48">
        <w:rPr>
          <w:rFonts w:ascii="Times New Roman" w:hAnsi="Times New Roman"/>
          <w:noProof/>
          <w:sz w:val="26"/>
          <w:szCs w:val="26"/>
        </w:rPr>
        <w:t>norādīto,</w:t>
      </w:r>
      <w:r w:rsidR="00333FCA" w:rsidRPr="004C4D48">
        <w:rPr>
          <w:rFonts w:ascii="Times New Roman" w:hAnsi="Times New Roman"/>
          <w:sz w:val="26"/>
          <w:szCs w:val="26"/>
        </w:rPr>
        <w:t xml:space="preserve"> nodrošinot</w:t>
      </w:r>
      <w:r w:rsidR="00A86D66" w:rsidRPr="004C4D48">
        <w:rPr>
          <w:rFonts w:ascii="Times New Roman" w:hAnsi="Times New Roman"/>
          <w:sz w:val="26"/>
          <w:szCs w:val="26"/>
        </w:rPr>
        <w:t xml:space="preserve"> pienācīgu, vispusīgu un savlaicīgu ieslodzīto veselības aprūpes dokumentācijas aizpildīšanu.</w:t>
      </w:r>
      <w:r w:rsidR="00A86D66" w:rsidRPr="004C4D48">
        <w:rPr>
          <w:rFonts w:ascii="Times New Roman" w:hAnsi="Times New Roman"/>
          <w:noProof/>
          <w:sz w:val="26"/>
          <w:szCs w:val="26"/>
        </w:rPr>
        <w:t xml:space="preserve">  </w:t>
      </w:r>
    </w:p>
    <w:p w:rsidR="00DF5C3D" w:rsidRPr="004C4D48" w:rsidRDefault="00DF5C3D" w:rsidP="004D16A2">
      <w:pPr>
        <w:shd w:val="clear" w:color="auto" w:fill="FFFFFF"/>
        <w:spacing w:after="0" w:line="240" w:lineRule="auto"/>
        <w:jc w:val="both"/>
        <w:rPr>
          <w:rFonts w:ascii="Times New Roman" w:hAnsi="Times New Roman"/>
          <w:noProof/>
          <w:sz w:val="26"/>
          <w:szCs w:val="26"/>
        </w:rPr>
      </w:pPr>
    </w:p>
    <w:p w:rsidR="00A86D66" w:rsidRPr="004C4D48" w:rsidRDefault="00A86D66" w:rsidP="00A86D66">
      <w:pPr>
        <w:shd w:val="clear" w:color="auto" w:fill="FFFFFF"/>
        <w:spacing w:after="0" w:line="240" w:lineRule="auto"/>
        <w:ind w:firstLine="680"/>
        <w:jc w:val="both"/>
        <w:rPr>
          <w:rFonts w:ascii="Times New Roman" w:hAnsi="Times New Roman"/>
          <w:sz w:val="26"/>
          <w:szCs w:val="26"/>
        </w:rPr>
      </w:pPr>
      <w:r w:rsidRPr="004C4D48">
        <w:rPr>
          <w:rFonts w:ascii="Times New Roman" w:hAnsi="Times New Roman"/>
          <w:noProof/>
          <w:sz w:val="26"/>
          <w:szCs w:val="26"/>
        </w:rPr>
        <w:t xml:space="preserve">Ņemot vērā minēto, </w:t>
      </w:r>
      <w:r w:rsidR="000072B5" w:rsidRPr="004C4D48">
        <w:rPr>
          <w:rFonts w:ascii="Times New Roman" w:hAnsi="Times New Roman"/>
          <w:noProof/>
          <w:sz w:val="26"/>
          <w:szCs w:val="26"/>
        </w:rPr>
        <w:t>p</w:t>
      </w:r>
      <w:r w:rsidR="005914AC" w:rsidRPr="004C4D48">
        <w:rPr>
          <w:rFonts w:ascii="Times New Roman" w:hAnsi="Times New Roman"/>
          <w:noProof/>
          <w:sz w:val="26"/>
          <w:szCs w:val="26"/>
        </w:rPr>
        <w:t>rotokol</w:t>
      </w:r>
      <w:r w:rsidR="000072B5" w:rsidRPr="004C4D48">
        <w:rPr>
          <w:rFonts w:ascii="Times New Roman" w:hAnsi="Times New Roman"/>
          <w:noProof/>
          <w:sz w:val="26"/>
          <w:szCs w:val="26"/>
        </w:rPr>
        <w:t>lēmuma</w:t>
      </w:r>
      <w:r w:rsidRPr="004C4D48">
        <w:rPr>
          <w:rFonts w:ascii="Times New Roman" w:hAnsi="Times New Roman"/>
          <w:noProof/>
          <w:sz w:val="26"/>
          <w:szCs w:val="26"/>
        </w:rPr>
        <w:t xml:space="preserve"> </w:t>
      </w:r>
      <w:r w:rsidR="004C4D48" w:rsidRPr="004C4D48">
        <w:rPr>
          <w:rFonts w:ascii="Times New Roman" w:hAnsi="Times New Roman"/>
          <w:noProof/>
          <w:sz w:val="26"/>
          <w:szCs w:val="26"/>
        </w:rPr>
        <w:t xml:space="preserve">4., </w:t>
      </w:r>
      <w:r w:rsidR="005914AC" w:rsidRPr="004C4D48">
        <w:rPr>
          <w:rFonts w:ascii="Times New Roman" w:hAnsi="Times New Roman"/>
          <w:noProof/>
          <w:sz w:val="26"/>
          <w:szCs w:val="26"/>
        </w:rPr>
        <w:t>6.</w:t>
      </w:r>
      <w:r w:rsidR="004C4D48" w:rsidRPr="004C4D48">
        <w:rPr>
          <w:rFonts w:ascii="Times New Roman" w:hAnsi="Times New Roman"/>
          <w:noProof/>
          <w:sz w:val="26"/>
          <w:szCs w:val="26"/>
        </w:rPr>
        <w:t xml:space="preserve"> un 7. </w:t>
      </w:r>
      <w:r w:rsidR="005914AC" w:rsidRPr="004C4D48">
        <w:rPr>
          <w:rFonts w:ascii="Times New Roman" w:hAnsi="Times New Roman"/>
          <w:noProof/>
          <w:sz w:val="26"/>
          <w:szCs w:val="26"/>
        </w:rPr>
        <w:t>punkt</w:t>
      </w:r>
      <w:r w:rsidR="000072B5" w:rsidRPr="004C4D48">
        <w:rPr>
          <w:rFonts w:ascii="Times New Roman" w:hAnsi="Times New Roman"/>
          <w:noProof/>
          <w:sz w:val="26"/>
          <w:szCs w:val="26"/>
        </w:rPr>
        <w:t>ā</w:t>
      </w:r>
      <w:r w:rsidR="005914AC" w:rsidRPr="004C4D48">
        <w:rPr>
          <w:rFonts w:ascii="Times New Roman" w:hAnsi="Times New Roman"/>
          <w:noProof/>
          <w:sz w:val="26"/>
          <w:szCs w:val="26"/>
        </w:rPr>
        <w:t xml:space="preserve"> </w:t>
      </w:r>
      <w:r w:rsidR="00D16EBD">
        <w:rPr>
          <w:rFonts w:ascii="Times New Roman" w:hAnsi="Times New Roman"/>
          <w:noProof/>
          <w:sz w:val="26"/>
          <w:szCs w:val="26"/>
        </w:rPr>
        <w:t>Tieslietu ministrijai dotie</w:t>
      </w:r>
      <w:r w:rsidR="00EB7507">
        <w:rPr>
          <w:rFonts w:ascii="Times New Roman" w:hAnsi="Times New Roman"/>
          <w:noProof/>
          <w:sz w:val="26"/>
          <w:szCs w:val="26"/>
        </w:rPr>
        <w:t xml:space="preserve"> </w:t>
      </w:r>
      <w:r w:rsidR="005914AC" w:rsidRPr="004C4D48">
        <w:rPr>
          <w:rFonts w:ascii="Times New Roman" w:hAnsi="Times New Roman"/>
          <w:noProof/>
          <w:sz w:val="26"/>
          <w:szCs w:val="26"/>
        </w:rPr>
        <w:t>uzdevumi uzskatāmi par izpildītiem</w:t>
      </w:r>
      <w:r w:rsidRPr="004C4D48">
        <w:rPr>
          <w:rFonts w:ascii="Times New Roman" w:hAnsi="Times New Roman"/>
          <w:noProof/>
          <w:sz w:val="26"/>
          <w:szCs w:val="26"/>
        </w:rPr>
        <w:t>.</w:t>
      </w:r>
    </w:p>
    <w:p w:rsidR="00A86D66" w:rsidRPr="004C4D48" w:rsidRDefault="00A86D66" w:rsidP="00A86D66">
      <w:pPr>
        <w:autoSpaceDE w:val="0"/>
        <w:autoSpaceDN w:val="0"/>
        <w:adjustRightInd w:val="0"/>
        <w:spacing w:after="0" w:line="240" w:lineRule="auto"/>
        <w:ind w:firstLine="720"/>
        <w:jc w:val="both"/>
        <w:rPr>
          <w:rFonts w:ascii="Times New Roman" w:hAnsi="Times New Roman"/>
          <w:sz w:val="26"/>
          <w:szCs w:val="26"/>
        </w:rPr>
      </w:pPr>
    </w:p>
    <w:p w:rsidR="00574C7D" w:rsidRPr="004C4D48" w:rsidRDefault="00574C7D" w:rsidP="0083522F">
      <w:pPr>
        <w:autoSpaceDE w:val="0"/>
        <w:autoSpaceDN w:val="0"/>
        <w:adjustRightInd w:val="0"/>
        <w:spacing w:after="0" w:line="240" w:lineRule="auto"/>
        <w:ind w:firstLine="720"/>
        <w:jc w:val="both"/>
        <w:rPr>
          <w:rFonts w:ascii="Times New Roman" w:hAnsi="Times New Roman"/>
          <w:sz w:val="26"/>
          <w:szCs w:val="26"/>
        </w:rPr>
      </w:pPr>
    </w:p>
    <w:p w:rsidR="0083522F" w:rsidRPr="004C4D48" w:rsidRDefault="0083522F" w:rsidP="0083522F">
      <w:pPr>
        <w:spacing w:after="0" w:line="240" w:lineRule="auto"/>
        <w:jc w:val="both"/>
        <w:rPr>
          <w:rFonts w:ascii="Times New Roman" w:hAnsi="Times New Roman"/>
          <w:sz w:val="26"/>
          <w:szCs w:val="26"/>
        </w:rPr>
      </w:pPr>
    </w:p>
    <w:p w:rsidR="0083522F" w:rsidRPr="004C4D48" w:rsidRDefault="0083522F" w:rsidP="0083522F">
      <w:pPr>
        <w:spacing w:after="0" w:line="240" w:lineRule="auto"/>
        <w:jc w:val="both"/>
        <w:rPr>
          <w:rFonts w:ascii="Times New Roman" w:hAnsi="Times New Roman"/>
          <w:sz w:val="26"/>
          <w:szCs w:val="26"/>
        </w:rPr>
      </w:pPr>
      <w:r w:rsidRPr="004C4D48">
        <w:rPr>
          <w:rFonts w:ascii="Times New Roman" w:hAnsi="Times New Roman"/>
          <w:sz w:val="26"/>
          <w:szCs w:val="26"/>
        </w:rPr>
        <w:t>Tieslietu ministrs</w:t>
      </w:r>
      <w:r w:rsidRPr="004C4D48">
        <w:rPr>
          <w:rFonts w:ascii="Times New Roman" w:hAnsi="Times New Roman"/>
          <w:sz w:val="26"/>
          <w:szCs w:val="26"/>
        </w:rPr>
        <w:tab/>
      </w:r>
      <w:proofErr w:type="gramStart"/>
      <w:r w:rsidRPr="004C4D48">
        <w:rPr>
          <w:rFonts w:ascii="Times New Roman" w:hAnsi="Times New Roman"/>
          <w:sz w:val="26"/>
          <w:szCs w:val="26"/>
        </w:rPr>
        <w:t xml:space="preserve">                              </w:t>
      </w:r>
      <w:proofErr w:type="gramEnd"/>
      <w:r w:rsidRPr="004C4D48">
        <w:rPr>
          <w:rFonts w:ascii="Times New Roman" w:hAnsi="Times New Roman"/>
          <w:sz w:val="26"/>
          <w:szCs w:val="26"/>
        </w:rPr>
        <w:tab/>
      </w:r>
      <w:r w:rsidRPr="004C4D48">
        <w:rPr>
          <w:rFonts w:ascii="Times New Roman" w:hAnsi="Times New Roman"/>
          <w:sz w:val="26"/>
          <w:szCs w:val="26"/>
        </w:rPr>
        <w:tab/>
      </w:r>
      <w:r w:rsidRPr="004C4D48">
        <w:rPr>
          <w:rFonts w:ascii="Times New Roman" w:hAnsi="Times New Roman"/>
          <w:sz w:val="26"/>
          <w:szCs w:val="26"/>
        </w:rPr>
        <w:tab/>
      </w:r>
      <w:r w:rsidRPr="004C4D48">
        <w:rPr>
          <w:rFonts w:ascii="Times New Roman" w:hAnsi="Times New Roman"/>
          <w:sz w:val="26"/>
          <w:szCs w:val="26"/>
        </w:rPr>
        <w:tab/>
      </w:r>
      <w:r w:rsidRPr="004C4D48">
        <w:rPr>
          <w:rFonts w:ascii="Times New Roman" w:hAnsi="Times New Roman"/>
          <w:sz w:val="26"/>
          <w:szCs w:val="26"/>
        </w:rPr>
        <w:tab/>
        <w:t>Dzintars Rasnačs</w:t>
      </w:r>
    </w:p>
    <w:p w:rsidR="0083522F" w:rsidRPr="00DF5C3D" w:rsidRDefault="0083522F" w:rsidP="0083522F">
      <w:pPr>
        <w:spacing w:after="0" w:line="240" w:lineRule="auto"/>
        <w:jc w:val="both"/>
        <w:rPr>
          <w:rFonts w:ascii="Times New Roman" w:hAnsi="Times New Roman"/>
          <w:sz w:val="24"/>
          <w:szCs w:val="24"/>
        </w:rPr>
      </w:pPr>
    </w:p>
    <w:p w:rsidR="0021169F" w:rsidRPr="004C4D48" w:rsidRDefault="0021169F" w:rsidP="0083522F">
      <w:pPr>
        <w:spacing w:after="0" w:line="240" w:lineRule="auto"/>
        <w:jc w:val="both"/>
        <w:rPr>
          <w:rFonts w:ascii="Times New Roman" w:hAnsi="Times New Roman"/>
          <w:sz w:val="18"/>
          <w:szCs w:val="24"/>
        </w:rPr>
      </w:pPr>
    </w:p>
    <w:p w:rsidR="0021169F" w:rsidRPr="004C4D48" w:rsidRDefault="0021169F" w:rsidP="0083522F">
      <w:pPr>
        <w:spacing w:after="0" w:line="240" w:lineRule="auto"/>
        <w:jc w:val="both"/>
        <w:rPr>
          <w:rFonts w:ascii="Times New Roman" w:hAnsi="Times New Roman"/>
          <w:sz w:val="18"/>
          <w:szCs w:val="24"/>
        </w:rPr>
      </w:pPr>
    </w:p>
    <w:p w:rsidR="0021169F" w:rsidRPr="004C4D48" w:rsidRDefault="0021169F" w:rsidP="0083522F">
      <w:pPr>
        <w:spacing w:after="0" w:line="240" w:lineRule="auto"/>
        <w:jc w:val="both"/>
        <w:rPr>
          <w:rFonts w:ascii="Times New Roman" w:hAnsi="Times New Roman"/>
          <w:sz w:val="18"/>
          <w:szCs w:val="24"/>
        </w:rPr>
      </w:pPr>
    </w:p>
    <w:p w:rsidR="0083522F" w:rsidRPr="00B33436" w:rsidRDefault="00BF79F9" w:rsidP="0083522F">
      <w:pPr>
        <w:spacing w:after="0" w:line="240" w:lineRule="auto"/>
        <w:jc w:val="both"/>
        <w:rPr>
          <w:rFonts w:ascii="Times New Roman" w:hAnsi="Times New Roman"/>
          <w:sz w:val="20"/>
          <w:szCs w:val="20"/>
        </w:rPr>
      </w:pPr>
      <w:r>
        <w:rPr>
          <w:rFonts w:ascii="Times New Roman" w:hAnsi="Times New Roman"/>
          <w:sz w:val="20"/>
          <w:szCs w:val="20"/>
        </w:rPr>
        <w:t>18</w:t>
      </w:r>
      <w:r w:rsidR="0083522F" w:rsidRPr="004C4D48">
        <w:rPr>
          <w:rFonts w:ascii="Times New Roman" w:hAnsi="Times New Roman"/>
          <w:sz w:val="20"/>
          <w:szCs w:val="20"/>
        </w:rPr>
        <w:t>.</w:t>
      </w:r>
      <w:r w:rsidR="0021169F" w:rsidRPr="004C4D48">
        <w:rPr>
          <w:rFonts w:ascii="Times New Roman" w:hAnsi="Times New Roman"/>
          <w:sz w:val="20"/>
          <w:szCs w:val="20"/>
        </w:rPr>
        <w:t>05</w:t>
      </w:r>
      <w:r w:rsidR="0083522F" w:rsidRPr="004C4D48">
        <w:rPr>
          <w:rFonts w:ascii="Times New Roman" w:hAnsi="Times New Roman"/>
          <w:sz w:val="20"/>
          <w:szCs w:val="20"/>
        </w:rPr>
        <w:t>.</w:t>
      </w:r>
      <w:r w:rsidR="00DF5C3D" w:rsidRPr="004C4D48">
        <w:rPr>
          <w:rFonts w:ascii="Times New Roman" w:hAnsi="Times New Roman"/>
          <w:sz w:val="20"/>
          <w:szCs w:val="20"/>
        </w:rPr>
        <w:t>2016</w:t>
      </w:r>
      <w:r w:rsidR="0083522F" w:rsidRPr="004C4D48">
        <w:rPr>
          <w:rFonts w:ascii="Times New Roman" w:hAnsi="Times New Roman"/>
          <w:sz w:val="20"/>
          <w:szCs w:val="20"/>
        </w:rPr>
        <w:t xml:space="preserve"> </w:t>
      </w:r>
      <w:r>
        <w:rPr>
          <w:rFonts w:ascii="Times New Roman" w:hAnsi="Times New Roman"/>
          <w:sz w:val="20"/>
          <w:szCs w:val="20"/>
        </w:rPr>
        <w:t>9</w:t>
      </w:r>
      <w:r w:rsidR="0083522F" w:rsidRPr="004C4D48">
        <w:rPr>
          <w:rFonts w:ascii="Times New Roman" w:hAnsi="Times New Roman"/>
          <w:sz w:val="20"/>
          <w:szCs w:val="20"/>
        </w:rPr>
        <w:t>:</w:t>
      </w:r>
      <w:r>
        <w:rPr>
          <w:rFonts w:ascii="Times New Roman" w:hAnsi="Times New Roman"/>
          <w:sz w:val="20"/>
          <w:szCs w:val="20"/>
        </w:rPr>
        <w:t>56</w:t>
      </w:r>
      <w:bookmarkStart w:id="0" w:name="_GoBack"/>
      <w:bookmarkEnd w:id="0"/>
    </w:p>
    <w:p w:rsidR="0083522F" w:rsidRPr="00B33436" w:rsidRDefault="00BC1FFA" w:rsidP="0083522F">
      <w:pPr>
        <w:spacing w:after="0" w:line="240" w:lineRule="auto"/>
        <w:jc w:val="both"/>
        <w:rPr>
          <w:rFonts w:ascii="Times New Roman" w:hAnsi="Times New Roman"/>
          <w:sz w:val="20"/>
          <w:szCs w:val="20"/>
        </w:rPr>
      </w:pPr>
      <w:r>
        <w:rPr>
          <w:rFonts w:ascii="Times New Roman" w:hAnsi="Times New Roman"/>
          <w:sz w:val="20"/>
          <w:szCs w:val="20"/>
        </w:rPr>
        <w:t>871</w:t>
      </w:r>
    </w:p>
    <w:p w:rsidR="0083522F" w:rsidRPr="00B33436" w:rsidRDefault="0083522F" w:rsidP="0083522F">
      <w:pPr>
        <w:tabs>
          <w:tab w:val="center" w:pos="4394"/>
        </w:tabs>
        <w:spacing w:after="0" w:line="240" w:lineRule="auto"/>
        <w:ind w:right="-483"/>
        <w:rPr>
          <w:rFonts w:ascii="Times New Roman" w:hAnsi="Times New Roman"/>
          <w:sz w:val="20"/>
          <w:szCs w:val="20"/>
        </w:rPr>
      </w:pPr>
      <w:proofErr w:type="spellStart"/>
      <w:r w:rsidRPr="00B33436">
        <w:rPr>
          <w:rFonts w:ascii="Times New Roman" w:hAnsi="Times New Roman"/>
          <w:sz w:val="20"/>
          <w:szCs w:val="20"/>
        </w:rPr>
        <w:t>K.France-Bamblovska</w:t>
      </w:r>
      <w:proofErr w:type="spellEnd"/>
    </w:p>
    <w:p w:rsidR="0083522F" w:rsidRPr="00B33436" w:rsidRDefault="0083522F" w:rsidP="0083522F">
      <w:pPr>
        <w:tabs>
          <w:tab w:val="center" w:pos="4394"/>
        </w:tabs>
        <w:spacing w:after="0" w:line="240" w:lineRule="auto"/>
        <w:ind w:right="-483"/>
        <w:rPr>
          <w:rStyle w:val="Hipersaite"/>
          <w:rFonts w:ascii="Times New Roman" w:hAnsi="Times New Roman"/>
          <w:sz w:val="20"/>
          <w:szCs w:val="20"/>
        </w:rPr>
      </w:pPr>
      <w:bookmarkStart w:id="1" w:name="OLE_LINK1"/>
      <w:bookmarkStart w:id="2" w:name="OLE_LINK2"/>
      <w:r w:rsidRPr="00B33436">
        <w:rPr>
          <w:rFonts w:ascii="Times New Roman" w:hAnsi="Times New Roman"/>
          <w:sz w:val="20"/>
          <w:szCs w:val="20"/>
        </w:rPr>
        <w:t xml:space="preserve">67036751, </w:t>
      </w:r>
      <w:hyperlink r:id="rId9" w:history="1">
        <w:r w:rsidRPr="00B33436">
          <w:rPr>
            <w:rStyle w:val="Hipersaite"/>
            <w:rFonts w:ascii="Times New Roman" w:hAnsi="Times New Roman"/>
            <w:sz w:val="20"/>
            <w:szCs w:val="20"/>
          </w:rPr>
          <w:t>Keta.France-Bamblovska@tm.gov.lv</w:t>
        </w:r>
        <w:bookmarkEnd w:id="1"/>
        <w:bookmarkEnd w:id="2"/>
      </w:hyperlink>
    </w:p>
    <w:p w:rsidR="0013683F" w:rsidRDefault="0013683F"/>
    <w:sectPr w:rsidR="0013683F" w:rsidSect="00BF79F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1A" w:rsidRDefault="00E6331A" w:rsidP="0083522F">
      <w:pPr>
        <w:spacing w:after="0" w:line="240" w:lineRule="auto"/>
      </w:pPr>
      <w:r>
        <w:separator/>
      </w:r>
    </w:p>
  </w:endnote>
  <w:endnote w:type="continuationSeparator" w:id="0">
    <w:p w:rsidR="00E6331A" w:rsidRDefault="00E6331A" w:rsidP="0083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B5" w:rsidRPr="00DF5C3D" w:rsidRDefault="00BF79F9" w:rsidP="00BF79F9">
    <w:pPr>
      <w:pStyle w:val="Kjene"/>
      <w:jc w:val="both"/>
    </w:pPr>
    <w:r>
      <w:rPr>
        <w:rFonts w:ascii="Times New Roman" w:hAnsi="Times New Roman"/>
        <w:sz w:val="20"/>
        <w:szCs w:val="20"/>
      </w:rPr>
      <w:t>TMZino_18</w:t>
    </w:r>
    <w:r w:rsidR="0021169F">
      <w:rPr>
        <w:rFonts w:ascii="Times New Roman" w:hAnsi="Times New Roman"/>
        <w:sz w:val="20"/>
        <w:szCs w:val="20"/>
      </w:rPr>
      <w:t>05</w:t>
    </w:r>
    <w:r w:rsidR="00DF5C3D">
      <w:rPr>
        <w:rFonts w:ascii="Times New Roman" w:hAnsi="Times New Roman"/>
        <w:sz w:val="20"/>
        <w:szCs w:val="20"/>
      </w:rPr>
      <w:t>16</w:t>
    </w:r>
    <w:r w:rsidR="00DF5C3D" w:rsidRPr="00BE5A97">
      <w:rPr>
        <w:rFonts w:ascii="Times New Roman" w:hAnsi="Times New Roman"/>
        <w:sz w:val="20"/>
        <w:szCs w:val="20"/>
      </w:rPr>
      <w:t xml:space="preserve">; </w:t>
    </w:r>
    <w:r w:rsidR="00D16EBD" w:rsidRPr="00D16EBD">
      <w:rPr>
        <w:rFonts w:ascii="Times New Roman" w:hAnsi="Times New Roman"/>
        <w:sz w:val="20"/>
        <w:szCs w:val="20"/>
      </w:rPr>
      <w:t>Informatīvais ziņojums par Ministru kabineta 2014. gada 17. jūnija sēdes protokollēmuma</w:t>
    </w:r>
    <w:proofErr w:type="gramStart"/>
    <w:r w:rsidR="00D16EBD" w:rsidRPr="00D16EBD">
      <w:rPr>
        <w:rFonts w:ascii="Times New Roman" w:hAnsi="Times New Roman"/>
        <w:sz w:val="20"/>
        <w:szCs w:val="20"/>
      </w:rPr>
      <w:t xml:space="preserve">  </w:t>
    </w:r>
    <w:proofErr w:type="gramEnd"/>
    <w:r w:rsidR="00D16EBD" w:rsidRPr="00D16EBD">
      <w:rPr>
        <w:rFonts w:ascii="Times New Roman" w:hAnsi="Times New Roman"/>
        <w:sz w:val="20"/>
        <w:szCs w:val="20"/>
      </w:rPr>
      <w:t>(prot. Nr. 33 92. §) „Informatīvais ziņojums „Par gadījumiem, kad konstatēti pārkāpumi sūdzību par iespējamu vardarbību, ko izdarījušas valsts amatpersonas, pildot dienesta pienākumus, efektīvā izmeklēšanā”” 4., 6. un 7. punktā doto uzdevumu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B5" w:rsidRDefault="00BF79F9" w:rsidP="00BF79F9">
    <w:pPr>
      <w:pStyle w:val="Kjene"/>
      <w:jc w:val="both"/>
    </w:pPr>
    <w:r>
      <w:rPr>
        <w:rFonts w:ascii="Times New Roman" w:hAnsi="Times New Roman"/>
        <w:sz w:val="20"/>
        <w:szCs w:val="20"/>
      </w:rPr>
      <w:t>TMZino_18</w:t>
    </w:r>
    <w:r w:rsidR="005914AC">
      <w:rPr>
        <w:rFonts w:ascii="Times New Roman" w:hAnsi="Times New Roman"/>
        <w:sz w:val="20"/>
        <w:szCs w:val="20"/>
      </w:rPr>
      <w:t>0516</w:t>
    </w:r>
    <w:r w:rsidR="005914AC" w:rsidRPr="00BE5A97">
      <w:rPr>
        <w:rFonts w:ascii="Times New Roman" w:hAnsi="Times New Roman"/>
        <w:sz w:val="20"/>
        <w:szCs w:val="20"/>
      </w:rPr>
      <w:t xml:space="preserve">; </w:t>
    </w:r>
    <w:r w:rsidR="00D16EBD">
      <w:rPr>
        <w:rFonts w:ascii="Times New Roman" w:hAnsi="Times New Roman"/>
        <w:sz w:val="20"/>
        <w:szCs w:val="20"/>
      </w:rPr>
      <w:t xml:space="preserve">Informatīvais ziņojums </w:t>
    </w:r>
    <w:r w:rsidR="00D16EBD" w:rsidRPr="00D16EBD">
      <w:rPr>
        <w:rFonts w:ascii="Times New Roman" w:hAnsi="Times New Roman"/>
        <w:sz w:val="20"/>
        <w:szCs w:val="20"/>
      </w:rPr>
      <w:t>par Ministru kabineta 2014. gada 17. jūnija sēdes protokollēmuma</w:t>
    </w:r>
    <w:proofErr w:type="gramStart"/>
    <w:r w:rsidR="00D16EBD" w:rsidRPr="00D16EBD">
      <w:rPr>
        <w:rFonts w:ascii="Times New Roman" w:hAnsi="Times New Roman"/>
        <w:sz w:val="20"/>
        <w:szCs w:val="20"/>
      </w:rPr>
      <w:t xml:space="preserve">  </w:t>
    </w:r>
    <w:proofErr w:type="gramEnd"/>
    <w:r w:rsidR="00D16EBD" w:rsidRPr="00D16EBD">
      <w:rPr>
        <w:rFonts w:ascii="Times New Roman" w:hAnsi="Times New Roman"/>
        <w:sz w:val="20"/>
        <w:szCs w:val="20"/>
      </w:rPr>
      <w:t>(prot. Nr. 33 92. §) „Informatīvais ziņojums „Par gadījumiem, kad konstatēti pārkāpumi sūdzību par iespējamu vardarbību, ko izdarījušas valsts amatpersonas, pildot dienesta pienākumus, efektīvā izmeklēšanā”” 4., 6. un 7. punktā doto uzdevumu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1A" w:rsidRDefault="00E6331A" w:rsidP="0083522F">
      <w:pPr>
        <w:spacing w:after="0" w:line="240" w:lineRule="auto"/>
      </w:pPr>
      <w:r>
        <w:separator/>
      </w:r>
    </w:p>
  </w:footnote>
  <w:footnote w:type="continuationSeparator" w:id="0">
    <w:p w:rsidR="00E6331A" w:rsidRDefault="00E6331A" w:rsidP="00835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B5" w:rsidRDefault="00E51F65">
    <w:pPr>
      <w:pStyle w:val="Galvene"/>
      <w:jc w:val="center"/>
    </w:pPr>
    <w:r>
      <w:fldChar w:fldCharType="begin"/>
    </w:r>
    <w:r w:rsidR="00DF5C3D">
      <w:instrText>PAGE   \* MERGEFORMAT</w:instrText>
    </w:r>
    <w:r>
      <w:fldChar w:fldCharType="separate"/>
    </w:r>
    <w:r w:rsidR="00BF79F9">
      <w:rPr>
        <w:noProof/>
      </w:rPr>
      <w:t>2</w:t>
    </w:r>
    <w:r>
      <w:rPr>
        <w:noProof/>
      </w:rPr>
      <w:fldChar w:fldCharType="end"/>
    </w:r>
  </w:p>
  <w:p w:rsidR="00747FB5" w:rsidRDefault="00BF79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04"/>
    <w:multiLevelType w:val="hybridMultilevel"/>
    <w:tmpl w:val="5A7E02DC"/>
    <w:lvl w:ilvl="0" w:tplc="8544156E">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38A54C80"/>
    <w:multiLevelType w:val="hybridMultilevel"/>
    <w:tmpl w:val="09CE72CC"/>
    <w:lvl w:ilvl="0" w:tplc="6346D63C">
      <w:numFmt w:val="bullet"/>
      <w:lvlText w:val="-"/>
      <w:lvlJc w:val="left"/>
      <w:pPr>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1830038"/>
    <w:multiLevelType w:val="hybridMultilevel"/>
    <w:tmpl w:val="0D1EB9B6"/>
    <w:lvl w:ilvl="0" w:tplc="1012BE6E">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22F"/>
    <w:rsid w:val="000072B5"/>
    <w:rsid w:val="00077E13"/>
    <w:rsid w:val="0013683F"/>
    <w:rsid w:val="00177CE5"/>
    <w:rsid w:val="0021169F"/>
    <w:rsid w:val="00230259"/>
    <w:rsid w:val="002744C7"/>
    <w:rsid w:val="00333FCA"/>
    <w:rsid w:val="00356770"/>
    <w:rsid w:val="00367562"/>
    <w:rsid w:val="00423E68"/>
    <w:rsid w:val="00481A85"/>
    <w:rsid w:val="004C4D48"/>
    <w:rsid w:val="004D16A2"/>
    <w:rsid w:val="00574C7D"/>
    <w:rsid w:val="005914AC"/>
    <w:rsid w:val="00651835"/>
    <w:rsid w:val="007237E9"/>
    <w:rsid w:val="00737016"/>
    <w:rsid w:val="007D1EB8"/>
    <w:rsid w:val="0083522F"/>
    <w:rsid w:val="008F7E1D"/>
    <w:rsid w:val="009E2102"/>
    <w:rsid w:val="00A37027"/>
    <w:rsid w:val="00A76297"/>
    <w:rsid w:val="00A86D66"/>
    <w:rsid w:val="00AF5D6C"/>
    <w:rsid w:val="00B33436"/>
    <w:rsid w:val="00B662D2"/>
    <w:rsid w:val="00BC1FFA"/>
    <w:rsid w:val="00BE00A1"/>
    <w:rsid w:val="00BF79F9"/>
    <w:rsid w:val="00C6100A"/>
    <w:rsid w:val="00CF7BD0"/>
    <w:rsid w:val="00D16EBD"/>
    <w:rsid w:val="00DF5C3D"/>
    <w:rsid w:val="00DF6AD0"/>
    <w:rsid w:val="00E04ABC"/>
    <w:rsid w:val="00E51F65"/>
    <w:rsid w:val="00E57CFF"/>
    <w:rsid w:val="00E6331A"/>
    <w:rsid w:val="00E7037A"/>
    <w:rsid w:val="00EB7507"/>
    <w:rsid w:val="00ED6DA3"/>
    <w:rsid w:val="00FC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522F"/>
    <w:rPr>
      <w:rFonts w:ascii="Calibri" w:eastAsia="Calibri" w:hAnsi="Calibri" w:cs="Times New Roman"/>
    </w:rPr>
  </w:style>
  <w:style w:type="paragraph" w:styleId="Virsraksts1">
    <w:name w:val="heading 1"/>
    <w:basedOn w:val="Parasts"/>
    <w:next w:val="Parasts"/>
    <w:link w:val="Virsraksts1Rakstz"/>
    <w:qFormat/>
    <w:rsid w:val="0083522F"/>
    <w:pPr>
      <w:keepNext/>
      <w:spacing w:before="240" w:after="60" w:line="240" w:lineRule="auto"/>
      <w:outlineLvl w:val="0"/>
    </w:pPr>
    <w:rPr>
      <w:rFonts w:ascii="Cambria" w:eastAsia="Times New Roman" w:hAnsi="Cambria"/>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22F"/>
    <w:rPr>
      <w:rFonts w:ascii="Cambria" w:eastAsia="Times New Roman" w:hAnsi="Cambria" w:cs="Times New Roman"/>
      <w:b/>
      <w:bCs/>
      <w:kern w:val="32"/>
      <w:sz w:val="32"/>
      <w:szCs w:val="32"/>
      <w:lang w:eastAsia="lv-LV"/>
    </w:rPr>
  </w:style>
  <w:style w:type="character" w:styleId="Hipersaite">
    <w:name w:val="Hyperlink"/>
    <w:semiHidden/>
    <w:unhideWhenUsed/>
    <w:rsid w:val="0083522F"/>
    <w:rPr>
      <w:color w:val="0000FF"/>
      <w:u w:val="single"/>
    </w:rPr>
  </w:style>
  <w:style w:type="paragraph" w:styleId="Galvene">
    <w:name w:val="header"/>
    <w:basedOn w:val="Parasts"/>
    <w:link w:val="GalveneRakstz"/>
    <w:uiPriority w:val="99"/>
    <w:unhideWhenUsed/>
    <w:rsid w:val="008352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522F"/>
    <w:rPr>
      <w:rFonts w:ascii="Calibri" w:eastAsia="Calibri" w:hAnsi="Calibri" w:cs="Times New Roman"/>
    </w:rPr>
  </w:style>
  <w:style w:type="paragraph" w:styleId="Kjene">
    <w:name w:val="footer"/>
    <w:basedOn w:val="Parasts"/>
    <w:link w:val="KjeneRakstz"/>
    <w:uiPriority w:val="99"/>
    <w:unhideWhenUsed/>
    <w:rsid w:val="008352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522F"/>
    <w:rPr>
      <w:rFonts w:ascii="Calibri" w:eastAsia="Calibri" w:hAnsi="Calibri" w:cs="Times New Roman"/>
    </w:rPr>
  </w:style>
  <w:style w:type="paragraph" w:styleId="Sarakstarindkopa">
    <w:name w:val="List Paragraph"/>
    <w:aliases w:val="2,Strip"/>
    <w:basedOn w:val="Parasts"/>
    <w:link w:val="SarakstarindkopaRakstz"/>
    <w:qFormat/>
    <w:rsid w:val="0083522F"/>
    <w:pPr>
      <w:ind w:left="720"/>
      <w:contextualSpacing/>
    </w:pPr>
  </w:style>
  <w:style w:type="character" w:customStyle="1" w:styleId="SarakstarindkopaRakstz">
    <w:name w:val="Saraksta rindkopa Rakstz."/>
    <w:aliases w:val="2 Rakstz.,Strip Rakstz."/>
    <w:link w:val="Sarakstarindkopa"/>
    <w:rsid w:val="0083522F"/>
    <w:rPr>
      <w:rFonts w:ascii="Calibri" w:eastAsia="Calibri" w:hAnsi="Calibri" w:cs="Times New Roman"/>
    </w:rPr>
  </w:style>
  <w:style w:type="paragraph" w:styleId="Komentrateksts">
    <w:name w:val="annotation text"/>
    <w:basedOn w:val="Parasts"/>
    <w:link w:val="KomentratekstsRakstz"/>
    <w:uiPriority w:val="99"/>
    <w:unhideWhenUsed/>
    <w:rsid w:val="0083522F"/>
    <w:pPr>
      <w:spacing w:line="240" w:lineRule="auto"/>
    </w:pPr>
    <w:rPr>
      <w:sz w:val="20"/>
      <w:szCs w:val="20"/>
    </w:rPr>
  </w:style>
  <w:style w:type="character" w:customStyle="1" w:styleId="KomentratekstsRakstz">
    <w:name w:val="Komentāra teksts Rakstz."/>
    <w:basedOn w:val="Noklusjumarindkopasfonts"/>
    <w:link w:val="Komentrateksts"/>
    <w:uiPriority w:val="99"/>
    <w:rsid w:val="0083522F"/>
    <w:rPr>
      <w:rFonts w:ascii="Calibri" w:eastAsia="Calibri" w:hAnsi="Calibri" w:cs="Times New Roman"/>
      <w:sz w:val="20"/>
      <w:szCs w:val="20"/>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83522F"/>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83522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83522F"/>
    <w:rPr>
      <w:vertAlign w:val="superscript"/>
    </w:rPr>
  </w:style>
  <w:style w:type="paragraph" w:customStyle="1" w:styleId="naisf">
    <w:name w:val="naisf"/>
    <w:basedOn w:val="Parasts"/>
    <w:rsid w:val="00A86D66"/>
    <w:pPr>
      <w:suppressAutoHyphens/>
      <w:autoSpaceDN w:val="0"/>
      <w:spacing w:before="100" w:after="100" w:line="240" w:lineRule="auto"/>
    </w:pPr>
    <w:rPr>
      <w:rFonts w:ascii="Times New Roman" w:eastAsia="Times New Roman" w:hAnsi="Times New Roman"/>
      <w:sz w:val="24"/>
      <w:szCs w:val="24"/>
      <w:lang w:eastAsia="lv-LV"/>
    </w:rPr>
  </w:style>
  <w:style w:type="paragraph" w:styleId="Bezatstarpm">
    <w:name w:val="No Spacing"/>
    <w:uiPriority w:val="1"/>
    <w:qFormat/>
    <w:rsid w:val="00CF7BD0"/>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072B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72B5"/>
    <w:rPr>
      <w:rFonts w:ascii="Tahoma" w:eastAsia="Calibri" w:hAnsi="Tahoma" w:cs="Tahoma"/>
      <w:sz w:val="16"/>
      <w:szCs w:val="16"/>
    </w:rPr>
  </w:style>
  <w:style w:type="character" w:styleId="Komentraatsauce">
    <w:name w:val="annotation reference"/>
    <w:basedOn w:val="Noklusjumarindkopasfonts"/>
    <w:uiPriority w:val="99"/>
    <w:semiHidden/>
    <w:unhideWhenUsed/>
    <w:rsid w:val="000072B5"/>
    <w:rPr>
      <w:sz w:val="16"/>
      <w:szCs w:val="16"/>
    </w:rPr>
  </w:style>
  <w:style w:type="paragraph" w:styleId="Komentratma">
    <w:name w:val="annotation subject"/>
    <w:basedOn w:val="Komentrateksts"/>
    <w:next w:val="Komentrateksts"/>
    <w:link w:val="KomentratmaRakstz"/>
    <w:uiPriority w:val="99"/>
    <w:semiHidden/>
    <w:unhideWhenUsed/>
    <w:rsid w:val="000072B5"/>
    <w:rPr>
      <w:b/>
      <w:bCs/>
    </w:rPr>
  </w:style>
  <w:style w:type="character" w:customStyle="1" w:styleId="KomentratmaRakstz">
    <w:name w:val="Komentāra tēma Rakstz."/>
    <w:basedOn w:val="KomentratekstsRakstz"/>
    <w:link w:val="Komentratma"/>
    <w:uiPriority w:val="99"/>
    <w:semiHidden/>
    <w:rsid w:val="000072B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522F"/>
    <w:rPr>
      <w:rFonts w:ascii="Calibri" w:eastAsia="Calibri" w:hAnsi="Calibri" w:cs="Times New Roman"/>
    </w:rPr>
  </w:style>
  <w:style w:type="paragraph" w:styleId="Virsraksts1">
    <w:name w:val="heading 1"/>
    <w:basedOn w:val="Parasts"/>
    <w:next w:val="Parasts"/>
    <w:link w:val="Virsraksts1Rakstz"/>
    <w:qFormat/>
    <w:rsid w:val="0083522F"/>
    <w:pPr>
      <w:keepNext/>
      <w:spacing w:before="240" w:after="60" w:line="240" w:lineRule="auto"/>
      <w:outlineLvl w:val="0"/>
    </w:pPr>
    <w:rPr>
      <w:rFonts w:ascii="Cambria" w:eastAsia="Times New Roman" w:hAnsi="Cambria"/>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22F"/>
    <w:rPr>
      <w:rFonts w:ascii="Cambria" w:eastAsia="Times New Roman" w:hAnsi="Cambria" w:cs="Times New Roman"/>
      <w:b/>
      <w:bCs/>
      <w:kern w:val="32"/>
      <w:sz w:val="32"/>
      <w:szCs w:val="32"/>
      <w:lang w:eastAsia="lv-LV"/>
    </w:rPr>
  </w:style>
  <w:style w:type="character" w:styleId="Hipersaite">
    <w:name w:val="Hyperlink"/>
    <w:semiHidden/>
    <w:unhideWhenUsed/>
    <w:rsid w:val="0083522F"/>
    <w:rPr>
      <w:color w:val="0000FF"/>
      <w:u w:val="single"/>
    </w:rPr>
  </w:style>
  <w:style w:type="paragraph" w:styleId="Galvene">
    <w:name w:val="header"/>
    <w:basedOn w:val="Parasts"/>
    <w:link w:val="GalveneRakstz"/>
    <w:uiPriority w:val="99"/>
    <w:unhideWhenUsed/>
    <w:rsid w:val="008352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522F"/>
    <w:rPr>
      <w:rFonts w:ascii="Calibri" w:eastAsia="Calibri" w:hAnsi="Calibri" w:cs="Times New Roman"/>
    </w:rPr>
  </w:style>
  <w:style w:type="paragraph" w:styleId="Kjene">
    <w:name w:val="footer"/>
    <w:basedOn w:val="Parasts"/>
    <w:link w:val="KjeneRakstz"/>
    <w:uiPriority w:val="99"/>
    <w:unhideWhenUsed/>
    <w:rsid w:val="008352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522F"/>
    <w:rPr>
      <w:rFonts w:ascii="Calibri" w:eastAsia="Calibri" w:hAnsi="Calibri" w:cs="Times New Roman"/>
    </w:rPr>
  </w:style>
  <w:style w:type="paragraph" w:styleId="Sarakstarindkopa">
    <w:name w:val="List Paragraph"/>
    <w:aliases w:val="2,Strip"/>
    <w:basedOn w:val="Parasts"/>
    <w:link w:val="SarakstarindkopaRakstz"/>
    <w:qFormat/>
    <w:rsid w:val="0083522F"/>
    <w:pPr>
      <w:ind w:left="720"/>
      <w:contextualSpacing/>
    </w:pPr>
  </w:style>
  <w:style w:type="character" w:customStyle="1" w:styleId="SarakstarindkopaRakstz">
    <w:name w:val="Saraksta rindkopa Rakstz."/>
    <w:aliases w:val="2 Rakstz.,Strip Rakstz."/>
    <w:link w:val="Sarakstarindkopa"/>
    <w:rsid w:val="0083522F"/>
    <w:rPr>
      <w:rFonts w:ascii="Calibri" w:eastAsia="Calibri" w:hAnsi="Calibri" w:cs="Times New Roman"/>
    </w:rPr>
  </w:style>
  <w:style w:type="paragraph" w:styleId="Komentrateksts">
    <w:name w:val="annotation text"/>
    <w:basedOn w:val="Parasts"/>
    <w:link w:val="KomentratekstsRakstz"/>
    <w:uiPriority w:val="99"/>
    <w:unhideWhenUsed/>
    <w:rsid w:val="0083522F"/>
    <w:pPr>
      <w:spacing w:line="240" w:lineRule="auto"/>
    </w:pPr>
    <w:rPr>
      <w:sz w:val="20"/>
      <w:szCs w:val="20"/>
    </w:rPr>
  </w:style>
  <w:style w:type="character" w:customStyle="1" w:styleId="KomentratekstsRakstz">
    <w:name w:val="Komentāra teksts Rakstz."/>
    <w:basedOn w:val="Noklusjumarindkopasfonts"/>
    <w:link w:val="Komentrateksts"/>
    <w:uiPriority w:val="99"/>
    <w:rsid w:val="0083522F"/>
    <w:rPr>
      <w:rFonts w:ascii="Calibri" w:eastAsia="Calibri" w:hAnsi="Calibri" w:cs="Times New Roman"/>
      <w:sz w:val="20"/>
      <w:szCs w:val="20"/>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83522F"/>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83522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83522F"/>
    <w:rPr>
      <w:vertAlign w:val="superscript"/>
    </w:rPr>
  </w:style>
  <w:style w:type="paragraph" w:customStyle="1" w:styleId="naisf">
    <w:name w:val="naisf"/>
    <w:basedOn w:val="Parasts"/>
    <w:rsid w:val="00A86D66"/>
    <w:pPr>
      <w:suppressAutoHyphens/>
      <w:autoSpaceDN w:val="0"/>
      <w:spacing w:before="100" w:after="100" w:line="240" w:lineRule="auto"/>
    </w:pPr>
    <w:rPr>
      <w:rFonts w:ascii="Times New Roman" w:eastAsia="Times New Roman" w:hAnsi="Times New Roman"/>
      <w:sz w:val="24"/>
      <w:szCs w:val="24"/>
      <w:lang w:eastAsia="lv-LV"/>
    </w:rPr>
  </w:style>
  <w:style w:type="paragraph" w:styleId="Bezatstarpm">
    <w:name w:val="No Spacing"/>
    <w:uiPriority w:val="1"/>
    <w:qFormat/>
    <w:rsid w:val="00CF7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ta.France-Bamblovs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E8E8-358F-4B93-9BBE-AD1AF04B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4689</Words>
  <Characters>2673</Characters>
  <Application>Microsoft Office Word</Application>
  <DocSecurity>4</DocSecurity>
  <Lines>22</Lines>
  <Paragraphs>14</Paragraphs>
  <ScaleCrop>false</ScaleCrop>
  <HeadingPairs>
    <vt:vector size="2" baseType="variant">
      <vt:variant>
        <vt:lpstr>Nosaukums</vt:lpstr>
      </vt:variant>
      <vt:variant>
        <vt:i4>1</vt:i4>
      </vt:variant>
    </vt:vector>
  </HeadingPairs>
  <TitlesOfParts>
    <vt:vector size="1" baseType="lpstr">
      <vt:lpstr>Informatīvais ziņojums par Ministru kabineta 2014. gada 17. jūnija sēdes protokollēmuma  (prot. Nr. 33 92. §) „Informatīvais ziņojums „Par gadījumiem, kad konstatēti pārkāpumi sūdzību par iespējamu vardarbību, ko izdarījušas valsts amatpersonas, pildot di</vt:lpstr>
    </vt:vector>
  </TitlesOfParts>
  <Company>Tieslietu Sektors</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2014. gada 17. jūnija sēdes protokollēmuma  (prot. Nr. 33 92. §) „Informatīvais ziņojums „Par gadījumiem, kad konstatēti pārkāpumi sūdzību par iespējamu vardarbību, ko izdarījušas valsts amatpersonas, pildot dienesta pienākumus, efektīvā izmeklēšanā”” 4., 6. un 7. punktā dotā uzdevuma izpildi kabineta 2014.gada 17.jūnija sēdes protokola (prot. Nr. 33, 92.§) 4., 6. un 7. punktā doto uzdevumu izpildi</dc:title>
  <dc:subject>Informatīvais ziņojums</dc:subject>
  <dc:creator>Keta France Bamblovska</dc:creator>
  <dc:description>K.France-Bamblovska 67036751
Keta.France-Bamblovska@tm.gov.lv</dc:description>
  <cp:lastModifiedBy>Keta France Bamblovska</cp:lastModifiedBy>
  <cp:revision>2</cp:revision>
  <dcterms:created xsi:type="dcterms:W3CDTF">2016-05-18T06:58:00Z</dcterms:created>
  <dcterms:modified xsi:type="dcterms:W3CDTF">2016-05-18T06:58:00Z</dcterms:modified>
</cp:coreProperties>
</file>