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p>
    <w:p w:rsidR="007A191D" w:rsidRDefault="00B92EA3" w:rsidP="008D42C3">
      <w:pPr>
        <w:jc w:val="center"/>
        <w:rPr>
          <w:b/>
        </w:rPr>
      </w:pPr>
      <w:r w:rsidRPr="00053EE4">
        <w:rPr>
          <w:b/>
        </w:rPr>
        <w:t xml:space="preserve">Ministru kabineta </w:t>
      </w:r>
      <w:r w:rsidR="00546C48" w:rsidRPr="00053EE4">
        <w:rPr>
          <w:b/>
        </w:rPr>
        <w:t>rīkojuma</w:t>
      </w:r>
      <w:r w:rsidRPr="00053EE4">
        <w:rPr>
          <w:b/>
        </w:rPr>
        <w:t xml:space="preserve"> projekt</w:t>
      </w:r>
      <w:r w:rsidR="007B0E78">
        <w:rPr>
          <w:b/>
        </w:rPr>
        <w:t>s</w:t>
      </w:r>
      <w:r w:rsidR="002C5F6B">
        <w:rPr>
          <w:b/>
        </w:rPr>
        <w:t xml:space="preserve"> </w:t>
      </w:r>
    </w:p>
    <w:p w:rsidR="009157AB" w:rsidRPr="009157AB" w:rsidRDefault="007B0E78" w:rsidP="009157AB">
      <w:pPr>
        <w:jc w:val="center"/>
        <w:rPr>
          <w:b/>
          <w:bCs/>
        </w:rPr>
      </w:pPr>
      <w:r>
        <w:rPr>
          <w:b/>
          <w:bCs/>
        </w:rPr>
        <w:t>“</w:t>
      </w:r>
      <w:r w:rsidR="009157AB" w:rsidRPr="009157AB">
        <w:rPr>
          <w:b/>
          <w:bCs/>
        </w:rPr>
        <w:t xml:space="preserve">Par valstij dividendēs izmaksājamo </w:t>
      </w:r>
    </w:p>
    <w:p w:rsidR="007B0E78" w:rsidRPr="00885B60" w:rsidRDefault="009157AB" w:rsidP="009157AB">
      <w:pPr>
        <w:jc w:val="center"/>
        <w:rPr>
          <w:b/>
          <w:color w:val="000000"/>
        </w:rPr>
      </w:pPr>
      <w:r w:rsidRPr="009157AB">
        <w:rPr>
          <w:b/>
          <w:bCs/>
        </w:rPr>
        <w:t>valsts sabiedrības ar ierobežotu atbildību “Daugavpils psihoneiroloģiskā slimnīca”, valsts sabiedrības ar ierobežotu atbildību “Aknīstes psihoneiroloģiskā slimnīca”, valsts sabiedrības ar ierobežotu atbildību “Bērnu psihoneiroloģiskā slimnīca “Ainaži””, valsts sabiedrības ar ierobežotu atbildību “Strenču psihoneiroloģiskā slimnīca”, valsts sabiedrības ar ierobežotu atbildību “Bērnu klīniskā universitātes slimnīca”, valsts sabiedrības ar ierobežotu atbildību „Nacionālais rehabilitācijas centrs „Vaivari”” peļņas daļu</w:t>
      </w:r>
      <w:r w:rsidR="007B0E78">
        <w:rPr>
          <w:b/>
          <w:bCs/>
        </w:rPr>
        <w:t xml:space="preserve">” </w:t>
      </w:r>
    </w:p>
    <w:p w:rsidR="00B92EA3" w:rsidRPr="0044465E" w:rsidRDefault="00D570CF" w:rsidP="008D42C3">
      <w:pPr>
        <w:jc w:val="center"/>
        <w:rPr>
          <w:b/>
        </w:rPr>
      </w:pPr>
      <w:r w:rsidRPr="00053EE4">
        <w:rPr>
          <w:b/>
        </w:rPr>
        <w:t>sākotnējās ietekmes</w:t>
      </w:r>
      <w:r w:rsidRPr="00053EE4">
        <w:rPr>
          <w:b/>
          <w:color w:val="000000"/>
        </w:rPr>
        <w:t xml:space="preserve"> novērtējuma ziņojums (</w:t>
      </w:r>
      <w:r w:rsidR="00B92EA3" w:rsidRPr="00053EE4">
        <w:rPr>
          <w:b/>
        </w:rPr>
        <w:t>anotācija</w:t>
      </w:r>
      <w:r w:rsidRPr="00053EE4">
        <w:rPr>
          <w:b/>
        </w:rPr>
        <w:t>)</w:t>
      </w:r>
    </w:p>
    <w:p w:rsidR="00F12091" w:rsidRPr="0044465E" w:rsidRDefault="00F12091"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83"/>
        <w:gridCol w:w="2291"/>
        <w:gridCol w:w="6627"/>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805794">
        <w:trPr>
          <w:trHeight w:val="18"/>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9157AB" w:rsidP="00DD62AA">
            <w:pPr>
              <w:jc w:val="both"/>
            </w:pPr>
            <w:r w:rsidRPr="009157AB">
              <w:t>Publiskas personas kapitāla daļu un kapitālsabiedrību pārvaldības likuma 28.panta ceturtā daļa, Ministru kabineta 20115.gada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14.punkts</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w:t>
            </w:r>
            <w:r w:rsidR="007E6501">
              <w:t>s</w:t>
            </w:r>
            <w:r w:rsidRPr="0044465E">
              <w:t>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9157AB" w:rsidP="00271EE3">
            <w:pPr>
              <w:jc w:val="both"/>
              <w:rPr>
                <w:color w:val="000000" w:themeColor="text1"/>
              </w:rPr>
            </w:pPr>
            <w:r w:rsidRPr="009157AB">
              <w:t>Projekts sagatavots ievērojot to, ka Veselības ministrija kā valsts kapitāla daļu turētāja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13. punktā minētajā termiņā nav vienojusies ar Finanšu ministriju un Pārresoru koordinācijas centru kā koordinācijas institūciju par tās iesniegto priekšlikumu. Tāpēc koordinācijas institūcija atbilstoši likumā noteiktajam iesniedz Ministru kabinetā Informatīvo ziņojumu un attiecīgu Ministru kabineta rīkojuma projektu.</w:t>
            </w: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r w:rsidRPr="0044465E">
              <w:t>Pārresoru koordinācijas centrs</w:t>
            </w:r>
          </w:p>
        </w:tc>
      </w:tr>
      <w:tr w:rsidR="00F12091" w:rsidRPr="0044465E"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373EBE" w:rsidP="0044465E">
            <w:r w:rsidRPr="0044465E">
              <w:t>Nav</w:t>
            </w:r>
          </w:p>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CA01F0" w:rsidRPr="0044465E" w:rsidTr="00BD7C01">
        <w:tc>
          <w:tcPr>
            <w:tcW w:w="675" w:type="dxa"/>
          </w:tcPr>
          <w:p w:rsidR="00CA01F0" w:rsidRPr="0044465E" w:rsidRDefault="00CA01F0" w:rsidP="00CA01F0">
            <w:r w:rsidRPr="0044465E">
              <w:t>1.</w:t>
            </w:r>
          </w:p>
        </w:tc>
        <w:tc>
          <w:tcPr>
            <w:tcW w:w="2268" w:type="dxa"/>
          </w:tcPr>
          <w:p w:rsidR="00CA01F0" w:rsidRPr="0044465E" w:rsidRDefault="00CA01F0" w:rsidP="00CA01F0">
            <w:r>
              <w:t xml:space="preserve">Sabiedrības mērķgrupas, kuras tiesiskais regulējums ietekmē vai varētu ietekmēt </w:t>
            </w:r>
          </w:p>
        </w:tc>
        <w:tc>
          <w:tcPr>
            <w:tcW w:w="6521" w:type="dxa"/>
          </w:tcPr>
          <w:p w:rsidR="00CA01F0" w:rsidRDefault="00CA01F0" w:rsidP="00CA01F0">
            <w:r>
              <w:t>Rīkojuma projekts šo jomu neskar.</w:t>
            </w:r>
          </w:p>
        </w:tc>
      </w:tr>
      <w:tr w:rsidR="00CA01F0" w:rsidRPr="0044465E" w:rsidTr="00BD7C01">
        <w:tc>
          <w:tcPr>
            <w:tcW w:w="675" w:type="dxa"/>
          </w:tcPr>
          <w:p w:rsidR="00CA01F0" w:rsidRPr="0044465E" w:rsidRDefault="00CA01F0" w:rsidP="00CA01F0">
            <w:r w:rsidRPr="0044465E">
              <w:t>2.</w:t>
            </w:r>
          </w:p>
        </w:tc>
        <w:tc>
          <w:tcPr>
            <w:tcW w:w="2268" w:type="dxa"/>
          </w:tcPr>
          <w:p w:rsidR="00CA01F0" w:rsidRPr="0044465E" w:rsidRDefault="00CA01F0" w:rsidP="00CA01F0">
            <w:r>
              <w:t>Tiesiskā regulējuma ietekme uz tautsaimniecību un administratīvo slogu</w:t>
            </w:r>
          </w:p>
        </w:tc>
        <w:tc>
          <w:tcPr>
            <w:tcW w:w="6521" w:type="dxa"/>
          </w:tcPr>
          <w:p w:rsidR="00CA01F0" w:rsidRPr="0044465E" w:rsidRDefault="00CA01F0" w:rsidP="00CA01F0">
            <w:r>
              <w:t>Sabiedrības grupām rīkojuma p</w:t>
            </w:r>
            <w:r w:rsidRPr="0044465E">
              <w:t>rojekt</w:t>
            </w:r>
            <w:r>
              <w:t>a tiesiskais regulējums nemaina tiesības un pienākumus</w:t>
            </w:r>
            <w:r w:rsidRPr="0044465E">
              <w:t>.</w:t>
            </w:r>
          </w:p>
        </w:tc>
      </w:tr>
      <w:tr w:rsidR="00CA01F0" w:rsidRPr="0044465E" w:rsidTr="00BD7C01">
        <w:tc>
          <w:tcPr>
            <w:tcW w:w="675" w:type="dxa"/>
          </w:tcPr>
          <w:p w:rsidR="00CA01F0" w:rsidRPr="0044465E" w:rsidRDefault="00CA01F0" w:rsidP="00CA01F0">
            <w:r>
              <w:t>3.</w:t>
            </w:r>
          </w:p>
        </w:tc>
        <w:tc>
          <w:tcPr>
            <w:tcW w:w="2268" w:type="dxa"/>
          </w:tcPr>
          <w:p w:rsidR="00CA01F0" w:rsidRDefault="00CA01F0" w:rsidP="00CA01F0">
            <w:r>
              <w:t xml:space="preserve">Administratīvo izmaksu monetārs </w:t>
            </w:r>
          </w:p>
          <w:p w:rsidR="00CA01F0" w:rsidRDefault="00CA01F0" w:rsidP="00CA01F0">
            <w:r>
              <w:lastRenderedPageBreak/>
              <w:t>novērtējums</w:t>
            </w:r>
          </w:p>
        </w:tc>
        <w:tc>
          <w:tcPr>
            <w:tcW w:w="6521" w:type="dxa"/>
          </w:tcPr>
          <w:p w:rsidR="00CA01F0" w:rsidRDefault="00CA01F0" w:rsidP="00CA01F0">
            <w:r>
              <w:lastRenderedPageBreak/>
              <w:t>Rīkojuma projekts šo jomu neskar.</w:t>
            </w:r>
          </w:p>
        </w:tc>
      </w:tr>
      <w:tr w:rsidR="00CA01F0" w:rsidRPr="0044465E" w:rsidTr="00BD7C01">
        <w:tc>
          <w:tcPr>
            <w:tcW w:w="675" w:type="dxa"/>
          </w:tcPr>
          <w:p w:rsidR="00CA01F0" w:rsidRPr="0044465E" w:rsidRDefault="00CA01F0" w:rsidP="00CA01F0">
            <w:r>
              <w:lastRenderedPageBreak/>
              <w:t>4</w:t>
            </w:r>
            <w:r w:rsidRPr="0044465E">
              <w:t>.</w:t>
            </w:r>
          </w:p>
        </w:tc>
        <w:tc>
          <w:tcPr>
            <w:tcW w:w="2268" w:type="dxa"/>
          </w:tcPr>
          <w:p w:rsidR="00CA01F0" w:rsidRPr="0044465E" w:rsidRDefault="00CA01F0" w:rsidP="00CA01F0">
            <w:r w:rsidRPr="0044465E">
              <w:t>Cita informācija</w:t>
            </w:r>
          </w:p>
        </w:tc>
        <w:tc>
          <w:tcPr>
            <w:tcW w:w="6521" w:type="dxa"/>
          </w:tcPr>
          <w:p w:rsidR="00CA01F0" w:rsidRPr="0044465E" w:rsidRDefault="00CA01F0" w:rsidP="00CA01F0">
            <w:r w:rsidRPr="0044465E">
              <w:t>Nav</w:t>
            </w:r>
          </w:p>
        </w:tc>
      </w:tr>
    </w:tbl>
    <w:p w:rsidR="002C24EA" w:rsidRDefault="002C24EA" w:rsidP="002C24EA"/>
    <w:tbl>
      <w:tblPr>
        <w:tblW w:w="4931"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91"/>
        <w:gridCol w:w="1807"/>
        <w:gridCol w:w="1506"/>
        <w:gridCol w:w="1355"/>
        <w:gridCol w:w="1356"/>
        <w:gridCol w:w="950"/>
      </w:tblGrid>
      <w:tr w:rsidR="00A21058" w:rsidRPr="00526181" w:rsidTr="00F452A6">
        <w:trPr>
          <w:trHeight w:val="360"/>
        </w:trPr>
        <w:tc>
          <w:tcPr>
            <w:tcW w:w="9490" w:type="dxa"/>
            <w:gridSpan w:val="6"/>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rPr>
                <w:b/>
                <w:bCs/>
                <w:color w:val="414142"/>
              </w:rPr>
            </w:pPr>
            <w:r w:rsidRPr="00F452A6">
              <w:rPr>
                <w:b/>
                <w:bCs/>
                <w:color w:val="414142"/>
              </w:rPr>
              <w:t>III. Tiesību akta projekta ietekme uz valsts budžetu un pašvaldību budžetiem</w:t>
            </w:r>
          </w:p>
        </w:tc>
      </w:tr>
      <w:tr w:rsidR="00A21058" w:rsidRPr="00526181" w:rsidTr="00F452A6">
        <w:tc>
          <w:tcPr>
            <w:tcW w:w="2571" w:type="dxa"/>
            <w:vMerge w:val="restart"/>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rPr>
                <w:b/>
                <w:bCs/>
              </w:rPr>
            </w:pPr>
            <w:r w:rsidRPr="00F452A6">
              <w:rPr>
                <w:b/>
                <w:bCs/>
              </w:rPr>
              <w:t>Rādītāji</w:t>
            </w:r>
          </w:p>
        </w:tc>
        <w:tc>
          <w:tcPr>
            <w:tcW w:w="328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rPr>
                <w:b/>
                <w:bCs/>
              </w:rPr>
            </w:pPr>
            <w:r w:rsidRPr="00F452A6">
              <w:rPr>
                <w:b/>
                <w:bCs/>
              </w:rPr>
              <w:t>2016</w:t>
            </w:r>
          </w:p>
        </w:tc>
        <w:tc>
          <w:tcPr>
            <w:tcW w:w="3632" w:type="dxa"/>
            <w:gridSpan w:val="3"/>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Turpmākie trīs gadi (</w:t>
            </w:r>
            <w:r w:rsidRPr="00F452A6">
              <w:rPr>
                <w:i/>
              </w:rPr>
              <w:t>euro</w:t>
            </w:r>
            <w:r w:rsidRPr="00F452A6">
              <w:t>)</w:t>
            </w:r>
          </w:p>
        </w:tc>
      </w:tr>
      <w:tr w:rsidR="00A21058" w:rsidRPr="00526181" w:rsidTr="00F452A6">
        <w:tc>
          <w:tcPr>
            <w:tcW w:w="2571"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rPr>
                <w:b/>
                <w:bCs/>
              </w:rPr>
            </w:pPr>
          </w:p>
        </w:tc>
        <w:tc>
          <w:tcPr>
            <w:tcW w:w="3287" w:type="dxa"/>
            <w:gridSpan w:val="2"/>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rPr>
                <w:b/>
                <w:bCs/>
              </w:rPr>
            </w:pPr>
          </w:p>
        </w:tc>
        <w:tc>
          <w:tcPr>
            <w:tcW w:w="1344"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jc w:val="center"/>
              <w:rPr>
                <w:b/>
                <w:bCs/>
              </w:rPr>
            </w:pPr>
            <w:r w:rsidRPr="00F452A6">
              <w:rPr>
                <w:b/>
                <w:bCs/>
              </w:rPr>
              <w:t>2017</w:t>
            </w:r>
          </w:p>
        </w:tc>
        <w:tc>
          <w:tcPr>
            <w:tcW w:w="1345"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hanging="29"/>
              <w:jc w:val="center"/>
              <w:rPr>
                <w:b/>
                <w:bCs/>
              </w:rPr>
            </w:pPr>
            <w:r w:rsidRPr="00F452A6">
              <w:rPr>
                <w:b/>
                <w:bCs/>
              </w:rPr>
              <w:t>2018</w:t>
            </w:r>
          </w:p>
        </w:tc>
        <w:tc>
          <w:tcPr>
            <w:tcW w:w="943"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jc w:val="center"/>
              <w:rPr>
                <w:b/>
                <w:bCs/>
              </w:rPr>
            </w:pPr>
            <w:r w:rsidRPr="00F452A6">
              <w:rPr>
                <w:b/>
                <w:bCs/>
              </w:rPr>
              <w:t>2019</w:t>
            </w:r>
          </w:p>
        </w:tc>
      </w:tr>
      <w:tr w:rsidR="00A21058" w:rsidRPr="00526181" w:rsidTr="00F452A6">
        <w:tc>
          <w:tcPr>
            <w:tcW w:w="2571"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rPr>
                <w:b/>
                <w:bCs/>
              </w:rPr>
            </w:pPr>
          </w:p>
        </w:tc>
        <w:tc>
          <w:tcPr>
            <w:tcW w:w="1793"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jc w:val="center"/>
            </w:pPr>
            <w:r w:rsidRPr="00F452A6">
              <w:t>saskaņā ar valsts budžetu kārtējam gadam</w:t>
            </w:r>
          </w:p>
        </w:tc>
        <w:tc>
          <w:tcPr>
            <w:tcW w:w="1494"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jc w:val="center"/>
            </w:pPr>
            <w:r w:rsidRPr="00F452A6">
              <w:t>izmaiņas kārtējā gadā, salīdzinot ar valsts budžetu kārtējam gadam</w:t>
            </w:r>
          </w:p>
        </w:tc>
        <w:tc>
          <w:tcPr>
            <w:tcW w:w="1344"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jc w:val="center"/>
            </w:pPr>
            <w:r w:rsidRPr="00F452A6">
              <w:t>izmaiņas, salīdzinot ar kārtējo (n) gadu</w:t>
            </w:r>
          </w:p>
        </w:tc>
        <w:tc>
          <w:tcPr>
            <w:tcW w:w="1345"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jc w:val="center"/>
            </w:pPr>
            <w:r w:rsidRPr="00F452A6">
              <w:t>izmaiņas, salīdzinot ar kārtējo (n) gadu</w:t>
            </w:r>
          </w:p>
        </w:tc>
        <w:tc>
          <w:tcPr>
            <w:tcW w:w="943"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jc w:val="center"/>
            </w:pPr>
            <w:r w:rsidRPr="00F452A6">
              <w:t>izmaiņas, salīdzinot ar kārtējo (n) gadu</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1</w:t>
            </w:r>
          </w:p>
        </w:tc>
        <w:tc>
          <w:tcPr>
            <w:tcW w:w="1793"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2</w:t>
            </w:r>
          </w:p>
        </w:tc>
        <w:tc>
          <w:tcPr>
            <w:tcW w:w="1494"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3</w:t>
            </w:r>
          </w:p>
        </w:tc>
        <w:tc>
          <w:tcPr>
            <w:tcW w:w="1344"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4</w:t>
            </w:r>
          </w:p>
        </w:tc>
        <w:tc>
          <w:tcPr>
            <w:tcW w:w="1345"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5</w:t>
            </w:r>
          </w:p>
        </w:tc>
        <w:tc>
          <w:tcPr>
            <w:tcW w:w="943"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pPr>
              <w:spacing w:before="100" w:beforeAutospacing="1" w:after="100" w:afterAutospacing="1" w:line="360" w:lineRule="auto"/>
              <w:ind w:firstLine="374"/>
              <w:jc w:val="center"/>
            </w:pPr>
            <w:r w:rsidRPr="00F452A6">
              <w:t>6</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1. Budžeta ieņēmumi:</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1.1. valsts pamatbudžets, tai skaitā ieņēmumi no maksas pakalpojumiem un citi pašu ieņēmumi</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157 549 627</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-69 684,30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1.2. valsts speciālais 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1.3. pašvaldību 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2. Budžeta izdevumi:</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2.1. valsts pamatbudžets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2.2. valsts speciālais 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2.3. pašvaldību 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3. Finansiālā ietekme:</w:t>
            </w:r>
          </w:p>
        </w:tc>
        <w:tc>
          <w:tcPr>
            <w:tcW w:w="1793" w:type="dxa"/>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r w:rsidRPr="00F452A6">
              <w:t> </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3.1. valsts pamatbudžets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157 549 627</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-69 684,30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3.2. speciālais 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3.3. pašvaldību budžets</w:t>
            </w:r>
          </w:p>
        </w:tc>
        <w:tc>
          <w:tcPr>
            <w:tcW w:w="179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vMerge w:val="restart"/>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4. Finanšu līdzekļi papildu izdevumu finansēšanai (kompensējošu izdevumu samazinājumu norāda ar "+" zīmi)</w:t>
            </w:r>
          </w:p>
        </w:tc>
        <w:tc>
          <w:tcPr>
            <w:tcW w:w="1793" w:type="dxa"/>
            <w:vMerge w:val="restart"/>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pPr>
              <w:spacing w:before="100" w:beforeAutospacing="1" w:after="100" w:afterAutospacing="1" w:line="360" w:lineRule="auto"/>
              <w:ind w:firstLine="374"/>
              <w:jc w:val="center"/>
            </w:pPr>
            <w:r w:rsidRPr="00F452A6">
              <w:t>X</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793"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793"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5. Precizēta finansiālā ietekme:</w:t>
            </w:r>
          </w:p>
        </w:tc>
        <w:tc>
          <w:tcPr>
            <w:tcW w:w="1793" w:type="dxa"/>
            <w:vMerge w:val="restart"/>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pPr>
              <w:spacing w:before="100" w:beforeAutospacing="1" w:after="100" w:afterAutospacing="1" w:line="360" w:lineRule="auto"/>
              <w:ind w:firstLine="374"/>
              <w:jc w:val="center"/>
            </w:pPr>
            <w:r w:rsidRPr="00F452A6">
              <w:t>X</w:t>
            </w:r>
          </w:p>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5.1. valsts pamatbudžets</w:t>
            </w:r>
          </w:p>
        </w:tc>
        <w:tc>
          <w:tcPr>
            <w:tcW w:w="1793"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5.2. speciālais budžets</w:t>
            </w:r>
          </w:p>
        </w:tc>
        <w:tc>
          <w:tcPr>
            <w:tcW w:w="1793"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5.3. pašvaldību budžets</w:t>
            </w:r>
          </w:p>
        </w:tc>
        <w:tc>
          <w:tcPr>
            <w:tcW w:w="1793" w:type="dxa"/>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c>
          <w:tcPr>
            <w:tcW w:w="149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4"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1345"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0</w:t>
            </w:r>
          </w:p>
        </w:tc>
        <w:tc>
          <w:tcPr>
            <w:tcW w:w="943"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 xml:space="preserve">6. Detalizēts ieņēmumu un izdevumu aprēķins (ja nepieciešams, detalizētu </w:t>
            </w:r>
            <w:r w:rsidRPr="00F452A6">
              <w:lastRenderedPageBreak/>
              <w:t>ieņēmumu un izdevumu aprēķinu var pievienot anotācijas pielikumā):</w:t>
            </w:r>
          </w:p>
        </w:tc>
        <w:tc>
          <w:tcPr>
            <w:tcW w:w="6919" w:type="dxa"/>
            <w:gridSpan w:val="5"/>
            <w:vMerge w:val="restart"/>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r w:rsidRPr="00F452A6">
              <w:lastRenderedPageBreak/>
              <w:t>Nav attiecināms.</w:t>
            </w:r>
          </w:p>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lastRenderedPageBreak/>
              <w:t>6.1. detalizēts ieņēmumu aprēķins</w:t>
            </w:r>
          </w:p>
        </w:tc>
        <w:tc>
          <w:tcPr>
            <w:tcW w:w="6919" w:type="dxa"/>
            <w:gridSpan w:val="5"/>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r>
      <w:tr w:rsidR="00A21058" w:rsidRPr="00526181" w:rsidTr="00F452A6">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6.2. detalizēts izdevumu aprēķins</w:t>
            </w:r>
          </w:p>
        </w:tc>
        <w:tc>
          <w:tcPr>
            <w:tcW w:w="6919" w:type="dxa"/>
            <w:gridSpan w:val="5"/>
            <w:vMerge/>
            <w:tcBorders>
              <w:top w:val="outset" w:sz="6" w:space="0" w:color="414142"/>
              <w:left w:val="outset" w:sz="6" w:space="0" w:color="414142"/>
              <w:bottom w:val="outset" w:sz="6" w:space="0" w:color="414142"/>
              <w:right w:val="outset" w:sz="6" w:space="0" w:color="414142"/>
            </w:tcBorders>
            <w:vAlign w:val="center"/>
            <w:hideMark/>
          </w:tcPr>
          <w:p w:rsidR="00A21058" w:rsidRPr="00F452A6" w:rsidRDefault="00A21058" w:rsidP="00E95946"/>
        </w:tc>
      </w:tr>
      <w:tr w:rsidR="00A21058" w:rsidRPr="00526181" w:rsidTr="00F452A6">
        <w:trPr>
          <w:trHeight w:val="555"/>
        </w:trPr>
        <w:tc>
          <w:tcPr>
            <w:tcW w:w="2571" w:type="dxa"/>
            <w:tcBorders>
              <w:top w:val="outset" w:sz="6" w:space="0" w:color="414142"/>
              <w:left w:val="outset" w:sz="6" w:space="0" w:color="414142"/>
              <w:bottom w:val="outset" w:sz="6" w:space="0" w:color="414142"/>
              <w:right w:val="outset" w:sz="6" w:space="0" w:color="414142"/>
            </w:tcBorders>
            <w:hideMark/>
          </w:tcPr>
          <w:p w:rsidR="00A21058" w:rsidRPr="00F452A6" w:rsidRDefault="00A21058" w:rsidP="00E95946">
            <w:r w:rsidRPr="00F452A6">
              <w:t>7. Cita informācija</w:t>
            </w:r>
          </w:p>
        </w:tc>
        <w:tc>
          <w:tcPr>
            <w:tcW w:w="6919" w:type="dxa"/>
            <w:gridSpan w:val="5"/>
            <w:tcBorders>
              <w:top w:val="outset" w:sz="6" w:space="0" w:color="414142"/>
              <w:left w:val="outset" w:sz="6" w:space="0" w:color="414142"/>
              <w:bottom w:val="outset" w:sz="6" w:space="0" w:color="414142"/>
              <w:right w:val="outset" w:sz="6" w:space="0" w:color="414142"/>
            </w:tcBorders>
            <w:hideMark/>
          </w:tcPr>
          <w:p w:rsidR="00A21058" w:rsidRPr="00F452A6" w:rsidRDefault="00A21058" w:rsidP="00A21058">
            <w:pPr>
              <w:jc w:val="both"/>
            </w:pPr>
            <w:r w:rsidRPr="00F452A6">
              <w:t xml:space="preserve">Papildus informācija ietverta </w:t>
            </w:r>
            <w:r w:rsidRPr="00F452A6">
              <w:rPr>
                <w:color w:val="000000" w:themeColor="text1"/>
              </w:rPr>
              <w:t>informatīvā ziņojuma par valsts sabiedrības ar ierobežotu atbildību “Daugavpils psihoneiroloģiskā slimnīca”, valsts sabiedrības ar ierobežotu atbildību “Aknīstes psihoneiroloģiskā slimnīca”, valsts sabiedrības ar ierobežotu atbildību “Bērnu psihoneiroloģiskā slimnīca “Ainaži””, valsts sabiedrības ar ierobežotu atbildību “Strenču psihoneiroloģiskā slimnīca”, valsts sabiedrības ar ierobežotu atbildību “Bērnu klīniskā universitātes slimnīca”, valsts sabiedrības ar ierobežotu atbildību „Nacionālais rehabilitācijas centrs „Vaivari”” dividendēs izmaksājamo peļņas daļu projektā</w:t>
            </w:r>
          </w:p>
        </w:tc>
      </w:tr>
    </w:tbl>
    <w:p w:rsidR="00A21058" w:rsidRDefault="00A21058"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A140E0" w:rsidRDefault="002C24EA" w:rsidP="00A140E0">
            <w:pPr>
              <w:jc w:val="both"/>
            </w:pPr>
            <w:r>
              <w:t>Pārresoru koordinācijas centrs</w:t>
            </w:r>
            <w:r w:rsidR="00A140E0">
              <w:t xml:space="preserve">, Finanšu ministrija, </w:t>
            </w:r>
            <w:r w:rsidR="009157AB">
              <w:t>Veselības</w:t>
            </w:r>
            <w:r w:rsidR="00A140E0">
              <w:t xml:space="preserve"> ministrija.</w:t>
            </w:r>
          </w:p>
          <w:p w:rsidR="002C24EA" w:rsidRPr="0044465E" w:rsidRDefault="002C24EA" w:rsidP="002C24EA">
            <w:pPr>
              <w:jc w:val="both"/>
            </w:pPr>
          </w:p>
        </w:tc>
      </w:tr>
      <w:tr w:rsidR="002C24EA" w:rsidRPr="0044465E" w:rsidTr="00517334">
        <w:tc>
          <w:tcPr>
            <w:tcW w:w="534" w:type="dxa"/>
          </w:tcPr>
          <w:p w:rsidR="002C24EA" w:rsidRPr="0044465E" w:rsidRDefault="002C24EA" w:rsidP="00517334">
            <w:r w:rsidRPr="0044465E">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cilvēkresursiem </w:t>
            </w:r>
          </w:p>
        </w:tc>
        <w:tc>
          <w:tcPr>
            <w:tcW w:w="6662" w:type="dxa"/>
          </w:tcPr>
          <w:p w:rsidR="00A15989" w:rsidRPr="0044465E" w:rsidRDefault="00A15989" w:rsidP="00A15989">
            <w:pPr>
              <w:jc w:val="both"/>
            </w:pPr>
            <w:r>
              <w:t xml:space="preserve">Saistībā ar rīkojuma projektu nav nepieciešams veidot </w:t>
            </w:r>
            <w:r w:rsidR="007A191D">
              <w:t xml:space="preserve">jaunas vai reorganizēt, likvidēt esošās institūcijas. </w:t>
            </w:r>
          </w:p>
        </w:tc>
      </w:tr>
      <w:tr w:rsidR="002C24EA" w:rsidRPr="0044465E" w:rsidTr="00517334">
        <w:tc>
          <w:tcPr>
            <w:tcW w:w="534" w:type="dxa"/>
          </w:tcPr>
          <w:p w:rsidR="002C24EA" w:rsidRPr="0044465E" w:rsidRDefault="007A191D" w:rsidP="00517334">
            <w:r>
              <w:t>3</w:t>
            </w:r>
            <w:r w:rsidR="002C24EA" w:rsidRPr="0044465E">
              <w:t>.</w:t>
            </w:r>
          </w:p>
        </w:tc>
        <w:tc>
          <w:tcPr>
            <w:tcW w:w="2268" w:type="dxa"/>
          </w:tcPr>
          <w:p w:rsidR="002C24EA" w:rsidRPr="0044465E" w:rsidRDefault="002C24EA" w:rsidP="00517334">
            <w:r w:rsidRPr="0044465E">
              <w:t>Cita informācija</w:t>
            </w:r>
          </w:p>
        </w:tc>
        <w:tc>
          <w:tcPr>
            <w:tcW w:w="6662" w:type="dxa"/>
          </w:tcPr>
          <w:p w:rsidR="002C24EA" w:rsidRPr="0044465E" w:rsidRDefault="002C24EA" w:rsidP="00517334">
            <w:r w:rsidRPr="0044465E">
              <w:t>Nav</w:t>
            </w:r>
          </w:p>
        </w:tc>
      </w:tr>
    </w:tbl>
    <w:p w:rsidR="002C24EA" w:rsidRDefault="002C24EA" w:rsidP="002C24EA">
      <w:pPr>
        <w:rPr>
          <w:i/>
        </w:rPr>
      </w:pPr>
    </w:p>
    <w:p w:rsidR="007763E1" w:rsidRPr="007A191D" w:rsidRDefault="007763E1" w:rsidP="0044465E">
      <w:r w:rsidRPr="007A191D">
        <w:t xml:space="preserve">Anotācijas </w:t>
      </w:r>
      <w:r w:rsidR="00FB164F">
        <w:t xml:space="preserve">IV </w:t>
      </w:r>
      <w:r w:rsidR="00BD7C01">
        <w:t>-</w:t>
      </w:r>
      <w:r w:rsidR="007A191D">
        <w:t xml:space="preserve"> </w:t>
      </w:r>
      <w:r w:rsidR="00BD7C01">
        <w:t>V</w:t>
      </w:r>
      <w:r w:rsidR="00A01E9D" w:rsidRPr="007A191D">
        <w:t>I</w:t>
      </w:r>
      <w:r w:rsidRPr="007A191D">
        <w:t> sadaļa – projekts š</w:t>
      </w:r>
      <w:r w:rsidR="007A191D">
        <w:t>o</w:t>
      </w:r>
      <w:r w:rsidRPr="007A191D">
        <w:t xml:space="preserve"> jom</w:t>
      </w:r>
      <w:r w:rsidR="007A191D">
        <w:t>u</w:t>
      </w:r>
      <w:r w:rsidRPr="007A191D">
        <w:t xml:space="preserve"> neskar.</w:t>
      </w: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 xml:space="preserve">Māris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Dana 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r w:rsidRPr="0044465E">
        <w:t>Pārresoru koordinācijas centra vadītāj</w:t>
      </w:r>
      <w:r w:rsidR="009157AB">
        <w:t>s</w:t>
      </w:r>
      <w:r w:rsidRPr="0044465E">
        <w:tab/>
      </w:r>
      <w:r w:rsidRPr="0044465E">
        <w:tab/>
      </w:r>
      <w:r w:rsidR="009157AB">
        <w:t>P.Vilks</w:t>
      </w:r>
    </w:p>
    <w:p w:rsidR="0044465E" w:rsidRPr="007A191D" w:rsidRDefault="0044465E" w:rsidP="0044465E">
      <w:pPr>
        <w:widowControl w:val="0"/>
        <w:rPr>
          <w:sz w:val="22"/>
          <w:szCs w:val="22"/>
        </w:rPr>
      </w:pPr>
    </w:p>
    <w:p w:rsidR="00A140E0" w:rsidRPr="00BA5951" w:rsidRDefault="005D616C" w:rsidP="00A140E0">
      <w:pPr>
        <w:rPr>
          <w:color w:val="000000"/>
          <w:sz w:val="18"/>
          <w:szCs w:val="18"/>
        </w:rPr>
      </w:pPr>
      <w:r>
        <w:rPr>
          <w:color w:val="000000"/>
          <w:sz w:val="18"/>
          <w:szCs w:val="18"/>
        </w:rPr>
        <w:t>06.07</w:t>
      </w:r>
      <w:r w:rsidR="00A140E0" w:rsidRPr="00BA5951">
        <w:rPr>
          <w:color w:val="000000"/>
          <w:sz w:val="18"/>
          <w:szCs w:val="18"/>
        </w:rPr>
        <w:t>.2016</w:t>
      </w:r>
    </w:p>
    <w:p w:rsidR="003542A1" w:rsidRDefault="005D616C" w:rsidP="00A140E0">
      <w:pPr>
        <w:suppressAutoHyphens/>
        <w:rPr>
          <w:color w:val="000000"/>
          <w:sz w:val="18"/>
          <w:szCs w:val="18"/>
        </w:rPr>
      </w:pPr>
      <w:r>
        <w:rPr>
          <w:color w:val="000000"/>
          <w:sz w:val="18"/>
          <w:szCs w:val="18"/>
        </w:rPr>
        <w:t>691</w:t>
      </w:r>
      <w:bookmarkStart w:id="3" w:name="_GoBack"/>
      <w:bookmarkEnd w:id="3"/>
    </w:p>
    <w:p w:rsidR="00A140E0" w:rsidRPr="00BA5951" w:rsidRDefault="00A140E0" w:rsidP="00A140E0">
      <w:pPr>
        <w:suppressAutoHyphens/>
        <w:rPr>
          <w:iCs/>
          <w:noProof/>
          <w:sz w:val="18"/>
          <w:szCs w:val="18"/>
          <w:lang w:bidi="lo-LA"/>
        </w:rPr>
      </w:pPr>
      <w:r>
        <w:rPr>
          <w:bCs/>
          <w:sz w:val="18"/>
          <w:szCs w:val="18"/>
        </w:rPr>
        <w:t>E.Stankevičs</w:t>
      </w:r>
      <w:r w:rsidRPr="00BA5951">
        <w:rPr>
          <w:bCs/>
          <w:sz w:val="18"/>
          <w:szCs w:val="18"/>
        </w:rPr>
        <w:t xml:space="preserve">; </w:t>
      </w:r>
      <w:r w:rsidRPr="00BA5951">
        <w:rPr>
          <w:iCs/>
          <w:noProof/>
          <w:sz w:val="18"/>
          <w:szCs w:val="18"/>
          <w:lang w:bidi="lo-LA"/>
        </w:rPr>
        <w:t>67082</w:t>
      </w:r>
      <w:r>
        <w:rPr>
          <w:iCs/>
          <w:noProof/>
          <w:sz w:val="18"/>
          <w:szCs w:val="18"/>
          <w:lang w:bidi="lo-LA"/>
        </w:rPr>
        <w:t>992</w:t>
      </w:r>
      <w:r w:rsidRPr="00BA5951">
        <w:rPr>
          <w:iCs/>
          <w:noProof/>
          <w:sz w:val="18"/>
          <w:szCs w:val="18"/>
          <w:lang w:bidi="lo-LA"/>
        </w:rPr>
        <w:t>,</w:t>
      </w:r>
    </w:p>
    <w:p w:rsidR="00A140E0" w:rsidRDefault="005D616C" w:rsidP="00A140E0">
      <w:pPr>
        <w:jc w:val="both"/>
        <w:rPr>
          <w:iCs/>
          <w:noProof/>
          <w:sz w:val="18"/>
          <w:szCs w:val="18"/>
          <w:lang w:bidi="lo-LA"/>
        </w:rPr>
      </w:pPr>
      <w:hyperlink r:id="rId9" w:history="1">
        <w:r w:rsidR="00A140E0" w:rsidRPr="009D516F">
          <w:rPr>
            <w:rStyle w:val="Hyperlink"/>
            <w:iCs/>
            <w:noProof/>
            <w:sz w:val="18"/>
            <w:szCs w:val="18"/>
            <w:lang w:bidi="lo-LA"/>
          </w:rPr>
          <w:t>Edmunds.Stankevics@pkc.mk.gov.lv</w:t>
        </w:r>
      </w:hyperlink>
    </w:p>
    <w:p w:rsidR="0044465E" w:rsidRPr="0044465E" w:rsidRDefault="0044465E" w:rsidP="0044465E">
      <w:pPr>
        <w:rPr>
          <w:i/>
          <w:sz w:val="20"/>
          <w:szCs w:val="20"/>
        </w:rPr>
      </w:pPr>
    </w:p>
    <w:sectPr w:rsidR="0044465E" w:rsidRPr="0044465E" w:rsidSect="00805794">
      <w:headerReference w:type="even" r:id="rId10"/>
      <w:headerReference w:type="default" r:id="rId11"/>
      <w:footerReference w:type="even" r:id="rId12"/>
      <w:footerReference w:type="default" r:id="rId13"/>
      <w:footerReference w:type="first" r:id="rId14"/>
      <w:pgSz w:w="11906" w:h="16838" w:code="9"/>
      <w:pgMar w:top="709"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FC" w:rsidRDefault="00A408FC">
      <w:r>
        <w:separator/>
      </w:r>
    </w:p>
  </w:endnote>
  <w:endnote w:type="continuationSeparator" w:id="0">
    <w:p w:rsidR="00A408FC" w:rsidRDefault="00A4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5E" w:rsidRPr="00A140E0" w:rsidRDefault="009157AB" w:rsidP="00A140E0">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17D31">
      <w:rPr>
        <w:noProof/>
        <w:sz w:val="20"/>
        <w:szCs w:val="20"/>
      </w:rPr>
      <w:t>PKCAnot_06</w:t>
    </w:r>
    <w:r w:rsidR="00FB164F">
      <w:rPr>
        <w:noProof/>
        <w:sz w:val="20"/>
        <w:szCs w:val="20"/>
      </w:rPr>
      <w:t>072016_Slimnicas</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52" w:rsidRPr="000C0D52" w:rsidRDefault="009157AB" w:rsidP="000C0D52">
    <w:pPr>
      <w:ind w:left="-142"/>
      <w:jc w:val="both"/>
      <w:rPr>
        <w:color w:val="000000"/>
        <w:sz w:val="20"/>
        <w:szCs w:val="2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117D31">
      <w:rPr>
        <w:noProof/>
        <w:color w:val="000000"/>
        <w:sz w:val="20"/>
        <w:szCs w:val="20"/>
      </w:rPr>
      <w:t>PKCAnot_06</w:t>
    </w:r>
    <w:r w:rsidR="00FB164F">
      <w:rPr>
        <w:noProof/>
        <w:color w:val="000000"/>
        <w:sz w:val="20"/>
        <w:szCs w:val="20"/>
      </w:rPr>
      <w:t>072016_Slimnicas</w:t>
    </w:r>
    <w:r>
      <w:rPr>
        <w:color w:val="000000"/>
        <w:sz w:val="20"/>
        <w:szCs w:val="20"/>
      </w:rPr>
      <w:fldChar w:fldCharType="end"/>
    </w:r>
  </w:p>
  <w:p w:rsidR="000C0D52" w:rsidRDefault="000C0D52" w:rsidP="000C0D52"/>
  <w:p w:rsidR="000C0D52" w:rsidRPr="000C0D52" w:rsidRDefault="000C0D52" w:rsidP="000C0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FC" w:rsidRDefault="00A408FC">
      <w:r>
        <w:separator/>
      </w:r>
    </w:p>
  </w:footnote>
  <w:footnote w:type="continuationSeparator" w:id="0">
    <w:p w:rsidR="00A408FC" w:rsidRDefault="00A4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5D616C">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05005CF"/>
    <w:multiLevelType w:val="hybridMultilevel"/>
    <w:tmpl w:val="11DCA4A0"/>
    <w:lvl w:ilvl="0" w:tplc="3FCCDC24">
      <w:start w:val="19"/>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3">
    <w:nsid w:val="765C68EA"/>
    <w:multiLevelType w:val="hybridMultilevel"/>
    <w:tmpl w:val="2FCC12E2"/>
    <w:lvl w:ilvl="0" w:tplc="DB6081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5"/>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4"/>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26747"/>
    <w:rsid w:val="00030731"/>
    <w:rsid w:val="0003077C"/>
    <w:rsid w:val="0003085D"/>
    <w:rsid w:val="0003149C"/>
    <w:rsid w:val="00032987"/>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0D5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178C"/>
    <w:rsid w:val="0010186F"/>
    <w:rsid w:val="00101C50"/>
    <w:rsid w:val="001033CF"/>
    <w:rsid w:val="001038AD"/>
    <w:rsid w:val="00103AFA"/>
    <w:rsid w:val="00104A6D"/>
    <w:rsid w:val="00106021"/>
    <w:rsid w:val="0011031E"/>
    <w:rsid w:val="00110C8D"/>
    <w:rsid w:val="00114D2D"/>
    <w:rsid w:val="00114D88"/>
    <w:rsid w:val="00114E31"/>
    <w:rsid w:val="001151CC"/>
    <w:rsid w:val="00116521"/>
    <w:rsid w:val="00117D31"/>
    <w:rsid w:val="00120B04"/>
    <w:rsid w:val="00121B5C"/>
    <w:rsid w:val="001235CB"/>
    <w:rsid w:val="0012497F"/>
    <w:rsid w:val="001250CB"/>
    <w:rsid w:val="00125CE4"/>
    <w:rsid w:val="00125E65"/>
    <w:rsid w:val="00126C1E"/>
    <w:rsid w:val="00126D70"/>
    <w:rsid w:val="0012782C"/>
    <w:rsid w:val="00130ED4"/>
    <w:rsid w:val="00132875"/>
    <w:rsid w:val="001329ED"/>
    <w:rsid w:val="00132FDC"/>
    <w:rsid w:val="00134F51"/>
    <w:rsid w:val="00136C1C"/>
    <w:rsid w:val="00137475"/>
    <w:rsid w:val="0014056E"/>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E7A6F"/>
    <w:rsid w:val="001F0379"/>
    <w:rsid w:val="001F112D"/>
    <w:rsid w:val="001F13FD"/>
    <w:rsid w:val="001F148B"/>
    <w:rsid w:val="001F2426"/>
    <w:rsid w:val="001F3656"/>
    <w:rsid w:val="001F5450"/>
    <w:rsid w:val="001F5654"/>
    <w:rsid w:val="001F7A95"/>
    <w:rsid w:val="00200DB4"/>
    <w:rsid w:val="00201253"/>
    <w:rsid w:val="0020587A"/>
    <w:rsid w:val="00210F0E"/>
    <w:rsid w:val="00213D95"/>
    <w:rsid w:val="00213E3E"/>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1EE3"/>
    <w:rsid w:val="00274440"/>
    <w:rsid w:val="00274578"/>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42A1"/>
    <w:rsid w:val="0035633B"/>
    <w:rsid w:val="00357A17"/>
    <w:rsid w:val="00361406"/>
    <w:rsid w:val="003626E4"/>
    <w:rsid w:val="00362E55"/>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2949"/>
    <w:rsid w:val="003942C4"/>
    <w:rsid w:val="003978D9"/>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31C0"/>
    <w:rsid w:val="003E743C"/>
    <w:rsid w:val="003E7E02"/>
    <w:rsid w:val="003F086E"/>
    <w:rsid w:val="003F3C53"/>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585D"/>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61F6"/>
    <w:rsid w:val="004F6708"/>
    <w:rsid w:val="004F78DA"/>
    <w:rsid w:val="0050069D"/>
    <w:rsid w:val="00502459"/>
    <w:rsid w:val="0050270F"/>
    <w:rsid w:val="005040D2"/>
    <w:rsid w:val="005051AE"/>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3897"/>
    <w:rsid w:val="00546C48"/>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38F0"/>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108E"/>
    <w:rsid w:val="005D249E"/>
    <w:rsid w:val="005D616C"/>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716B"/>
    <w:rsid w:val="006271B1"/>
    <w:rsid w:val="00630186"/>
    <w:rsid w:val="00631008"/>
    <w:rsid w:val="00631A9F"/>
    <w:rsid w:val="00631F1B"/>
    <w:rsid w:val="006344E5"/>
    <w:rsid w:val="00634C31"/>
    <w:rsid w:val="00637E7E"/>
    <w:rsid w:val="00640A74"/>
    <w:rsid w:val="006459AA"/>
    <w:rsid w:val="00646148"/>
    <w:rsid w:val="006500C5"/>
    <w:rsid w:val="0065162B"/>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B0CF8"/>
    <w:rsid w:val="006B2FA2"/>
    <w:rsid w:val="006B764E"/>
    <w:rsid w:val="006B7A7D"/>
    <w:rsid w:val="006C3CCB"/>
    <w:rsid w:val="006C7A99"/>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0770D"/>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819AB"/>
    <w:rsid w:val="0078331A"/>
    <w:rsid w:val="00783A23"/>
    <w:rsid w:val="007845E9"/>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0E78"/>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E6501"/>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5794"/>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3729C"/>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30CA"/>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7AB"/>
    <w:rsid w:val="00915F79"/>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270"/>
    <w:rsid w:val="009703C4"/>
    <w:rsid w:val="009719CB"/>
    <w:rsid w:val="009719E6"/>
    <w:rsid w:val="00973ED1"/>
    <w:rsid w:val="00975251"/>
    <w:rsid w:val="009753A6"/>
    <w:rsid w:val="0097667D"/>
    <w:rsid w:val="00977772"/>
    <w:rsid w:val="009817ED"/>
    <w:rsid w:val="00981C31"/>
    <w:rsid w:val="00981DDE"/>
    <w:rsid w:val="00983AEF"/>
    <w:rsid w:val="0098542B"/>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DC0"/>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0E0"/>
    <w:rsid w:val="00A141D1"/>
    <w:rsid w:val="00A15555"/>
    <w:rsid w:val="00A157BC"/>
    <w:rsid w:val="00A15989"/>
    <w:rsid w:val="00A20BA0"/>
    <w:rsid w:val="00A21058"/>
    <w:rsid w:val="00A22688"/>
    <w:rsid w:val="00A229BD"/>
    <w:rsid w:val="00A22D99"/>
    <w:rsid w:val="00A22F35"/>
    <w:rsid w:val="00A23268"/>
    <w:rsid w:val="00A23F1B"/>
    <w:rsid w:val="00A263F9"/>
    <w:rsid w:val="00A275A7"/>
    <w:rsid w:val="00A32B4E"/>
    <w:rsid w:val="00A3415F"/>
    <w:rsid w:val="00A35FC6"/>
    <w:rsid w:val="00A408FC"/>
    <w:rsid w:val="00A413BD"/>
    <w:rsid w:val="00A440BF"/>
    <w:rsid w:val="00A44EC1"/>
    <w:rsid w:val="00A47565"/>
    <w:rsid w:val="00A50BA2"/>
    <w:rsid w:val="00A52EA3"/>
    <w:rsid w:val="00A54584"/>
    <w:rsid w:val="00A545E4"/>
    <w:rsid w:val="00A55DC8"/>
    <w:rsid w:val="00A63A46"/>
    <w:rsid w:val="00A64DF8"/>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72A"/>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03DA"/>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936"/>
    <w:rsid w:val="00B70F0E"/>
    <w:rsid w:val="00B71EB3"/>
    <w:rsid w:val="00B72FAA"/>
    <w:rsid w:val="00B73679"/>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3B71"/>
    <w:rsid w:val="00C244BB"/>
    <w:rsid w:val="00C245EE"/>
    <w:rsid w:val="00C24F71"/>
    <w:rsid w:val="00C264B7"/>
    <w:rsid w:val="00C33ED0"/>
    <w:rsid w:val="00C4023F"/>
    <w:rsid w:val="00C408AF"/>
    <w:rsid w:val="00C42952"/>
    <w:rsid w:val="00C4592E"/>
    <w:rsid w:val="00C4640F"/>
    <w:rsid w:val="00C51AC7"/>
    <w:rsid w:val="00C54AB4"/>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1F0"/>
    <w:rsid w:val="00CA087D"/>
    <w:rsid w:val="00CA16DF"/>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708F3"/>
    <w:rsid w:val="00D710C7"/>
    <w:rsid w:val="00D73284"/>
    <w:rsid w:val="00D747ED"/>
    <w:rsid w:val="00D77870"/>
    <w:rsid w:val="00D77AB3"/>
    <w:rsid w:val="00D81743"/>
    <w:rsid w:val="00D81D97"/>
    <w:rsid w:val="00D833ED"/>
    <w:rsid w:val="00D87263"/>
    <w:rsid w:val="00D900C5"/>
    <w:rsid w:val="00D91EB4"/>
    <w:rsid w:val="00D92345"/>
    <w:rsid w:val="00D93867"/>
    <w:rsid w:val="00D94F10"/>
    <w:rsid w:val="00DA0883"/>
    <w:rsid w:val="00DA15D8"/>
    <w:rsid w:val="00DA2EE8"/>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62AA"/>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31AC"/>
    <w:rsid w:val="00E134A8"/>
    <w:rsid w:val="00E16955"/>
    <w:rsid w:val="00E16D99"/>
    <w:rsid w:val="00E21174"/>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A7E59"/>
    <w:rsid w:val="00EB4212"/>
    <w:rsid w:val="00EB427F"/>
    <w:rsid w:val="00EB4762"/>
    <w:rsid w:val="00EB4FC2"/>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2845"/>
    <w:rsid w:val="00F3330B"/>
    <w:rsid w:val="00F34686"/>
    <w:rsid w:val="00F35764"/>
    <w:rsid w:val="00F367E6"/>
    <w:rsid w:val="00F37590"/>
    <w:rsid w:val="00F44797"/>
    <w:rsid w:val="00F452A6"/>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64F"/>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uiPriority w:val="22"/>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 w:type="paragraph" w:customStyle="1" w:styleId="Default">
    <w:name w:val="Default"/>
    <w:rsid w:val="005D108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uiPriority w:val="22"/>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 w:type="paragraph" w:customStyle="1" w:styleId="Default">
    <w:name w:val="Default"/>
    <w:rsid w:val="005D108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872693410">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dmunds.Stankevics@pkc.mk.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5101D-98F7-4AC1-A70A-07FC9C0F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3540</Words>
  <Characters>2019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Manager>P.Vilks</Manager>
  <Company>PKC</Company>
  <LinksUpToDate>false</LinksUpToDate>
  <CharactersWithSpaces>5548</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Edmunds.Stankevics@pkc.mk.gov.lv</dc:creator>
  <cp:lastModifiedBy>Gunta Lejiete</cp:lastModifiedBy>
  <cp:revision>4</cp:revision>
  <cp:lastPrinted>2016-07-06T06:49:00Z</cp:lastPrinted>
  <dcterms:created xsi:type="dcterms:W3CDTF">2016-07-06T08:03:00Z</dcterms:created>
  <dcterms:modified xsi:type="dcterms:W3CDTF">2016-07-06T09:01:00Z</dcterms:modified>
</cp:coreProperties>
</file>