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2280" w14:textId="4F444362" w:rsidR="0089380C" w:rsidRPr="00BF4E15" w:rsidRDefault="00F07468" w:rsidP="00F07468">
      <w:pPr>
        <w:contextualSpacing/>
        <w:jc w:val="center"/>
        <w:outlineLvl w:val="0"/>
        <w:rPr>
          <w:b/>
          <w:bCs/>
        </w:rPr>
      </w:pPr>
      <w:bookmarkStart w:id="0" w:name="OLE_LINK1"/>
      <w:bookmarkStart w:id="1" w:name="OLE_LINK2"/>
      <w:bookmarkStart w:id="2" w:name="OLE_LINK10"/>
      <w:bookmarkStart w:id="3" w:name="OLE_LINK11"/>
      <w:r w:rsidRPr="00187D7E">
        <w:rPr>
          <w:b/>
          <w:color w:val="000000"/>
        </w:rPr>
        <w:t xml:space="preserve">Ministru kabineta noteikumu projekta </w:t>
      </w:r>
      <w:bookmarkEnd w:id="0"/>
      <w:bookmarkEnd w:id="1"/>
      <w:r w:rsidRPr="00187D7E">
        <w:rPr>
          <w:b/>
          <w:bCs/>
        </w:rPr>
        <w:t xml:space="preserve">“Grozījumi </w:t>
      </w:r>
      <w:r w:rsidRPr="00187D7E">
        <w:rPr>
          <w:b/>
          <w:color w:val="000000"/>
        </w:rPr>
        <w:t>Ministru kabineta 2010.</w:t>
      </w:r>
      <w:r w:rsidRPr="00E76CDA">
        <w:rPr>
          <w:b/>
          <w:color w:val="000000"/>
        </w:rPr>
        <w:t>gada 16.</w:t>
      </w:r>
      <w:r w:rsidRPr="00BF4E15">
        <w:rPr>
          <w:b/>
          <w:color w:val="000000"/>
        </w:rPr>
        <w:t>marta noteikumos Nr.262 “Noteikumi par elektroenerģijas ražošanu, izmantojot atjaunojamos energoresursus, un cenu noteikšanas kārtību”</w:t>
      </w:r>
      <w:r w:rsidRPr="00BF4E15">
        <w:rPr>
          <w:b/>
          <w:bCs/>
        </w:rPr>
        <w:t>” sākotnējās ietekmes novērtējuma ziņojums (anotācija)</w:t>
      </w:r>
    </w:p>
    <w:tbl>
      <w:tblPr>
        <w:tblpPr w:leftFromText="180" w:rightFromText="180" w:vertAnchor="text" w:horzAnchor="margin" w:tblpXSpec="center" w:tblpY="149"/>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986"/>
        <w:gridCol w:w="6037"/>
      </w:tblGrid>
      <w:tr w:rsidR="001C1A2E" w:rsidRPr="002763E8" w14:paraId="37A7223A" w14:textId="77777777" w:rsidTr="00AC1F53">
        <w:tc>
          <w:tcPr>
            <w:tcW w:w="9444" w:type="dxa"/>
            <w:gridSpan w:val="3"/>
            <w:vAlign w:val="center"/>
          </w:tcPr>
          <w:bookmarkEnd w:id="2"/>
          <w:bookmarkEnd w:id="3"/>
          <w:p w14:paraId="05FC35C3" w14:textId="77777777" w:rsidR="001C1A2E" w:rsidRPr="006E2F36" w:rsidRDefault="001C1A2E" w:rsidP="008667DC">
            <w:pPr>
              <w:pStyle w:val="naisnod"/>
              <w:spacing w:before="0" w:beforeAutospacing="0" w:after="0" w:afterAutospacing="0"/>
              <w:jc w:val="center"/>
              <w:rPr>
                <w:b/>
                <w:color w:val="000000" w:themeColor="text1"/>
              </w:rPr>
            </w:pPr>
            <w:r w:rsidRPr="006E2F36">
              <w:rPr>
                <w:b/>
                <w:color w:val="000000" w:themeColor="text1"/>
              </w:rPr>
              <w:t>I. Tiesību akta projekta izstrādes nepieciešamība</w:t>
            </w:r>
          </w:p>
        </w:tc>
      </w:tr>
      <w:tr w:rsidR="001C1A2E" w:rsidRPr="002763E8" w14:paraId="5F0E2E4B" w14:textId="77777777" w:rsidTr="001E1CB2">
        <w:trPr>
          <w:trHeight w:val="1966"/>
        </w:trPr>
        <w:tc>
          <w:tcPr>
            <w:tcW w:w="421" w:type="dxa"/>
          </w:tcPr>
          <w:p w14:paraId="21D8E13D" w14:textId="77777777"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t>1.</w:t>
            </w:r>
          </w:p>
        </w:tc>
        <w:tc>
          <w:tcPr>
            <w:tcW w:w="2986" w:type="dxa"/>
          </w:tcPr>
          <w:p w14:paraId="1845B6A8" w14:textId="3144B0E1" w:rsidR="00433594" w:rsidRDefault="001C1A2E" w:rsidP="008667DC">
            <w:pPr>
              <w:pStyle w:val="naiskr"/>
              <w:spacing w:before="0" w:beforeAutospacing="0" w:after="0" w:afterAutospacing="0"/>
              <w:ind w:hanging="10"/>
              <w:rPr>
                <w:color w:val="000000" w:themeColor="text1"/>
              </w:rPr>
            </w:pPr>
            <w:r w:rsidRPr="002763E8">
              <w:rPr>
                <w:color w:val="000000" w:themeColor="text1"/>
              </w:rPr>
              <w:t>Pamatojums</w:t>
            </w:r>
          </w:p>
          <w:p w14:paraId="36DE53F9" w14:textId="77777777" w:rsidR="00433594" w:rsidRPr="00433594" w:rsidRDefault="00433594" w:rsidP="00433594"/>
          <w:p w14:paraId="117DD824" w14:textId="77777777" w:rsidR="00433594" w:rsidRPr="00433594" w:rsidRDefault="00433594" w:rsidP="00433594"/>
          <w:p w14:paraId="6D5D3FD1" w14:textId="77777777" w:rsidR="00433594" w:rsidRPr="00433594" w:rsidRDefault="00433594" w:rsidP="00433594"/>
          <w:p w14:paraId="4028DD53" w14:textId="77777777" w:rsidR="00433594" w:rsidRPr="00433594" w:rsidRDefault="00433594" w:rsidP="00433594"/>
          <w:p w14:paraId="2428F86B" w14:textId="77777777" w:rsidR="00433594" w:rsidRPr="00433594" w:rsidRDefault="00433594" w:rsidP="00433594"/>
          <w:p w14:paraId="6821B90C" w14:textId="77777777" w:rsidR="00433594" w:rsidRPr="00433594" w:rsidRDefault="00433594" w:rsidP="00433594">
            <w:pPr>
              <w:ind w:firstLine="720"/>
            </w:pPr>
          </w:p>
          <w:p w14:paraId="4EEB593A" w14:textId="77777777" w:rsidR="00433594" w:rsidRPr="00433594" w:rsidRDefault="00433594" w:rsidP="00433594"/>
          <w:p w14:paraId="45AEA047" w14:textId="77777777" w:rsidR="00433594" w:rsidRPr="00433594" w:rsidRDefault="00433594" w:rsidP="00433594"/>
          <w:p w14:paraId="72A7D3D0" w14:textId="77777777" w:rsidR="00433594" w:rsidRPr="00433594" w:rsidRDefault="00433594" w:rsidP="00A9274F">
            <w:pPr>
              <w:ind w:firstLine="720"/>
            </w:pPr>
          </w:p>
          <w:p w14:paraId="33426A5A" w14:textId="2B75C37B" w:rsidR="00433594" w:rsidRDefault="00433594" w:rsidP="00433594"/>
          <w:p w14:paraId="5FD91555" w14:textId="77777777" w:rsidR="001C1A2E" w:rsidRPr="00433594" w:rsidRDefault="001C1A2E" w:rsidP="00433594">
            <w:pPr>
              <w:ind w:firstLine="720"/>
            </w:pPr>
          </w:p>
        </w:tc>
        <w:tc>
          <w:tcPr>
            <w:tcW w:w="6037" w:type="dxa"/>
          </w:tcPr>
          <w:p w14:paraId="457D082C" w14:textId="027B54A1" w:rsidR="001035B2" w:rsidRPr="002763E8" w:rsidRDefault="001035B2" w:rsidP="001035B2">
            <w:pPr>
              <w:jc w:val="both"/>
            </w:pPr>
            <w:r w:rsidRPr="002763E8">
              <w:t xml:space="preserve">Deklarācijas par Māra Kučinska vadītā Ministru kabineta iecerēto darbību </w:t>
            </w:r>
            <w:r w:rsidR="00AE3D51">
              <w:t>prioritārā virziena</w:t>
            </w:r>
            <w:r w:rsidR="00AE3D51" w:rsidRPr="002763E8">
              <w:t xml:space="preserve"> </w:t>
            </w:r>
            <w:r w:rsidRPr="002763E8">
              <w:t xml:space="preserve">“Tautsaimniecības stiprināšana” 13.punkts, kas nosaka, ka </w:t>
            </w:r>
            <w:r w:rsidRPr="002763E8">
              <w:rPr>
                <w:i/>
              </w:rPr>
              <w:t>pārskatīsim esošo atjaunojamo energoresursu atbalsta politiku un izstrādāsim jaunu, ilgtspējīgu un ekonomiski pamatotu atbalsta mehānismu</w:t>
            </w:r>
            <w:r w:rsidRPr="002763E8">
              <w:t>.</w:t>
            </w:r>
          </w:p>
          <w:p w14:paraId="68AF6237" w14:textId="60DE4520" w:rsidR="001549DC" w:rsidRPr="00C5632C" w:rsidRDefault="00F07468" w:rsidP="007422D8">
            <w:pPr>
              <w:pStyle w:val="Heading1"/>
              <w:spacing w:before="120" w:beforeAutospacing="0" w:after="120" w:afterAutospacing="0"/>
              <w:jc w:val="both"/>
              <w:rPr>
                <w:b w:val="0"/>
                <w:sz w:val="24"/>
                <w:szCs w:val="24"/>
              </w:rPr>
            </w:pPr>
            <w:r w:rsidRPr="002763E8">
              <w:rPr>
                <w:b w:val="0"/>
                <w:sz w:val="24"/>
                <w:szCs w:val="24"/>
              </w:rPr>
              <w:t>Ministru kabineta noteikumu projekts “</w:t>
            </w:r>
            <w:r w:rsidRPr="002763E8">
              <w:rPr>
                <w:b w:val="0"/>
                <w:bCs w:val="0"/>
                <w:sz w:val="24"/>
                <w:szCs w:val="24"/>
              </w:rPr>
              <w:t xml:space="preserve">Grozījumi </w:t>
            </w:r>
            <w:r w:rsidRPr="002763E8">
              <w:rPr>
                <w:b w:val="0"/>
                <w:sz w:val="24"/>
                <w:szCs w:val="24"/>
              </w:rPr>
              <w:t xml:space="preserve">Ministru kabineta 2010. gada 16. marta noteikumos Nr.262 “Noteikumi par elektroenerģijas ražošanu, izmantojot atjaunojamos </w:t>
            </w:r>
            <w:r w:rsidRPr="00F821DE">
              <w:rPr>
                <w:b w:val="0"/>
                <w:color w:val="000000" w:themeColor="text1"/>
                <w:sz w:val="24"/>
                <w:szCs w:val="24"/>
              </w:rPr>
              <w:t>energoresursus, un cenu noteikšanas kārtību”” (turpmāk - noteikumu projekts) sagatavots, lai izpildītu Ministru kabineta 2015.gada 15.decembra sēdes protokola</w:t>
            </w:r>
            <w:r w:rsidRPr="00F821DE">
              <w:rPr>
                <w:b w:val="0"/>
                <w:bCs w:val="0"/>
                <w:color w:val="000000" w:themeColor="text1"/>
                <w:kern w:val="0"/>
                <w:sz w:val="24"/>
                <w:szCs w:val="24"/>
                <w:shd w:val="clear" w:color="auto" w:fill="FFFFFF"/>
              </w:rPr>
              <w:t xml:space="preserve"> Nr.67 58.§</w:t>
            </w:r>
            <w:r w:rsidRPr="00F821DE">
              <w:rPr>
                <w:color w:val="000000" w:themeColor="text1"/>
                <w:kern w:val="0"/>
                <w:sz w:val="24"/>
                <w:szCs w:val="24"/>
                <w:shd w:val="clear" w:color="auto" w:fill="FFFFFF"/>
              </w:rPr>
              <w:t xml:space="preserve"> </w:t>
            </w:r>
            <w:r w:rsidRPr="00F821DE">
              <w:rPr>
                <w:b w:val="0"/>
                <w:color w:val="000000" w:themeColor="text1"/>
                <w:kern w:val="0"/>
                <w:sz w:val="24"/>
                <w:szCs w:val="24"/>
                <w:shd w:val="clear" w:color="auto" w:fill="FFFFFF"/>
              </w:rPr>
              <w:t xml:space="preserve">2.punktu: </w:t>
            </w:r>
            <w:r w:rsidRPr="00F821DE">
              <w:rPr>
                <w:b w:val="0"/>
                <w:bCs w:val="0"/>
                <w:color w:val="000000" w:themeColor="text1"/>
                <w:kern w:val="0"/>
                <w:sz w:val="24"/>
                <w:szCs w:val="24"/>
                <w:shd w:val="clear" w:color="auto" w:fill="FFFFFF"/>
              </w:rPr>
              <w:t>“</w:t>
            </w:r>
            <w:r w:rsidRPr="00F821DE">
              <w:rPr>
                <w:b w:val="0"/>
                <w:color w:val="000000" w:themeColor="text1"/>
                <w:sz w:val="24"/>
                <w:szCs w:val="24"/>
              </w:rPr>
              <w:t xml:space="preserve">Ekonomikas ministrijai kopīgi ar Zemkopības ministriju un lauksaimnieku organizācijām līdz 2016.gada janvāra beigām sagatavot priekšlikumus par grozījumiem atbalsta sistēmā, kas noteikta Ministru kabineta 2009.gada 10.marta noteikumos Nr.221 “Noteikumi par elektroenerģijas ražošanu un cenu noteikšanu, ražojot elektroenerģiju </w:t>
            </w:r>
            <w:r w:rsidRPr="00187D7E">
              <w:rPr>
                <w:b w:val="0"/>
                <w:sz w:val="24"/>
                <w:szCs w:val="24"/>
              </w:rPr>
              <w:t xml:space="preserve">koģenerācijā” (turpmāk – MK noteikumi Nr.221) un 2010.gada 16.marta </w:t>
            </w:r>
            <w:r w:rsidRPr="00BF4E15">
              <w:rPr>
                <w:b w:val="0"/>
                <w:sz w:val="24"/>
                <w:szCs w:val="24"/>
              </w:rPr>
              <w:t>noteikumos Nr.262 “Noteikumi par elektroenerģijas ražošanu, izmantojot atjaunojamos energoresursus, un cenu noteikšan</w:t>
            </w:r>
            <w:r w:rsidRPr="006E2F36">
              <w:rPr>
                <w:b w:val="0"/>
                <w:sz w:val="24"/>
                <w:szCs w:val="24"/>
              </w:rPr>
              <w:t>as kārtību” (turpmāk – MK noteikumi Nr.262), un ekonomika</w:t>
            </w:r>
            <w:r w:rsidRPr="00C5632C">
              <w:rPr>
                <w:b w:val="0"/>
                <w:sz w:val="24"/>
                <w:szCs w:val="24"/>
              </w:rPr>
              <w:t xml:space="preserve">s ministram iesniegt priekšlikumus </w:t>
            </w:r>
            <w:r w:rsidR="001549DC" w:rsidRPr="00C5632C">
              <w:rPr>
                <w:b w:val="0"/>
                <w:sz w:val="24"/>
                <w:szCs w:val="24"/>
              </w:rPr>
              <w:t>izskatīšanai Ministru kabinetā”.</w:t>
            </w:r>
          </w:p>
          <w:p w14:paraId="3D07192E" w14:textId="4A0ECAB2" w:rsidR="00DE0352" w:rsidRDefault="00C5632C" w:rsidP="001549DC">
            <w:pPr>
              <w:pStyle w:val="Heading1"/>
              <w:spacing w:before="120" w:beforeAutospacing="0" w:after="120" w:afterAutospacing="0"/>
              <w:jc w:val="both"/>
              <w:rPr>
                <w:b w:val="0"/>
                <w:sz w:val="24"/>
                <w:szCs w:val="24"/>
              </w:rPr>
            </w:pPr>
            <w:r>
              <w:rPr>
                <w:b w:val="0"/>
                <w:sz w:val="24"/>
                <w:szCs w:val="24"/>
              </w:rPr>
              <w:t xml:space="preserve">Tāpat </w:t>
            </w:r>
            <w:r w:rsidR="001549DC" w:rsidRPr="00C5632C">
              <w:rPr>
                <w:b w:val="0"/>
                <w:sz w:val="24"/>
                <w:szCs w:val="24"/>
              </w:rPr>
              <w:t>noteikumu projekts ir sagatavots, lai ņemtu</w:t>
            </w:r>
            <w:r w:rsidR="00F07468" w:rsidRPr="00C5632C">
              <w:rPr>
                <w:b w:val="0"/>
                <w:sz w:val="24"/>
                <w:szCs w:val="24"/>
              </w:rPr>
              <w:t xml:space="preserve"> vērā nosacījumus, kas Eiropas Savienības (turpmāk – ES) dalībvalstīm jāievēro</w:t>
            </w:r>
            <w:r w:rsidR="001549DC" w:rsidRPr="00C5632C">
              <w:rPr>
                <w:b w:val="0"/>
                <w:sz w:val="24"/>
                <w:szCs w:val="24"/>
              </w:rPr>
              <w:t xml:space="preserve"> attiecībā uz atbilstību ES vienotā tirgus principiem</w:t>
            </w:r>
            <w:r w:rsidR="00F07468" w:rsidRPr="00C5632C">
              <w:rPr>
                <w:b w:val="0"/>
                <w:sz w:val="24"/>
                <w:szCs w:val="24"/>
              </w:rPr>
              <w:t xml:space="preserve">, </w:t>
            </w:r>
            <w:r w:rsidR="001549DC" w:rsidRPr="00C5632C">
              <w:rPr>
                <w:b w:val="0"/>
                <w:sz w:val="24"/>
                <w:szCs w:val="24"/>
              </w:rPr>
              <w:t>tai skaitā</w:t>
            </w:r>
            <w:r w:rsidR="00F07468" w:rsidRPr="000C71F9">
              <w:rPr>
                <w:b w:val="0"/>
                <w:sz w:val="24"/>
                <w:szCs w:val="24"/>
              </w:rPr>
              <w:t xml:space="preserve"> izstrādājot atbalsta mehānismus atjaunojamās enerģijas veicināšanai.</w:t>
            </w:r>
            <w:r w:rsidR="001549DC" w:rsidRPr="00F821DE">
              <w:rPr>
                <w:b w:val="0"/>
                <w:sz w:val="24"/>
                <w:szCs w:val="24"/>
              </w:rPr>
              <w:t xml:space="preserve"> Tādejādi, novēršot Eiropas Komisijas (turpmāk – EK) norādīto saistībā ar valsts atbalsta lietas </w:t>
            </w:r>
            <w:r w:rsidR="001549DC" w:rsidRPr="00411CE9">
              <w:t xml:space="preserve"> </w:t>
            </w:r>
            <w:r w:rsidR="001549DC" w:rsidRPr="00411CE9">
              <w:rPr>
                <w:b w:val="0"/>
                <w:sz w:val="24"/>
                <w:szCs w:val="24"/>
              </w:rPr>
              <w:t xml:space="preserve">SA.43140 (2015/NN) - </w:t>
            </w:r>
            <w:r w:rsidR="001549DC" w:rsidRPr="00411CE9">
              <w:rPr>
                <w:b w:val="0"/>
                <w:i/>
                <w:sz w:val="24"/>
                <w:szCs w:val="24"/>
              </w:rPr>
              <w:t>Atbalsts elektroenerģijas ražotājiem</w:t>
            </w:r>
            <w:r w:rsidR="001549DC" w:rsidRPr="00537FB4">
              <w:rPr>
                <w:b w:val="0"/>
                <w:sz w:val="24"/>
                <w:szCs w:val="24"/>
              </w:rPr>
              <w:t xml:space="preserve"> saskaņošanu un</w:t>
            </w:r>
            <w:r w:rsidR="001549DC" w:rsidRPr="002763E8">
              <w:rPr>
                <w:b w:val="0"/>
                <w:sz w:val="24"/>
                <w:szCs w:val="24"/>
              </w:rPr>
              <w:t xml:space="preserve"> EK lēmuma sagatavošanu par iepriekš minētā valsts atbalsta nosacījumu atbilstību ES iekšējā tirgus nosacījumiem. </w:t>
            </w:r>
          </w:p>
          <w:p w14:paraId="2B57B6D7" w14:textId="2BB47213" w:rsidR="000C71F9" w:rsidRPr="00EE24A8" w:rsidRDefault="00EE24A8" w:rsidP="002763E8">
            <w:pPr>
              <w:pStyle w:val="Heading1"/>
              <w:spacing w:before="120" w:beforeAutospacing="0" w:after="120" w:afterAutospacing="0"/>
              <w:jc w:val="both"/>
              <w:rPr>
                <w:b w:val="0"/>
                <w:sz w:val="24"/>
                <w:szCs w:val="24"/>
              </w:rPr>
            </w:pPr>
            <w:r w:rsidRPr="00EE24A8">
              <w:rPr>
                <w:b w:val="0"/>
                <w:sz w:val="24"/>
                <w:szCs w:val="24"/>
              </w:rPr>
              <w:t xml:space="preserve">Ar </w:t>
            </w:r>
            <w:r w:rsidR="002763E8">
              <w:rPr>
                <w:b w:val="0"/>
                <w:sz w:val="24"/>
                <w:szCs w:val="24"/>
              </w:rPr>
              <w:t>noteikumu projektu</w:t>
            </w:r>
            <w:r w:rsidRPr="00D00630">
              <w:rPr>
                <w:b w:val="0"/>
                <w:sz w:val="24"/>
                <w:szCs w:val="24"/>
              </w:rPr>
              <w:t xml:space="preserve"> tiek izpildīts Ministru kabineta 2016.gada 5.janvāra sēdes protokol</w:t>
            </w:r>
            <w:r w:rsidRPr="00F821DE">
              <w:rPr>
                <w:b w:val="0"/>
                <w:sz w:val="24"/>
                <w:szCs w:val="24"/>
              </w:rPr>
              <w:t>lēmuma (Nr.1, 28</w:t>
            </w:r>
            <w:bookmarkStart w:id="4" w:name="28"/>
            <w:r w:rsidRPr="00F821DE">
              <w:rPr>
                <w:b w:val="0"/>
                <w:sz w:val="24"/>
                <w:szCs w:val="24"/>
              </w:rPr>
              <w:t>§</w:t>
            </w:r>
            <w:bookmarkEnd w:id="4"/>
            <w:r w:rsidRPr="00F821DE">
              <w:rPr>
                <w:b w:val="0"/>
                <w:sz w:val="24"/>
                <w:szCs w:val="24"/>
              </w:rPr>
              <w:t>)</w:t>
            </w:r>
            <w:r w:rsidRPr="00EE24A8">
              <w:rPr>
                <w:b w:val="0"/>
                <w:sz w:val="24"/>
                <w:szCs w:val="24"/>
              </w:rPr>
              <w:t xml:space="preserve"> 13.punkts, kas paredz </w:t>
            </w:r>
            <w:r w:rsidRPr="002763E8">
              <w:rPr>
                <w:b w:val="0"/>
                <w:color w:val="000000" w:themeColor="text1"/>
                <w:sz w:val="24"/>
                <w:szCs w:val="24"/>
              </w:rPr>
              <w:t>normatīvo aktu grozījumu izstrādi saziņas efektīvai nodrošināšanai starp iestādi un privātpersonu, izmantojot e-adresi.</w:t>
            </w:r>
          </w:p>
        </w:tc>
      </w:tr>
      <w:tr w:rsidR="001C1A2E" w:rsidRPr="002763E8" w14:paraId="3E6D787E" w14:textId="77777777" w:rsidTr="001E1CB2">
        <w:trPr>
          <w:trHeight w:val="984"/>
        </w:trPr>
        <w:tc>
          <w:tcPr>
            <w:tcW w:w="421" w:type="dxa"/>
          </w:tcPr>
          <w:p w14:paraId="3E12EB6E" w14:textId="795D5C51"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t>2.</w:t>
            </w:r>
          </w:p>
        </w:tc>
        <w:tc>
          <w:tcPr>
            <w:tcW w:w="2986" w:type="dxa"/>
          </w:tcPr>
          <w:p w14:paraId="76DEC249" w14:textId="77777777" w:rsidR="001C1A2E" w:rsidRPr="002763E8" w:rsidRDefault="001C1A2E" w:rsidP="008667DC">
            <w:pPr>
              <w:pStyle w:val="naiskr"/>
              <w:tabs>
                <w:tab w:val="left" w:pos="170"/>
              </w:tabs>
              <w:spacing w:before="0" w:beforeAutospacing="0" w:after="0" w:afterAutospacing="0"/>
              <w:rPr>
                <w:color w:val="000000" w:themeColor="text1"/>
              </w:rPr>
            </w:pPr>
            <w:r w:rsidRPr="002763E8">
              <w:rPr>
                <w:color w:val="000000" w:themeColor="text1"/>
              </w:rPr>
              <w:t xml:space="preserve">Pašreizējā situācija un problēmas, kuru risināšanai tiesību akta projekts izstrādāts, </w:t>
            </w:r>
            <w:r w:rsidRPr="002763E8">
              <w:rPr>
                <w:color w:val="000000" w:themeColor="text1"/>
              </w:rPr>
              <w:lastRenderedPageBreak/>
              <w:t>tiesiskā regulējuma mērķis un būtība</w:t>
            </w:r>
          </w:p>
        </w:tc>
        <w:tc>
          <w:tcPr>
            <w:tcW w:w="6037" w:type="dxa"/>
          </w:tcPr>
          <w:p w14:paraId="5AD056DD" w14:textId="77777777" w:rsidR="00597B0B" w:rsidRPr="002763E8" w:rsidRDefault="00597B0B" w:rsidP="00597B0B">
            <w:pPr>
              <w:pStyle w:val="ListParagraph"/>
              <w:numPr>
                <w:ilvl w:val="0"/>
                <w:numId w:val="7"/>
              </w:numPr>
              <w:spacing w:before="120" w:after="120"/>
              <w:jc w:val="both"/>
              <w:rPr>
                <w:b/>
                <w:sz w:val="24"/>
                <w:szCs w:val="24"/>
                <w:u w:val="single"/>
              </w:rPr>
            </w:pPr>
            <w:r w:rsidRPr="002763E8">
              <w:rPr>
                <w:b/>
                <w:sz w:val="24"/>
                <w:szCs w:val="24"/>
                <w:u w:val="single"/>
              </w:rPr>
              <w:lastRenderedPageBreak/>
              <w:t>Pārkompensācijas riska novēršana.</w:t>
            </w:r>
          </w:p>
          <w:p w14:paraId="05A14F4E" w14:textId="6634C8F9" w:rsidR="00597B0B" w:rsidRPr="002763E8" w:rsidRDefault="00597B0B" w:rsidP="00597B0B">
            <w:pPr>
              <w:spacing w:before="120" w:after="120"/>
              <w:jc w:val="both"/>
            </w:pPr>
            <w:r w:rsidRPr="002763E8">
              <w:t xml:space="preserve">Pamatojoties uz Ministru kabineta 2013.gada 13.augusta sēdes protokola Nr.44 156.§ 7.punktu, tika sagatavots un 2013. gada </w:t>
            </w:r>
            <w:r w:rsidRPr="002763E8">
              <w:lastRenderedPageBreak/>
              <w:t>17.decembrī uzsākts pirms-paziņojuma process ar</w:t>
            </w:r>
            <w:r w:rsidR="00F82390">
              <w:t xml:space="preserve"> </w:t>
            </w:r>
            <w:r w:rsidR="007C1B92">
              <w:t>EK</w:t>
            </w:r>
            <w:r w:rsidRPr="002763E8">
              <w:t xml:space="preserve"> valsts atbalsta lietas SA.37970 (2013/PN) - </w:t>
            </w:r>
            <w:r w:rsidRPr="002763E8">
              <w:rPr>
                <w:i/>
              </w:rPr>
              <w:t>Atbalsts enerģijas ražotājiem</w:t>
            </w:r>
            <w:r w:rsidRPr="002763E8">
              <w:t xml:space="preserve"> ietvaros. Ņemot vērā valsts atbalsta nosacījumus un notikušās formālās un neformālās konsultācijas ar EK, 2015.gada 22.septembrī tika uzsākts paziņojuma process valsts atbalsta lietas SA.43140 (2015/NN) - </w:t>
            </w:r>
            <w:r w:rsidRPr="002763E8">
              <w:rPr>
                <w:i/>
              </w:rPr>
              <w:t>Atbalsts elektroenerģijas ražotājiem</w:t>
            </w:r>
            <w:r w:rsidRPr="002763E8">
              <w:t xml:space="preserve"> ietvaros. </w:t>
            </w:r>
          </w:p>
          <w:p w14:paraId="186C0FD9" w14:textId="16B20D06" w:rsidR="00597B0B" w:rsidRPr="002763E8" w:rsidRDefault="00597B0B" w:rsidP="00597B0B">
            <w:pPr>
              <w:spacing w:before="120" w:after="120"/>
              <w:jc w:val="both"/>
            </w:pPr>
            <w:r w:rsidRPr="002763E8">
              <w:t xml:space="preserve">EK 2015.gada 22.jūlija elektroniskajā vēstulē aicināja Latviju iesniegt priekšlikumu par pārkompensācijas novēršanu tām </w:t>
            </w:r>
            <w:r w:rsidR="00FA7810">
              <w:t>elektro</w:t>
            </w:r>
            <w:r w:rsidRPr="002763E8">
              <w:t>stacijām, kur tas ir ticis konstatēts un</w:t>
            </w:r>
            <w:r w:rsidR="001035B2" w:rsidRPr="002763E8">
              <w:t>,</w:t>
            </w:r>
            <w:r w:rsidRPr="002763E8">
              <w:t xml:space="preserve"> kas būtu attiecināms uz visu atbalsta periodu. Latvija šādu priekšlikumu iesniedza 2015.gada 22.</w:t>
            </w:r>
            <w:r w:rsidR="00817907" w:rsidRPr="002763E8">
              <w:t>septembrī</w:t>
            </w:r>
            <w:r w:rsidR="001035B2" w:rsidRPr="002763E8">
              <w:t>,</w:t>
            </w:r>
            <w:r w:rsidRPr="002763E8">
              <w:t xml:space="preserve"> uzsākot paziņojuma procesu valsts atbalsta lietas SA.43140 (2015/NN) - </w:t>
            </w:r>
            <w:r w:rsidRPr="002763E8">
              <w:rPr>
                <w:i/>
              </w:rPr>
              <w:t>Atbalsts elektroenerģijas ražotājiem</w:t>
            </w:r>
            <w:r w:rsidRPr="002763E8">
              <w:t xml:space="preserve"> ietvaros. </w:t>
            </w:r>
          </w:p>
          <w:p w14:paraId="04A8A744" w14:textId="2E346C3E" w:rsidR="00597B0B" w:rsidRPr="002763E8" w:rsidRDefault="00597B0B" w:rsidP="00597B0B">
            <w:pPr>
              <w:spacing w:before="120" w:after="120"/>
              <w:jc w:val="both"/>
            </w:pPr>
            <w:r w:rsidRPr="002763E8">
              <w:t>Neformālo konsultāciju ietvaros ar EK un saņemot EK 2015.gada 14.decembra vēstuli Nr. B2/AV/DB/D*2015/138244, EK atkārtoti norāda, ka sagaida no Latvijas konkrētu priekšlikumu par pārkompensācijas novēršanu, iesniedzot apstiprinātu un detalizētu aprakstu</w:t>
            </w:r>
            <w:r w:rsidR="001035B2" w:rsidRPr="002763E8">
              <w:t>,</w:t>
            </w:r>
            <w:r w:rsidRPr="002763E8">
              <w:t xml:space="preserve"> kādā veidā Latvija novērsīs pārkompensāciju tām elektrostacijām, kurām tas ir konstatēts, visā dzīves cikla ietvaros. Līdz ar to, </w:t>
            </w:r>
            <w:r w:rsidRPr="002763E8">
              <w:rPr>
                <w:u w:val="single"/>
              </w:rPr>
              <w:t>lai saņemtu EK lēmumu par atbalsta pasākuma atbilstību ES iekšējam tirgum, nepieciešams ieviest mehānismu atbalsta saņēmēja projekta pārkompensācijas konstatēšanai un novēršanai</w:t>
            </w:r>
            <w:r w:rsidRPr="002763E8">
              <w:t>.</w:t>
            </w:r>
            <w:r w:rsidR="00AE3D51">
              <w:t xml:space="preserve"> Ņemot vērā minēto, Ekonomikas ministrija ir sagatavojusi grozījumus </w:t>
            </w:r>
            <w:r w:rsidR="00AE3D51" w:rsidRPr="00BF1167">
              <w:t>MK noteikum</w:t>
            </w:r>
            <w:r w:rsidR="00AE3D51">
              <w:t>os</w:t>
            </w:r>
            <w:r w:rsidR="00AE3D51" w:rsidRPr="00BF1167">
              <w:t xml:space="preserve"> Nr.221 un MK noteikum</w:t>
            </w:r>
            <w:r w:rsidR="00AE3D51">
              <w:t>os</w:t>
            </w:r>
            <w:r w:rsidR="00AE3D51" w:rsidRPr="00BF1167">
              <w:t xml:space="preserve"> Nr.262</w:t>
            </w:r>
            <w:r w:rsidR="00AE3D51">
              <w:t>.</w:t>
            </w:r>
          </w:p>
          <w:p w14:paraId="55258E5B" w14:textId="6C97CD76" w:rsidR="00597B0B" w:rsidRPr="002763E8" w:rsidRDefault="00AE3D51" w:rsidP="00597B0B">
            <w:pPr>
              <w:spacing w:before="120" w:after="120"/>
              <w:jc w:val="both"/>
            </w:pPr>
            <w:r>
              <w:t>M</w:t>
            </w:r>
            <w:r w:rsidR="00597B0B" w:rsidRPr="002763E8">
              <w:t xml:space="preserve">inētā mehānisma sagatavošana un ieviešana ir priekšnosacījums, lai EK lemtu par Latvijas iesniegtā valsts atbalsta lietas SA.42854 (2015/N) </w:t>
            </w:r>
            <w:r w:rsidR="00597B0B" w:rsidRPr="002763E8">
              <w:rPr>
                <w:i/>
              </w:rPr>
              <w:t>Atbalsts energointensīvajiem apstrādes rūpniecības komersantiem</w:t>
            </w:r>
            <w:r w:rsidR="00597B0B" w:rsidRPr="002763E8">
              <w:t xml:space="preserve"> atbilstību ES iekšējā tirgus nosacījumiem.</w:t>
            </w:r>
          </w:p>
          <w:p w14:paraId="7B36C725" w14:textId="77777777" w:rsidR="00C77FC0" w:rsidRDefault="00C77FC0" w:rsidP="00597B0B">
            <w:pPr>
              <w:spacing w:before="120" w:after="120"/>
              <w:jc w:val="both"/>
            </w:pPr>
            <w:r w:rsidRPr="00AC656C">
              <w:t xml:space="preserve">Ja Latvija neizstrādā un nevienojas par mehānismu pārkompensācijas novēršanai komersantiem, kuri ražo elektroenerģiju no atjaunojamiem energoresursiem vai augstas efektivitātes koģenerācijā, tad saskaņā ar EK procedūrām attiecībā uz nelikumīgi izsniegtu valsts atbalstu tiek ierosināta lieta pret Latviju. Tās rezultātā </w:t>
            </w:r>
            <w:r>
              <w:t xml:space="preserve">komersantam </w:t>
            </w:r>
            <w:r w:rsidRPr="00AC656C">
              <w:t xml:space="preserve">būtu jāatmaksā </w:t>
            </w:r>
            <w:r>
              <w:t xml:space="preserve">piešķirtais finansējums, </w:t>
            </w:r>
            <w:r w:rsidRPr="00AC656C">
              <w:t xml:space="preserve"> </w:t>
            </w:r>
            <w:r>
              <w:t xml:space="preserve">ko komersants būtu saņēmis </w:t>
            </w:r>
            <w:r w:rsidRPr="00AC656C">
              <w:t>obligātā iepirkuma ietvaros vai garantētā</w:t>
            </w:r>
            <w:r>
              <w:t>s</w:t>
            </w:r>
            <w:r w:rsidRPr="00AC656C">
              <w:t xml:space="preserve"> maksa</w:t>
            </w:r>
            <w:r>
              <w:t>s</w:t>
            </w:r>
            <w:r w:rsidRPr="00AC656C">
              <w:t xml:space="preserve"> par uzstādīto elektrisko jaudu</w:t>
            </w:r>
            <w:r>
              <w:t>, un kas pārsniedz starpību starp elektroenerģijas ražošanas izmaksām un elektroenerģijas tirgus cenu,</w:t>
            </w:r>
            <w:r w:rsidRPr="00AC656C">
              <w:t xml:space="preserve"> no pirmās izmaksātā atbalsta dienas</w:t>
            </w:r>
            <w:r>
              <w:t>, kopā ar attiecīgajā laika periodā uzkrātajiem soda procentiem</w:t>
            </w:r>
            <w:r w:rsidRPr="00AC656C">
              <w:t xml:space="preserve">. Papildus tam, ņemot vērā, ka šādās elektrostacijās ir investējuši ārvalstu investori no citām ES dalībvalstīm un trešajām valstīm, pastāv </w:t>
            </w:r>
            <w:r w:rsidRPr="00AC656C">
              <w:lastRenderedPageBreak/>
              <w:t>risks, ka šie investori vērsīsies pret Latviju starptautiskajās tiesās saistībā ar ieguldīto investīciju atgūšanu.</w:t>
            </w:r>
          </w:p>
          <w:p w14:paraId="2FC21B5D" w14:textId="7F82C5EE" w:rsidR="000275C4" w:rsidRPr="00D95530" w:rsidRDefault="002763E8" w:rsidP="00597B0B">
            <w:pPr>
              <w:spacing w:before="120" w:after="120"/>
              <w:jc w:val="both"/>
            </w:pPr>
            <w:r>
              <w:t>K</w:t>
            </w:r>
            <w:r w:rsidR="000275C4" w:rsidRPr="002763E8">
              <w:t>omersanta tiesības saņemt fiksētus ienākumus obligātā iepirkuma ietvaros ir uzskatāmas par tiesībā</w:t>
            </w:r>
            <w:r w:rsidR="00842559" w:rsidRPr="002763E8">
              <w:t>m</w:t>
            </w:r>
            <w:r w:rsidR="000275C4" w:rsidRPr="002763E8">
              <w:t xml:space="preserve"> uz īpašumu. Tādējādi to aizsardzība ir paredzēta Satversmes 105.</w:t>
            </w:r>
            <w:r w:rsidR="00D95530">
              <w:t xml:space="preserve">pantā, kas </w:t>
            </w:r>
            <w:r w:rsidR="007A14B7" w:rsidRPr="002763E8">
              <w:rPr>
                <w:color w:val="000000" w:themeColor="text1"/>
              </w:rPr>
              <w:t xml:space="preserve">paredz īpašuma tiesību netraucētu īstenošanu, kā arī valsts tiesības sabiedrības interesēs ierobežot īpašuma izmantošanu. </w:t>
            </w:r>
          </w:p>
          <w:p w14:paraId="67526131" w14:textId="63EA2BD0" w:rsidR="00597B0B" w:rsidRPr="00DB609E" w:rsidRDefault="007A14B7" w:rsidP="00597B0B">
            <w:pPr>
              <w:spacing w:before="120" w:after="120"/>
              <w:jc w:val="both"/>
            </w:pPr>
            <w:r w:rsidRPr="002763E8">
              <w:rPr>
                <w:color w:val="000000" w:themeColor="text1"/>
              </w:rPr>
              <w:t>Atbilstoši normatīvo aktu prasībām Ekonomikas ministrija komersantiem ir piešķīrusi tiesības pārdot saražoto elektroenerģiju obligātā iepirkuma ietvaros vai arī tiesības saņemt garantēto maksu par uzstādīto elektrisko jaudu. Izmantojot Ekonomikas ministrijas piešķirtās tiesības, komersanti noslēguši līgumus, ar AS „Enerģijas publiskais tirgotājs”, kas administrē elektroenerģijas obligāto iepirkumu un nodrošina subsīdiju izmaksu ražotājiem. Satversmes tiesa ir atzinusi, ka īpašuma tiesības ietver arī līgumu tiesības ar ekonomisku vērtību (</w:t>
            </w:r>
            <w:r w:rsidRPr="002763E8">
              <w:rPr>
                <w:i/>
                <w:color w:val="000000" w:themeColor="text1"/>
              </w:rPr>
              <w:t>sk. Satversmes tiesas 2010. gada 20. aprīļa lēmuma par tiesvedības izbeigšanu lietā Nr. 2009-100-03 8.2. punktu</w:t>
            </w:r>
            <w:r w:rsidRPr="002763E8">
              <w:rPr>
                <w:color w:val="000000" w:themeColor="text1"/>
              </w:rPr>
              <w:t>). Par īpašumu var tikt uzskatīti ļoti dažādi prasījumi, proti, tādi prasījumi, kuru izpildi varētu pieprasīt, ja pastāv skaidrs tiesisks pamats. Arī nākotnes ienākumi uzskatāmi par īpašumu tad, ja tie jau ir nopelnīti vai pastāv prasība, kuru var apmierināt (</w:t>
            </w:r>
            <w:r w:rsidRPr="002763E8">
              <w:rPr>
                <w:i/>
                <w:color w:val="000000" w:themeColor="text1"/>
              </w:rPr>
              <w:t>sk. Satversmes tiesas 2010.gada 27.oktobra sprieduma lietā Nr.2010-12-03 7.punktu un 2011.gada 3.novembra sprieduma lietā Nr.2011-05-01 15.2.punktu</w:t>
            </w:r>
            <w:r w:rsidRPr="002763E8">
              <w:rPr>
                <w:color w:val="000000" w:themeColor="text1"/>
              </w:rPr>
              <w:t xml:space="preserve">). Ekonomikas ministrijas izdotie administratīvie akti </w:t>
            </w:r>
            <w:r w:rsidRPr="00DB609E">
              <w:t>un ar AS „Enerģijas publiskais tirgotājs” noslēgtie līgumi piešķir komersantiem tiesības pārdot saražoto elektroenerģiju par paaugstinātu cenu vai arī tiesības saņemt garantēto maksu par uzstādīto elektrisko jaudu. Šādām līgumiskām tiesībām piemīt ekonomiska vērtība, un komersantiem ir prasījuma tiesības uz to realizāciju.</w:t>
            </w:r>
          </w:p>
          <w:p w14:paraId="40218901" w14:textId="77777777" w:rsidR="00AE3D51" w:rsidRPr="00DB609E" w:rsidRDefault="00AE3D51" w:rsidP="00AE3D51">
            <w:pPr>
              <w:spacing w:before="120" w:after="120"/>
              <w:jc w:val="both"/>
              <w:rPr>
                <w:shd w:val="clear" w:color="auto" w:fill="FFFFFF"/>
              </w:rPr>
            </w:pPr>
            <w:r w:rsidRPr="00DB609E">
              <w:rPr>
                <w:shd w:val="clear" w:color="auto" w:fill="FFFFFF"/>
              </w:rPr>
              <w:t>Tiesības uz īpašumu demokrātiskā tiesiskā valstī nav absolūtas. Pirmkārt, tiesības uz īpašumu sevī ietver arī īpašnieka sociālo pienākumu pret sabiedrību - īpašumu nedrīkst izmantot pretēji sabiedrības interesēm. Otrkārt, tiesības uz īpašumu var ierobežot saskaņā ar likumu. Līdz ar to tiesības uz īpašumu var ierobežot, ja vien ierobežojumi ir noteikti ar likumu leģitīma mērķa labad un ir samērīgi ar šo mērķi (</w:t>
            </w:r>
            <w:r w:rsidRPr="00DB609E">
              <w:rPr>
                <w:i/>
                <w:iCs/>
                <w:shd w:val="clear" w:color="auto" w:fill="FFFFFF"/>
              </w:rPr>
              <w:t>sk., piemēram, Satversmes tiesas 2007.gada 26.aprīļa sprieduma lietā Nr. 2006-38-03 12.punktu un 2014.gada 10.oktobra sprieduma lietā Nr.2014-04-03 7.2.punktu</w:t>
            </w:r>
            <w:r w:rsidRPr="00DB609E">
              <w:rPr>
                <w:shd w:val="clear" w:color="auto" w:fill="FFFFFF"/>
              </w:rPr>
              <w:t>).</w:t>
            </w:r>
          </w:p>
          <w:p w14:paraId="6191C966" w14:textId="77777777" w:rsidR="00AE3D51" w:rsidRPr="00722C65" w:rsidRDefault="00AE3D51" w:rsidP="00AE3D51">
            <w:pPr>
              <w:spacing w:before="120" w:after="120"/>
              <w:jc w:val="both"/>
              <w:rPr>
                <w:color w:val="000000" w:themeColor="text1"/>
              </w:rPr>
            </w:pPr>
            <w:r>
              <w:t xml:space="preserve">Satversmes tiesa ir secinājusi, ka, mainot tiesisko regulējumu, valsts iestādēm savā darbībā jābūt konsekventām attiecībā uz to izdotajiem normatīvajiem tiesību aktiem un jāievēro tiesiskā paļāvība, kas personām varētu rasties saskaņā ar konkrētu tiesību normu. Tiesiskās paļāvības princips citastarp prasa </w:t>
            </w:r>
            <w:r>
              <w:lastRenderedPageBreak/>
              <w:t xml:space="preserve">aizsargāt paļāvību, kas personai radusies uz noteiktu tās tiesību saglabāšanu vai īstenošanu, un ietver valsts pienākumu pildīt saistības, ko tā uzņēmusies pret personām. Pretējā gadījumā tiktu mazināta personu uzticība valstij un tiesībām. Taču, lai nodrošinātu valsts spēju reaģēt uz mainīgajiem dzīves apstākļiem, šis princips neizslēdz valsts iespēju grozīt pastāvošo tiesisko regulējumu. Tiesiskās paļāvības princips arī prasa, lai valsts, mainot normatīvo regulējumu, ievērotu saprātīgu līdzsvaru starp personas paļāvību un tām sabiedrības interesēm, kuru nodrošināšanas labad regulējums tiek mainīts </w:t>
            </w:r>
            <w:r w:rsidRPr="00F82390">
              <w:rPr>
                <w:i/>
              </w:rPr>
              <w:t>(sk. Satversmes tiesas 2002.gada 19.marta sprieduma lietā Nr.2001-12-01 secinājumu daļas 3.2.punktu un 2014.gada 19.marta sprieduma lietā Nr.2013-13-01 7.1.punktu).</w:t>
            </w:r>
          </w:p>
          <w:p w14:paraId="13F52F3A" w14:textId="30E82652" w:rsidR="00AE3D51" w:rsidRPr="002763E8" w:rsidRDefault="00AE3D51" w:rsidP="00AE3D51">
            <w:pPr>
              <w:spacing w:before="120" w:after="120"/>
              <w:jc w:val="both"/>
              <w:rPr>
                <w:color w:val="000000" w:themeColor="text1"/>
              </w:rPr>
            </w:pPr>
            <w:r w:rsidRPr="00BF1167">
              <w:t>Konkrētajā gadījumā ir samērojama</w:t>
            </w:r>
            <w:r>
              <w:t xml:space="preserve"> elektroenerģijas ražotāju tiesiskā paļāvība uz tiesiskās situācijas nemainīgumu un tiesībām no sava īpašuma gūt pēc iespējas lielāku peļņu ar sabiedrības labklājības interesēm.</w:t>
            </w:r>
          </w:p>
          <w:p w14:paraId="1B217B8A" w14:textId="77777777" w:rsidR="00AE3D51" w:rsidRDefault="00AE3D51" w:rsidP="00AE3D51">
            <w:pPr>
              <w:jc w:val="both"/>
            </w:pPr>
            <w:r>
              <w:t xml:space="preserve">Normas leģitīmais mērķis, cita starpā, ir sabiedrības labklājības veicināšana, kas izpaužas kā izmaksu par OIK ierobežošana un valsts atbalsta līdzekļu efektīva izmantošana, vienlaikus saglabājot iedzīvotājiem priekšrocības, ko sniedz elektroenerģijas ražošana no AER un tās patērēšana. Tādējādi tiks samazināti valsts budžeta izdevumi, novēršot pārkompensāciju un panākot efektīvu enerģētikas tirgus darbību. </w:t>
            </w:r>
          </w:p>
          <w:p w14:paraId="6E8D1190" w14:textId="10D12551" w:rsidR="00AE3D51" w:rsidRDefault="00AE3D51" w:rsidP="00AE3D51">
            <w:pPr>
              <w:jc w:val="both"/>
            </w:pPr>
            <w:r w:rsidRPr="0067731E">
              <w:rPr>
                <w:color w:val="000000" w:themeColor="text1"/>
              </w:rPr>
              <w:t xml:space="preserve">Pārkompensācijas novēršanas mehānisma ieviešana ir priekšnosacījums, </w:t>
            </w:r>
            <w:r w:rsidRPr="0067731E">
              <w:t xml:space="preserve">lai EK lemtu par Latvijas iesniegtā valsts atbalsta lietu SA.42854 (2015/N) </w:t>
            </w:r>
            <w:r w:rsidRPr="0067731E">
              <w:rPr>
                <w:i/>
              </w:rPr>
              <w:t>Atbalsts energointensīvajiem apstrādes rūpniecības komersantiem</w:t>
            </w:r>
            <w:r w:rsidRPr="0067731E">
              <w:t>.</w:t>
            </w:r>
            <w:r>
              <w:t xml:space="preserve"> Saskaņā ar Ministru kabineta 2015.gada 14.jūlija noteikumiem Nr.395 “Kārtība, kādā energoietlpīgie apstrādes rūpniecība uzņēmumi iegūst tiesības uz samazinātu līdzdalību obligātā iepirkuma komponentes maksājumam” (turpmāk – MK noteikumi Nr.395). Saskaņā ar </w:t>
            </w:r>
            <w:r w:rsidRPr="00BF1167">
              <w:t>MK noteikum</w:t>
            </w:r>
            <w:r>
              <w:t>u Nr.395 32.punktu</w:t>
            </w:r>
            <w:r w:rsidR="00594F99">
              <w:t>, kas</w:t>
            </w:r>
            <w:r w:rsidR="00F82390">
              <w:t xml:space="preserve"> </w:t>
            </w:r>
            <w:r>
              <w:t xml:space="preserve">nosaka, ka </w:t>
            </w:r>
            <w:r w:rsidR="00594F99">
              <w:t xml:space="preserve"> MK noteikumi Nr.395</w:t>
            </w:r>
            <w:r w:rsidR="00F82390">
              <w:t xml:space="preserve"> </w:t>
            </w:r>
            <w:r>
              <w:t xml:space="preserve">stājas spēkā pēc tam, kad </w:t>
            </w:r>
            <w:r w:rsidR="007C1B92">
              <w:t>EK</w:t>
            </w:r>
            <w:r>
              <w:t xml:space="preserve"> ir pieņēmusi lēmumu par pasākuma atbilstību </w:t>
            </w:r>
            <w:r w:rsidR="007C1B92">
              <w:t>ES</w:t>
            </w:r>
            <w:r>
              <w:t xml:space="preserve"> iekšējam tirgum. Tādējādi pārkompensācijas mehānisma ieviešana ir priekšnoteikums, lai tiktu izvērtēts valsts atbalsts </w:t>
            </w:r>
            <w:r w:rsidRPr="00C05940">
              <w:rPr>
                <w:bCs/>
                <w:color w:val="000000" w:themeColor="text1"/>
              </w:rPr>
              <w:t>Latvijas energoietilpīg</w:t>
            </w:r>
            <w:r>
              <w:rPr>
                <w:bCs/>
                <w:color w:val="000000" w:themeColor="text1"/>
              </w:rPr>
              <w:t>ajiem</w:t>
            </w:r>
            <w:r w:rsidRPr="00C05940">
              <w:rPr>
                <w:bCs/>
                <w:color w:val="000000" w:themeColor="text1"/>
              </w:rPr>
              <w:t xml:space="preserve"> uzņēmum</w:t>
            </w:r>
            <w:r>
              <w:rPr>
                <w:bCs/>
                <w:color w:val="000000" w:themeColor="text1"/>
              </w:rPr>
              <w:t xml:space="preserve">iem. </w:t>
            </w:r>
          </w:p>
          <w:p w14:paraId="34E7A8B7" w14:textId="77777777" w:rsidR="00AE3D51" w:rsidRDefault="00AE3D51" w:rsidP="00AE3D51">
            <w:pPr>
              <w:jc w:val="both"/>
            </w:pPr>
            <w:r>
              <w:t>Ņemot vērā minēto, a</w:t>
            </w:r>
            <w:r w:rsidRPr="00BF1167">
              <w:t xml:space="preserve">r iesniegtajiem grozījumiem tiek nodrošināts, ka </w:t>
            </w:r>
            <w:r>
              <w:t>elektro</w:t>
            </w:r>
            <w:r w:rsidRPr="00BF1167">
              <w:t>enerģijas ražotāji gūst saprātīgu peļņu un atgūst investīcijas</w:t>
            </w:r>
            <w:r>
              <w:t xml:space="preserve"> un</w:t>
            </w:r>
            <w:r w:rsidRPr="00BF1167">
              <w:t xml:space="preserve"> vienlaikus </w:t>
            </w:r>
            <w:r>
              <w:t xml:space="preserve">tiek </w:t>
            </w:r>
            <w:r w:rsidRPr="00BF1167">
              <w:rPr>
                <w:color w:val="000000" w:themeColor="text1"/>
              </w:rPr>
              <w:t>nodrošināta tautsaimniecības konkurētspēja un nepalielināta mājsaimniecību enerģētisko nabadzība.</w:t>
            </w:r>
          </w:p>
          <w:p w14:paraId="194F8802" w14:textId="5A1B07B4" w:rsidR="00AE3D51" w:rsidRDefault="00AE3D51" w:rsidP="00AE3D51">
            <w:pPr>
              <w:jc w:val="both"/>
            </w:pPr>
            <w:r>
              <w:t>Ņemot vērā minēto, sabiedrības ieguvums no tā, ka elektronerģijas ražotāji tiek motivēti uzlabot savas darbības efektivitāti un valsts budžeta līdzekļi tiek izlietoti taupīgi, ir lielāks par atsevišķu elektroenerģijas ražotāju interesi uz peļņu.</w:t>
            </w:r>
          </w:p>
          <w:p w14:paraId="6E3FC434" w14:textId="77777777" w:rsidR="00AE3D51" w:rsidRPr="002763E8" w:rsidRDefault="00AE3D51" w:rsidP="00AE3D51">
            <w:pPr>
              <w:jc w:val="both"/>
            </w:pPr>
            <w:r w:rsidRPr="002763E8">
              <w:lastRenderedPageBreak/>
              <w:t xml:space="preserve">Tātad sabiedriskā interese uzturēt elektroenerģijas ražotāju konkurenci ir principā prevalējoša pār enerģijas ražotāju interesi būt pasargātam no konkurences, t.i., gūt tiesības pārdot saražoto elektroenerģiju obligātā iepirkuma ietvaros un tiesības saņemt garantēto maksu un turklāt to darīt par cenu, kas pārsniedz tā brīža elektroenerģijas tirgus cenu, kā arī veido būtisku komersantu pārsubsidāciju. </w:t>
            </w:r>
          </w:p>
          <w:p w14:paraId="412D72B7" w14:textId="4F5FA891" w:rsidR="00D00630" w:rsidRPr="00537FB4" w:rsidRDefault="00D62BE0" w:rsidP="007570FE">
            <w:pPr>
              <w:jc w:val="both"/>
              <w:rPr>
                <w:i/>
                <w:color w:val="000000" w:themeColor="text1"/>
              </w:rPr>
            </w:pPr>
            <w:r w:rsidRPr="002763E8">
              <w:t xml:space="preserve">Attiecīgi atbalsta saņēmējiem (komersantiem) jau sākotnēji bija jāsaprot, ka, pirmkārt, konkurences kropļojums nevar būt laikā neierobežots vai pastāvēt nesamērīgi ilgi. Otrkārt, pat, ja kādu laiku pastāv publiska interese veicināt atjaunojamo resursu izmantošanu un augstas </w:t>
            </w:r>
            <w:r w:rsidRPr="00537FB4">
              <w:t>efektivitātes koģenerācijas ieviešanu, tā prevalē pār publisko konkurences interesi un nebija iemesla prognozēt, ka šo publisko interešu samērs un, tātad konkurenci deformējošais normatīvais regulējums nemainīsies.</w:t>
            </w:r>
            <w:r w:rsidR="00537FB4">
              <w:t xml:space="preserve"> Treškārt, ka nesamērīga valsts atbalsta saņemšanas gadījumā var tikt pār</w:t>
            </w:r>
            <w:r w:rsidR="00F82390">
              <w:t>k</w:t>
            </w:r>
            <w:r w:rsidR="00537FB4">
              <w:t xml:space="preserve">āpti </w:t>
            </w:r>
            <w:r w:rsidR="007C1B92">
              <w:t>ES</w:t>
            </w:r>
            <w:r w:rsidR="00537FB4">
              <w:t xml:space="preserve"> normatīvie ak</w:t>
            </w:r>
            <w:r w:rsidR="00F82390">
              <w:t>t</w:t>
            </w:r>
            <w:r w:rsidR="00537FB4">
              <w:t>i, kas ierobežo valsts atbalstu komersantiem (</w:t>
            </w:r>
            <w:r w:rsidR="00AE3D51">
              <w:t xml:space="preserve">Līguma par Eiropas Savienības darbību </w:t>
            </w:r>
            <w:r w:rsidR="00537FB4">
              <w:t xml:space="preserve">107.pants). </w:t>
            </w:r>
          </w:p>
          <w:p w14:paraId="2F11D41B" w14:textId="77777777" w:rsidR="00AE3D51" w:rsidRDefault="00AE3D51" w:rsidP="00AE3D51">
            <w:pPr>
              <w:jc w:val="both"/>
              <w:rPr>
                <w:color w:val="000000" w:themeColor="text1"/>
              </w:rPr>
            </w:pPr>
            <w:r w:rsidRPr="00BF1167">
              <w:rPr>
                <w:color w:val="000000" w:themeColor="text1"/>
              </w:rPr>
              <w:t>Izvērtējot līdzekļus, ar kuriem var tikt samazināta pār</w:t>
            </w:r>
            <w:r>
              <w:rPr>
                <w:color w:val="000000" w:themeColor="text1"/>
              </w:rPr>
              <w:t>kompensācija</w:t>
            </w:r>
            <w:r w:rsidRPr="00BF1167">
              <w:rPr>
                <w:color w:val="000000" w:themeColor="text1"/>
              </w:rPr>
              <w:t>, ir konstatējams, ka alternatīv</w:t>
            </w:r>
            <w:r>
              <w:rPr>
                <w:color w:val="000000" w:themeColor="text1"/>
              </w:rPr>
              <w:t>ie</w:t>
            </w:r>
            <w:r w:rsidRPr="00BF1167">
              <w:rPr>
                <w:color w:val="000000" w:themeColor="text1"/>
              </w:rPr>
              <w:t xml:space="preserve"> līdzek</w:t>
            </w:r>
            <w:r>
              <w:rPr>
                <w:color w:val="000000" w:themeColor="text1"/>
              </w:rPr>
              <w:t>ļi ir pārkompensācijas rezultātā</w:t>
            </w:r>
            <w:r w:rsidRPr="00BF1167">
              <w:rPr>
                <w:color w:val="000000" w:themeColor="text1"/>
              </w:rPr>
              <w:t xml:space="preserve">  nepamatoti saņemtā atbalsta atmaksāšana</w:t>
            </w:r>
            <w:r>
              <w:rPr>
                <w:color w:val="000000" w:themeColor="text1"/>
              </w:rPr>
              <w:t xml:space="preserve"> vai valsts atbalsta maksājumu atcelšana. </w:t>
            </w:r>
          </w:p>
          <w:p w14:paraId="5A02E680" w14:textId="77777777" w:rsidR="00AE3D51" w:rsidRDefault="00AE3D51" w:rsidP="00AE3D51">
            <w:pPr>
              <w:jc w:val="both"/>
              <w:rPr>
                <w:color w:val="000000" w:themeColor="text1"/>
              </w:rPr>
            </w:pPr>
            <w:r>
              <w:rPr>
                <w:color w:val="000000" w:themeColor="text1"/>
              </w:rPr>
              <w:t>Ņemot vērā, ka ar grozījumos paredzēto pārkompensācijas novēršanas mehānismu, daļai komersantu tiek saglabāts valsts atbalsts un daļai komersantu tiek samazināts, tad izvēlētais mehānisms ir saudzīgākais mehānisms pārkompensācijas novēršanai un skar vismazāko komersantu loku.</w:t>
            </w:r>
          </w:p>
          <w:p w14:paraId="5E678544" w14:textId="751E526B" w:rsidR="00597B0B" w:rsidRPr="006E2F36" w:rsidRDefault="0096767A" w:rsidP="00597B0B">
            <w:pPr>
              <w:pStyle w:val="ListParagraph"/>
              <w:numPr>
                <w:ilvl w:val="0"/>
                <w:numId w:val="5"/>
              </w:numPr>
              <w:spacing w:before="120" w:after="120"/>
              <w:jc w:val="both"/>
              <w:rPr>
                <w:b/>
                <w:sz w:val="24"/>
                <w:szCs w:val="24"/>
              </w:rPr>
            </w:pPr>
            <w:r w:rsidRPr="007A14B7">
              <w:rPr>
                <w:b/>
                <w:sz w:val="24"/>
                <w:szCs w:val="24"/>
              </w:rPr>
              <w:t xml:space="preserve">Kopējās kapitālieguldījumu iekšējās peļņas normas </w:t>
            </w:r>
            <w:r w:rsidR="00597B0B" w:rsidRPr="006E2F36">
              <w:rPr>
                <w:b/>
                <w:sz w:val="24"/>
                <w:szCs w:val="24"/>
              </w:rPr>
              <w:t xml:space="preserve"> likme.</w:t>
            </w:r>
          </w:p>
          <w:p w14:paraId="44707432" w14:textId="495B90DF" w:rsidR="00597B0B" w:rsidRDefault="00597B0B" w:rsidP="00597B0B">
            <w:pPr>
              <w:spacing w:before="120" w:after="120"/>
              <w:jc w:val="both"/>
            </w:pPr>
            <w:r w:rsidRPr="000C71F9">
              <w:t>Kopējās kapitālieguldījumu iekšējās peļņas normas (turpmāk – IRR) un cenas diferencēšanas koeficienta pārkompensācijas novēršanai aprēķina metodiku un līmeņatzīmju vērtības noteiktas Ekonomikas ministrijas veiktajā iepirkumā „Priekšlikumu izstrāde metodiskajām vadlīnijām iekšējās peļņas normas aprēķināšanai pārkompensācijas novēršanai komersantiem, kas ir saņēmuši tiesības pārdot elektroenerģiju obligātā iepirkuma vai garantētās maksas ietvaros”, kuru uz līguma pa</w:t>
            </w:r>
            <w:r w:rsidRPr="000B41D7">
              <w:t xml:space="preserve">mata izpildīja </w:t>
            </w:r>
            <w:r w:rsidR="0096767A" w:rsidRPr="00EE24A8">
              <w:t xml:space="preserve">sabiedrība ar ierobežotu </w:t>
            </w:r>
            <w:r w:rsidR="0096767A" w:rsidRPr="006E2F36">
              <w:t xml:space="preserve">atbildību </w:t>
            </w:r>
            <w:r w:rsidRPr="006E2F36">
              <w:t>“Prudentia Energy Markets” un</w:t>
            </w:r>
            <w:r w:rsidR="0096767A" w:rsidRPr="006E2F36">
              <w:t>,</w:t>
            </w:r>
            <w:r w:rsidRPr="006E2F36">
              <w:t xml:space="preserve"> kurš būs pieejams Ekonomikas ministrijas </w:t>
            </w:r>
            <w:r w:rsidR="0096767A" w:rsidRPr="006E2F36">
              <w:t>tīmekļa vietnē</w:t>
            </w:r>
            <w:r w:rsidRPr="006E2F36">
              <w:t>.</w:t>
            </w:r>
          </w:p>
          <w:p w14:paraId="5BAC9CE1" w14:textId="18DB8E3E" w:rsidR="00F1032F" w:rsidRDefault="00F1032F" w:rsidP="00597B0B">
            <w:pPr>
              <w:spacing w:before="120" w:after="120"/>
              <w:jc w:val="both"/>
            </w:pPr>
            <w:r>
              <w:t xml:space="preserve">Noteikumu projektā atsevišķas pozīcijas salīdzinot ar iepirkumā iegūto informāciju ir mainītas, ņemot vērā saskaņošanas procesā iegūto papildinformāciju </w:t>
            </w:r>
            <w:r w:rsidR="00F82390">
              <w:t xml:space="preserve">no Zemkopības ministrijas un nozares pārstāvjiem </w:t>
            </w:r>
            <w:r>
              <w:t>par  konstanto pašpatēriņu biogāzes ražo</w:t>
            </w:r>
            <w:r w:rsidR="00F66415">
              <w:t>šan</w:t>
            </w:r>
            <w:r w:rsidR="00F82390">
              <w:t>a</w:t>
            </w:r>
            <w:r w:rsidR="00F66415">
              <w:t xml:space="preserve">i (pret 8000h), lielāku kūtsmēslu apjomu biogāzes izejvielu apjomā (mainījās biogāzes cena), </w:t>
            </w:r>
            <w:r>
              <w:t>un iekļaujot neto siltumjaudas aprē</w:t>
            </w:r>
            <w:r w:rsidR="00F66415">
              <w:t>ķinu (</w:t>
            </w:r>
            <w:r>
              <w:t xml:space="preserve">atbilstoši vidējai </w:t>
            </w:r>
            <w:r>
              <w:lastRenderedPageBreak/>
              <w:t xml:space="preserve">koģenerācijas staciju </w:t>
            </w:r>
            <w:r w:rsidR="00F66415">
              <w:t>bruto un neto saražotās siltumenerģijas attiecībai, kas saskaņā ar statistikas datiem laika periodā no 2007. līdz 2014. gadam bija 97%).</w:t>
            </w:r>
          </w:p>
          <w:p w14:paraId="2ABC6C68" w14:textId="122D99E9" w:rsidR="00707445" w:rsidRPr="00BD6296" w:rsidRDefault="00707445" w:rsidP="00707445">
            <w:pPr>
              <w:shd w:val="clear" w:color="auto" w:fill="FFFFFF"/>
              <w:spacing w:before="100" w:beforeAutospacing="1" w:after="100" w:afterAutospacing="1" w:line="254" w:lineRule="atLeast"/>
              <w:jc w:val="both"/>
              <w:rPr>
                <w:szCs w:val="28"/>
              </w:rPr>
            </w:pPr>
            <w:r>
              <w:rPr>
                <w:szCs w:val="28"/>
              </w:rPr>
              <w:t>P</w:t>
            </w:r>
            <w:r w:rsidRPr="00BD6296">
              <w:rPr>
                <w:szCs w:val="28"/>
              </w:rPr>
              <w:t>ar komersanta elektrostaciju piešķirtais un faktiski saņemtais publiskais finansējums (EUR), t.sk. maksājumi no valsts vai pašvaldības budžeta, kredītu procentu likmju subsidēšana, kā arī cita finanšu palīdzība, kas tiek piešķirta vai sniegta no valsts, pašvaldības vai Eiropas Savienības budžeta līdzekļiem un ārvalst</w:t>
            </w:r>
            <w:r>
              <w:rPr>
                <w:szCs w:val="28"/>
              </w:rPr>
              <w:t>u finanšu palīdzības līdzekļiem, kas tiek ņemts vērā IRR aprēķinā, neietver subsidētās elektroenerģijas nodokļa samazinātās likmes, jo tās tiek ņemtas vērā atsevišķā aprēķinu pozīcijā.</w:t>
            </w:r>
          </w:p>
          <w:p w14:paraId="29266A9F" w14:textId="77777777" w:rsidR="00597B0B" w:rsidRPr="006E2F36" w:rsidRDefault="00597B0B" w:rsidP="00597B0B">
            <w:pPr>
              <w:spacing w:before="120" w:after="120"/>
              <w:jc w:val="both"/>
            </w:pPr>
            <w:r w:rsidRPr="00BF4E15">
              <w:t>Lai nodrošinātu vienlīdzīgu pieeju visiem atbalstu saņēmušajiem komersantu projektiem, noteikumu projekts paredz p</w:t>
            </w:r>
            <w:r w:rsidRPr="006E2F36">
              <w:t>rojektu kopējo kapitālieguldījumu IRR izvērtēšanu, izmantojot fiksētas līmaņatzīmes. Šādas pieejas izmantošanas rezultātā tiks veicināta efektīvāka staciju darbība.</w:t>
            </w:r>
          </w:p>
          <w:p w14:paraId="41D5220A" w14:textId="724564CD" w:rsidR="00817907" w:rsidRPr="000C71F9" w:rsidRDefault="001A0F18" w:rsidP="00597B0B">
            <w:pPr>
              <w:spacing w:before="120" w:after="120"/>
              <w:jc w:val="both"/>
            </w:pPr>
            <w:r w:rsidRPr="000C71F9">
              <w:t>Nosakot</w:t>
            </w:r>
            <w:r w:rsidR="00817907" w:rsidRPr="000C71F9">
              <w:t xml:space="preserve"> </w:t>
            </w:r>
            <w:r w:rsidRPr="000C71F9">
              <w:t>komersantiem piemērojamo IRR likmi ir izvērtēta Latvijas enerģētikas noz</w:t>
            </w:r>
            <w:r w:rsidRPr="000B41D7">
              <w:t xml:space="preserve">arē pastāvošā peļņas </w:t>
            </w:r>
            <w:r w:rsidR="005E64FE" w:rsidRPr="00EE24A8">
              <w:t>norma</w:t>
            </w:r>
            <w:r w:rsidRPr="00EE24A8">
              <w:t xml:space="preserve">. </w:t>
            </w:r>
            <w:r w:rsidR="005E64FE" w:rsidRPr="00EE24A8">
              <w:t xml:space="preserve">Atbilstoši Sabiedrisko pakalpojumu regulēšanas komisijas (turpmāk – Regulators) </w:t>
            </w:r>
            <w:r w:rsidR="005E64FE" w:rsidRPr="00411CE9">
              <w:t>2015.gada 19.novembra lēmumam Nr.142 kapitāla atdeves likme elektroener</w:t>
            </w:r>
            <w:r w:rsidR="005E64FE" w:rsidRPr="00842559">
              <w:t>ģijas sadales sistēmas pakalpojumu tarifu projekta izstrādāšanai</w:t>
            </w:r>
            <w:r w:rsidR="00D95530">
              <w:t xml:space="preserve"> tika noteikta 5% apmērā</w:t>
            </w:r>
            <w:r w:rsidR="005E64FE" w:rsidRPr="00842559">
              <w:t xml:space="preserve">. </w:t>
            </w:r>
            <w:r w:rsidR="005E64FE" w:rsidRPr="00537FB4">
              <w:t xml:space="preserve">Savukārt atbilstoši Regulatora 2015.gada 18.maija lēmumam Nr.83 AS „Latvijas Gāze” dabasgāzes pārvades, uzglabāšanas, sadales un tirdzniecības pakalpojumu tarifu aprēķinu projekta sagatavošanai </w:t>
            </w:r>
            <w:r w:rsidR="005E64FE" w:rsidRPr="002763E8">
              <w:t xml:space="preserve">tika noteikta kapitāla atdeves likme 6,1% apmērā. </w:t>
            </w:r>
            <w:r w:rsidR="00AC59FA" w:rsidRPr="002763E8">
              <w:t>Regulatora</w:t>
            </w:r>
            <w:r w:rsidR="005E64FE" w:rsidRPr="002763E8">
              <w:t xml:space="preserve"> </w:t>
            </w:r>
            <w:r w:rsidR="00AC59FA" w:rsidRPr="002763E8">
              <w:t>izstrādātajās koģenerācijas tarifu aprēķināšanas metodikā</w:t>
            </w:r>
            <w:r w:rsidR="00F82390">
              <w:t>s</w:t>
            </w:r>
            <w:r w:rsidR="00AC59FA" w:rsidRPr="00187D7E">
              <w:t xml:space="preserve"> un </w:t>
            </w:r>
            <w:r w:rsidR="00AC59FA" w:rsidRPr="00E76CDA">
              <w:rPr>
                <w:i/>
              </w:rPr>
              <w:t>Frauenhofer</w:t>
            </w:r>
            <w:r w:rsidR="00AC59FA" w:rsidRPr="00E76CDA">
              <w:t xml:space="preserve"> institūt</w:t>
            </w:r>
            <w:r w:rsidR="00AC59FA" w:rsidRPr="00BF4E15">
              <w:t>a vadītajā 2016.gada februāra pētījumā</w:t>
            </w:r>
            <w:r w:rsidR="00AC59FA" w:rsidRPr="00187D7E">
              <w:rPr>
                <w:rStyle w:val="FootnoteReference"/>
              </w:rPr>
              <w:footnoteReference w:id="1"/>
            </w:r>
            <w:r w:rsidR="00AC59FA" w:rsidRPr="00187D7E">
              <w:t xml:space="preserve"> maksimāl</w:t>
            </w:r>
            <w:r w:rsidR="00AC59FA" w:rsidRPr="00E76CDA">
              <w:t>ā projektu ienesīguma r</w:t>
            </w:r>
            <w:r w:rsidR="00AC59FA" w:rsidRPr="00BF4E15">
              <w:t>ādītāja IRR vērtība ir noteikta 9%.</w:t>
            </w:r>
            <w:r w:rsidR="00AC59FA" w:rsidRPr="006E2F36">
              <w:t xml:space="preserve"> Izvērtējot minēto, maksimālā komersantiem piemērojamā IRR likme tiek noteikta 9</w:t>
            </w:r>
            <w:r w:rsidR="00AC59FA" w:rsidRPr="000C71F9">
              <w:t>% apmērā.</w:t>
            </w:r>
          </w:p>
          <w:p w14:paraId="7878C093" w14:textId="4A9D324A" w:rsidR="00597B0B" w:rsidRPr="006E2F36" w:rsidRDefault="00597B0B" w:rsidP="00597B0B">
            <w:pPr>
              <w:spacing w:before="120" w:after="120"/>
              <w:jc w:val="both"/>
            </w:pPr>
            <w:r w:rsidRPr="006E2F36">
              <w:t>Ja aprēķinātais IRR pārsniedz 9%, tad tiek konstatēta projekta pārkompensācija, atbilstoši līmenim, kas iepriekš tika izmantots nozarē līdzīgu projektu vērtēšanā. Savukārt, ja projekta IRR ir līdz 9%, tad attiecīgajam projektam netiks piemērots korekcijas koeficients.</w:t>
            </w:r>
          </w:p>
          <w:p w14:paraId="4B80C4E8" w14:textId="77777777" w:rsidR="00597B0B" w:rsidRPr="000C71F9" w:rsidRDefault="00597B0B" w:rsidP="00597B0B">
            <w:pPr>
              <w:spacing w:before="120" w:after="120"/>
              <w:jc w:val="both"/>
            </w:pPr>
            <w:r w:rsidRPr="000C71F9">
              <w:t>Konstatējot projekta pārkompensāciju nākotnes atbalstam tiks piemērots samazinošs koeficients - cenas diferencēšanas koeficients pārkompensācijas novēršanai, nodrošinot, ka projekta kopējais IRR līmenis atbalsta perioda beigās nepārsniedz 9%.</w:t>
            </w:r>
          </w:p>
          <w:p w14:paraId="260EDBB7" w14:textId="534FDAA6" w:rsidR="008E3CA5" w:rsidRPr="00EE24A8" w:rsidRDefault="008E3CA5" w:rsidP="00597B0B">
            <w:pPr>
              <w:spacing w:before="120" w:after="120"/>
              <w:jc w:val="both"/>
            </w:pPr>
            <w:r w:rsidRPr="000C71F9">
              <w:lastRenderedPageBreak/>
              <w:t>Ņemot vērā, ka Latvijā daļa no koģenerācijas procesā saražotās siltu</w:t>
            </w:r>
            <w:r w:rsidRPr="000B41D7">
              <w:t xml:space="preserve">menerģijas tiek pārdota centralizētās siltumapgādes nodrošināšanai pašvaldībās, tad </w:t>
            </w:r>
            <w:r w:rsidR="00594F99" w:rsidRPr="00594F99">
              <w:t xml:space="preserve">tām elektrostacijām, kurās koģenerācijas procesā saražotās siltumenerģijas cenu ir noteicis vai apstiprinājis </w:t>
            </w:r>
            <w:r w:rsidR="00594F99">
              <w:t>R</w:t>
            </w:r>
            <w:r w:rsidR="00594F99" w:rsidRPr="00594F99">
              <w:t xml:space="preserve">egulators pirms 2016. gada 1. jūnija un kuru siltumenerģijas pārdošanas cena nepārsniedz </w:t>
            </w:r>
            <w:r w:rsidR="00594F99">
              <w:t>R</w:t>
            </w:r>
            <w:r w:rsidR="00594F99" w:rsidRPr="00594F99">
              <w:t>egulatora noteikto</w:t>
            </w:r>
            <w:r w:rsidRPr="000B41D7">
              <w:t xml:space="preserve">, netiek piemērots nosacījums par IRR aprēķināšanu. </w:t>
            </w:r>
            <w:r w:rsidRPr="00EE24A8">
              <w:t xml:space="preserve"> </w:t>
            </w:r>
          </w:p>
          <w:p w14:paraId="230FB062" w14:textId="77777777" w:rsidR="00597B0B" w:rsidRPr="00411CE9" w:rsidRDefault="00597B0B" w:rsidP="00597B0B">
            <w:pPr>
              <w:pStyle w:val="ListParagraph"/>
              <w:numPr>
                <w:ilvl w:val="0"/>
                <w:numId w:val="5"/>
              </w:numPr>
              <w:spacing w:before="120" w:after="120"/>
              <w:jc w:val="both"/>
              <w:rPr>
                <w:b/>
                <w:sz w:val="24"/>
                <w:szCs w:val="24"/>
              </w:rPr>
            </w:pPr>
            <w:r w:rsidRPr="00411CE9">
              <w:rPr>
                <w:b/>
                <w:sz w:val="24"/>
                <w:szCs w:val="24"/>
              </w:rPr>
              <w:t>IRR aprēķināšana.</w:t>
            </w:r>
          </w:p>
          <w:p w14:paraId="2BEE5C38" w14:textId="2490D99B" w:rsidR="006F693A" w:rsidRPr="002763E8" w:rsidRDefault="006F693A" w:rsidP="006F693A">
            <w:pPr>
              <w:spacing w:before="120" w:after="120"/>
              <w:jc w:val="both"/>
            </w:pPr>
            <w:r w:rsidRPr="00842559">
              <w:t>Latvijā komersantiem ir piešķirtas tiesības iegūt obligāto iepirkumu vai garantēto maksu par uzstādīto elektrisko jaudu</w:t>
            </w:r>
            <w:r w:rsidR="00A535F5" w:rsidRPr="00842559">
              <w:t xml:space="preserve">. Katram no šiem veidiem </w:t>
            </w:r>
            <w:r w:rsidRPr="00537FB4">
              <w:t xml:space="preserve">IRR aprēķināšana šiem </w:t>
            </w:r>
            <w:r w:rsidRPr="002763E8">
              <w:t>ir noteikta dažāda.</w:t>
            </w:r>
          </w:p>
          <w:p w14:paraId="7254A828" w14:textId="50E3F342" w:rsidR="00597B0B" w:rsidRPr="002763E8" w:rsidRDefault="00597B0B" w:rsidP="00597B0B">
            <w:pPr>
              <w:jc w:val="both"/>
            </w:pPr>
            <w:r w:rsidRPr="002763E8">
              <w:t>Ņemot vērā, ka līdz šim IRR aprēķināšana projektiem, kas veidoti ar mērķi ražot elektroenerģiju no atjaunojamiem energoresur</w:t>
            </w:r>
            <w:r w:rsidR="00707445">
              <w:t>s</w:t>
            </w:r>
            <w:r w:rsidRPr="002763E8">
              <w:t>iem, nav veikta, noteikumu projekta paredz MK noteikumus Nr.262 papildin</w:t>
            </w:r>
            <w:r w:rsidR="00375B99" w:rsidRPr="002763E8">
              <w:t xml:space="preserve">āt ar jaunu </w:t>
            </w:r>
            <w:r w:rsidRPr="002763E8">
              <w:t xml:space="preserve">pielikumu, kurā ir  noteikta IRR aprēķināšanas formula ar skaidrojumiem par formulās iekļautajiem mainīgajiem un konstantēm un aprēķina gaitu. Tā kā Latvijā elektroenerģiju no atjaunojamiem energoresursiem ražo, izmantojot dažādas tehnoloģijas (vēja parki, hidroelektrostacijas, biogāzes koģenerācija, biomasas koģenerācija), tad IRR aprēķinā tiek ņemtas vērā šo tehnoloģiju īpatnības un atsevišķiem mainīgajiem un konstantēm ir piedāvāts atšķirīgs aprēķina modelis. </w:t>
            </w:r>
          </w:p>
          <w:p w14:paraId="34C4023D" w14:textId="6B708805" w:rsidR="00280BF3" w:rsidRPr="002763E8" w:rsidRDefault="00280BF3" w:rsidP="00597B0B">
            <w:pPr>
              <w:spacing w:before="120" w:after="120"/>
              <w:jc w:val="both"/>
            </w:pPr>
            <w:r w:rsidRPr="002763E8">
              <w:t xml:space="preserve">Lai nodrošinātu attiecīgo tehnoloģiju projektu salīdzinošo izvērtējumu, noteiktiem mainīgajiem lielumiem tiek izmantotas līmeņatzīmes, kas balstītas gan uz ES </w:t>
            </w:r>
            <w:r w:rsidR="006F693A" w:rsidRPr="002763E8">
              <w:t xml:space="preserve">dalībvalstīs </w:t>
            </w:r>
            <w:r w:rsidRPr="002763E8">
              <w:t>veiktajiem pētījumiem</w:t>
            </w:r>
            <w:r w:rsidRPr="00187D7E">
              <w:rPr>
                <w:rStyle w:val="FootnoteReference"/>
              </w:rPr>
              <w:footnoteReference w:id="2"/>
            </w:r>
            <w:r w:rsidRPr="00187D7E">
              <w:t xml:space="preserve"> par references izmaksu noteikšanu, ražojot elektroenerģiju no atjaunojamiem energoresursiem, gan uz Latvijā veiktajiem pētījumiem</w:t>
            </w:r>
            <w:r w:rsidR="006F693A" w:rsidRPr="00187D7E">
              <w:rPr>
                <w:rStyle w:val="FootnoteReference"/>
              </w:rPr>
              <w:footnoteReference w:id="3"/>
            </w:r>
            <w:r w:rsidRPr="00187D7E">
              <w:t xml:space="preserve">. </w:t>
            </w:r>
            <w:r w:rsidR="006F693A" w:rsidRPr="00BF4E15">
              <w:t xml:space="preserve">Tādejādi </w:t>
            </w:r>
            <w:r w:rsidR="00187D7E" w:rsidRPr="00BF4E15">
              <w:t xml:space="preserve">novēršot </w:t>
            </w:r>
            <w:r w:rsidR="006F693A" w:rsidRPr="006E2F36">
              <w:t xml:space="preserve">iespēju, ka </w:t>
            </w:r>
            <w:r w:rsidR="00187D7E" w:rsidRPr="006E2F36">
              <w:t xml:space="preserve">elektrostacijās ar vienādām tehnoloģijām, kas atrodas līdzīgās situācijās, IRR var būtiski atšķirties. </w:t>
            </w:r>
            <w:r w:rsidR="006F693A" w:rsidRPr="000C71F9">
              <w:t xml:space="preserve">Papildus tam līmeņatzīmju izmantošana IRR aprēķinos nodrošinās, ka </w:t>
            </w:r>
            <w:r w:rsidR="006F693A" w:rsidRPr="000B41D7">
              <w:t xml:space="preserve">komersanti, kas efektīvi plāno savas elektrostacijas darbību, integrējot tās pilnā darbības ciklā (piemēram, biomasas koģenerācijas stacija atrodas blakus granulu ražošanas uzņēmumam, kas patērē elektrostacijā saražoto siltumu, savukārt, nodrošina staciju </w:t>
            </w:r>
            <w:r w:rsidR="006F693A" w:rsidRPr="00EE24A8">
              <w:t>ar biomasu, kas paliek pāri no granulu ražošanas)</w:t>
            </w:r>
            <w:r w:rsidR="00187D7E" w:rsidRPr="00411CE9">
              <w:t xml:space="preserve"> </w:t>
            </w:r>
            <w:r w:rsidR="006F693A" w:rsidRPr="00411CE9">
              <w:t>ne</w:t>
            </w:r>
            <w:r w:rsidR="00187D7E" w:rsidRPr="00411CE9">
              <w:t>atrodas</w:t>
            </w:r>
            <w:r w:rsidR="006F693A" w:rsidRPr="00411CE9">
              <w:t xml:space="preserve"> </w:t>
            </w:r>
            <w:r w:rsidR="00187D7E" w:rsidRPr="00842559">
              <w:t>sliktā</w:t>
            </w:r>
            <w:r w:rsidR="00707445">
              <w:t>k</w:t>
            </w:r>
            <w:r w:rsidR="00187D7E" w:rsidRPr="00842559">
              <w:t xml:space="preserve">ā tiesiskā stāvoklī par </w:t>
            </w:r>
            <w:r w:rsidR="006F693A" w:rsidRPr="00904884">
              <w:t xml:space="preserve">komersantiem, kas </w:t>
            </w:r>
            <w:r w:rsidR="00187D7E" w:rsidRPr="00537FB4">
              <w:t xml:space="preserve"> neveic savas elektrostacijas </w:t>
            </w:r>
            <w:r w:rsidR="00594F99">
              <w:t xml:space="preserve">darbības </w:t>
            </w:r>
            <w:r w:rsidR="00187D7E" w:rsidRPr="00537FB4">
              <w:t>efektīv</w:t>
            </w:r>
            <w:r w:rsidR="00187D7E" w:rsidRPr="002763E8">
              <w:t>u plānošanu</w:t>
            </w:r>
            <w:r w:rsidR="006F693A" w:rsidRPr="002763E8">
              <w:t xml:space="preserve">. </w:t>
            </w:r>
          </w:p>
          <w:p w14:paraId="5E96B3CD" w14:textId="40C5CF79" w:rsidR="00681B8F" w:rsidRPr="002763E8" w:rsidRDefault="00187D7E" w:rsidP="00187D7E">
            <w:pPr>
              <w:spacing w:before="120" w:after="120"/>
              <w:jc w:val="both"/>
            </w:pPr>
            <w:r w:rsidRPr="002763E8">
              <w:lastRenderedPageBreak/>
              <w:t xml:space="preserve">Lai nodrošinātu IRR aprēķina atbilstību faktiskajai situācijai, kā arī ņemtu vērā atsevišķu mainīgo faktiskās vērtības, </w:t>
            </w:r>
            <w:r w:rsidR="00681B8F" w:rsidRPr="002763E8">
              <w:t>piemēram, dabasgāzes cenas vai subsidētās elektroenerģijas nodokļa likmju izmaiņas, IRR aprēķins tiks veikts mēnešu griezumā</w:t>
            </w:r>
            <w:r w:rsidR="008E3CA5" w:rsidRPr="002763E8">
              <w:t>.</w:t>
            </w:r>
          </w:p>
          <w:p w14:paraId="567CB0EA" w14:textId="77777777" w:rsidR="006F693A" w:rsidRPr="002763E8" w:rsidRDefault="006F693A" w:rsidP="006F693A">
            <w:pPr>
              <w:pStyle w:val="Heading3"/>
              <w:numPr>
                <w:ilvl w:val="2"/>
                <w:numId w:val="0"/>
              </w:numPr>
              <w:spacing w:line="259" w:lineRule="auto"/>
              <w:jc w:val="both"/>
              <w:rPr>
                <w:rFonts w:eastAsiaTheme="minorEastAsia"/>
                <w:color w:val="auto"/>
              </w:rPr>
            </w:pPr>
            <w:bookmarkStart w:id="5" w:name="_Toc450854625"/>
            <w:r w:rsidRPr="002763E8">
              <w:rPr>
                <w:rFonts w:ascii="Times New Roman" w:eastAsiaTheme="minorEastAsia" w:hAnsi="Times New Roman" w:cs="Times New Roman"/>
                <w:color w:val="auto"/>
              </w:rPr>
              <w:t>E</w:t>
            </w:r>
            <w:r w:rsidR="00597B0B" w:rsidRPr="002763E8">
              <w:rPr>
                <w:rFonts w:ascii="Times New Roman" w:eastAsiaTheme="minorEastAsia" w:hAnsi="Times New Roman" w:cs="Times New Roman"/>
                <w:color w:val="auto"/>
              </w:rPr>
              <w:t>lektrostacijām, kas atbalstu s</w:t>
            </w:r>
            <w:r w:rsidRPr="002763E8">
              <w:rPr>
                <w:rFonts w:ascii="Times New Roman" w:eastAsiaTheme="minorEastAsia" w:hAnsi="Times New Roman" w:cs="Times New Roman"/>
                <w:color w:val="auto"/>
              </w:rPr>
              <w:t xml:space="preserve">aņem garantētās maksas par </w:t>
            </w:r>
            <w:r w:rsidR="00597B0B" w:rsidRPr="002763E8">
              <w:rPr>
                <w:rFonts w:ascii="Times New Roman" w:eastAsiaTheme="minorEastAsia" w:hAnsi="Times New Roman" w:cs="Times New Roman"/>
                <w:color w:val="auto"/>
              </w:rPr>
              <w:t>uzstādīto elektrisko jaudu maksājuma veidā</w:t>
            </w:r>
            <w:bookmarkEnd w:id="5"/>
            <w:r w:rsidRPr="002763E8">
              <w:rPr>
                <w:rFonts w:ascii="Times New Roman" w:eastAsiaTheme="minorEastAsia" w:hAnsi="Times New Roman" w:cs="Times New Roman"/>
                <w:color w:val="auto"/>
              </w:rPr>
              <w:t xml:space="preserve">, IRR tiks aprēķināts, </w:t>
            </w:r>
            <w:r w:rsidR="00597B0B" w:rsidRPr="002763E8">
              <w:rPr>
                <w:rFonts w:ascii="Times New Roman" w:eastAsiaTheme="minorEastAsia" w:hAnsi="Times New Roman" w:cs="Times New Roman"/>
                <w:color w:val="auto"/>
              </w:rPr>
              <w:t>balstoties uz faktiskām un paredzamām darbības izmaksām.</w:t>
            </w:r>
            <w:r w:rsidR="00597B0B" w:rsidRPr="002763E8">
              <w:rPr>
                <w:rFonts w:eastAsiaTheme="minorEastAsia"/>
                <w:color w:val="auto"/>
              </w:rPr>
              <w:t xml:space="preserve"> </w:t>
            </w:r>
          </w:p>
          <w:p w14:paraId="089BDB00" w14:textId="77777777" w:rsidR="0096767A" w:rsidRPr="002763E8" w:rsidRDefault="0096767A" w:rsidP="002763E8">
            <w:pPr>
              <w:rPr>
                <w:rFonts w:eastAsiaTheme="minorEastAsia"/>
              </w:rPr>
            </w:pPr>
          </w:p>
          <w:p w14:paraId="5E2D483E" w14:textId="77777777" w:rsidR="00681B8F" w:rsidRPr="002763E8" w:rsidRDefault="00681B8F" w:rsidP="00681B8F">
            <w:pPr>
              <w:pStyle w:val="ListParagraph"/>
              <w:numPr>
                <w:ilvl w:val="0"/>
                <w:numId w:val="5"/>
              </w:numPr>
              <w:rPr>
                <w:rFonts w:eastAsiaTheme="minorEastAsia"/>
                <w:b/>
                <w:sz w:val="24"/>
                <w:szCs w:val="24"/>
              </w:rPr>
            </w:pPr>
            <w:r w:rsidRPr="002763E8">
              <w:rPr>
                <w:rFonts w:eastAsiaTheme="minorEastAsia"/>
                <w:b/>
                <w:sz w:val="24"/>
                <w:szCs w:val="24"/>
              </w:rPr>
              <w:t>Cenas diferencēšanas koeficients</w:t>
            </w:r>
          </w:p>
          <w:p w14:paraId="0A396A0A" w14:textId="77777777" w:rsidR="00681B8F" w:rsidRPr="002763E8" w:rsidRDefault="00681B8F" w:rsidP="00681B8F">
            <w:pPr>
              <w:spacing w:after="120"/>
              <w:jc w:val="both"/>
            </w:pPr>
            <w:r w:rsidRPr="002763E8">
              <w:t>Cenas diferencēšanas koeficients pārkompensācijas novēršanai tiks attiecināts un aprēķināts tiem komersantiem, kuru projekta IRR atbalsta perioda beigās (t.i. atbalsta perioda pēdējā kalendārā gadā) pārsniedz noteikumu projektā noteikto līmeni – 9%.</w:t>
            </w:r>
          </w:p>
          <w:p w14:paraId="57A5AA3E" w14:textId="77777777" w:rsidR="00681B8F" w:rsidRPr="002763E8" w:rsidRDefault="00681B8F" w:rsidP="00681B8F">
            <w:pPr>
              <w:spacing w:after="120"/>
              <w:jc w:val="both"/>
            </w:pPr>
            <w:r w:rsidRPr="002763E8">
              <w:t>Komersantiem, kuru elektrostacijas projekta IRR ir vienāds ar noteikumu projektā noteikto līmeni vai ir zemāks par to, cenas diferencēšanas koeficients netiek aprēķināts un attiecināts.</w:t>
            </w:r>
          </w:p>
          <w:p w14:paraId="0980F79A" w14:textId="489B3C35" w:rsidR="00681B8F" w:rsidRPr="002763E8" w:rsidRDefault="00681B8F" w:rsidP="00681B8F">
            <w:pPr>
              <w:spacing w:after="120"/>
              <w:jc w:val="both"/>
              <w:rPr>
                <w:highlight w:val="yellow"/>
              </w:rPr>
            </w:pPr>
            <w:r w:rsidRPr="002763E8">
              <w:t xml:space="preserve">Komersantiem, kuru projekta IRR pārsniegs noteikto līmeni – 9%, koeficients tiks aprēķināts un </w:t>
            </w:r>
            <w:r w:rsidR="00C61BF9">
              <w:t xml:space="preserve">publiskais tirgotājs to </w:t>
            </w:r>
            <w:r w:rsidR="00C61BF9" w:rsidRPr="002763E8">
              <w:t>piemēro</w:t>
            </w:r>
            <w:r w:rsidR="00C61BF9">
              <w:t>s</w:t>
            </w:r>
            <w:r w:rsidR="00C61BF9" w:rsidRPr="002763E8">
              <w:t xml:space="preserve"> </w:t>
            </w:r>
            <w:r w:rsidR="00AC5CEE">
              <w:t xml:space="preserve">komersanta </w:t>
            </w:r>
            <w:r w:rsidRPr="002763E8">
              <w:t xml:space="preserve">saņemtajam atbalstam, sākot </w:t>
            </w:r>
            <w:r w:rsidR="00C61BF9">
              <w:t xml:space="preserve"> </w:t>
            </w:r>
            <w:r w:rsidR="00C61BF9" w:rsidRPr="00C61BF9">
              <w:t>ar nākamā pilnā kalendārā mēneša pirmo datumu no lēmuma</w:t>
            </w:r>
            <w:r w:rsidR="00C61BF9">
              <w:t xml:space="preserve">, ar </w:t>
            </w:r>
            <w:r w:rsidR="00C61BF9" w:rsidRPr="00C61BF9">
              <w:t>kuru no</w:t>
            </w:r>
            <w:r w:rsidR="00C61BF9">
              <w:t>teikts</w:t>
            </w:r>
            <w:r w:rsidR="00C61BF9" w:rsidRPr="00C61BF9">
              <w:t xml:space="preserve"> </w:t>
            </w:r>
            <w:r w:rsidR="00C61BF9">
              <w:t>elektroenerģijas iepirkuma cenas aprēķināšanas</w:t>
            </w:r>
            <w:r w:rsidR="00C61BF9" w:rsidRPr="00C61BF9">
              <w:t xml:space="preserve"> formulā izmantojam</w:t>
            </w:r>
            <w:r w:rsidR="00C61BF9">
              <w:t>ais</w:t>
            </w:r>
            <w:r w:rsidR="00C61BF9" w:rsidRPr="00C61BF9">
              <w:t xml:space="preserve"> cenas diferencēšanas koeficient</w:t>
            </w:r>
            <w:r w:rsidR="00C61BF9">
              <w:t>s</w:t>
            </w:r>
            <w:r w:rsidR="00C61BF9" w:rsidRPr="00C61BF9">
              <w:t xml:space="preserve"> pārkompensācijas novēršanai</w:t>
            </w:r>
            <w:r w:rsidR="00C61BF9">
              <w:t>,</w:t>
            </w:r>
            <w:r w:rsidR="00C61BF9" w:rsidRPr="00C61BF9">
              <w:t xml:space="preserve"> spēkā stāšanās dienas</w:t>
            </w:r>
            <w:r w:rsidR="00C61BF9">
              <w:t>.</w:t>
            </w:r>
          </w:p>
          <w:p w14:paraId="6AE1720D" w14:textId="77777777" w:rsidR="00681B8F" w:rsidRPr="002763E8" w:rsidRDefault="00681B8F" w:rsidP="00681B8F">
            <w:pPr>
              <w:spacing w:after="120"/>
              <w:jc w:val="both"/>
            </w:pPr>
            <w:r w:rsidRPr="002763E8">
              <w:t xml:space="preserve">Cenas diferencēšanas koeficients pārkompensācijas novēršanai tiek aprēķināts individuāli katra komersanta elektrostacijai </w:t>
            </w:r>
            <w:r w:rsidR="0096767A" w:rsidRPr="002763E8">
              <w:t xml:space="preserve">vai koģenerācijas stacijai </w:t>
            </w:r>
            <w:r w:rsidRPr="002763E8">
              <w:t xml:space="preserve">un tiek noteikts ar precizitāti līdz tūkstošdaļai (t.i. trīs cipari aiz komata). </w:t>
            </w:r>
          </w:p>
          <w:p w14:paraId="65E14A7E" w14:textId="20B39972" w:rsidR="00681B8F" w:rsidRPr="006E2F36" w:rsidRDefault="008E3CA5" w:rsidP="00681B8F">
            <w:pPr>
              <w:spacing w:after="120"/>
              <w:jc w:val="both"/>
            </w:pPr>
            <w:r w:rsidRPr="00187D7E">
              <w:t>Cenas diferencēšanas koeficients ti</w:t>
            </w:r>
            <w:r w:rsidR="00681B8F" w:rsidRPr="00187D7E">
              <w:t>k</w:t>
            </w:r>
            <w:r w:rsidRPr="00E76CDA">
              <w:t>s</w:t>
            </w:r>
            <w:r w:rsidR="00681B8F" w:rsidRPr="00E76CDA">
              <w:t xml:space="preserve"> noteikts tādā līmenī, lai komersanta projekta </w:t>
            </w:r>
            <w:r w:rsidRPr="00BF4E15">
              <w:t>IRR</w:t>
            </w:r>
            <w:r w:rsidR="00681B8F" w:rsidRPr="00BF4E15">
              <w:t xml:space="preserve"> beidzamajā </w:t>
            </w:r>
            <w:r w:rsidR="00FF17CE">
              <w:t xml:space="preserve">atbalsta </w:t>
            </w:r>
            <w:r w:rsidR="00681B8F" w:rsidRPr="00BF4E15">
              <w:t xml:space="preserve">gadā ir vienāds ar </w:t>
            </w:r>
            <w:r w:rsidRPr="00BF4E15">
              <w:t>Ministra k</w:t>
            </w:r>
            <w:r w:rsidR="00681B8F" w:rsidRPr="006E2F36">
              <w:t xml:space="preserve">abineta noteikto </w:t>
            </w:r>
            <w:r w:rsidRPr="006E2F36">
              <w:t xml:space="preserve">IRR </w:t>
            </w:r>
            <w:r w:rsidR="00681B8F" w:rsidRPr="006E2F36">
              <w:t>līmeni</w:t>
            </w:r>
            <w:r w:rsidRPr="006E2F36">
              <w:t xml:space="preserve"> – 9%</w:t>
            </w:r>
            <w:r w:rsidR="00681B8F" w:rsidRPr="006E2F36">
              <w:t>.</w:t>
            </w:r>
          </w:p>
          <w:p w14:paraId="0EF3A1A9" w14:textId="67C3EF7C" w:rsidR="00681B8F" w:rsidRDefault="00681B8F" w:rsidP="00681B8F">
            <w:pPr>
              <w:spacing w:before="120" w:after="120"/>
              <w:jc w:val="both"/>
            </w:pPr>
            <w:r w:rsidRPr="000C71F9">
              <w:t>Gadījumos, kad</w:t>
            </w:r>
            <w:r w:rsidR="008E3CA5" w:rsidRPr="000C71F9">
              <w:t>,</w:t>
            </w:r>
            <w:r w:rsidRPr="000C71F9">
              <w:t xml:space="preserve"> veicot atkārtoto komersantu projektu </w:t>
            </w:r>
            <w:r w:rsidR="008E3CA5" w:rsidRPr="000C71F9">
              <w:t>IRR</w:t>
            </w:r>
            <w:r w:rsidRPr="000C71F9">
              <w:t xml:space="preserve"> aprēķinu</w:t>
            </w:r>
            <w:r w:rsidR="008E3CA5" w:rsidRPr="000C71F9">
              <w:t>,</w:t>
            </w:r>
            <w:r w:rsidRPr="000C71F9">
              <w:t xml:space="preserve"> atbilstoši </w:t>
            </w:r>
            <w:r w:rsidR="008E3CA5" w:rsidRPr="000C71F9">
              <w:t>noteikumu projektā</w:t>
            </w:r>
            <w:r w:rsidRPr="000B41D7">
              <w:t xml:space="preserve"> noteiktajam laika grafikam, </w:t>
            </w:r>
            <w:r w:rsidRPr="00EE24A8">
              <w:t xml:space="preserve">komersanta projekta, kuram sākotnēji tika aprēķināts un attiecināts </w:t>
            </w:r>
            <w:r w:rsidR="008E3CA5" w:rsidRPr="00EE24A8">
              <w:t>cenas diferencēšanas koeficients</w:t>
            </w:r>
            <w:r w:rsidRPr="00EE24A8">
              <w:t xml:space="preserve">, </w:t>
            </w:r>
            <w:r w:rsidR="008E3CA5" w:rsidRPr="00EE24A8">
              <w:t xml:space="preserve">IRR </w:t>
            </w:r>
            <w:r w:rsidRPr="00EE24A8">
              <w:t>novirzā</w:t>
            </w:r>
            <w:r w:rsidRPr="00D00630">
              <w:t>s (t.i., kļūst zemāks vai augstāks par Ministru</w:t>
            </w:r>
            <w:r w:rsidR="008E3CA5" w:rsidRPr="00411CE9">
              <w:t xml:space="preserve"> k</w:t>
            </w:r>
            <w:r w:rsidRPr="00411CE9">
              <w:t xml:space="preserve">abineta noteikto līmeni), tiek aprēķināts un attiecināts jauns </w:t>
            </w:r>
            <w:r w:rsidR="008E3CA5" w:rsidRPr="00842559">
              <w:t>cenas diferencēšanas koeficients</w:t>
            </w:r>
            <w:r w:rsidRPr="00842559">
              <w:t xml:space="preserve"> tā, lai IRR projekta atbalsta beidzamajā </w:t>
            </w:r>
            <w:r w:rsidRPr="00537FB4">
              <w:t xml:space="preserve">gadā ir vienāds ar </w:t>
            </w:r>
            <w:r w:rsidR="008E3CA5" w:rsidRPr="002763E8">
              <w:t>Ministru k</w:t>
            </w:r>
            <w:r w:rsidRPr="002763E8">
              <w:t>abineta noteikto līmeni</w:t>
            </w:r>
            <w:r w:rsidR="008E3CA5" w:rsidRPr="002763E8">
              <w:t xml:space="preserve"> – 9%</w:t>
            </w:r>
            <w:r w:rsidRPr="002763E8">
              <w:t xml:space="preserve">. </w:t>
            </w:r>
          </w:p>
          <w:p w14:paraId="69491810" w14:textId="292388BC" w:rsidR="00A81088" w:rsidRDefault="00A81088" w:rsidP="00681B8F">
            <w:pPr>
              <w:spacing w:before="120" w:after="120"/>
              <w:jc w:val="both"/>
            </w:pPr>
            <w:r>
              <w:t xml:space="preserve">Lai nodrošinātu, ka nākotnē neveidojas situācija, kad komersantiem, piemērojot MK noteikumu Nr. 262 61.1.punktu attiecībā uz obligātu nosacījumu saražot 90% no MK </w:t>
            </w:r>
            <w:r>
              <w:lastRenderedPageBreak/>
              <w:t>noteikumu Nr. 262 11.punktā un 36.punktā minētajā lēmumā noteiktā elektroenerģijas iepirkuma apjoma gadā un komersants nav pierādījis Ekonomikas ministrijai objektīvu attaisnojumu, tiek samazināts iepirkuma apjoms atbilstoši MK noteikumos Nr. 262 noteiktajai kārtībai, Ekonomikas ministrija svītro iepriekš minēto noteikumu 61.1.punktu. Tādejādi radot labvēlīgākus nosacījumus komersantiem attiecībā uz obligātā iepirkuma ietvaros saražotā elektroenerģijas apjoma nesamazināšanu, ja IRR aprēķina rezultātā komersantam tiktu piemērots cenas samazināšanas koeficients.</w:t>
            </w:r>
          </w:p>
          <w:p w14:paraId="338D9AB9" w14:textId="62C75417" w:rsidR="00597B0B" w:rsidRPr="002763E8" w:rsidRDefault="00597B0B" w:rsidP="00597B0B">
            <w:pPr>
              <w:pStyle w:val="ListParagraph"/>
              <w:numPr>
                <w:ilvl w:val="0"/>
                <w:numId w:val="5"/>
              </w:numPr>
              <w:spacing w:before="120" w:after="120"/>
              <w:jc w:val="both"/>
              <w:rPr>
                <w:b/>
                <w:sz w:val="24"/>
                <w:szCs w:val="24"/>
              </w:rPr>
            </w:pPr>
            <w:r w:rsidRPr="002763E8">
              <w:rPr>
                <w:b/>
                <w:sz w:val="24"/>
                <w:szCs w:val="24"/>
              </w:rPr>
              <w:t>Ieviešanas mehānisms</w:t>
            </w:r>
          </w:p>
          <w:p w14:paraId="5A758C3D" w14:textId="77777777" w:rsidR="00375B99" w:rsidRPr="002763E8" w:rsidRDefault="00375B99" w:rsidP="00375B99">
            <w:pPr>
              <w:spacing w:before="120" w:after="120"/>
              <w:jc w:val="both"/>
            </w:pPr>
            <w:r w:rsidRPr="002763E8">
              <w:t>Lai neradītu komersantiem papildu administratīvo slogu, aprēķinu par stacijas kopējo kapitālieguldījumu IRR veiks Ekonomikas ministrija esošo cilvēkr</w:t>
            </w:r>
            <w:r w:rsidR="00187D7E" w:rsidRPr="002763E8">
              <w:t>e</w:t>
            </w:r>
            <w:r w:rsidRPr="002763E8">
              <w:t>sursu un finanšu resursu ietvaros.</w:t>
            </w:r>
          </w:p>
          <w:p w14:paraId="6A91E29D" w14:textId="310FDCB0" w:rsidR="00E345CF" w:rsidRPr="006E2F36" w:rsidRDefault="008E3CA5" w:rsidP="00597B0B">
            <w:pPr>
              <w:spacing w:before="120" w:after="120"/>
              <w:jc w:val="both"/>
            </w:pPr>
            <w:r w:rsidRPr="002763E8">
              <w:t>Aprēķins par IRR komersanti</w:t>
            </w:r>
            <w:r w:rsidR="0096767A" w:rsidRPr="002763E8">
              <w:t>em</w:t>
            </w:r>
            <w:r w:rsidRPr="002763E8">
              <w:t>, kas ražo elektroenerģiju no atjaunojamiem energoresursiem, tiks veikts p</w:t>
            </w:r>
            <w:r w:rsidR="00E345CF" w:rsidRPr="002763E8">
              <w:t>ēc pirmajiem pieciem pilnajiem kalendārajiem gadiem, tas ir, sākot no brīža, kad komersants saņem obligāto iepirkumu vai garantēto maksu par uzstādīto elektrisko jaudu.</w:t>
            </w:r>
            <w:r w:rsidR="00375B99" w:rsidRPr="002763E8">
              <w:t xml:space="preserve"> Ekonomikas ministrija divu mēnešu laikā elektrostacijas gada pārskata iesniegšanas veic IRR aprēķinu visam projekta atbalsta periodam.</w:t>
            </w:r>
            <w:r w:rsidR="009279E6" w:rsidRPr="002763E8">
              <w:t xml:space="preserve"> Ja, veicot IRR aprēķinu, tiek konstatēts, ka IRR ir </w:t>
            </w:r>
            <w:r w:rsidR="009279E6" w:rsidRPr="00E76CDA">
              <w:t xml:space="preserve">lielāks par 9%, tad tiek </w:t>
            </w:r>
            <w:r w:rsidR="00E76CDA" w:rsidRPr="00BF4E15">
              <w:t>piem</w:t>
            </w:r>
            <w:r w:rsidR="00E76CDA">
              <w:t>ē</w:t>
            </w:r>
            <w:r w:rsidR="00E76CDA" w:rsidRPr="00E76CDA">
              <w:t xml:space="preserve">rots </w:t>
            </w:r>
            <w:r w:rsidR="009279E6" w:rsidRPr="00E76CDA">
              <w:t>cenas diferencēšanas koefi</w:t>
            </w:r>
            <w:r w:rsidR="009279E6" w:rsidRPr="00BF4E15">
              <w:t xml:space="preserve">cients, paziņojot par to komersantam, publiskajam tirgotājam un sistēmas operatoram. </w:t>
            </w:r>
          </w:p>
          <w:p w14:paraId="79AF94CC" w14:textId="4537FB1F" w:rsidR="009279E6" w:rsidRPr="00187D7E" w:rsidRDefault="009279E6" w:rsidP="009279E6">
            <w:pPr>
              <w:spacing w:before="120" w:after="120"/>
              <w:jc w:val="both"/>
            </w:pPr>
            <w:r w:rsidRPr="000C71F9">
              <w:t>Noteikumu projekts dod iespēju komersantam lūgt Ekonomikas ministriju veikt IRR aprēķinu pirms elektrostacija</w:t>
            </w:r>
            <w:r w:rsidR="0096767A" w:rsidRPr="000C71F9">
              <w:t xml:space="preserve"> vai koģenerācijas stacija</w:t>
            </w:r>
            <w:r w:rsidRPr="000B41D7">
              <w:t xml:space="preserve"> ir nostrādājusi pilnus piecus </w:t>
            </w:r>
            <w:r w:rsidRPr="00BF4E15">
              <w:t>kalendāros gados. Papildus tam</w:t>
            </w:r>
            <w:r w:rsidR="0096767A" w:rsidRPr="00BF4E15">
              <w:t>,</w:t>
            </w:r>
            <w:r w:rsidRPr="00BF4E15">
              <w:t xml:space="preserve"> ja tiek konstatēta </w:t>
            </w:r>
            <w:r w:rsidR="0096767A" w:rsidRPr="006E2F36">
              <w:t xml:space="preserve">apstākļu </w:t>
            </w:r>
            <w:r w:rsidRPr="006E2F36">
              <w:t xml:space="preserve">maiņa, kas ietekmē elektrostacijas IRR, Ekonomikas ministrija </w:t>
            </w:r>
            <w:r w:rsidR="0096767A" w:rsidRPr="006E2F36">
              <w:t xml:space="preserve">pēc savas iniciatīvas </w:t>
            </w:r>
            <w:r w:rsidRPr="000C71F9">
              <w:t>vai pēc kome</w:t>
            </w:r>
            <w:r w:rsidR="00707445">
              <w:t>r</w:t>
            </w:r>
            <w:r w:rsidRPr="000C71F9">
              <w:t xml:space="preserve">santa pieprasījuma var veikt atkārtotu elektrostacijas IRR aprēķinu un cenas diferencēšanas koeficienta aprēķinu. </w:t>
            </w:r>
          </w:p>
          <w:p w14:paraId="5FEC484C" w14:textId="4CAE5F88" w:rsidR="008E3CA5" w:rsidRDefault="00E345CF" w:rsidP="00597B0B">
            <w:pPr>
              <w:spacing w:before="120" w:after="120"/>
              <w:jc w:val="both"/>
            </w:pPr>
            <w:r w:rsidRPr="00BF4E15">
              <w:t xml:space="preserve">Lai </w:t>
            </w:r>
            <w:r w:rsidR="00707445">
              <w:t xml:space="preserve">neradītu </w:t>
            </w:r>
            <w:r w:rsidR="00375B99" w:rsidRPr="00BF4E15">
              <w:t>komersantam</w:t>
            </w:r>
            <w:r w:rsidR="00707445">
              <w:t xml:space="preserve"> papildu administratīvo slogu, </w:t>
            </w:r>
            <w:r w:rsidR="00375B99" w:rsidRPr="00BF4E15">
              <w:t xml:space="preserve"> nepieciešam</w:t>
            </w:r>
            <w:r w:rsidR="00707445">
              <w:t>ās</w:t>
            </w:r>
            <w:r w:rsidR="00375B99" w:rsidRPr="00BF4E15">
              <w:t xml:space="preserve"> informācij</w:t>
            </w:r>
            <w:r w:rsidR="00707445">
              <w:t>as sniegšanu</w:t>
            </w:r>
            <w:r w:rsidR="00375B99" w:rsidRPr="00BF4E15">
              <w:t xml:space="preserve"> </w:t>
            </w:r>
            <w:r w:rsidR="00707445">
              <w:t xml:space="preserve">par elektrostacijā uzstādīto bruto siltumjaudu </w:t>
            </w:r>
            <w:r w:rsidR="00375B99" w:rsidRPr="00BF4E15">
              <w:t xml:space="preserve">paredzēts </w:t>
            </w:r>
            <w:r w:rsidR="00707445">
              <w:t xml:space="preserve">iekļaut </w:t>
            </w:r>
            <w:r w:rsidR="00375B99" w:rsidRPr="00BF4E15">
              <w:t>MK noteikumu 262 5.pielikum</w:t>
            </w:r>
            <w:r w:rsidR="00707445">
              <w:t>ā</w:t>
            </w:r>
            <w:r w:rsidR="00375B99" w:rsidRPr="00BF4E15">
              <w:t xml:space="preserve">. </w:t>
            </w:r>
            <w:r w:rsidR="008E3CA5" w:rsidRPr="006E2F36">
              <w:t xml:space="preserve"> </w:t>
            </w:r>
          </w:p>
          <w:p w14:paraId="6CBE4F92" w14:textId="12477B3A" w:rsidR="00433594" w:rsidRDefault="00433594" w:rsidP="00597B0B">
            <w:pPr>
              <w:spacing w:before="120" w:after="120"/>
              <w:jc w:val="both"/>
            </w:pPr>
            <w:r w:rsidRPr="00433594">
              <w:t xml:space="preserve">Ja komersants nepiekrīt ministrijas veiktā aprēķina par elektrostacijas </w:t>
            </w:r>
            <w:r>
              <w:t>IRR</w:t>
            </w:r>
            <w:r w:rsidRPr="00433594">
              <w:t xml:space="preserve"> rezultātam, tas iesniedz ministrijā zvērināta revidenta apstiprinātu aprēķinu un to pamatojošus dokumentus. </w:t>
            </w:r>
            <w:r>
              <w:t xml:space="preserve"> Ar šādu normu tiek dota iespēja komersantiem izmantot faktiskās ieņēmumu un izdevumu vērtības.</w:t>
            </w:r>
          </w:p>
          <w:p w14:paraId="5B70C66C" w14:textId="51B34032" w:rsidR="00B32FE5" w:rsidRPr="00433594" w:rsidRDefault="00B32FE5" w:rsidP="00597B0B">
            <w:pPr>
              <w:spacing w:before="120" w:after="120"/>
              <w:jc w:val="both"/>
            </w:pPr>
            <w:r w:rsidRPr="00FC16BE">
              <w:t>Lai komersantiem būtu iespējams provizoriski novērtēt to elektrostaciju IRR, Ekonomikas ministrija savā tīmekļa vietnē ievietos provizoriskam aprēķinam izmantojamu MS Excel rīku</w:t>
            </w:r>
            <w:r>
              <w:t>.</w:t>
            </w:r>
          </w:p>
          <w:p w14:paraId="0A5E0823" w14:textId="707CD97D" w:rsidR="00597B0B" w:rsidRPr="000B41D7" w:rsidRDefault="00597B0B" w:rsidP="00597B0B">
            <w:pPr>
              <w:pStyle w:val="Default"/>
              <w:numPr>
                <w:ilvl w:val="0"/>
                <w:numId w:val="7"/>
              </w:numPr>
              <w:spacing w:before="120" w:after="120"/>
              <w:jc w:val="both"/>
              <w:rPr>
                <w:rFonts w:ascii="Times New Roman" w:hAnsi="Times New Roman" w:cs="Times New Roman"/>
                <w:b/>
                <w:u w:val="single"/>
              </w:rPr>
            </w:pPr>
            <w:r w:rsidRPr="000C71F9">
              <w:rPr>
                <w:rFonts w:ascii="Times New Roman" w:hAnsi="Times New Roman" w:cs="Times New Roman"/>
                <w:b/>
                <w:u w:val="single"/>
              </w:rPr>
              <w:lastRenderedPageBreak/>
              <w:t>Dabasgāzes tirdzniecības gala tarifa fiksēšana elektroenerģijas obligātā iepirkuma cenu formulās</w:t>
            </w:r>
          </w:p>
          <w:p w14:paraId="546AD53F" w14:textId="00B08E4C" w:rsidR="00597B0B" w:rsidRPr="00BF4E15" w:rsidRDefault="00597B0B" w:rsidP="00597B0B">
            <w:pPr>
              <w:pStyle w:val="Default"/>
              <w:spacing w:before="120" w:after="120"/>
              <w:jc w:val="both"/>
              <w:rPr>
                <w:rFonts w:ascii="Times New Roman" w:hAnsi="Times New Roman" w:cs="Times New Roman"/>
              </w:rPr>
            </w:pPr>
            <w:r w:rsidRPr="00EE24A8">
              <w:rPr>
                <w:rFonts w:ascii="Times New Roman" w:hAnsi="Times New Roman" w:cs="Times New Roman"/>
              </w:rPr>
              <w:t>Elektroenerģijas obligātā iepirkuma cena ir balstīta uz cenu formulu. Viens no cenu formulas elementiem ir piesaiste  Regula</w:t>
            </w:r>
            <w:r w:rsidRPr="00411CE9">
              <w:rPr>
                <w:rFonts w:ascii="Times New Roman" w:hAnsi="Times New Roman" w:cs="Times New Roman"/>
              </w:rPr>
              <w:t>tora apstiprināt</w:t>
            </w:r>
            <w:r w:rsidR="00BF4E15">
              <w:rPr>
                <w:rFonts w:ascii="Times New Roman" w:hAnsi="Times New Roman" w:cs="Times New Roman"/>
              </w:rPr>
              <w:t>ajam</w:t>
            </w:r>
            <w:r w:rsidRPr="00BF4E15">
              <w:rPr>
                <w:rFonts w:ascii="Times New Roman" w:hAnsi="Times New Roman" w:cs="Times New Roman"/>
              </w:rPr>
              <w:t xml:space="preserve"> dabasgāzes tirdzniecības gala tarifam bez pievienotās vērtības nodokļa, kas mainās katru mēnesi un ir atkarīgs no dabasgāzes tirdzniecības cenas līmeņa.</w:t>
            </w:r>
          </w:p>
          <w:p w14:paraId="2183A403" w14:textId="104F9842" w:rsidR="00597B0B" w:rsidRPr="00EE24A8" w:rsidRDefault="00597B0B" w:rsidP="00597B0B">
            <w:pPr>
              <w:pStyle w:val="Default"/>
              <w:spacing w:before="120" w:after="120"/>
              <w:jc w:val="both"/>
              <w:rPr>
                <w:rFonts w:ascii="Times New Roman" w:hAnsi="Times New Roman" w:cs="Times New Roman"/>
              </w:rPr>
            </w:pPr>
            <w:r w:rsidRPr="006E2F36">
              <w:rPr>
                <w:rFonts w:ascii="Times New Roman" w:hAnsi="Times New Roman" w:cs="Times New Roman"/>
              </w:rPr>
              <w:t>Sabiedrības ar ierobežotu atbildību “Ekodoma” 2013.gadā veiktajā pētījumā “Elekt</w:t>
            </w:r>
            <w:r w:rsidRPr="000C71F9">
              <w:rPr>
                <w:rFonts w:ascii="Times New Roman" w:hAnsi="Times New Roman" w:cs="Times New Roman"/>
              </w:rPr>
              <w:t>roenerģijas, kas ražota no atjaunojamiem energoresursiem un koģenerācijā, atbalsta izvērtējums un priekšlikumi atbalsta uzlabošanai”</w:t>
            </w:r>
            <w:r w:rsidRPr="000C71F9">
              <w:rPr>
                <w:rStyle w:val="FootnoteReference"/>
                <w:rFonts w:ascii="Times New Roman" w:hAnsi="Times New Roman" w:cs="Times New Roman"/>
              </w:rPr>
              <w:footnoteReference w:id="4"/>
            </w:r>
            <w:r w:rsidRPr="000B41D7">
              <w:rPr>
                <w:rFonts w:ascii="Times New Roman" w:hAnsi="Times New Roman" w:cs="Times New Roman"/>
              </w:rPr>
              <w:t xml:space="preserve"> (turpmāk SIA “Ekodoma” pētījums) secināts, ka elektroenerģijas obligātā iepirkuma cenu formulu pamatotības izvērtējums rād</w:t>
            </w:r>
            <w:r w:rsidRPr="00EE24A8">
              <w:rPr>
                <w:rFonts w:ascii="Times New Roman" w:hAnsi="Times New Roman" w:cs="Times New Roman"/>
              </w:rPr>
              <w:t>a, ka esošā atbalsta piesaiste dabasgāzes cenai atjaunojamos energoresursus izmantojošām elektrostacijām un biomasas un biogāzes koģenerācijas stacijām nav pamatota.</w:t>
            </w:r>
          </w:p>
          <w:p w14:paraId="5237BD90" w14:textId="776D71E4" w:rsidR="00597B0B" w:rsidRPr="00842559" w:rsidRDefault="00C117EF" w:rsidP="00597B0B">
            <w:pPr>
              <w:autoSpaceDN w:val="0"/>
              <w:spacing w:before="120" w:after="120"/>
              <w:jc w:val="both"/>
              <w:textAlignment w:val="baseline"/>
            </w:pPr>
            <w:r>
              <w:t xml:space="preserve">Obligātā iepirkuma ietvaros iepirktās elektroenerģijas cenu aprēķināšanas formulās iekļautās dabasgāzes cenas komponentes fiksēšana </w:t>
            </w:r>
            <w:r>
              <w:rPr>
                <w:color w:val="000000"/>
              </w:rPr>
              <w:t xml:space="preserve">2014. gada marta dabasgāzes tirdzniecības tarifa līmenī </w:t>
            </w:r>
            <w:r>
              <w:t xml:space="preserve">Latvijas elektroenerģijas ražotājiem nozīmētu maksimālās dabasgāzes tirdzniecības gala tarifa robežas noteikšanu, kas ierobežotu elektroenerģijas  ražotājiem sniegtā atbalsta pieaugumu, nodrošinot skaidrību investoriem. </w:t>
            </w:r>
            <w:r w:rsidR="00597B0B" w:rsidRPr="00411CE9">
              <w:rPr>
                <w:color w:val="000000" w:themeColor="text1"/>
              </w:rPr>
              <w:t>Sākot ar 2013.gada februāri ir</w:t>
            </w:r>
            <w:r w:rsidR="00597B0B" w:rsidRPr="00842559">
              <w:rPr>
                <w:color w:val="000000" w:themeColor="text1"/>
              </w:rPr>
              <w:t xml:space="preserve"> vērojams dabasgāzes tirdzniecības cenas kritums</w:t>
            </w:r>
            <w:r w:rsidR="00597B0B" w:rsidRPr="00842559">
              <w:rPr>
                <w:color w:val="000000"/>
              </w:rPr>
              <w:t xml:space="preserve">, kura turpmākās pazemināšanās rezultātā </w:t>
            </w:r>
            <w:r w:rsidR="00597B0B" w:rsidRPr="00842559">
              <w:t>elektroenerģijas obligātā iepirkuma cena nesegs elektrostaciju faktiskās darbības izmaksas, tostarp fiksētās izmaksas.</w:t>
            </w:r>
          </w:p>
          <w:p w14:paraId="3F70192D" w14:textId="11BFC7D6" w:rsidR="00597B0B" w:rsidRPr="006E2F36" w:rsidRDefault="00BF4E15" w:rsidP="00597B0B">
            <w:pPr>
              <w:autoSpaceDN w:val="0"/>
              <w:spacing w:before="120" w:after="120"/>
              <w:jc w:val="both"/>
              <w:textAlignment w:val="baseline"/>
              <w:rPr>
                <w:color w:val="000000"/>
              </w:rPr>
            </w:pPr>
            <w:r>
              <w:t>Turklāt</w:t>
            </w:r>
            <w:r w:rsidR="00597B0B" w:rsidRPr="00BF4E15">
              <w:t xml:space="preserve"> pēc dabasgāzes tirgus atvēršanas vairs n</w:t>
            </w:r>
            <w:r w:rsidR="00C117EF">
              <w:t>ebūs spēkā R</w:t>
            </w:r>
            <w:r w:rsidR="00597B0B" w:rsidRPr="00BF4E15">
              <w:t>egulatora apstiprinātais dabasgāzes tirdzniecības gala tarifs bez pievienotās vērtības nodokļa atbilstoši dabasgāz</w:t>
            </w:r>
            <w:r w:rsidR="00C117EF">
              <w:t>es faktiskajai siltumspējai (</w:t>
            </w:r>
            <w:r w:rsidR="00C117EF">
              <w:rPr>
                <w:i/>
              </w:rPr>
              <w:t>euro</w:t>
            </w:r>
            <w:r w:rsidR="00597B0B" w:rsidRPr="00BF4E15">
              <w:t>/tūkst. n.m</w:t>
            </w:r>
            <w:r w:rsidR="00597B0B" w:rsidRPr="00BF4E15">
              <w:rPr>
                <w:vertAlign w:val="superscript"/>
              </w:rPr>
              <w:t>3</w:t>
            </w:r>
            <w:r w:rsidR="00597B0B" w:rsidRPr="00BF4E15">
              <w:t>). Līdz ar to nepieciešams veikt elektroenerģijas obligātā iepirkuma cenu formulu atsaisti no dabasgāzes tirdzniecības gala tarifa.</w:t>
            </w:r>
          </w:p>
          <w:p w14:paraId="4A82A159" w14:textId="56537AC2" w:rsidR="00597B0B" w:rsidRPr="00EE24A8" w:rsidRDefault="00597B0B" w:rsidP="00597B0B">
            <w:pPr>
              <w:autoSpaceDN w:val="0"/>
              <w:spacing w:before="120" w:after="120"/>
              <w:jc w:val="both"/>
              <w:textAlignment w:val="baseline"/>
              <w:rPr>
                <w:color w:val="000000"/>
              </w:rPr>
            </w:pPr>
            <w:r w:rsidRPr="000C71F9">
              <w:rPr>
                <w:color w:val="000000"/>
              </w:rPr>
              <w:t xml:space="preserve">Nolūkā nodrošināt obligātā iepirkuma cenu nesamazināšanos  zem līmeņa, kas nepieciešams atbalstīto elektrostaciju darbības nodrošināšanai, dabasgāzes tirdzniecības tarifa krituma rezultātā, un pielāgot spēkā esošo  regulējumu </w:t>
            </w:r>
            <w:r w:rsidRPr="000B41D7">
              <w:t xml:space="preserve">dabasgāzes tirgus atvēršanai </w:t>
            </w:r>
            <w:r w:rsidRPr="00EE24A8">
              <w:rPr>
                <w:color w:val="000000"/>
              </w:rPr>
              <w:t xml:space="preserve">ar noteikumu projektu paredzēts fiksēt MK noteikumos Nr.262 elektroenerģijas obligātā iepirkuma cenas noteikšanas formulās iekļauto komponenti, proti, dabasgāzes tirdzniecības cenu, fiksējot to </w:t>
            </w:r>
            <w:r w:rsidRPr="00EE24A8">
              <w:t xml:space="preserve">234,77 </w:t>
            </w:r>
            <w:r w:rsidRPr="00EE24A8">
              <w:rPr>
                <w:i/>
              </w:rPr>
              <w:t>euro</w:t>
            </w:r>
            <w:r w:rsidRPr="00EE24A8">
              <w:t>/tūkst. n.m</w:t>
            </w:r>
            <w:r w:rsidRPr="00EE24A8">
              <w:rPr>
                <w:vertAlign w:val="superscript"/>
              </w:rPr>
              <w:t>3</w:t>
            </w:r>
            <w:r w:rsidRPr="00D00630">
              <w:t xml:space="preserve"> līmenī, kas ir </w:t>
            </w:r>
            <w:r w:rsidR="00BF4E15" w:rsidRPr="00D00630">
              <w:t>vidēj</w:t>
            </w:r>
            <w:r w:rsidR="00BF4E15">
              <w:t>ā</w:t>
            </w:r>
            <w:r w:rsidR="00BF4E15" w:rsidRPr="00BF4E15">
              <w:t xml:space="preserve"> </w:t>
            </w:r>
            <w:r w:rsidRPr="00BF4E15">
              <w:rPr>
                <w:color w:val="000000"/>
              </w:rPr>
              <w:t xml:space="preserve">dabasgāzes tirdzniecības cena laika periodā no </w:t>
            </w:r>
            <w:r w:rsidRPr="00BF4E15">
              <w:rPr>
                <w:color w:val="000000"/>
              </w:rPr>
              <w:lastRenderedPageBreak/>
              <w:t>2007.gada augusta, kad stājās spēkā Ministru kabineta 2007.gada 24.jūlija noteikumi Nr. 503 “Noteikumi par elektroenerģijas ražošanu, izmantojot atjaunojamos energoresursus”, līdz 2012.</w:t>
            </w:r>
            <w:r w:rsidRPr="006E2F36">
              <w:rPr>
                <w:color w:val="000000"/>
              </w:rPr>
              <w:t>gada septembrim, kad kome</w:t>
            </w:r>
            <w:r w:rsidRPr="000C71F9">
              <w:rPr>
                <w:color w:val="000000"/>
              </w:rPr>
              <w:t xml:space="preserve">rsanti vairs nebija tiesīgi kvalificēties tiesību iegūšanai pārdot saražoto elektroenerģiju obligātā iepirkuma ietvaros un tiesību iegūšanai saņemt garantētu maksu par koģenerācijas elektrostacijā uzstādīto elektrisko jaudu (no  2012.gada 10.septembra) saskaņā ar </w:t>
            </w:r>
            <w:r w:rsidRPr="000B41D7">
              <w:t xml:space="preserve"> MK noteikumiem Nr.221</w:t>
            </w:r>
            <w:r w:rsidRPr="00EE24A8">
              <w:rPr>
                <w:color w:val="000000"/>
              </w:rPr>
              <w:t>.</w:t>
            </w:r>
          </w:p>
          <w:p w14:paraId="1074B08C" w14:textId="18E9991D" w:rsidR="00597B0B" w:rsidRDefault="00597B0B" w:rsidP="0096767A">
            <w:pPr>
              <w:autoSpaceDN w:val="0"/>
              <w:spacing w:before="120" w:after="120"/>
              <w:jc w:val="both"/>
              <w:textAlignment w:val="baseline"/>
              <w:rPr>
                <w:color w:val="000000"/>
              </w:rPr>
            </w:pPr>
            <w:r w:rsidRPr="00411CE9">
              <w:rPr>
                <w:color w:val="000000"/>
              </w:rPr>
              <w:t xml:space="preserve">Lai vienkāršotu MK noteikumos Nr.262 izmantoto formulu </w:t>
            </w:r>
            <w:r w:rsidRPr="00187D7E">
              <w:rPr>
                <w:color w:val="000000"/>
              </w:rPr>
              <w:t>uztveramību, formulu komponenti “</w:t>
            </w:r>
            <m:oMath>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g</m:t>
                      </m:r>
                    </m:sub>
                  </m:sSub>
                </m:num>
                <m:den>
                  <m:r>
                    <w:rPr>
                      <w:rFonts w:ascii="Cambria Math" w:hAnsi="Cambria Math"/>
                      <w:color w:val="000000"/>
                    </w:rPr>
                    <m:t>9,3</m:t>
                  </m:r>
                </m:den>
              </m:f>
            </m:oMath>
            <w:r w:rsidRPr="00187D7E">
              <w:rPr>
                <w:color w:val="000000"/>
              </w:rPr>
              <w:t xml:space="preserve">” aizstāj ar konstanti  35,19, kas aprēķināta dalot </w:t>
            </w:r>
            <w:r w:rsidR="00BF4E15">
              <w:t>R</w:t>
            </w:r>
            <w:r w:rsidR="00BF4E15" w:rsidRPr="00BF4E15">
              <w:rPr>
                <w:color w:val="000000"/>
              </w:rPr>
              <w:t xml:space="preserve">egulatora </w:t>
            </w:r>
            <w:r w:rsidRPr="00BF4E15">
              <w:rPr>
                <w:color w:val="000000"/>
              </w:rPr>
              <w:t xml:space="preserve">apstiprināto dabasgāzes tirdzniecības gala tarifu bez pievienotās vērtības nodokļa </w:t>
            </w:r>
            <w:r w:rsidRPr="00BF4E15">
              <w:t>327,25 </w:t>
            </w:r>
            <w:r w:rsidRPr="00BF4E15">
              <w:rPr>
                <w:i/>
              </w:rPr>
              <w:t>euro</w:t>
            </w:r>
            <w:r w:rsidRPr="00BF4E15">
              <w:t>/tūkst. n.m</w:t>
            </w:r>
            <w:r w:rsidRPr="00BF4E15">
              <w:rPr>
                <w:vertAlign w:val="superscript"/>
              </w:rPr>
              <w:t>3</w:t>
            </w:r>
            <w:r w:rsidRPr="00BF4E15">
              <w:rPr>
                <w:color w:val="000000"/>
              </w:rPr>
              <w:t xml:space="preserve"> (kas noteikts dabasgāzes patēriņam no 126 tūkst.n.m3 līdz 1260 tūkst.n.m</w:t>
            </w:r>
            <w:r w:rsidRPr="00986A9C">
              <w:rPr>
                <w:color w:val="000000"/>
                <w:vertAlign w:val="superscript"/>
              </w:rPr>
              <w:t>3</w:t>
            </w:r>
            <w:r w:rsidRPr="00BF4E15">
              <w:rPr>
                <w:color w:val="000000"/>
              </w:rPr>
              <w:t xml:space="preserve"> gadā (EUR/tūkst.n.m</w:t>
            </w:r>
            <w:r w:rsidRPr="006E2F36">
              <w:rPr>
                <w:vertAlign w:val="superscript"/>
              </w:rPr>
              <w:t>3</w:t>
            </w:r>
            <w:r w:rsidRPr="006E2F36">
              <w:rPr>
                <w:color w:val="000000"/>
              </w:rPr>
              <w:t xml:space="preserve">) pie dabasgāzes tirdzniecības cenas </w:t>
            </w:r>
            <w:r w:rsidRPr="000C71F9">
              <w:t>234,77 </w:t>
            </w:r>
            <w:r w:rsidRPr="000C71F9">
              <w:rPr>
                <w:i/>
              </w:rPr>
              <w:t>euro</w:t>
            </w:r>
            <w:r w:rsidRPr="000C71F9">
              <w:t>/tūkst. n.m</w:t>
            </w:r>
            <w:r w:rsidRPr="000C71F9">
              <w:rPr>
                <w:vertAlign w:val="superscript"/>
              </w:rPr>
              <w:t>3</w:t>
            </w:r>
            <w:r w:rsidRPr="000C71F9">
              <w:rPr>
                <w:color w:val="000000"/>
              </w:rPr>
              <w:t xml:space="preserve">) ar līdz šim formulās iekļauto konstanti 9,3, un sareizina ar </w:t>
            </w:r>
            <w:r w:rsidRPr="000B41D7">
              <w:rPr>
                <w:color w:val="000000"/>
              </w:rPr>
              <w:t xml:space="preserve">līdz šim formulās iekļauto konstanti (2,4; 2,72; 2,88; 3; 3,4; 3,6 vai 4,5 atkarībā no izmantotā energoresursa un termiņa), </w:t>
            </w:r>
            <w:r w:rsidR="00986A9C" w:rsidRPr="00AC656C">
              <w:rPr>
                <w:color w:val="000000"/>
              </w:rPr>
              <w:t>noapaļojot rezul</w:t>
            </w:r>
            <w:r w:rsidR="00986A9C">
              <w:rPr>
                <w:color w:val="000000"/>
              </w:rPr>
              <w:t>t</w:t>
            </w:r>
            <w:r w:rsidR="00986A9C" w:rsidRPr="00AC656C">
              <w:rPr>
                <w:color w:val="000000"/>
              </w:rPr>
              <w:t>ātu līdz skaitlim ar trīs zīmēm aiz komata.</w:t>
            </w:r>
          </w:p>
          <w:p w14:paraId="577E9D80" w14:textId="619A1622" w:rsidR="00597B0B" w:rsidRPr="007A14B7" w:rsidRDefault="00597B0B" w:rsidP="00597B0B">
            <w:pPr>
              <w:pStyle w:val="Default"/>
              <w:numPr>
                <w:ilvl w:val="0"/>
                <w:numId w:val="7"/>
              </w:numPr>
              <w:spacing w:before="120" w:after="120"/>
              <w:jc w:val="both"/>
              <w:rPr>
                <w:rFonts w:ascii="Times New Roman" w:hAnsi="Times New Roman" w:cs="Times New Roman"/>
                <w:b/>
                <w:u w:val="single"/>
              </w:rPr>
            </w:pPr>
            <w:r w:rsidRPr="007A14B7">
              <w:rPr>
                <w:rFonts w:ascii="Times New Roman" w:hAnsi="Times New Roman" w:cs="Times New Roman"/>
                <w:b/>
                <w:u w:val="single"/>
              </w:rPr>
              <w:t>Noteikumu projekta spēkā stāšanās</w:t>
            </w:r>
          </w:p>
          <w:p w14:paraId="2F6D1696" w14:textId="6F4FFB21" w:rsidR="009279E6" w:rsidRPr="000C71F9" w:rsidRDefault="00597B0B" w:rsidP="00597B0B">
            <w:pPr>
              <w:pStyle w:val="Default"/>
              <w:spacing w:before="120" w:after="120"/>
              <w:jc w:val="both"/>
              <w:rPr>
                <w:rFonts w:ascii="Times New Roman" w:hAnsi="Times New Roman" w:cs="Times New Roman"/>
              </w:rPr>
            </w:pPr>
            <w:r w:rsidRPr="006E2F36">
              <w:rPr>
                <w:rFonts w:ascii="Times New Roman" w:hAnsi="Times New Roman" w:cs="Times New Roman"/>
              </w:rPr>
              <w:t xml:space="preserve">Par grozījumiem MK noteikumos Nr.221 un MK noteikumos Nr.262 jāziņo </w:t>
            </w:r>
            <w:r w:rsidR="009279E6" w:rsidRPr="000C71F9">
              <w:rPr>
                <w:rFonts w:ascii="Times New Roman" w:hAnsi="Times New Roman" w:cs="Times New Roman"/>
              </w:rPr>
              <w:t>EK</w:t>
            </w:r>
            <w:r w:rsidRPr="000C71F9">
              <w:rPr>
                <w:rFonts w:ascii="Times New Roman" w:hAnsi="Times New Roman" w:cs="Times New Roman"/>
              </w:rPr>
              <w:t xml:space="preserve"> valsts atbalsta lietas SA.43140 (2015/NN) - </w:t>
            </w:r>
            <w:r w:rsidRPr="000C71F9">
              <w:rPr>
                <w:rFonts w:ascii="Times New Roman" w:hAnsi="Times New Roman" w:cs="Times New Roman"/>
                <w:i/>
              </w:rPr>
              <w:t>Atbalsts elektroenerģijas ražotājiem</w:t>
            </w:r>
            <w:r w:rsidRPr="000C71F9">
              <w:rPr>
                <w:rFonts w:ascii="Times New Roman" w:hAnsi="Times New Roman" w:cs="Times New Roman"/>
              </w:rPr>
              <w:t xml:space="preserve"> ietvaros. </w:t>
            </w:r>
          </w:p>
          <w:p w14:paraId="5C94F495" w14:textId="401F294F" w:rsidR="00114A12" w:rsidRDefault="00114A12" w:rsidP="00114A12">
            <w:pPr>
              <w:pStyle w:val="Default"/>
              <w:spacing w:before="120" w:after="120"/>
              <w:jc w:val="both"/>
              <w:rPr>
                <w:rFonts w:ascii="Times New Roman" w:hAnsi="Times New Roman" w:cs="Times New Roman"/>
              </w:rPr>
            </w:pPr>
            <w:r w:rsidRPr="00BF1167">
              <w:rPr>
                <w:rFonts w:ascii="Times New Roman" w:hAnsi="Times New Roman" w:cs="Times New Roman"/>
              </w:rPr>
              <w:t>Līdz ar to noteikumu projektā</w:t>
            </w:r>
            <w:r>
              <w:rPr>
                <w:rFonts w:ascii="Times New Roman" w:hAnsi="Times New Roman" w:cs="Times New Roman"/>
              </w:rPr>
              <w:t xml:space="preserve"> kā pārejas noteikums</w:t>
            </w:r>
            <w:r w:rsidRPr="00BF1167">
              <w:rPr>
                <w:rFonts w:ascii="Times New Roman" w:hAnsi="Times New Roman" w:cs="Times New Roman"/>
              </w:rPr>
              <w:t xml:space="preserve"> un MK protokollēmumā ir iekļauts punkts, ka noteikumu projekts stājas spēkā </w:t>
            </w:r>
            <w:r w:rsidR="00707445">
              <w:rPr>
                <w:rFonts w:ascii="Times New Roman" w:hAnsi="Times New Roman" w:cs="Times New Roman"/>
              </w:rPr>
              <w:t xml:space="preserve">nākamā pilnā kalendāra mēneša pirmajā datumā </w:t>
            </w:r>
            <w:r w:rsidRPr="00BF1167">
              <w:rPr>
                <w:rFonts w:ascii="Times New Roman" w:hAnsi="Times New Roman" w:cs="Times New Roman"/>
              </w:rPr>
              <w:t>pēc EK lēmuma saņemšanas</w:t>
            </w:r>
            <w:r>
              <w:rPr>
                <w:rFonts w:ascii="Times New Roman" w:hAnsi="Times New Roman" w:cs="Times New Roman"/>
              </w:rPr>
              <w:t xml:space="preserve">, jo ar to tiek novērsts pārkompensācijas risks </w:t>
            </w:r>
            <w:r w:rsidRPr="00BF1167">
              <w:t xml:space="preserve">un </w:t>
            </w:r>
            <w:r>
              <w:t>tas</w:t>
            </w:r>
            <w:r w:rsidRPr="00BF1167">
              <w:t xml:space="preserve"> ir priekšnosacījums, lai EK lemtu par Latvijas iesniegtā</w:t>
            </w:r>
            <w:r>
              <w:t>s</w:t>
            </w:r>
            <w:r w:rsidRPr="00BF1167">
              <w:t xml:space="preserve"> valsts atbalsta lietas SA.42854 (2015/N) </w:t>
            </w:r>
            <w:r w:rsidRPr="00BF1167">
              <w:rPr>
                <w:i/>
              </w:rPr>
              <w:t>Atbalsts energointensīvajiem apstrādes rūpniecības komersantiem</w:t>
            </w:r>
            <w:r w:rsidRPr="00BF1167">
              <w:t xml:space="preserve"> atbilstību ES iekšējā tirgus nosacījumiem</w:t>
            </w:r>
            <w:r w:rsidRPr="00BF1167">
              <w:rPr>
                <w:rFonts w:ascii="Times New Roman" w:hAnsi="Times New Roman" w:cs="Times New Roman"/>
              </w:rPr>
              <w:t>.</w:t>
            </w:r>
          </w:p>
          <w:p w14:paraId="5977CDC5" w14:textId="77777777" w:rsidR="00114A12" w:rsidRDefault="00114A12" w:rsidP="00114A12">
            <w:pPr>
              <w:pStyle w:val="Default"/>
              <w:spacing w:before="120" w:after="120"/>
              <w:jc w:val="both"/>
              <w:rPr>
                <w:rFonts w:ascii="Times New Roman" w:hAnsi="Times New Roman" w:cs="Times New Roman"/>
              </w:rPr>
            </w:pPr>
            <w:r w:rsidRPr="00A72613">
              <w:rPr>
                <w:rFonts w:ascii="Times New Roman" w:hAnsi="Times New Roman" w:cs="Times New Roman"/>
              </w:rPr>
              <w:t>Valsts atbalsta mehānismu pamatā veido Ekonomikas ministrijas piešķirtās tiesības atbalstāmajiem ražotājiem saražoto elektroenerģiju pārdot elektroenerģijas publiskajam tirgotājam obligātā iepirkuma ietvaros par tarifu, kas ir augstākas par elektroenerģijas tirgus cenu. Līgums starp publisko tirgotāju un komersantu par elektroenerģijas iepirkumu obligātā iepirkuma ietvaros ir Ekonomikas ministrijas administratīvā akta īstenošanas instruments. Proti, līgums ir daļa no valsts atbalsta mehānisma, caur kuru komersants tieši saņem atbalstu par saražoto elektroenerģiju, izmantojot atjaunojamos energoresursus. Tādējādi līguma priekšmets atrodas publisko tiesību jomā</w:t>
            </w:r>
            <w:r>
              <w:rPr>
                <w:rFonts w:ascii="Times New Roman" w:hAnsi="Times New Roman" w:cs="Times New Roman"/>
              </w:rPr>
              <w:t xml:space="preserve"> (skat. Augstākās tiesas Administratīvo lietu departamenta 2016.gada 11</w:t>
            </w:r>
            <w:r w:rsidRPr="00A72613">
              <w:rPr>
                <w:rFonts w:ascii="Times New Roman" w:hAnsi="Times New Roman" w:cs="Times New Roman"/>
              </w:rPr>
              <w:t>.</w:t>
            </w:r>
            <w:r>
              <w:rPr>
                <w:rFonts w:ascii="Times New Roman" w:hAnsi="Times New Roman" w:cs="Times New Roman"/>
              </w:rPr>
              <w:t>februāra nolēmumu administratīvajā lietā Nr.</w:t>
            </w:r>
            <w:r w:rsidRPr="00A72613">
              <w:rPr>
                <w:rFonts w:ascii="Times New Roman" w:hAnsi="Times New Roman" w:cs="Times New Roman"/>
              </w:rPr>
              <w:t>A420353113</w:t>
            </w:r>
            <w:r>
              <w:rPr>
                <w:rFonts w:ascii="Times New Roman" w:hAnsi="Times New Roman" w:cs="Times New Roman"/>
              </w:rPr>
              <w:t>).</w:t>
            </w:r>
          </w:p>
          <w:p w14:paraId="641DF002" w14:textId="0FDE4AD3" w:rsidR="00114A12" w:rsidRDefault="00114A12" w:rsidP="00114A12">
            <w:pPr>
              <w:pStyle w:val="Default"/>
              <w:spacing w:before="120" w:after="120"/>
              <w:jc w:val="both"/>
              <w:rPr>
                <w:rFonts w:ascii="Times New Roman" w:hAnsi="Times New Roman" w:cs="Times New Roman"/>
              </w:rPr>
            </w:pPr>
            <w:r>
              <w:rPr>
                <w:rFonts w:ascii="Times New Roman" w:hAnsi="Times New Roman" w:cs="Times New Roman"/>
              </w:rPr>
              <w:lastRenderedPageBreak/>
              <w:t>Saskaņā ar MK noteikumu Nr.2</w:t>
            </w:r>
            <w:r w:rsidR="003B72FF">
              <w:rPr>
                <w:rFonts w:ascii="Times New Roman" w:hAnsi="Times New Roman" w:cs="Times New Roman"/>
              </w:rPr>
              <w:t>62</w:t>
            </w:r>
            <w:r>
              <w:rPr>
                <w:rFonts w:ascii="Times New Roman" w:hAnsi="Times New Roman" w:cs="Times New Roman"/>
              </w:rPr>
              <w:t xml:space="preserve"> </w:t>
            </w:r>
            <w:r w:rsidR="003B72FF">
              <w:rPr>
                <w:rFonts w:ascii="Times New Roman" w:hAnsi="Times New Roman" w:cs="Times New Roman"/>
              </w:rPr>
              <w:t>56</w:t>
            </w:r>
            <w:r>
              <w:rPr>
                <w:rFonts w:ascii="Times New Roman" w:hAnsi="Times New Roman" w:cs="Times New Roman"/>
              </w:rPr>
              <w:t xml:space="preserve">.punktu obligāto iepirkumu īsteno, pamatojoties uz publiskā tirgotāja un komersanta vai tās pilnvarotas personas līgumu. </w:t>
            </w:r>
          </w:p>
          <w:p w14:paraId="6B8D56B7" w14:textId="521511E1" w:rsidR="00114A12" w:rsidRDefault="00114A12" w:rsidP="00114A12">
            <w:pPr>
              <w:pStyle w:val="Default"/>
              <w:spacing w:before="120" w:after="120"/>
              <w:jc w:val="both"/>
              <w:rPr>
                <w:rFonts w:ascii="Times New Roman" w:hAnsi="Times New Roman" w:cs="Times New Roman"/>
              </w:rPr>
            </w:pPr>
            <w:r>
              <w:rPr>
                <w:rFonts w:ascii="Times New Roman" w:hAnsi="Times New Roman" w:cs="Times New Roman"/>
              </w:rPr>
              <w:t>Saskaņā ar MK noteikumu Nr.2</w:t>
            </w:r>
            <w:r w:rsidR="003B72FF">
              <w:rPr>
                <w:rFonts w:ascii="Times New Roman" w:hAnsi="Times New Roman" w:cs="Times New Roman"/>
              </w:rPr>
              <w:t>62</w:t>
            </w:r>
            <w:r>
              <w:rPr>
                <w:rFonts w:ascii="Times New Roman" w:hAnsi="Times New Roman" w:cs="Times New Roman"/>
              </w:rPr>
              <w:t xml:space="preserve"> </w:t>
            </w:r>
            <w:r w:rsidR="003B72FF">
              <w:rPr>
                <w:rFonts w:ascii="Times New Roman" w:hAnsi="Times New Roman" w:cs="Times New Roman"/>
              </w:rPr>
              <w:t>81</w:t>
            </w:r>
            <w:r>
              <w:rPr>
                <w:rFonts w:ascii="Times New Roman" w:hAnsi="Times New Roman" w:cs="Times New Roman"/>
              </w:rPr>
              <w:t>.punktu m</w:t>
            </w:r>
            <w:r w:rsidRPr="00014C52">
              <w:rPr>
                <w:rFonts w:ascii="Times New Roman" w:hAnsi="Times New Roman" w:cs="Times New Roman"/>
              </w:rPr>
              <w:t xml:space="preserve">aksu par elektrostacijā uzstādīto elektrisko jaudu </w:t>
            </w:r>
            <w:r w:rsidR="003B72FF">
              <w:rPr>
                <w:rFonts w:ascii="Times New Roman" w:hAnsi="Times New Roman" w:cs="Times New Roman"/>
              </w:rPr>
              <w:t>maksā</w:t>
            </w:r>
            <w:r w:rsidRPr="00014C52">
              <w:rPr>
                <w:rFonts w:ascii="Times New Roman" w:hAnsi="Times New Roman" w:cs="Times New Roman"/>
              </w:rPr>
              <w:t xml:space="preserve">, pamatojoties uz pārvades sistēmas operatora un komersanta līgumu, ko slēdz uz termiņu, kas nav ilgāks par 15 gadiem no </w:t>
            </w:r>
            <w:r w:rsidR="006E2E30">
              <w:rPr>
                <w:rFonts w:ascii="Times New Roman" w:hAnsi="Times New Roman" w:cs="Times New Roman"/>
              </w:rPr>
              <w:t>elektrostacijas</w:t>
            </w:r>
            <w:r w:rsidRPr="00014C52">
              <w:rPr>
                <w:rFonts w:ascii="Times New Roman" w:hAnsi="Times New Roman" w:cs="Times New Roman"/>
              </w:rPr>
              <w:t xml:space="preserve"> nodošanas ekspluatācijā.</w:t>
            </w:r>
          </w:p>
          <w:p w14:paraId="28448A17" w14:textId="699246B3" w:rsidR="00114A12" w:rsidRDefault="00114A12" w:rsidP="00114A12">
            <w:pPr>
              <w:pStyle w:val="Default"/>
              <w:spacing w:before="120" w:after="120"/>
              <w:jc w:val="both"/>
              <w:rPr>
                <w:rFonts w:ascii="Times New Roman" w:hAnsi="Times New Roman" w:cs="Times New Roman"/>
              </w:rPr>
            </w:pPr>
            <w:r>
              <w:rPr>
                <w:rFonts w:ascii="Times New Roman" w:hAnsi="Times New Roman" w:cs="Times New Roman"/>
              </w:rPr>
              <w:t>Ņemot vērā minēto, pēc Ekonomikas ministrijas lēmuma pieņemšanas publiskajam tirgotājam un sistēmas operatoram rodas pienākums, izpildoties citiem MK noteikumos Nr.2</w:t>
            </w:r>
            <w:r w:rsidR="00707445">
              <w:rPr>
                <w:rFonts w:ascii="Times New Roman" w:hAnsi="Times New Roman" w:cs="Times New Roman"/>
              </w:rPr>
              <w:t>6</w:t>
            </w:r>
            <w:r>
              <w:rPr>
                <w:rFonts w:ascii="Times New Roman" w:hAnsi="Times New Roman" w:cs="Times New Roman"/>
              </w:rPr>
              <w:t>2 paredzētajiem nosacījumie</w:t>
            </w:r>
            <w:r w:rsidR="00707445">
              <w:rPr>
                <w:rFonts w:ascii="Times New Roman" w:hAnsi="Times New Roman" w:cs="Times New Roman"/>
              </w:rPr>
              <w:t>m</w:t>
            </w:r>
            <w:r>
              <w:rPr>
                <w:rFonts w:ascii="Times New Roman" w:hAnsi="Times New Roman" w:cs="Times New Roman"/>
              </w:rPr>
              <w:t xml:space="preserve">, noslēgt ar attiecīgo elektroenerģijas ražotāju publisko tiesību līgumu. </w:t>
            </w:r>
          </w:p>
          <w:p w14:paraId="626E5987" w14:textId="5F6AB59C" w:rsidR="000E47DB" w:rsidRPr="00C117EF" w:rsidRDefault="00114A12" w:rsidP="00152CA8">
            <w:pPr>
              <w:pStyle w:val="Default"/>
              <w:spacing w:before="120" w:after="120"/>
              <w:jc w:val="both"/>
              <w:rPr>
                <w:rFonts w:ascii="Times New Roman" w:hAnsi="Times New Roman" w:cs="Times New Roman"/>
                <w:b/>
              </w:rPr>
            </w:pPr>
            <w:r>
              <w:rPr>
                <w:rFonts w:ascii="Times New Roman" w:hAnsi="Times New Roman" w:cs="Times New Roman"/>
              </w:rPr>
              <w:t>Lai nodrošinātu saziņas iespēju starp privātpersonu un iestādi, izmantojot e-adresi, ar grozījumiem tiek paredzēts, ka Ekonomikas ministrija pieņemto administratīvo aktu adresātam un administratīvā akta izpildē iesaistītajām personām nosūta elektroniski.</w:t>
            </w:r>
            <w:r w:rsidR="00CD1B12">
              <w:rPr>
                <w:rFonts w:ascii="Times New Roman" w:hAnsi="Times New Roman" w:cs="Times New Roman"/>
              </w:rPr>
              <w:t xml:space="preserve"> Noteikumu projekts paredz administratīvo aktu nosūtīt publiskajam tirgotājam un sistēmas operatoram, kura tīkliem elektrostacija ir pieslēgta, jo gan publiskais tirgotājs, gan sistēmas operators ir iesaistīts administratīvā akta izpildē, tādejādi šie administratīvie akti tiem ir nepieciešami administratīvā akta izpildei un publisko tiesību līguma noslēgšanai vai pārtraukšanai. </w:t>
            </w:r>
          </w:p>
        </w:tc>
      </w:tr>
      <w:tr w:rsidR="001C1A2E" w:rsidRPr="002763E8" w14:paraId="0705BB2A" w14:textId="77777777" w:rsidTr="001E1CB2">
        <w:trPr>
          <w:trHeight w:val="132"/>
        </w:trPr>
        <w:tc>
          <w:tcPr>
            <w:tcW w:w="421" w:type="dxa"/>
          </w:tcPr>
          <w:p w14:paraId="08B45B8F" w14:textId="2C21607C"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lastRenderedPageBreak/>
              <w:t>3.</w:t>
            </w:r>
          </w:p>
        </w:tc>
        <w:tc>
          <w:tcPr>
            <w:tcW w:w="2986" w:type="dxa"/>
          </w:tcPr>
          <w:p w14:paraId="0A293201" w14:textId="77777777" w:rsidR="001C1A2E" w:rsidRPr="002763E8" w:rsidRDefault="001C1A2E" w:rsidP="008667DC">
            <w:pPr>
              <w:jc w:val="both"/>
              <w:rPr>
                <w:color w:val="000000" w:themeColor="text1"/>
              </w:rPr>
            </w:pPr>
            <w:r w:rsidRPr="002763E8">
              <w:rPr>
                <w:color w:val="000000" w:themeColor="text1"/>
              </w:rPr>
              <w:t>Projekta izstrādē iesaistītās institūcijas</w:t>
            </w:r>
          </w:p>
        </w:tc>
        <w:tc>
          <w:tcPr>
            <w:tcW w:w="6037" w:type="dxa"/>
          </w:tcPr>
          <w:p w14:paraId="696FF48D" w14:textId="3DDBD0A4" w:rsidR="001C1A2E" w:rsidRPr="002763E8" w:rsidRDefault="00A644BE" w:rsidP="009279E6">
            <w:pPr>
              <w:spacing w:before="120"/>
              <w:jc w:val="both"/>
              <w:rPr>
                <w:color w:val="000000" w:themeColor="text1"/>
              </w:rPr>
            </w:pPr>
            <w:r w:rsidRPr="00656C16">
              <w:rPr>
                <w:shd w:val="clear" w:color="auto" w:fill="FFFFFF"/>
              </w:rPr>
              <w:t>Projekts šo jomu neskar</w:t>
            </w:r>
            <w:r w:rsidR="00656C16">
              <w:rPr>
                <w:shd w:val="clear" w:color="auto" w:fill="FFFFFF"/>
              </w:rPr>
              <w:t>.</w:t>
            </w:r>
          </w:p>
        </w:tc>
      </w:tr>
      <w:tr w:rsidR="001C1A2E" w:rsidRPr="002763E8" w14:paraId="3E862D21" w14:textId="77777777" w:rsidTr="001E1CB2">
        <w:tc>
          <w:tcPr>
            <w:tcW w:w="421" w:type="dxa"/>
          </w:tcPr>
          <w:p w14:paraId="01E9E9FE" w14:textId="77777777" w:rsidR="001C1A2E" w:rsidRPr="002763E8" w:rsidRDefault="001C1A2E" w:rsidP="008667DC">
            <w:pPr>
              <w:pStyle w:val="naiskr"/>
              <w:spacing w:before="0" w:beforeAutospacing="0" w:after="0" w:afterAutospacing="0"/>
              <w:jc w:val="center"/>
              <w:rPr>
                <w:color w:val="000000" w:themeColor="text1"/>
              </w:rPr>
            </w:pPr>
            <w:r w:rsidRPr="002763E8">
              <w:rPr>
                <w:color w:val="000000" w:themeColor="text1"/>
              </w:rPr>
              <w:t>4.</w:t>
            </w:r>
          </w:p>
        </w:tc>
        <w:tc>
          <w:tcPr>
            <w:tcW w:w="2986" w:type="dxa"/>
          </w:tcPr>
          <w:p w14:paraId="05C25D70" w14:textId="77777777" w:rsidR="001C1A2E" w:rsidRPr="002763E8" w:rsidRDefault="001C1A2E" w:rsidP="008667DC">
            <w:pPr>
              <w:pStyle w:val="naiskr"/>
              <w:spacing w:before="0" w:beforeAutospacing="0" w:after="0" w:afterAutospacing="0"/>
              <w:rPr>
                <w:color w:val="000000" w:themeColor="text1"/>
              </w:rPr>
            </w:pPr>
            <w:r w:rsidRPr="002763E8">
              <w:rPr>
                <w:color w:val="000000" w:themeColor="text1"/>
              </w:rPr>
              <w:t>Cita informācija</w:t>
            </w:r>
          </w:p>
        </w:tc>
        <w:tc>
          <w:tcPr>
            <w:tcW w:w="6037" w:type="dxa"/>
          </w:tcPr>
          <w:p w14:paraId="0C8752F5" w14:textId="77777777" w:rsidR="001C1A2E" w:rsidRPr="002763E8" w:rsidRDefault="007C1F2A" w:rsidP="007422D8">
            <w:pPr>
              <w:pStyle w:val="naiskr"/>
              <w:spacing w:before="120" w:beforeAutospacing="0" w:after="0" w:afterAutospacing="0"/>
              <w:jc w:val="both"/>
              <w:rPr>
                <w:color w:val="000000" w:themeColor="text1"/>
              </w:rPr>
            </w:pPr>
            <w:r w:rsidRPr="002763E8">
              <w:t>Nav.</w:t>
            </w:r>
          </w:p>
        </w:tc>
      </w:tr>
    </w:tbl>
    <w:p w14:paraId="3C7E150C" w14:textId="77777777" w:rsidR="001C1A2E" w:rsidRPr="002763E8" w:rsidRDefault="001C1A2E" w:rsidP="008667DC">
      <w:pPr>
        <w:pStyle w:val="naisf"/>
        <w:tabs>
          <w:tab w:val="left" w:pos="5760"/>
        </w:tabs>
        <w:spacing w:before="0" w:beforeAutospacing="0" w:after="0" w:afterAutospacing="0"/>
        <w:rPr>
          <w:color w:val="000000" w:themeColor="text1"/>
        </w:rPr>
      </w:pPr>
    </w:p>
    <w:tbl>
      <w:tblPr>
        <w:tblpPr w:leftFromText="180" w:rightFromText="180" w:vertAnchor="text" w:horzAnchor="margin" w:tblpXSpec="center" w:tblpY="149"/>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7"/>
        <w:gridCol w:w="5895"/>
      </w:tblGrid>
      <w:tr w:rsidR="0094759F" w:rsidRPr="002763E8" w14:paraId="598D7817" w14:textId="77777777" w:rsidTr="0094759F">
        <w:tc>
          <w:tcPr>
            <w:tcW w:w="9442" w:type="dxa"/>
            <w:gridSpan w:val="2"/>
            <w:vAlign w:val="center"/>
          </w:tcPr>
          <w:p w14:paraId="4BFA39F0" w14:textId="77777777" w:rsidR="0094759F" w:rsidRPr="002763E8" w:rsidRDefault="0094759F" w:rsidP="008667DC">
            <w:pPr>
              <w:pStyle w:val="naisnod"/>
              <w:spacing w:before="0" w:beforeAutospacing="0" w:after="0" w:afterAutospacing="0"/>
              <w:jc w:val="center"/>
              <w:rPr>
                <w:b/>
                <w:color w:val="000000" w:themeColor="text1"/>
              </w:rPr>
            </w:pPr>
            <w:r w:rsidRPr="002763E8">
              <w:rPr>
                <w:b/>
                <w:color w:val="000000" w:themeColor="text1"/>
              </w:rPr>
              <w:t>II.  Tiesību akta projekta ietekme uz sabiedrību, tautsaimniecības attīstību un administratīvo slogu</w:t>
            </w:r>
          </w:p>
        </w:tc>
      </w:tr>
      <w:tr w:rsidR="0094759F" w:rsidRPr="002763E8" w14:paraId="0CF90C07" w14:textId="77777777" w:rsidTr="0094759F">
        <w:trPr>
          <w:trHeight w:val="281"/>
        </w:trPr>
        <w:tc>
          <w:tcPr>
            <w:tcW w:w="3547" w:type="dxa"/>
          </w:tcPr>
          <w:p w14:paraId="2344E446" w14:textId="77777777" w:rsidR="0094759F" w:rsidRPr="002763E8" w:rsidRDefault="0094759F" w:rsidP="008667DC">
            <w:pPr>
              <w:pStyle w:val="naiskr"/>
              <w:spacing w:before="0" w:beforeAutospacing="0" w:after="0" w:afterAutospacing="0"/>
              <w:ind w:hanging="10"/>
              <w:jc w:val="both"/>
              <w:rPr>
                <w:color w:val="000000" w:themeColor="text1"/>
              </w:rPr>
            </w:pPr>
            <w:r w:rsidRPr="002763E8">
              <w:rPr>
                <w:color w:val="000000" w:themeColor="text1"/>
              </w:rPr>
              <w:t>Sabiedrības mērķgrupas, kuras tiesiskais regulējums ietekmē vai varētu ietekmēt</w:t>
            </w:r>
          </w:p>
        </w:tc>
        <w:tc>
          <w:tcPr>
            <w:tcW w:w="5895" w:type="dxa"/>
          </w:tcPr>
          <w:p w14:paraId="24F603B5" w14:textId="77777777" w:rsidR="00DB1DA9" w:rsidRPr="002763E8" w:rsidRDefault="0060359C" w:rsidP="007422D8">
            <w:pPr>
              <w:pStyle w:val="Default"/>
              <w:spacing w:before="120" w:after="120"/>
              <w:jc w:val="both"/>
              <w:rPr>
                <w:rFonts w:ascii="Times New Roman" w:hAnsi="Times New Roman" w:cs="Times New Roman"/>
                <w:bCs/>
                <w:color w:val="000000" w:themeColor="text1"/>
              </w:rPr>
            </w:pPr>
            <w:r w:rsidRPr="002763E8">
              <w:rPr>
                <w:rFonts w:ascii="Times New Roman" w:hAnsi="Times New Roman"/>
                <w:color w:val="000000" w:themeColor="text1"/>
              </w:rPr>
              <w:t xml:space="preserve">Ražotāji, kas ieguvuši tiesības pārdot saražoto elektroenerģiju obligātā iepirkuma ietvaros </w:t>
            </w:r>
            <w:r w:rsidRPr="002763E8">
              <w:rPr>
                <w:rFonts w:ascii="Times New Roman" w:hAnsi="Times New Roman" w:cs="Times New Roman"/>
                <w:color w:val="000000" w:themeColor="text1"/>
              </w:rPr>
              <w:t>vai saņemt garantēto</w:t>
            </w:r>
            <w:r w:rsidR="004068A0" w:rsidRPr="002763E8">
              <w:rPr>
                <w:rFonts w:ascii="Times New Roman" w:hAnsi="Times New Roman" w:cs="Times New Roman"/>
                <w:color w:val="000000" w:themeColor="text1"/>
              </w:rPr>
              <w:t xml:space="preserve"> maksu par </w:t>
            </w:r>
            <w:r w:rsidRPr="002763E8">
              <w:rPr>
                <w:rFonts w:ascii="Times New Roman" w:hAnsi="Times New Roman" w:cs="Times New Roman"/>
                <w:color w:val="000000" w:themeColor="text1"/>
              </w:rPr>
              <w:t>uzstādīto elektrisko jaudu.</w:t>
            </w:r>
          </w:p>
        </w:tc>
      </w:tr>
      <w:tr w:rsidR="0094759F" w:rsidRPr="002763E8" w14:paraId="6714E04D" w14:textId="77777777" w:rsidTr="008667DC">
        <w:trPr>
          <w:trHeight w:val="280"/>
        </w:trPr>
        <w:tc>
          <w:tcPr>
            <w:tcW w:w="3547" w:type="dxa"/>
          </w:tcPr>
          <w:p w14:paraId="494F10C7" w14:textId="77777777" w:rsidR="0094759F" w:rsidRPr="002763E8" w:rsidRDefault="0094759F" w:rsidP="008667DC">
            <w:pPr>
              <w:jc w:val="both"/>
              <w:rPr>
                <w:color w:val="000000" w:themeColor="text1"/>
              </w:rPr>
            </w:pPr>
            <w:r w:rsidRPr="002763E8">
              <w:rPr>
                <w:color w:val="000000" w:themeColor="text1"/>
              </w:rPr>
              <w:t>Tiesiskā regulējuma ietekme uz tautsaimniecību un administratīvo slogu</w:t>
            </w:r>
          </w:p>
        </w:tc>
        <w:tc>
          <w:tcPr>
            <w:tcW w:w="5895" w:type="dxa"/>
          </w:tcPr>
          <w:p w14:paraId="794390E2" w14:textId="77777777" w:rsidR="00E10361" w:rsidRPr="002763E8" w:rsidRDefault="00E10361" w:rsidP="007422D8">
            <w:pPr>
              <w:spacing w:before="120" w:after="120"/>
              <w:jc w:val="both"/>
              <w:rPr>
                <w:color w:val="000000" w:themeColor="text1"/>
              </w:rPr>
            </w:pPr>
            <w:r w:rsidRPr="002763E8">
              <w:rPr>
                <w:color w:val="000000" w:themeColor="text1"/>
              </w:rPr>
              <w:t xml:space="preserve">Grozījumu rezultātā tiks mazināts obligātā iepirkuma komponentes pieauguma risks, vienlaikus mazinot </w:t>
            </w:r>
            <w:r w:rsidR="007422D8" w:rsidRPr="002763E8">
              <w:rPr>
                <w:color w:val="000000" w:themeColor="text1"/>
              </w:rPr>
              <w:t xml:space="preserve">dabasgāzes cenas lejupslīdes rezultātā radušos </w:t>
            </w:r>
            <w:r w:rsidRPr="002763E8">
              <w:rPr>
                <w:color w:val="000000" w:themeColor="text1"/>
              </w:rPr>
              <w:t>bankrota ris</w:t>
            </w:r>
            <w:r w:rsidR="004068A0" w:rsidRPr="002763E8">
              <w:rPr>
                <w:color w:val="000000" w:themeColor="text1"/>
              </w:rPr>
              <w:t>k</w:t>
            </w:r>
            <w:r w:rsidRPr="002763E8">
              <w:rPr>
                <w:color w:val="000000" w:themeColor="text1"/>
              </w:rPr>
              <w:t xml:space="preserve">u komersantiem,  </w:t>
            </w:r>
            <w:r w:rsidR="007422D8" w:rsidRPr="002763E8">
              <w:rPr>
                <w:color w:val="000000" w:themeColor="text1"/>
              </w:rPr>
              <w:t xml:space="preserve">kuriem noteiktā </w:t>
            </w:r>
            <w:r w:rsidRPr="002763E8">
              <w:rPr>
                <w:color w:val="000000" w:themeColor="text1"/>
              </w:rPr>
              <w:t xml:space="preserve">elektroenerģijas obligātā iepirkuma cena bija atkarīga </w:t>
            </w:r>
            <w:r w:rsidR="007422D8" w:rsidRPr="002763E8">
              <w:rPr>
                <w:color w:val="000000" w:themeColor="text1"/>
              </w:rPr>
              <w:t xml:space="preserve">no dabasgāzes tirdzniecības cenas, bet </w:t>
            </w:r>
            <w:r w:rsidRPr="002763E8">
              <w:rPr>
                <w:color w:val="000000" w:themeColor="text1"/>
              </w:rPr>
              <w:t xml:space="preserve">ražošanas izmaksas nav atkarīgas no dabasgāzes </w:t>
            </w:r>
            <w:r w:rsidR="007422D8" w:rsidRPr="002763E8">
              <w:rPr>
                <w:color w:val="000000" w:themeColor="text1"/>
              </w:rPr>
              <w:t>izmaksām.</w:t>
            </w:r>
          </w:p>
          <w:p w14:paraId="301A3234" w14:textId="1BC60CAC" w:rsidR="004068A0" w:rsidRPr="002763E8" w:rsidRDefault="004068A0" w:rsidP="007422D8">
            <w:pPr>
              <w:spacing w:before="120" w:after="120"/>
              <w:jc w:val="both"/>
              <w:rPr>
                <w:color w:val="000000" w:themeColor="text1"/>
              </w:rPr>
            </w:pPr>
            <w:r w:rsidRPr="002763E8">
              <w:rPr>
                <w:color w:val="000000" w:themeColor="text1"/>
              </w:rPr>
              <w:t xml:space="preserve">Papildus tam, pieņemot lēmumu par pārkompensācijas </w:t>
            </w:r>
            <w:r w:rsidR="00114A12">
              <w:rPr>
                <w:color w:val="000000" w:themeColor="text1"/>
              </w:rPr>
              <w:t xml:space="preserve">novēršanas </w:t>
            </w:r>
            <w:r w:rsidRPr="002763E8">
              <w:rPr>
                <w:color w:val="000000" w:themeColor="text1"/>
              </w:rPr>
              <w:t xml:space="preserve">mehānisma ieviešanu Latvijā, tiek mazināts risks, ka </w:t>
            </w:r>
            <w:r w:rsidR="007C1B92">
              <w:rPr>
                <w:color w:val="000000" w:themeColor="text1"/>
              </w:rPr>
              <w:t>EK</w:t>
            </w:r>
            <w:r w:rsidRPr="002763E8">
              <w:rPr>
                <w:color w:val="000000" w:themeColor="text1"/>
              </w:rPr>
              <w:t xml:space="preserve"> var </w:t>
            </w:r>
            <w:r w:rsidR="001C4F02" w:rsidRPr="002763E8">
              <w:rPr>
                <w:color w:val="000000" w:themeColor="text1"/>
              </w:rPr>
              <w:t xml:space="preserve">ierosināt </w:t>
            </w:r>
            <w:r w:rsidRPr="002763E8">
              <w:rPr>
                <w:color w:val="000000" w:themeColor="text1"/>
              </w:rPr>
              <w:t xml:space="preserve">lietu pret Latviju par nelikumīga valsts atbalsta piešķiršanu komersantiem, kas ražo elektroenerģiju </w:t>
            </w:r>
            <w:r w:rsidRPr="002763E8">
              <w:rPr>
                <w:color w:val="000000" w:themeColor="text1"/>
              </w:rPr>
              <w:lastRenderedPageBreak/>
              <w:t>no atjaunojamiem energoresursiem vai augstas efektivitātes koģenerācijā. Tas var rezultēties ne tikai piešķirtā atbalsta, ko saņēmuši komersanti obligātā iepirkuma ietvaros, atgriešanai valsts budžetā, bet arī piešķirtā investīciju atbalsta no ES budžeta programmām atgriešanai ES budžetā. Ņemot vērā, ka Latvijā elektrostacijās ir investīcijas veikuši ES dalībvalstu un trešo valstu investori, šāda EK lēmuma pieņemšanas rezultātā var tikt ierosināti starptautiskie investīciju strīdi.</w:t>
            </w:r>
          </w:p>
          <w:p w14:paraId="7804B15B" w14:textId="77777777" w:rsidR="008667DC" w:rsidRPr="002763E8" w:rsidRDefault="00E10361" w:rsidP="007422D8">
            <w:pPr>
              <w:spacing w:before="120" w:after="120"/>
              <w:jc w:val="both"/>
              <w:rPr>
                <w:color w:val="000000" w:themeColor="text1"/>
              </w:rPr>
            </w:pPr>
            <w:r w:rsidRPr="002763E8">
              <w:rPr>
                <w:color w:val="000000" w:themeColor="text1"/>
              </w:rPr>
              <w:t>Ekonomikas ministrijai palielinās administratīvais slogs saistībā ar pienākumiem, kas saistīti ar IRR un pārkompensācijas koeficienta aprēķināšanu elektrostaciju projektiem, par kuriem komersanti ir ieguvuši tiesības pārdot saražoto elektroenerģiju obligātā iepirkuma ietvaros vai saņemt garantēto maksu par stacijā uzstādīto elektrisko jaudu. Administratīvais slogs komersantiem nemainās.</w:t>
            </w:r>
          </w:p>
        </w:tc>
      </w:tr>
      <w:tr w:rsidR="0094759F" w:rsidRPr="002763E8" w14:paraId="7E915D7F" w14:textId="77777777" w:rsidTr="0094759F">
        <w:trPr>
          <w:trHeight w:val="481"/>
        </w:trPr>
        <w:tc>
          <w:tcPr>
            <w:tcW w:w="3547" w:type="dxa"/>
          </w:tcPr>
          <w:p w14:paraId="26EDC7B6" w14:textId="77777777" w:rsidR="0094759F" w:rsidRPr="00BF4E15" w:rsidRDefault="0094759F" w:rsidP="008667DC">
            <w:pPr>
              <w:jc w:val="both"/>
              <w:rPr>
                <w:color w:val="000000" w:themeColor="text1"/>
              </w:rPr>
            </w:pPr>
            <w:r w:rsidRPr="002763E8">
              <w:rPr>
                <w:color w:val="000000" w:themeColor="text1"/>
              </w:rPr>
              <w:lastRenderedPageBreak/>
              <w:t xml:space="preserve">Administratīvo izmaksu monetārs </w:t>
            </w:r>
            <w:r w:rsidRPr="00187D7E">
              <w:rPr>
                <w:color w:val="000000" w:themeColor="text1"/>
              </w:rPr>
              <w:t>novērtējums</w:t>
            </w:r>
          </w:p>
        </w:tc>
        <w:tc>
          <w:tcPr>
            <w:tcW w:w="5895" w:type="dxa"/>
          </w:tcPr>
          <w:p w14:paraId="0B134D83" w14:textId="77777777" w:rsidR="00F2130A" w:rsidRPr="00187D7E" w:rsidRDefault="00F2130A" w:rsidP="004068A0">
            <w:pPr>
              <w:spacing w:before="120" w:after="120"/>
              <w:jc w:val="both"/>
              <w:rPr>
                <w:color w:val="000000" w:themeColor="text1"/>
              </w:rPr>
            </w:pPr>
            <w:r w:rsidRPr="00BF4E15">
              <w:rPr>
                <w:color w:val="000000" w:themeColor="text1"/>
              </w:rPr>
              <w:t>A</w:t>
            </w:r>
            <w:r w:rsidR="00E10361" w:rsidRPr="00BF4E15">
              <w:rPr>
                <w:color w:val="000000" w:themeColor="text1"/>
              </w:rPr>
              <w:t>ptuvenās a</w:t>
            </w:r>
            <w:r w:rsidRPr="00BF4E15">
              <w:rPr>
                <w:color w:val="000000" w:themeColor="text1"/>
              </w:rPr>
              <w:t xml:space="preserve">dministratīvās izmaksas </w:t>
            </w:r>
            <w:r w:rsidR="004068A0" w:rsidRPr="00BF4E15">
              <w:rPr>
                <w:color w:val="000000" w:themeColor="text1"/>
              </w:rPr>
              <w:t>Ekonomikas min</w:t>
            </w:r>
            <w:r w:rsidR="00E10361" w:rsidRPr="007A14B7">
              <w:rPr>
                <w:color w:val="000000" w:themeColor="text1"/>
              </w:rPr>
              <w:t>istrijai gada laikā</w:t>
            </w:r>
            <w:r w:rsidRPr="006E2F36">
              <w:rPr>
                <w:color w:val="000000" w:themeColor="text1"/>
              </w:rPr>
              <w:t xml:space="preserve"> ir </w:t>
            </w:r>
            <w:r w:rsidR="00E5535B" w:rsidRPr="006E2F36">
              <w:rPr>
                <w:color w:val="000000" w:themeColor="text1"/>
              </w:rPr>
              <w:t xml:space="preserve">līdz </w:t>
            </w:r>
            <w:r w:rsidR="00E10361" w:rsidRPr="006E2F36">
              <w:rPr>
                <w:color w:val="000000" w:themeColor="text1"/>
              </w:rPr>
              <w:t>45</w:t>
            </w:r>
            <w:r w:rsidR="00E5535B" w:rsidRPr="006E2F36">
              <w:rPr>
                <w:color w:val="000000" w:themeColor="text1"/>
              </w:rPr>
              <w:t>00</w:t>
            </w:r>
            <w:r w:rsidRPr="006E2F36">
              <w:rPr>
                <w:color w:val="000000" w:themeColor="text1"/>
              </w:rPr>
              <w:t xml:space="preserve"> </w:t>
            </w:r>
            <w:r w:rsidRPr="006E2F36">
              <w:rPr>
                <w:i/>
                <w:color w:val="000000" w:themeColor="text1"/>
              </w:rPr>
              <w:t>euro</w:t>
            </w:r>
            <w:r w:rsidRPr="006E2F36">
              <w:rPr>
                <w:color w:val="000000" w:themeColor="text1"/>
              </w:rPr>
              <w:t xml:space="preserve"> (</w:t>
            </w:r>
            <w:r w:rsidR="00E10361" w:rsidRPr="006E2F36">
              <w:rPr>
                <w:color w:val="000000" w:themeColor="text1"/>
              </w:rPr>
              <w:t>izmaksas, ko tiesiskais regulējums rada saistībā ar pienākumiem, kas saistīti ar IRR un pār</w:t>
            </w:r>
            <w:r w:rsidR="00E10361" w:rsidRPr="000C71F9">
              <w:rPr>
                <w:color w:val="000000" w:themeColor="text1"/>
              </w:rPr>
              <w:t>kompensācijas koeficienta aprēķināšanu un informācijas apmaiņu ar komersantiem</w:t>
            </w:r>
            <w:r w:rsidR="00E5535B" w:rsidRPr="000C71F9">
              <w:rPr>
                <w:color w:val="000000" w:themeColor="text1"/>
              </w:rPr>
              <w:t>)</w:t>
            </w:r>
            <w:r w:rsidRPr="000B41D7">
              <w:rPr>
                <w:color w:val="000000" w:themeColor="text1"/>
              </w:rPr>
              <w:t xml:space="preserve">. </w:t>
            </w:r>
            <w:r w:rsidR="007422D8" w:rsidRPr="000B41D7">
              <w:rPr>
                <w:color w:val="000000" w:themeColor="text1"/>
              </w:rPr>
              <w:t xml:space="preserve">Izmaksas plānots segt esošo </w:t>
            </w:r>
            <w:r w:rsidR="001C4F02" w:rsidRPr="00EE24A8">
              <w:rPr>
                <w:color w:val="000000" w:themeColor="text1"/>
              </w:rPr>
              <w:t xml:space="preserve">finanšu </w:t>
            </w:r>
            <w:r w:rsidR="007422D8" w:rsidRPr="00EE24A8">
              <w:rPr>
                <w:color w:val="000000" w:themeColor="text1"/>
              </w:rPr>
              <w:t>resusu ietvaros.</w:t>
            </w:r>
          </w:p>
        </w:tc>
      </w:tr>
      <w:tr w:rsidR="0094759F" w:rsidRPr="002763E8" w14:paraId="1F6C93B4" w14:textId="77777777" w:rsidTr="0094759F">
        <w:trPr>
          <w:trHeight w:val="274"/>
        </w:trPr>
        <w:tc>
          <w:tcPr>
            <w:tcW w:w="3547" w:type="dxa"/>
          </w:tcPr>
          <w:p w14:paraId="29BCD935" w14:textId="77777777" w:rsidR="0094759F" w:rsidRPr="002763E8" w:rsidRDefault="0094759F" w:rsidP="008667DC">
            <w:pPr>
              <w:jc w:val="both"/>
              <w:rPr>
                <w:color w:val="000000" w:themeColor="text1"/>
              </w:rPr>
            </w:pPr>
            <w:r w:rsidRPr="002763E8">
              <w:rPr>
                <w:color w:val="000000" w:themeColor="text1"/>
              </w:rPr>
              <w:t>Cita informācija</w:t>
            </w:r>
          </w:p>
        </w:tc>
        <w:tc>
          <w:tcPr>
            <w:tcW w:w="5895" w:type="dxa"/>
          </w:tcPr>
          <w:p w14:paraId="4CE59AB3" w14:textId="77777777" w:rsidR="0094759F" w:rsidRPr="002763E8" w:rsidRDefault="00F2130A" w:rsidP="007422D8">
            <w:pPr>
              <w:spacing w:before="120"/>
              <w:jc w:val="both"/>
              <w:rPr>
                <w:color w:val="000000" w:themeColor="text1"/>
              </w:rPr>
            </w:pPr>
            <w:r w:rsidRPr="002763E8">
              <w:rPr>
                <w:color w:val="000000" w:themeColor="text1"/>
              </w:rPr>
              <w:t>Nav.</w:t>
            </w:r>
          </w:p>
        </w:tc>
      </w:tr>
    </w:tbl>
    <w:p w14:paraId="236B2F98" w14:textId="77777777" w:rsidR="00EC14D6" w:rsidRPr="002763E8" w:rsidRDefault="00EC14D6" w:rsidP="008667DC">
      <w:pPr>
        <w:rPr>
          <w:color w:val="000000" w:themeColor="text1"/>
        </w:rPr>
      </w:pPr>
    </w:p>
    <w:tbl>
      <w:tblPr>
        <w:tblW w:w="5181"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16"/>
        <w:gridCol w:w="1323"/>
        <w:gridCol w:w="1323"/>
        <w:gridCol w:w="1323"/>
        <w:gridCol w:w="1323"/>
        <w:gridCol w:w="1323"/>
      </w:tblGrid>
      <w:tr w:rsidR="00E74762" w:rsidRPr="00433594" w14:paraId="3CF917B9" w14:textId="77777777" w:rsidTr="00433594">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20D8D78" w14:textId="77777777" w:rsidR="00E74762" w:rsidRPr="00433594" w:rsidRDefault="00E74762" w:rsidP="000056F9">
            <w:pPr>
              <w:pStyle w:val="tvhtml"/>
              <w:spacing w:before="0" w:beforeAutospacing="0" w:after="0" w:afterAutospacing="0"/>
              <w:jc w:val="center"/>
              <w:rPr>
                <w:b/>
                <w:bCs/>
                <w:color w:val="000000" w:themeColor="text1"/>
              </w:rPr>
            </w:pPr>
            <w:r w:rsidRPr="00433594">
              <w:rPr>
                <w:b/>
                <w:bCs/>
                <w:color w:val="000000" w:themeColor="text1"/>
              </w:rPr>
              <w:t>III. Tiesību akta projekta ietekme uz valsts budžetu un pašvaldību budžetiem</w:t>
            </w:r>
          </w:p>
        </w:tc>
      </w:tr>
      <w:tr w:rsidR="00E74762" w:rsidRPr="002763E8" w14:paraId="3FC01213" w14:textId="77777777" w:rsidTr="00E74762">
        <w:tc>
          <w:tcPr>
            <w:tcW w:w="17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0FF9F6" w14:textId="77777777"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Rādītāji</w:t>
            </w:r>
          </w:p>
        </w:tc>
        <w:tc>
          <w:tcPr>
            <w:tcW w:w="115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51F77" w14:textId="77777777"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2016. gads</w:t>
            </w:r>
          </w:p>
        </w:tc>
        <w:tc>
          <w:tcPr>
            <w:tcW w:w="212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514E9"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Turpmākie trīs gadi (</w:t>
            </w:r>
            <w:r w:rsidRPr="002763E8">
              <w:rPr>
                <w:i/>
                <w:iCs/>
                <w:color w:val="000000" w:themeColor="text1"/>
              </w:rPr>
              <w:t>euro</w:t>
            </w:r>
            <w:r w:rsidRPr="002763E8">
              <w:rPr>
                <w:color w:val="000000" w:themeColor="text1"/>
              </w:rPr>
              <w:t>)</w:t>
            </w:r>
          </w:p>
        </w:tc>
      </w:tr>
      <w:tr w:rsidR="00E74762" w:rsidRPr="002763E8" w14:paraId="2F44B020"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23E2A" w14:textId="77777777" w:rsidR="00E74762" w:rsidRPr="002763E8" w:rsidRDefault="00E74762" w:rsidP="000056F9">
            <w:pPr>
              <w:rPr>
                <w:b/>
                <w:bCs/>
                <w:color w:val="000000" w:themeColor="text1"/>
              </w:rPr>
            </w:pPr>
          </w:p>
        </w:tc>
        <w:tc>
          <w:tcPr>
            <w:tcW w:w="115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7B43E" w14:textId="77777777" w:rsidR="00E74762" w:rsidRPr="002763E8" w:rsidRDefault="00E74762" w:rsidP="000056F9">
            <w:pPr>
              <w:rPr>
                <w:b/>
                <w:bCs/>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EA5FFB" w14:textId="77777777"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2017. gads</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0CF2A" w14:textId="77777777"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2018. gads</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853D3" w14:textId="77777777" w:rsidR="00E74762" w:rsidRPr="002763E8" w:rsidRDefault="00E74762" w:rsidP="000056F9">
            <w:pPr>
              <w:pStyle w:val="tvhtml"/>
              <w:spacing w:before="0" w:beforeAutospacing="0" w:after="0" w:afterAutospacing="0"/>
              <w:jc w:val="center"/>
              <w:rPr>
                <w:b/>
                <w:bCs/>
                <w:color w:val="000000" w:themeColor="text1"/>
              </w:rPr>
            </w:pPr>
            <w:r w:rsidRPr="002763E8">
              <w:rPr>
                <w:b/>
                <w:bCs/>
                <w:color w:val="000000" w:themeColor="text1"/>
              </w:rPr>
              <w:t>2019. gads</w:t>
            </w:r>
          </w:p>
        </w:tc>
      </w:tr>
      <w:tr w:rsidR="00E74762" w:rsidRPr="002763E8" w14:paraId="7301F109"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599BB" w14:textId="77777777" w:rsidR="00E74762" w:rsidRPr="002763E8" w:rsidRDefault="00E74762" w:rsidP="000056F9">
            <w:pPr>
              <w:rPr>
                <w:b/>
                <w:bCs/>
                <w:color w:val="000000" w:themeColor="text1"/>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7A088"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saskaņā ar valsts budžetu kārtējam gadam</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65627"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izmaiņas kārtējā gadā, salīdzinot ar valsts budžetu kārtējam gadam</w:t>
            </w: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3DA5B"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izmaiņas, salīdzinot ar kārtējo (n) gadu</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C93C7"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DEE0C"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izmaiņas, salīdzinot ar kārtējo (n) gadu</w:t>
            </w:r>
          </w:p>
        </w:tc>
      </w:tr>
      <w:tr w:rsidR="00E74762" w:rsidRPr="002763E8" w14:paraId="501E1696"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8ECB1"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1</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ED170C"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2</w:t>
            </w:r>
          </w:p>
        </w:tc>
        <w:tc>
          <w:tcPr>
            <w:tcW w:w="5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9EB8B"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3</w:t>
            </w:r>
          </w:p>
        </w:tc>
        <w:tc>
          <w:tcPr>
            <w:tcW w:w="7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EE1893"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4</w:t>
            </w:r>
          </w:p>
        </w:tc>
        <w:tc>
          <w:tcPr>
            <w:tcW w:w="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319A98"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5</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046EDF" w14:textId="77777777" w:rsidR="00E74762" w:rsidRPr="002763E8" w:rsidRDefault="00E74762" w:rsidP="000056F9">
            <w:pPr>
              <w:pStyle w:val="tvhtml"/>
              <w:spacing w:before="0" w:beforeAutospacing="0" w:after="0" w:afterAutospacing="0"/>
              <w:jc w:val="center"/>
              <w:rPr>
                <w:color w:val="000000" w:themeColor="text1"/>
              </w:rPr>
            </w:pPr>
            <w:r w:rsidRPr="002763E8">
              <w:rPr>
                <w:color w:val="000000" w:themeColor="text1"/>
              </w:rPr>
              <w:t>6</w:t>
            </w:r>
          </w:p>
        </w:tc>
      </w:tr>
      <w:tr w:rsidR="00E74762" w:rsidRPr="002763E8" w14:paraId="5D4E3DCF"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2D554D76" w14:textId="77777777" w:rsidR="00E74762" w:rsidRPr="002763E8" w:rsidRDefault="00E74762" w:rsidP="000056F9">
            <w:pPr>
              <w:rPr>
                <w:color w:val="000000" w:themeColor="text1"/>
              </w:rPr>
            </w:pPr>
            <w:r w:rsidRPr="002763E8">
              <w:rPr>
                <w:color w:val="000000" w:themeColor="text1"/>
              </w:rPr>
              <w:t>1. Budžeta ieņēmumi: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3C8980F5"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02250FB9"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62D8E214" w14:textId="77777777" w:rsidR="00E74762" w:rsidRPr="002763E8" w:rsidRDefault="00E74762" w:rsidP="00E74762">
            <w:pPr>
              <w:jc w:val="center"/>
              <w:rPr>
                <w:color w:val="000000" w:themeColor="text1"/>
              </w:rPr>
            </w:pPr>
            <w:r w:rsidRPr="002763E8">
              <w:rPr>
                <w:color w:val="000000" w:themeColor="text1"/>
              </w:rPr>
              <w:t>0</w:t>
            </w:r>
          </w:p>
          <w:p w14:paraId="35660A1C"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269EB3C8" w14:textId="77777777" w:rsidR="00E74762" w:rsidRPr="002763E8" w:rsidRDefault="00E74762" w:rsidP="00E74762">
            <w:pPr>
              <w:jc w:val="center"/>
              <w:rPr>
                <w:color w:val="000000" w:themeColor="text1"/>
                <w:highlight w:val="yellow"/>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3163D0CE" w14:textId="77777777" w:rsidR="00E74762" w:rsidRPr="002763E8" w:rsidRDefault="00E74762" w:rsidP="00E74762">
            <w:pPr>
              <w:jc w:val="center"/>
              <w:rPr>
                <w:color w:val="000000" w:themeColor="text1"/>
                <w:highlight w:val="yellow"/>
              </w:rPr>
            </w:pPr>
            <w:r w:rsidRPr="002763E8">
              <w:rPr>
                <w:color w:val="000000" w:themeColor="text1"/>
              </w:rPr>
              <w:t>0</w:t>
            </w:r>
          </w:p>
        </w:tc>
      </w:tr>
      <w:tr w:rsidR="00E74762" w:rsidRPr="002763E8" w14:paraId="52B6039D"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DA61946" w14:textId="77777777" w:rsidR="00E74762" w:rsidRPr="002763E8" w:rsidRDefault="00E74762" w:rsidP="00E74762">
            <w:pPr>
              <w:pStyle w:val="ListParagraph"/>
              <w:numPr>
                <w:ilvl w:val="1"/>
                <w:numId w:val="14"/>
              </w:numPr>
              <w:rPr>
                <w:color w:val="000000" w:themeColor="text1"/>
                <w:sz w:val="24"/>
                <w:szCs w:val="24"/>
              </w:rPr>
            </w:pPr>
            <w:r w:rsidRPr="002763E8">
              <w:rPr>
                <w:color w:val="000000" w:themeColor="text1"/>
                <w:sz w:val="24"/>
                <w:szCs w:val="24"/>
              </w:rPr>
              <w:t>valsts pamatbudžets, tai skaitā ieņēmumi no maksas pakalpojumiem un citi pašu ieņēmumi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08245B90" w14:textId="77777777" w:rsidR="00E74762" w:rsidRPr="002763E8" w:rsidRDefault="00E74762" w:rsidP="00E74762">
            <w:pPr>
              <w:jc w:val="center"/>
              <w:rPr>
                <w:color w:val="000000" w:themeColor="text1"/>
              </w:rPr>
            </w:pPr>
          </w:p>
          <w:p w14:paraId="75D96193"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2F81426F" w14:textId="77777777" w:rsidR="00E74762" w:rsidRPr="002763E8" w:rsidRDefault="00E74762" w:rsidP="00E74762">
            <w:pPr>
              <w:jc w:val="center"/>
              <w:rPr>
                <w:color w:val="000000" w:themeColor="text1"/>
              </w:rPr>
            </w:pPr>
          </w:p>
          <w:p w14:paraId="0CDE63E2"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4AAA9A7C" w14:textId="77777777" w:rsidR="00E74762" w:rsidRPr="002763E8" w:rsidRDefault="00E74762" w:rsidP="00E74762">
            <w:pPr>
              <w:jc w:val="center"/>
              <w:rPr>
                <w:color w:val="000000" w:themeColor="text1"/>
              </w:rPr>
            </w:pPr>
          </w:p>
          <w:p w14:paraId="0DF56888" w14:textId="77777777" w:rsidR="00E74762" w:rsidRPr="002763E8" w:rsidRDefault="00E74762" w:rsidP="00E74762">
            <w:pPr>
              <w:jc w:val="center"/>
              <w:rPr>
                <w:color w:val="000000" w:themeColor="text1"/>
                <w:highlight w:val="yellow"/>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1AB7E8F3" w14:textId="77777777" w:rsidR="00E74762" w:rsidRPr="002763E8" w:rsidRDefault="00E74762" w:rsidP="00E74762">
            <w:pPr>
              <w:jc w:val="center"/>
              <w:rPr>
                <w:color w:val="000000" w:themeColor="text1"/>
              </w:rPr>
            </w:pPr>
          </w:p>
          <w:p w14:paraId="1C7066F4" w14:textId="77777777" w:rsidR="00E74762" w:rsidRPr="002763E8" w:rsidRDefault="00E74762" w:rsidP="00E74762">
            <w:pPr>
              <w:jc w:val="center"/>
              <w:rPr>
                <w:color w:val="000000" w:themeColor="text1"/>
                <w:highlight w:val="yellow"/>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1F2A6CB8" w14:textId="77777777" w:rsidR="00E74762" w:rsidRPr="002763E8" w:rsidRDefault="00E74762" w:rsidP="00E74762">
            <w:pPr>
              <w:jc w:val="center"/>
              <w:rPr>
                <w:color w:val="000000" w:themeColor="text1"/>
              </w:rPr>
            </w:pPr>
          </w:p>
          <w:p w14:paraId="39998CA9" w14:textId="77777777" w:rsidR="00E74762" w:rsidRPr="002763E8" w:rsidRDefault="00E74762" w:rsidP="00E74762">
            <w:pPr>
              <w:jc w:val="center"/>
              <w:rPr>
                <w:color w:val="000000" w:themeColor="text1"/>
                <w:highlight w:val="yellow"/>
              </w:rPr>
            </w:pPr>
            <w:r w:rsidRPr="002763E8">
              <w:rPr>
                <w:color w:val="000000" w:themeColor="text1"/>
              </w:rPr>
              <w:t>0</w:t>
            </w:r>
          </w:p>
        </w:tc>
      </w:tr>
      <w:tr w:rsidR="00E74762" w:rsidRPr="002763E8" w14:paraId="0F6D1A60"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2BB57E2B" w14:textId="77777777" w:rsidR="00E74762" w:rsidRPr="002763E8" w:rsidRDefault="00E74762" w:rsidP="000056F9">
            <w:pPr>
              <w:rPr>
                <w:color w:val="000000" w:themeColor="text1"/>
              </w:rPr>
            </w:pPr>
            <w:r w:rsidRPr="002763E8">
              <w:rPr>
                <w:color w:val="000000" w:themeColor="text1"/>
              </w:rPr>
              <w:t>1.2. valsts speciālais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6CB6132E"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200ACA91"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5909E415" w14:textId="77777777" w:rsidR="00E74762" w:rsidRPr="002763E8" w:rsidRDefault="00E74762" w:rsidP="00E74762">
            <w:pPr>
              <w:jc w:val="center"/>
              <w:rPr>
                <w:color w:val="000000" w:themeColor="text1"/>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B7FD770"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2278CD6A"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1F174248"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799978F" w14:textId="77777777" w:rsidR="00E74762" w:rsidRPr="002763E8" w:rsidRDefault="00E74762" w:rsidP="000056F9">
            <w:pPr>
              <w:rPr>
                <w:color w:val="000000" w:themeColor="text1"/>
              </w:rPr>
            </w:pPr>
            <w:r w:rsidRPr="002763E8">
              <w:rPr>
                <w:color w:val="000000" w:themeColor="text1"/>
              </w:rPr>
              <w:t>1.3. pašvaldību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0A583C1E"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76070557"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0664CE86" w14:textId="77777777" w:rsidR="00E74762" w:rsidRPr="002763E8" w:rsidRDefault="00E74762" w:rsidP="00E74762">
            <w:pPr>
              <w:jc w:val="center"/>
              <w:rPr>
                <w:color w:val="000000" w:themeColor="text1"/>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4539E27"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76E73633"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1DA9EE3C"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tcPr>
          <w:p w14:paraId="5A569274" w14:textId="77777777" w:rsidR="00E74762" w:rsidRPr="002763E8" w:rsidRDefault="00E74762" w:rsidP="000056F9">
            <w:pPr>
              <w:rPr>
                <w:color w:val="000000" w:themeColor="text1"/>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463D653A" w14:textId="77777777" w:rsidR="00E74762" w:rsidRPr="002763E8" w:rsidRDefault="00E74762" w:rsidP="00E74762">
            <w:pPr>
              <w:jc w:val="center"/>
              <w:rPr>
                <w:color w:val="000000" w:themeColor="text1"/>
                <w:highlight w:val="yellow"/>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3C6129ED" w14:textId="77777777" w:rsidR="00E74762" w:rsidRPr="002763E8" w:rsidRDefault="00E74762" w:rsidP="00E74762">
            <w:pPr>
              <w:jc w:val="center"/>
              <w:rPr>
                <w:color w:val="000000" w:themeColor="text1"/>
                <w:highlight w:val="yellow"/>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76924A5A"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53B560E"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30613E90" w14:textId="77777777" w:rsidR="00E74762" w:rsidRPr="002763E8" w:rsidRDefault="00E74762" w:rsidP="00E74762">
            <w:pPr>
              <w:jc w:val="center"/>
              <w:rPr>
                <w:color w:val="000000" w:themeColor="text1"/>
              </w:rPr>
            </w:pPr>
          </w:p>
        </w:tc>
      </w:tr>
      <w:tr w:rsidR="00E74762" w:rsidRPr="002763E8" w14:paraId="672F30E1"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B25380F" w14:textId="77777777" w:rsidR="00E74762" w:rsidRPr="002763E8" w:rsidRDefault="00E74762" w:rsidP="000056F9">
            <w:pPr>
              <w:rPr>
                <w:color w:val="000000" w:themeColor="text1"/>
              </w:rPr>
            </w:pPr>
            <w:r w:rsidRPr="002763E8">
              <w:rPr>
                <w:color w:val="000000" w:themeColor="text1"/>
              </w:rPr>
              <w:t>2. Budžeta izdevumi: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7DE45D21" w14:textId="17E0E4A6" w:rsidR="00E74762" w:rsidRPr="002763E8" w:rsidRDefault="007C1B92" w:rsidP="00E74762">
            <w:pPr>
              <w:jc w:val="center"/>
              <w:rPr>
                <w:color w:val="000000" w:themeColor="text1"/>
              </w:rPr>
            </w:pPr>
            <w:r>
              <w:rPr>
                <w:color w:val="000000" w:themeColor="text1"/>
              </w:rPr>
              <w:t>Nav precīzi aprēķināms</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3CD5B858" w14:textId="29B076B1" w:rsidR="00E74762" w:rsidRPr="002763E8" w:rsidRDefault="007C1B92" w:rsidP="00E74762">
            <w:pPr>
              <w:jc w:val="center"/>
              <w:rPr>
                <w:color w:val="000000" w:themeColor="text1"/>
              </w:rPr>
            </w:pPr>
            <w:r>
              <w:rPr>
                <w:color w:val="000000" w:themeColor="text1"/>
              </w:rPr>
              <w:t>Nav precīzi aprēķināms</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6E0DDD76" w14:textId="71C63B97" w:rsidR="00E74762" w:rsidRPr="002763E8" w:rsidRDefault="007C1B92" w:rsidP="00E74762">
            <w:pPr>
              <w:jc w:val="center"/>
              <w:rPr>
                <w:color w:val="000000" w:themeColor="text1"/>
              </w:rPr>
            </w:pPr>
            <w:r>
              <w:rPr>
                <w:color w:val="000000" w:themeColor="text1"/>
              </w:rPr>
              <w:t>Nav precīzi aprēķināms</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24F5DB60" w14:textId="5CE90125" w:rsidR="00E74762" w:rsidRPr="002763E8" w:rsidRDefault="007C1B92" w:rsidP="00E74762">
            <w:pPr>
              <w:jc w:val="center"/>
              <w:rPr>
                <w:color w:val="000000" w:themeColor="text1"/>
              </w:rPr>
            </w:pPr>
            <w:r>
              <w:rPr>
                <w:color w:val="000000" w:themeColor="text1"/>
              </w:rPr>
              <w:t>Nav precīzi aprēķināms</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06EDADBF" w14:textId="71DDDADB" w:rsidR="00E74762" w:rsidRPr="002763E8" w:rsidRDefault="007C1B92" w:rsidP="00E74762">
            <w:pPr>
              <w:jc w:val="center"/>
              <w:rPr>
                <w:color w:val="000000" w:themeColor="text1"/>
              </w:rPr>
            </w:pPr>
            <w:r>
              <w:rPr>
                <w:color w:val="000000" w:themeColor="text1"/>
              </w:rPr>
              <w:t>Nav precīzi aprēķināms</w:t>
            </w:r>
          </w:p>
        </w:tc>
      </w:tr>
      <w:tr w:rsidR="00E74762" w:rsidRPr="002763E8" w14:paraId="57F23B62" w14:textId="77777777" w:rsidTr="00E74762">
        <w:tblPrEx>
          <w:tblCellMar>
            <w:left w:w="108" w:type="dxa"/>
            <w:right w:w="108" w:type="dxa"/>
          </w:tblCellMar>
        </w:tblPrEx>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873264B" w14:textId="77777777" w:rsidR="00E74762" w:rsidRPr="002763E8" w:rsidRDefault="00E74762" w:rsidP="000056F9">
            <w:pPr>
              <w:rPr>
                <w:color w:val="000000" w:themeColor="text1"/>
              </w:rPr>
            </w:pPr>
            <w:r w:rsidRPr="002763E8">
              <w:rPr>
                <w:color w:val="000000" w:themeColor="text1"/>
              </w:rPr>
              <w:t>2.1. valsts pamatbudžets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1490DD12" w14:textId="6721EB68" w:rsidR="00E74762" w:rsidRPr="002763E8" w:rsidRDefault="007C1B92" w:rsidP="00E74762">
            <w:pPr>
              <w:jc w:val="center"/>
              <w:rPr>
                <w:color w:val="000000" w:themeColor="text1"/>
              </w:rPr>
            </w:pPr>
            <w:r>
              <w:rPr>
                <w:color w:val="000000" w:themeColor="text1"/>
              </w:rPr>
              <w:t>Nav precīzi aprēķināms</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47DBC81" w14:textId="1B50EBB2" w:rsidR="00E74762" w:rsidRPr="002763E8" w:rsidRDefault="007C1B92" w:rsidP="00E74762">
            <w:pPr>
              <w:jc w:val="center"/>
              <w:rPr>
                <w:color w:val="000000" w:themeColor="text1"/>
              </w:rPr>
            </w:pPr>
            <w:r>
              <w:rPr>
                <w:color w:val="000000" w:themeColor="text1"/>
              </w:rPr>
              <w:t>Nav precīzi aprēķināms</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36B566D9" w14:textId="0A6EC942" w:rsidR="00E74762" w:rsidRPr="002763E8" w:rsidRDefault="007C1B92" w:rsidP="00E74762">
            <w:pPr>
              <w:jc w:val="center"/>
              <w:rPr>
                <w:color w:val="000000" w:themeColor="text1"/>
              </w:rPr>
            </w:pPr>
            <w:r>
              <w:rPr>
                <w:color w:val="000000" w:themeColor="text1"/>
              </w:rPr>
              <w:t>Nav precīzi aprēķināms</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68375F55" w14:textId="572BA84A" w:rsidR="00E74762" w:rsidRPr="002763E8" w:rsidRDefault="007C1B92" w:rsidP="00E74762">
            <w:pPr>
              <w:jc w:val="center"/>
              <w:rPr>
                <w:color w:val="000000" w:themeColor="text1"/>
              </w:rPr>
            </w:pPr>
            <w:r>
              <w:rPr>
                <w:color w:val="000000" w:themeColor="text1"/>
              </w:rPr>
              <w:t>Nav precīzi aprēķināms</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2F512B2D" w14:textId="40E40B61" w:rsidR="00E74762" w:rsidRPr="002763E8" w:rsidRDefault="007C1B92" w:rsidP="00E74762">
            <w:pPr>
              <w:jc w:val="center"/>
              <w:rPr>
                <w:color w:val="000000" w:themeColor="text1"/>
              </w:rPr>
            </w:pPr>
            <w:r>
              <w:rPr>
                <w:color w:val="000000" w:themeColor="text1"/>
              </w:rPr>
              <w:t>Nav precīzi aprēķināms</w:t>
            </w:r>
          </w:p>
        </w:tc>
      </w:tr>
      <w:tr w:rsidR="00E74762" w:rsidRPr="002763E8" w14:paraId="7B14D67C"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02DCF6DF" w14:textId="77777777" w:rsidR="00E74762" w:rsidRPr="002763E8" w:rsidRDefault="00E74762" w:rsidP="000056F9">
            <w:pPr>
              <w:rPr>
                <w:color w:val="000000" w:themeColor="text1"/>
              </w:rPr>
            </w:pPr>
            <w:r w:rsidRPr="002763E8">
              <w:rPr>
                <w:color w:val="000000" w:themeColor="text1"/>
              </w:rPr>
              <w:t>2.2. valsts speciālais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71F77B70"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3E475AE5"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5276E0A0" w14:textId="77777777" w:rsidR="00E74762" w:rsidRPr="002763E8" w:rsidRDefault="00E74762" w:rsidP="00E74762">
            <w:pPr>
              <w:jc w:val="center"/>
              <w:rPr>
                <w:color w:val="000000" w:themeColor="text1"/>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3594475F"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1482DAE9"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19F97E66"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9755BF0" w14:textId="77777777" w:rsidR="00E74762" w:rsidRPr="002763E8" w:rsidRDefault="00E74762" w:rsidP="000056F9">
            <w:pPr>
              <w:rPr>
                <w:color w:val="000000" w:themeColor="text1"/>
              </w:rPr>
            </w:pPr>
            <w:r w:rsidRPr="002763E8">
              <w:rPr>
                <w:color w:val="000000" w:themeColor="text1"/>
              </w:rPr>
              <w:t>2.3. pašvaldību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565500FE"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6140550"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191C9D44" w14:textId="77777777" w:rsidR="00E74762" w:rsidRPr="002763E8" w:rsidRDefault="00E74762" w:rsidP="00E74762">
            <w:pPr>
              <w:jc w:val="center"/>
              <w:rPr>
                <w:color w:val="000000" w:themeColor="text1"/>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79C9ECF3"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52942FC5"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29C72587"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372BCC4" w14:textId="77777777" w:rsidR="00E74762" w:rsidRPr="002763E8" w:rsidRDefault="00E74762" w:rsidP="000056F9">
            <w:pPr>
              <w:rPr>
                <w:color w:val="000000" w:themeColor="text1"/>
              </w:rPr>
            </w:pPr>
            <w:r w:rsidRPr="002763E8">
              <w:rPr>
                <w:color w:val="000000" w:themeColor="text1"/>
              </w:rPr>
              <w:t>3. Finansiālā ietekme:</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33C0570A"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74D7D812"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178928A5" w14:textId="77777777" w:rsidR="00E74762" w:rsidRPr="002763E8" w:rsidRDefault="00E74762" w:rsidP="00E74762">
            <w:pPr>
              <w:jc w:val="center"/>
              <w:rPr>
                <w:color w:val="000000" w:themeColor="text1"/>
              </w:rPr>
            </w:pPr>
            <w:r w:rsidRPr="002763E8">
              <w:rPr>
                <w:bCs/>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03E91065"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1F26ACFD"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44863D25"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57F767AF" w14:textId="77777777" w:rsidR="00E74762" w:rsidRPr="002763E8" w:rsidRDefault="00E74762" w:rsidP="000056F9">
            <w:pPr>
              <w:rPr>
                <w:color w:val="000000" w:themeColor="text1"/>
              </w:rPr>
            </w:pPr>
            <w:r w:rsidRPr="002763E8">
              <w:rPr>
                <w:color w:val="000000" w:themeColor="text1"/>
              </w:rPr>
              <w:t>3.1. valsts pamatbudžets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495194E4"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59C9D361"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2EBF274D" w14:textId="77777777" w:rsidR="00E74762" w:rsidRPr="002763E8" w:rsidRDefault="00E74762" w:rsidP="00E74762">
            <w:pPr>
              <w:jc w:val="center"/>
              <w:rPr>
                <w:color w:val="000000" w:themeColor="text1"/>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7653807F"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7C758BEF"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330F1D40"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CE48EE1" w14:textId="77777777" w:rsidR="00E74762" w:rsidRPr="002763E8" w:rsidRDefault="00E74762" w:rsidP="000056F9">
            <w:pPr>
              <w:rPr>
                <w:color w:val="000000" w:themeColor="text1"/>
              </w:rPr>
            </w:pPr>
            <w:r w:rsidRPr="002763E8">
              <w:rPr>
                <w:color w:val="000000" w:themeColor="text1"/>
              </w:rPr>
              <w:t>3.2. speciālais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174A30CC"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43EBAAF"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458C845F" w14:textId="77777777" w:rsidR="00E74762" w:rsidRPr="002763E8" w:rsidRDefault="00E74762" w:rsidP="00E74762">
            <w:pPr>
              <w:jc w:val="center"/>
              <w:rPr>
                <w:color w:val="000000" w:themeColor="text1"/>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3ABEFE37"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4C2B4551"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59D26D9A"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5E1FE82" w14:textId="77777777" w:rsidR="00E74762" w:rsidRPr="002763E8" w:rsidRDefault="00E74762" w:rsidP="000056F9">
            <w:pPr>
              <w:rPr>
                <w:color w:val="000000" w:themeColor="text1"/>
              </w:rPr>
            </w:pPr>
            <w:r w:rsidRPr="002763E8">
              <w:rPr>
                <w:color w:val="000000" w:themeColor="text1"/>
              </w:rPr>
              <w:t>3.3. pašvaldību budžets</w:t>
            </w:r>
          </w:p>
        </w:tc>
        <w:tc>
          <w:tcPr>
            <w:tcW w:w="626" w:type="pct"/>
            <w:tcBorders>
              <w:top w:val="outset" w:sz="6" w:space="0" w:color="414142"/>
              <w:left w:val="outset" w:sz="6" w:space="0" w:color="414142"/>
              <w:bottom w:val="outset" w:sz="6" w:space="0" w:color="414142"/>
              <w:right w:val="outset" w:sz="6" w:space="0" w:color="414142"/>
            </w:tcBorders>
            <w:shd w:val="clear" w:color="auto" w:fill="FFFFFF"/>
          </w:tcPr>
          <w:p w14:paraId="29EDAE66" w14:textId="77777777" w:rsidR="00E74762" w:rsidRPr="002763E8" w:rsidRDefault="00E74762" w:rsidP="00E74762">
            <w:pPr>
              <w:jc w:val="center"/>
              <w:rPr>
                <w:color w:val="000000" w:themeColor="text1"/>
              </w:rPr>
            </w:pPr>
            <w:r w:rsidRPr="002763E8">
              <w:rPr>
                <w:color w:val="000000" w:themeColor="text1"/>
              </w:rPr>
              <w:t>0</w:t>
            </w:r>
          </w:p>
        </w:tc>
        <w:tc>
          <w:tcPr>
            <w:tcW w:w="530" w:type="pct"/>
            <w:tcBorders>
              <w:top w:val="outset" w:sz="6" w:space="0" w:color="414142"/>
              <w:left w:val="outset" w:sz="6" w:space="0" w:color="414142"/>
              <w:bottom w:val="outset" w:sz="6" w:space="0" w:color="414142"/>
              <w:right w:val="outset" w:sz="6" w:space="0" w:color="414142"/>
            </w:tcBorders>
            <w:shd w:val="clear" w:color="auto" w:fill="FFFFFF"/>
          </w:tcPr>
          <w:p w14:paraId="1E484B7C" w14:textId="77777777" w:rsidR="00E74762" w:rsidRPr="002763E8" w:rsidRDefault="00E74762" w:rsidP="00E74762">
            <w:pPr>
              <w:jc w:val="center"/>
              <w:rPr>
                <w:color w:val="000000" w:themeColor="text1"/>
              </w:rPr>
            </w:pPr>
            <w:r w:rsidRPr="002763E8">
              <w:rPr>
                <w:color w:val="000000" w:themeColor="text1"/>
              </w:rPr>
              <w:t>0</w:t>
            </w:r>
          </w:p>
        </w:tc>
        <w:tc>
          <w:tcPr>
            <w:tcW w:w="743" w:type="pct"/>
            <w:tcBorders>
              <w:top w:val="outset" w:sz="6" w:space="0" w:color="414142"/>
              <w:left w:val="outset" w:sz="6" w:space="0" w:color="414142"/>
              <w:bottom w:val="outset" w:sz="6" w:space="0" w:color="414142"/>
              <w:right w:val="outset" w:sz="6" w:space="0" w:color="414142"/>
            </w:tcBorders>
            <w:shd w:val="clear" w:color="auto" w:fill="FFFFFF"/>
          </w:tcPr>
          <w:p w14:paraId="56849203" w14:textId="77777777" w:rsidR="00E74762" w:rsidRPr="002763E8" w:rsidRDefault="00E74762" w:rsidP="00E74762">
            <w:pPr>
              <w:jc w:val="center"/>
              <w:rPr>
                <w:color w:val="000000" w:themeColor="text1"/>
              </w:rPr>
            </w:pPr>
            <w:r w:rsidRPr="002763E8">
              <w:rPr>
                <w:color w:val="000000" w:themeColor="text1"/>
              </w:rPr>
              <w:t>0</w:t>
            </w:r>
          </w:p>
        </w:tc>
        <w:tc>
          <w:tcPr>
            <w:tcW w:w="752" w:type="pct"/>
            <w:tcBorders>
              <w:top w:val="outset" w:sz="6" w:space="0" w:color="414142"/>
              <w:left w:val="outset" w:sz="6" w:space="0" w:color="414142"/>
              <w:bottom w:val="outset" w:sz="6" w:space="0" w:color="414142"/>
              <w:right w:val="outset" w:sz="6" w:space="0" w:color="414142"/>
            </w:tcBorders>
            <w:shd w:val="clear" w:color="auto" w:fill="FFFFFF"/>
          </w:tcPr>
          <w:p w14:paraId="36E25F3F" w14:textId="77777777" w:rsidR="00E74762" w:rsidRPr="002763E8" w:rsidRDefault="00E74762" w:rsidP="00E74762">
            <w:pPr>
              <w:jc w:val="center"/>
              <w:rPr>
                <w:color w:val="000000" w:themeColor="text1"/>
              </w:rPr>
            </w:pPr>
            <w:r w:rsidRPr="002763E8">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256CCBC8" w14:textId="77777777" w:rsidR="00E74762" w:rsidRPr="002763E8" w:rsidRDefault="00E74762" w:rsidP="00E74762">
            <w:pPr>
              <w:jc w:val="center"/>
              <w:rPr>
                <w:color w:val="000000" w:themeColor="text1"/>
              </w:rPr>
            </w:pPr>
            <w:r w:rsidRPr="002763E8">
              <w:rPr>
                <w:color w:val="000000" w:themeColor="text1"/>
              </w:rPr>
              <w:t>0</w:t>
            </w:r>
          </w:p>
        </w:tc>
      </w:tr>
      <w:tr w:rsidR="00E74762" w:rsidRPr="002763E8" w14:paraId="64896E65" w14:textId="77777777" w:rsidTr="00E74762">
        <w:tc>
          <w:tcPr>
            <w:tcW w:w="172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8C3A4C1" w14:textId="77777777" w:rsidR="00E74762" w:rsidRPr="002763E8" w:rsidRDefault="00E74762" w:rsidP="000056F9">
            <w:pPr>
              <w:rPr>
                <w:color w:val="000000" w:themeColor="text1"/>
              </w:rPr>
            </w:pPr>
            <w:r w:rsidRPr="002763E8">
              <w:rPr>
                <w:color w:val="000000" w:themeColor="text1"/>
              </w:rPr>
              <w:t>4. Finanšu līdzekļi papildu izdevumu finansēšanai (kompensējošu izdevumu samazinājumu norāda ar "+" zīmi)</w:t>
            </w:r>
          </w:p>
        </w:tc>
        <w:tc>
          <w:tcPr>
            <w:tcW w:w="62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4946AF7" w14:textId="77777777" w:rsidR="00E74762" w:rsidRPr="002763E8" w:rsidRDefault="00E74762" w:rsidP="00E74762">
            <w:pPr>
              <w:pStyle w:val="tvhtml"/>
              <w:spacing w:before="0" w:beforeAutospacing="0" w:after="0" w:afterAutospacing="0"/>
              <w:jc w:val="center"/>
              <w:rPr>
                <w:color w:val="000000" w:themeColor="text1"/>
              </w:rPr>
            </w:pPr>
            <w:r w:rsidRPr="002763E8">
              <w:rPr>
                <w:color w:val="000000" w:themeColor="text1"/>
              </w:rPr>
              <w:t>X</w:t>
            </w: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4CD83A1B" w14:textId="77777777" w:rsidR="00E74762" w:rsidRPr="002763E8"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1E39F660"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30AD8F2D"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0D5A8412" w14:textId="77777777" w:rsidR="00E74762" w:rsidRPr="002763E8" w:rsidRDefault="00E74762" w:rsidP="00E74762">
            <w:pPr>
              <w:jc w:val="center"/>
              <w:rPr>
                <w:color w:val="000000" w:themeColor="text1"/>
              </w:rPr>
            </w:pPr>
          </w:p>
        </w:tc>
      </w:tr>
      <w:tr w:rsidR="00E74762" w:rsidRPr="002763E8" w14:paraId="50E9F0DC"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CF9F4" w14:textId="77777777" w:rsidR="00E74762" w:rsidRPr="002763E8" w:rsidRDefault="00E74762" w:rsidP="000056F9">
            <w:pPr>
              <w:rPr>
                <w:color w:val="000000" w:themeColor="text1"/>
              </w:rPr>
            </w:pP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DB047" w14:textId="77777777" w:rsidR="00E74762" w:rsidRPr="002763E8"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7D9054D4" w14:textId="77777777" w:rsidR="00E74762" w:rsidRPr="002763E8"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25133C55"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6DFE5155"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50831C85" w14:textId="77777777" w:rsidR="00E74762" w:rsidRPr="002763E8" w:rsidRDefault="00E74762" w:rsidP="00E74762">
            <w:pPr>
              <w:jc w:val="center"/>
              <w:rPr>
                <w:color w:val="000000" w:themeColor="text1"/>
              </w:rPr>
            </w:pPr>
          </w:p>
        </w:tc>
      </w:tr>
      <w:tr w:rsidR="00E74762" w:rsidRPr="002763E8" w14:paraId="44C7D412" w14:textId="77777777" w:rsidTr="00E74762">
        <w:tc>
          <w:tcPr>
            <w:tcW w:w="172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9F9E5" w14:textId="77777777" w:rsidR="00E74762" w:rsidRPr="002763E8" w:rsidRDefault="00E74762" w:rsidP="000056F9">
            <w:pPr>
              <w:rPr>
                <w:color w:val="000000" w:themeColor="text1"/>
              </w:rPr>
            </w:pP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49518" w14:textId="77777777" w:rsidR="00E74762" w:rsidRPr="002763E8"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3D587776" w14:textId="77777777" w:rsidR="00E74762" w:rsidRPr="002763E8"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05EBB71F"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3EDCDE27"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3A43595B" w14:textId="77777777" w:rsidR="00E74762" w:rsidRPr="002763E8" w:rsidRDefault="00E74762" w:rsidP="00E74762">
            <w:pPr>
              <w:jc w:val="center"/>
              <w:rPr>
                <w:color w:val="000000" w:themeColor="text1"/>
              </w:rPr>
            </w:pPr>
          </w:p>
        </w:tc>
      </w:tr>
      <w:tr w:rsidR="00E74762" w:rsidRPr="002763E8" w14:paraId="6373B022"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411F927A" w14:textId="77777777" w:rsidR="00E74762" w:rsidRPr="002763E8" w:rsidRDefault="00E74762" w:rsidP="000056F9">
            <w:pPr>
              <w:rPr>
                <w:color w:val="000000" w:themeColor="text1"/>
              </w:rPr>
            </w:pPr>
            <w:r w:rsidRPr="002763E8">
              <w:rPr>
                <w:color w:val="000000" w:themeColor="text1"/>
              </w:rPr>
              <w:t>5. Precizēta finansiālā ietekme:</w:t>
            </w:r>
          </w:p>
        </w:tc>
        <w:tc>
          <w:tcPr>
            <w:tcW w:w="62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3432749" w14:textId="77777777" w:rsidR="00E74762" w:rsidRPr="002763E8" w:rsidRDefault="00E74762" w:rsidP="00E74762">
            <w:pPr>
              <w:pStyle w:val="tvhtml"/>
              <w:spacing w:before="0" w:beforeAutospacing="0" w:after="0" w:afterAutospacing="0"/>
              <w:jc w:val="center"/>
              <w:rPr>
                <w:color w:val="000000" w:themeColor="text1"/>
              </w:rPr>
            </w:pPr>
            <w:r w:rsidRPr="002763E8">
              <w:rPr>
                <w:color w:val="000000" w:themeColor="text1"/>
              </w:rPr>
              <w:t>X</w:t>
            </w: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72471AF8" w14:textId="77777777" w:rsidR="00E74762" w:rsidRPr="002763E8"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2CE29B40"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0C6AA32C"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720275F2" w14:textId="77777777" w:rsidR="00E74762" w:rsidRPr="002763E8" w:rsidRDefault="00E74762" w:rsidP="00E74762">
            <w:pPr>
              <w:jc w:val="center"/>
              <w:rPr>
                <w:color w:val="000000" w:themeColor="text1"/>
              </w:rPr>
            </w:pPr>
          </w:p>
        </w:tc>
      </w:tr>
      <w:tr w:rsidR="00E74762" w:rsidRPr="002763E8" w14:paraId="6CC5F2A5"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683905DB" w14:textId="77777777" w:rsidR="00E74762" w:rsidRPr="002763E8" w:rsidRDefault="00E74762" w:rsidP="000056F9">
            <w:pPr>
              <w:rPr>
                <w:color w:val="000000" w:themeColor="text1"/>
              </w:rPr>
            </w:pPr>
            <w:r w:rsidRPr="002763E8">
              <w:rPr>
                <w:color w:val="000000" w:themeColor="text1"/>
              </w:rPr>
              <w:t>5.1. valsts pamatbudžets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285E9" w14:textId="77777777" w:rsidR="00E74762" w:rsidRPr="002763E8"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6BF8364D" w14:textId="77777777" w:rsidR="00E74762" w:rsidRPr="002763E8"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2C480F27"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637A034A"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5ADD0998" w14:textId="77777777" w:rsidR="00E74762" w:rsidRPr="002763E8" w:rsidRDefault="00E74762" w:rsidP="00E74762">
            <w:pPr>
              <w:jc w:val="center"/>
              <w:rPr>
                <w:color w:val="000000" w:themeColor="text1"/>
              </w:rPr>
            </w:pPr>
          </w:p>
        </w:tc>
      </w:tr>
      <w:tr w:rsidR="00E74762" w:rsidRPr="002763E8" w14:paraId="54043597"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00FA8966" w14:textId="77777777" w:rsidR="00E74762" w:rsidRPr="002763E8" w:rsidRDefault="00E74762" w:rsidP="000056F9">
            <w:pPr>
              <w:rPr>
                <w:color w:val="000000" w:themeColor="text1"/>
              </w:rPr>
            </w:pPr>
            <w:r w:rsidRPr="002763E8">
              <w:rPr>
                <w:color w:val="000000" w:themeColor="text1"/>
              </w:rPr>
              <w:t>5.2. speciālais 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5BF6F" w14:textId="77777777" w:rsidR="00E74762" w:rsidRPr="002763E8"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0E3DD3B4" w14:textId="77777777" w:rsidR="00E74762" w:rsidRPr="002763E8"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74EF5F37"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1E24B9BB"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01F5F6A8" w14:textId="77777777" w:rsidR="00E74762" w:rsidRPr="002763E8" w:rsidRDefault="00E74762" w:rsidP="00E74762">
            <w:pPr>
              <w:jc w:val="center"/>
              <w:rPr>
                <w:color w:val="000000" w:themeColor="text1"/>
              </w:rPr>
            </w:pPr>
          </w:p>
        </w:tc>
      </w:tr>
      <w:tr w:rsidR="00E74762" w:rsidRPr="002763E8" w14:paraId="0EEC4680"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4088C24A" w14:textId="77777777" w:rsidR="00E74762" w:rsidRPr="002763E8" w:rsidRDefault="00E74762" w:rsidP="000056F9">
            <w:pPr>
              <w:rPr>
                <w:color w:val="000000" w:themeColor="text1"/>
              </w:rPr>
            </w:pPr>
            <w:r w:rsidRPr="002763E8">
              <w:rPr>
                <w:color w:val="000000" w:themeColor="text1"/>
              </w:rPr>
              <w:t>5.3. pašvaldību 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278F5" w14:textId="77777777" w:rsidR="00E74762" w:rsidRPr="002763E8" w:rsidRDefault="00E74762" w:rsidP="00E74762">
            <w:pPr>
              <w:jc w:val="center"/>
              <w:rPr>
                <w:color w:val="000000" w:themeColor="text1"/>
              </w:rPr>
            </w:pPr>
          </w:p>
        </w:tc>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6337344E" w14:textId="77777777" w:rsidR="00E74762" w:rsidRPr="002763E8" w:rsidRDefault="00E74762" w:rsidP="00E74762">
            <w:pPr>
              <w:jc w:val="center"/>
              <w:rPr>
                <w:color w:val="000000" w:themeColor="text1"/>
              </w:rPr>
            </w:pP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14:paraId="57DE845A" w14:textId="77777777" w:rsidR="00E74762" w:rsidRPr="002763E8" w:rsidRDefault="00E74762" w:rsidP="00E74762">
            <w:pPr>
              <w:jc w:val="center"/>
              <w:rPr>
                <w:color w:val="000000" w:themeColor="text1"/>
              </w:rPr>
            </w:pPr>
          </w:p>
        </w:tc>
        <w:tc>
          <w:tcPr>
            <w:tcW w:w="752" w:type="pct"/>
            <w:tcBorders>
              <w:top w:val="outset" w:sz="6" w:space="0" w:color="414142"/>
              <w:left w:val="outset" w:sz="6" w:space="0" w:color="414142"/>
              <w:bottom w:val="outset" w:sz="6" w:space="0" w:color="414142"/>
              <w:right w:val="outset" w:sz="6" w:space="0" w:color="414142"/>
            </w:tcBorders>
            <w:shd w:val="clear" w:color="auto" w:fill="FFFFFF"/>
            <w:hideMark/>
          </w:tcPr>
          <w:p w14:paraId="0E885FBE" w14:textId="77777777" w:rsidR="00E74762" w:rsidRPr="002763E8" w:rsidRDefault="00E74762" w:rsidP="00E74762">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shd w:val="clear" w:color="auto" w:fill="FFFFFF"/>
            <w:hideMark/>
          </w:tcPr>
          <w:p w14:paraId="20CDB6D8" w14:textId="77777777" w:rsidR="00E74762" w:rsidRPr="002763E8" w:rsidRDefault="00E74762" w:rsidP="00E74762">
            <w:pPr>
              <w:jc w:val="center"/>
              <w:rPr>
                <w:color w:val="000000" w:themeColor="text1"/>
              </w:rPr>
            </w:pPr>
          </w:p>
        </w:tc>
      </w:tr>
      <w:tr w:rsidR="00E74762" w:rsidRPr="002763E8" w14:paraId="636F885C"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195961A9" w14:textId="77777777" w:rsidR="00E74762" w:rsidRPr="002763E8" w:rsidRDefault="00E74762" w:rsidP="000056F9">
            <w:pPr>
              <w:rPr>
                <w:color w:val="000000" w:themeColor="text1"/>
              </w:rPr>
            </w:pPr>
            <w:r w:rsidRPr="002763E8">
              <w:rPr>
                <w:color w:val="000000" w:themeColor="text1"/>
              </w:rPr>
              <w:t>6. Detalizēts ieņēmumu un izdevumu aprēķins (ja nepieciešams, detalizētu ieņēmumu un izdevumu aprēķinu var pievienot anotācijas pielikumā):</w:t>
            </w:r>
          </w:p>
        </w:tc>
        <w:tc>
          <w:tcPr>
            <w:tcW w:w="328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045CF9" w14:textId="77777777" w:rsidR="00E74762" w:rsidRPr="002763E8" w:rsidRDefault="00E74762" w:rsidP="000056F9">
            <w:pPr>
              <w:rPr>
                <w:color w:val="000000" w:themeColor="text1"/>
              </w:rPr>
            </w:pPr>
          </w:p>
        </w:tc>
      </w:tr>
      <w:tr w:rsidR="00E74762" w:rsidRPr="002763E8" w14:paraId="7FF8455E"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48CF0B56" w14:textId="77777777" w:rsidR="00E74762" w:rsidRPr="002763E8" w:rsidRDefault="00E74762" w:rsidP="000056F9">
            <w:pPr>
              <w:rPr>
                <w:color w:val="000000" w:themeColor="text1"/>
              </w:rPr>
            </w:pPr>
            <w:r w:rsidRPr="002763E8">
              <w:rPr>
                <w:color w:val="000000" w:themeColor="text1"/>
              </w:rPr>
              <w:t>6.1. detalizēts ieņēmumu aprēķins</w:t>
            </w:r>
          </w:p>
        </w:tc>
        <w:tc>
          <w:tcPr>
            <w:tcW w:w="3280"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2BAE2" w14:textId="77777777" w:rsidR="00E74762" w:rsidRPr="002763E8" w:rsidRDefault="00E74762" w:rsidP="000056F9">
            <w:pPr>
              <w:rPr>
                <w:color w:val="000000" w:themeColor="text1"/>
              </w:rPr>
            </w:pPr>
          </w:p>
        </w:tc>
      </w:tr>
      <w:tr w:rsidR="00E74762" w:rsidRPr="002763E8" w14:paraId="4441B8E2" w14:textId="77777777" w:rsidTr="00E74762">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728A1C1C" w14:textId="77777777" w:rsidR="00E74762" w:rsidRPr="002763E8" w:rsidRDefault="00E74762" w:rsidP="000056F9">
            <w:pPr>
              <w:rPr>
                <w:color w:val="000000" w:themeColor="text1"/>
              </w:rPr>
            </w:pPr>
            <w:r w:rsidRPr="002763E8">
              <w:rPr>
                <w:color w:val="000000" w:themeColor="text1"/>
              </w:rPr>
              <w:t>6.2. detalizēts izdevumu aprēķins</w:t>
            </w:r>
          </w:p>
        </w:tc>
        <w:tc>
          <w:tcPr>
            <w:tcW w:w="3280"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54CD8" w14:textId="77777777" w:rsidR="00E74762" w:rsidRPr="002763E8" w:rsidRDefault="00E74762" w:rsidP="000056F9">
            <w:pPr>
              <w:rPr>
                <w:color w:val="000000" w:themeColor="text1"/>
              </w:rPr>
            </w:pPr>
          </w:p>
        </w:tc>
      </w:tr>
      <w:tr w:rsidR="00E74762" w:rsidRPr="002763E8" w14:paraId="75EA8323" w14:textId="77777777" w:rsidTr="00E74762">
        <w:trPr>
          <w:trHeight w:val="555"/>
        </w:trPr>
        <w:tc>
          <w:tcPr>
            <w:tcW w:w="1720" w:type="pct"/>
            <w:tcBorders>
              <w:top w:val="outset" w:sz="6" w:space="0" w:color="414142"/>
              <w:left w:val="outset" w:sz="6" w:space="0" w:color="414142"/>
              <w:bottom w:val="outset" w:sz="6" w:space="0" w:color="414142"/>
              <w:right w:val="outset" w:sz="6" w:space="0" w:color="414142"/>
            </w:tcBorders>
            <w:shd w:val="clear" w:color="auto" w:fill="FFFFFF"/>
            <w:hideMark/>
          </w:tcPr>
          <w:p w14:paraId="285E9BB5" w14:textId="77777777" w:rsidR="00E74762" w:rsidRPr="002763E8" w:rsidRDefault="00E74762" w:rsidP="000056F9">
            <w:pPr>
              <w:rPr>
                <w:color w:val="000000" w:themeColor="text1"/>
              </w:rPr>
            </w:pPr>
            <w:r w:rsidRPr="002763E8">
              <w:rPr>
                <w:color w:val="000000" w:themeColor="text1"/>
              </w:rPr>
              <w:t>7. Cita informācija</w:t>
            </w:r>
          </w:p>
        </w:tc>
        <w:tc>
          <w:tcPr>
            <w:tcW w:w="328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0882DEB" w14:textId="2551C314" w:rsidR="00DC3064" w:rsidRPr="002763E8" w:rsidRDefault="00DC3064" w:rsidP="00DC3064">
            <w:pPr>
              <w:jc w:val="both"/>
              <w:rPr>
                <w:color w:val="000000" w:themeColor="text1"/>
              </w:rPr>
            </w:pPr>
            <w:r w:rsidRPr="002763E8">
              <w:rPr>
                <w:color w:val="000000" w:themeColor="text1"/>
              </w:rPr>
              <w:t>Tā kā pašlaik nav iespējams noteikt konkrētu komersantu skaitu, kuriem, aprēķinot IRR un konstatējot, ka IRR ir lielāks par 9%, tiks piemērots cenas diferencēšanas koeficients un</w:t>
            </w:r>
            <w:r w:rsidR="001C4F02" w:rsidRPr="002763E8">
              <w:rPr>
                <w:color w:val="000000" w:themeColor="text1"/>
              </w:rPr>
              <w:t>,</w:t>
            </w:r>
            <w:r w:rsidRPr="002763E8">
              <w:rPr>
                <w:color w:val="000000" w:themeColor="text1"/>
              </w:rPr>
              <w:t xml:space="preserve"> tādejādi tiks samazināta elektroenerģijas cena, par kādu publiskais tirgotājs iepirks elektroenerģiju no konkrētā komersanta. Papildus tam IRR komersantiem tiks aprēķināts tikai pēc pirmajiem pilnajiem nostrādātajiem kalendārajiem gadiem no atbalsta saņemšanas brīža. Līdz ar to konkrēta fiskālā ietekme no pārkompensācijas </w:t>
            </w:r>
            <w:r w:rsidR="007C1B92">
              <w:rPr>
                <w:color w:val="000000" w:themeColor="text1"/>
              </w:rPr>
              <w:t xml:space="preserve">novēršanas </w:t>
            </w:r>
            <w:r w:rsidRPr="002763E8">
              <w:rPr>
                <w:color w:val="000000" w:themeColor="text1"/>
              </w:rPr>
              <w:t>mehānisma ieviešanas pašlaik nav nosakāma.</w:t>
            </w:r>
          </w:p>
          <w:p w14:paraId="0D5F8A09" w14:textId="77777777" w:rsidR="00DC3064" w:rsidRDefault="00DC3064" w:rsidP="001C4F02">
            <w:pPr>
              <w:jc w:val="both"/>
              <w:rPr>
                <w:color w:val="000000" w:themeColor="text1"/>
              </w:rPr>
            </w:pPr>
            <w:r w:rsidRPr="002763E8">
              <w:rPr>
                <w:color w:val="000000" w:themeColor="text1"/>
              </w:rPr>
              <w:t xml:space="preserve">Ekonomikas ministrija, sagatavojot kārtējo konceptuālo ziņojumu (saskaņā ar Ministru kabineta 2015.gada 17.septembra </w:t>
            </w:r>
            <w:r w:rsidRPr="00187D7E">
              <w:rPr>
                <w:color w:val="000000" w:themeColor="text1"/>
              </w:rPr>
              <w:t xml:space="preserve">rīkojumu Nr. </w:t>
            </w:r>
            <w:r w:rsidRPr="00187D7E">
              <w:rPr>
                <w:color w:val="000000" w:themeColor="text1"/>
              </w:rPr>
              <w:lastRenderedPageBreak/>
              <w:t>567</w:t>
            </w:r>
            <w:r w:rsidRPr="00187D7E">
              <w:rPr>
                <w:rStyle w:val="FootnoteReference"/>
                <w:color w:val="000000" w:themeColor="text1"/>
              </w:rPr>
              <w:footnoteReference w:id="5"/>
            </w:r>
            <w:r w:rsidRPr="00187D7E">
              <w:rPr>
                <w:color w:val="000000" w:themeColor="text1"/>
              </w:rPr>
              <w:t xml:space="preserve">), atjauninās prognozes par valsts budžeta dotācijas apmēru, lai obligātā iepirkuma komponenti saglabātu 26,79 </w:t>
            </w:r>
            <w:r w:rsidR="001C4F02" w:rsidRPr="000C71F9">
              <w:rPr>
                <w:color w:val="000000" w:themeColor="text1"/>
              </w:rPr>
              <w:t>euro</w:t>
            </w:r>
            <w:r w:rsidRPr="000C71F9">
              <w:rPr>
                <w:color w:val="000000" w:themeColor="text1"/>
              </w:rPr>
              <w:t>/</w:t>
            </w:r>
            <w:r w:rsidRPr="00187D7E">
              <w:rPr>
                <w:color w:val="000000" w:themeColor="text1"/>
              </w:rPr>
              <w:t>MWh apmērā kā to paredz Ministru kabineta 2015.gada 17.septembra rīkojums Nr. 567</w:t>
            </w:r>
            <w:r w:rsidR="006B45D8" w:rsidRPr="00BF4E15">
              <w:rPr>
                <w:color w:val="000000" w:themeColor="text1"/>
              </w:rPr>
              <w:t>,</w:t>
            </w:r>
            <w:r w:rsidRPr="00BF4E15">
              <w:rPr>
                <w:color w:val="000000" w:themeColor="text1"/>
              </w:rPr>
              <w:t xml:space="preserve"> </w:t>
            </w:r>
            <w:r w:rsidR="006B45D8" w:rsidRPr="00BF4E15">
              <w:rPr>
                <w:color w:val="000000" w:themeColor="text1"/>
              </w:rPr>
              <w:t xml:space="preserve">Deklarācija par </w:t>
            </w:r>
            <w:r w:rsidRPr="00BF4E15">
              <w:rPr>
                <w:color w:val="000000" w:themeColor="text1"/>
              </w:rPr>
              <w:t xml:space="preserve">Māra </w:t>
            </w:r>
            <w:r w:rsidRPr="00187D7E">
              <w:rPr>
                <w:color w:val="000000" w:themeColor="text1"/>
              </w:rPr>
              <w:t>Kučinska vadītā M</w:t>
            </w:r>
            <w:r w:rsidR="006B45D8" w:rsidRPr="00187D7E">
              <w:rPr>
                <w:color w:val="000000" w:themeColor="text1"/>
              </w:rPr>
              <w:t>inistru kabineta iecerēto darbību</w:t>
            </w:r>
            <w:r w:rsidR="006B45D8" w:rsidRPr="00187D7E">
              <w:rPr>
                <w:rStyle w:val="FootnoteReference"/>
                <w:color w:val="000000" w:themeColor="text1"/>
              </w:rPr>
              <w:footnoteReference w:id="6"/>
            </w:r>
            <w:r w:rsidRPr="00187D7E">
              <w:rPr>
                <w:color w:val="000000" w:themeColor="text1"/>
              </w:rPr>
              <w:t xml:space="preserve"> un Valdības rīcības plāns</w:t>
            </w:r>
            <w:r w:rsidR="006B45D8" w:rsidRPr="00187D7E">
              <w:rPr>
                <w:rStyle w:val="FootnoteReference"/>
                <w:color w:val="000000" w:themeColor="text1"/>
              </w:rPr>
              <w:footnoteReference w:id="7"/>
            </w:r>
            <w:r w:rsidR="006B45D8" w:rsidRPr="00187D7E">
              <w:rPr>
                <w:color w:val="000000" w:themeColor="text1"/>
              </w:rPr>
              <w:t xml:space="preserve"> (apstiprināts ar Ministru kabineta 2016.gada 3.maija rīkojumu Nr. 275)</w:t>
            </w:r>
            <w:r w:rsidRPr="00BF4E15">
              <w:rPr>
                <w:color w:val="000000" w:themeColor="text1"/>
              </w:rPr>
              <w:t>.</w:t>
            </w:r>
            <w:r w:rsidR="006B45D8" w:rsidRPr="00BF4E15">
              <w:rPr>
                <w:color w:val="000000" w:themeColor="text1"/>
              </w:rPr>
              <w:t xml:space="preserve"> Atjaunojot prognozes par valsts budžeta dotācijas apmēru, lai obligātā iepirkuma komponenti saglabātu 26,79 </w:t>
            </w:r>
            <w:r w:rsidR="001C4F02" w:rsidRPr="000C71F9">
              <w:rPr>
                <w:color w:val="000000" w:themeColor="text1"/>
              </w:rPr>
              <w:t>euro</w:t>
            </w:r>
            <w:r w:rsidR="006B45D8" w:rsidRPr="00187D7E">
              <w:rPr>
                <w:color w:val="000000" w:themeColor="text1"/>
              </w:rPr>
              <w:t>/MWh apmērā, tiks ņemts vērā arī Ministru kabineta pieņemt</w:t>
            </w:r>
            <w:r w:rsidR="006B45D8" w:rsidRPr="00BF4E15">
              <w:rPr>
                <w:color w:val="000000" w:themeColor="text1"/>
              </w:rPr>
              <w:t xml:space="preserve">ais lēmums par pārkompensācijas </w:t>
            </w:r>
            <w:r w:rsidR="007C1B92">
              <w:rPr>
                <w:color w:val="000000" w:themeColor="text1"/>
              </w:rPr>
              <w:t xml:space="preserve">novēršanas </w:t>
            </w:r>
            <w:r w:rsidR="006B45D8" w:rsidRPr="00BF4E15">
              <w:rPr>
                <w:color w:val="000000" w:themeColor="text1"/>
              </w:rPr>
              <w:t>mehānisma ietvaru un dabasgāzes tirdzniecības gala tarifa fiksēšanu obligātā iepirkuma formulās.</w:t>
            </w:r>
          </w:p>
          <w:p w14:paraId="253F2DC6" w14:textId="097C95E2" w:rsidR="00413F0B" w:rsidRDefault="00413F0B" w:rsidP="00413F0B">
            <w:pPr>
              <w:jc w:val="both"/>
              <w:rPr>
                <w:color w:val="000000" w:themeColor="text1"/>
              </w:rPr>
            </w:pPr>
            <w:r w:rsidRPr="00CA15D6">
              <w:rPr>
                <w:color w:val="000000" w:themeColor="text1"/>
              </w:rPr>
              <w:t>P</w:t>
            </w:r>
            <w:r>
              <w:rPr>
                <w:color w:val="000000" w:themeColor="text1"/>
              </w:rPr>
              <w:t xml:space="preserve">rovizoriskā </w:t>
            </w:r>
            <w:r w:rsidRPr="00187D7E">
              <w:t>MK noteikum</w:t>
            </w:r>
            <w:r>
              <w:t>u</w:t>
            </w:r>
            <w:r w:rsidRPr="00187D7E">
              <w:t xml:space="preserve"> Nr.221</w:t>
            </w:r>
            <w:r>
              <w:t xml:space="preserve"> un </w:t>
            </w:r>
            <w:r w:rsidRPr="00187D7E">
              <w:t>MK noteikum</w:t>
            </w:r>
            <w:r>
              <w:t>u</w:t>
            </w:r>
            <w:r w:rsidRPr="00187D7E">
              <w:t xml:space="preserve"> Nr.2</w:t>
            </w:r>
            <w:r>
              <w:t xml:space="preserve">62 </w:t>
            </w:r>
            <w:r>
              <w:rPr>
                <w:color w:val="000000" w:themeColor="text1"/>
              </w:rPr>
              <w:t xml:space="preserve">grozījumu </w:t>
            </w:r>
            <w:r w:rsidRPr="00CA15D6">
              <w:rPr>
                <w:color w:val="000000" w:themeColor="text1"/>
              </w:rPr>
              <w:t>ietekme uz valsts budžetu attiecībā</w:t>
            </w:r>
            <w:r>
              <w:rPr>
                <w:color w:val="000000" w:themeColor="text1"/>
              </w:rPr>
              <w:t xml:space="preserve"> pret vidēja termiņa budžetā </w:t>
            </w:r>
            <w:r w:rsidR="00407576">
              <w:rPr>
                <w:color w:val="000000" w:themeColor="text1"/>
              </w:rPr>
              <w:t>paredzē</w:t>
            </w:r>
            <w:r>
              <w:rPr>
                <w:color w:val="000000" w:themeColor="text1"/>
              </w:rPr>
              <w:t>to  subsīdijas apjomu ir šāda:</w:t>
            </w:r>
          </w:p>
          <w:tbl>
            <w:tblPr>
              <w:tblStyle w:val="TableGrid"/>
              <w:tblW w:w="0" w:type="auto"/>
              <w:tblLook w:val="04A0" w:firstRow="1" w:lastRow="0" w:firstColumn="1" w:lastColumn="0" w:noHBand="0" w:noVBand="1"/>
            </w:tblPr>
            <w:tblGrid>
              <w:gridCol w:w="735"/>
              <w:gridCol w:w="1701"/>
              <w:gridCol w:w="4109"/>
            </w:tblGrid>
            <w:tr w:rsidR="00413F0B" w14:paraId="56CF1A0B" w14:textId="77777777" w:rsidTr="004663AB">
              <w:tc>
                <w:tcPr>
                  <w:tcW w:w="735" w:type="dxa"/>
                  <w:vAlign w:val="center"/>
                </w:tcPr>
                <w:p w14:paraId="03CBC8BE" w14:textId="77777777" w:rsidR="00413F0B" w:rsidRDefault="00413F0B" w:rsidP="00413F0B">
                  <w:pPr>
                    <w:jc w:val="center"/>
                    <w:rPr>
                      <w:color w:val="000000" w:themeColor="text1"/>
                    </w:rPr>
                  </w:pPr>
                  <w:r w:rsidRPr="00510794">
                    <w:rPr>
                      <w:color w:val="000000"/>
                    </w:rPr>
                    <w:t>Gads</w:t>
                  </w:r>
                </w:p>
              </w:tc>
              <w:tc>
                <w:tcPr>
                  <w:tcW w:w="1701" w:type="dxa"/>
                  <w:vAlign w:val="center"/>
                </w:tcPr>
                <w:p w14:paraId="3BE0E343" w14:textId="77777777" w:rsidR="00413F0B" w:rsidRPr="00510794" w:rsidRDefault="00413F0B" w:rsidP="00413F0B">
                  <w:pPr>
                    <w:jc w:val="center"/>
                    <w:rPr>
                      <w:color w:val="000000"/>
                    </w:rPr>
                  </w:pPr>
                  <w:r w:rsidRPr="00510794">
                    <w:rPr>
                      <w:color w:val="000000"/>
                    </w:rPr>
                    <w:t xml:space="preserve">Subsīdija OIK mazināšanai </w:t>
                  </w:r>
                  <w:r>
                    <w:rPr>
                      <w:color w:val="000000"/>
                    </w:rPr>
                    <w:t>budžeta</w:t>
                  </w:r>
                  <w:r w:rsidRPr="00510794">
                    <w:rPr>
                      <w:color w:val="000000"/>
                    </w:rPr>
                    <w:t xml:space="preserve"> bāzē,</w:t>
                  </w:r>
                </w:p>
                <w:p w14:paraId="3D7B4AB2" w14:textId="77777777" w:rsidR="00413F0B" w:rsidRDefault="00413F0B" w:rsidP="00413F0B">
                  <w:pPr>
                    <w:jc w:val="center"/>
                    <w:rPr>
                      <w:color w:val="000000" w:themeColor="text1"/>
                    </w:rPr>
                  </w:pPr>
                  <w:r w:rsidRPr="00510794">
                    <w:rPr>
                      <w:color w:val="000000"/>
                    </w:rPr>
                    <w:t>milj.EUR</w:t>
                  </w:r>
                </w:p>
              </w:tc>
              <w:tc>
                <w:tcPr>
                  <w:tcW w:w="4109" w:type="dxa"/>
                  <w:vAlign w:val="center"/>
                </w:tcPr>
                <w:p w14:paraId="3DED61D6" w14:textId="77777777" w:rsidR="00413F0B" w:rsidRDefault="00413F0B" w:rsidP="00413F0B">
                  <w:pPr>
                    <w:jc w:val="center"/>
                    <w:rPr>
                      <w:color w:val="000000" w:themeColor="text1"/>
                    </w:rPr>
                  </w:pPr>
                  <w:r>
                    <w:rPr>
                      <w:color w:val="000000"/>
                    </w:rPr>
                    <w:t>Provizoriskā s</w:t>
                  </w:r>
                  <w:r w:rsidRPr="00510794">
                    <w:rPr>
                      <w:color w:val="000000"/>
                    </w:rPr>
                    <w:t>ubsīdija OIK mazināšanai, fiksējot dabasgāzes cenu 234,77 EUR/tūkst.m</w:t>
                  </w:r>
                  <w:r w:rsidRPr="00510794">
                    <w:rPr>
                      <w:color w:val="000000"/>
                      <w:vertAlign w:val="superscript"/>
                    </w:rPr>
                    <w:t xml:space="preserve">3 </w:t>
                  </w:r>
                  <w:r w:rsidRPr="00510794">
                    <w:rPr>
                      <w:color w:val="000000"/>
                    </w:rPr>
                    <w:t>un ieviešot IRR 9%,</w:t>
                  </w:r>
                  <w:r>
                    <w:rPr>
                      <w:color w:val="000000"/>
                    </w:rPr>
                    <w:t xml:space="preserve"> </w:t>
                  </w:r>
                  <w:r w:rsidRPr="00510794">
                    <w:rPr>
                      <w:color w:val="000000"/>
                    </w:rPr>
                    <w:t>milj.EUR</w:t>
                  </w:r>
                </w:p>
              </w:tc>
            </w:tr>
            <w:tr w:rsidR="00413F0B" w14:paraId="28052DC2" w14:textId="77777777" w:rsidTr="004663AB">
              <w:tc>
                <w:tcPr>
                  <w:tcW w:w="735" w:type="dxa"/>
                  <w:vAlign w:val="bottom"/>
                </w:tcPr>
                <w:p w14:paraId="622706E3" w14:textId="77777777" w:rsidR="00413F0B" w:rsidRDefault="00413F0B" w:rsidP="00413F0B">
                  <w:pPr>
                    <w:jc w:val="center"/>
                    <w:rPr>
                      <w:color w:val="000000" w:themeColor="text1"/>
                    </w:rPr>
                  </w:pPr>
                  <w:r w:rsidRPr="00510794">
                    <w:rPr>
                      <w:color w:val="000000"/>
                    </w:rPr>
                    <w:t>2017</w:t>
                  </w:r>
                </w:p>
              </w:tc>
              <w:tc>
                <w:tcPr>
                  <w:tcW w:w="1701" w:type="dxa"/>
                  <w:vAlign w:val="center"/>
                </w:tcPr>
                <w:p w14:paraId="0E402C14" w14:textId="77777777" w:rsidR="00413F0B" w:rsidRDefault="00413F0B" w:rsidP="00413F0B">
                  <w:pPr>
                    <w:jc w:val="center"/>
                    <w:rPr>
                      <w:color w:val="000000" w:themeColor="text1"/>
                    </w:rPr>
                  </w:pPr>
                  <w:r w:rsidRPr="00510794">
                    <w:rPr>
                      <w:color w:val="000000"/>
                    </w:rPr>
                    <w:t>81,05</w:t>
                  </w:r>
                </w:p>
              </w:tc>
              <w:tc>
                <w:tcPr>
                  <w:tcW w:w="4109" w:type="dxa"/>
                  <w:vAlign w:val="center"/>
                </w:tcPr>
                <w:p w14:paraId="4EE7A72C" w14:textId="77777777" w:rsidR="00413F0B" w:rsidRDefault="00413F0B" w:rsidP="00413F0B">
                  <w:pPr>
                    <w:jc w:val="center"/>
                    <w:rPr>
                      <w:color w:val="000000" w:themeColor="text1"/>
                    </w:rPr>
                  </w:pPr>
                  <w:r w:rsidRPr="00510794">
                    <w:rPr>
                      <w:color w:val="000000"/>
                    </w:rPr>
                    <w:t>77,07</w:t>
                  </w:r>
                  <w:r>
                    <w:rPr>
                      <w:color w:val="000000"/>
                    </w:rPr>
                    <w:t>*</w:t>
                  </w:r>
                </w:p>
              </w:tc>
            </w:tr>
            <w:tr w:rsidR="00413F0B" w14:paraId="00F7DD5C" w14:textId="77777777" w:rsidTr="004663AB">
              <w:tc>
                <w:tcPr>
                  <w:tcW w:w="735" w:type="dxa"/>
                  <w:vAlign w:val="bottom"/>
                </w:tcPr>
                <w:p w14:paraId="69B93F18" w14:textId="77777777" w:rsidR="00413F0B" w:rsidRDefault="00413F0B" w:rsidP="00413F0B">
                  <w:pPr>
                    <w:jc w:val="center"/>
                    <w:rPr>
                      <w:color w:val="000000" w:themeColor="text1"/>
                    </w:rPr>
                  </w:pPr>
                  <w:r w:rsidRPr="00510794">
                    <w:rPr>
                      <w:color w:val="000000"/>
                    </w:rPr>
                    <w:t>2018</w:t>
                  </w:r>
                </w:p>
              </w:tc>
              <w:tc>
                <w:tcPr>
                  <w:tcW w:w="1701" w:type="dxa"/>
                  <w:vAlign w:val="center"/>
                </w:tcPr>
                <w:p w14:paraId="02B670D6" w14:textId="77777777" w:rsidR="00413F0B" w:rsidRDefault="00413F0B" w:rsidP="00413F0B">
                  <w:pPr>
                    <w:jc w:val="center"/>
                    <w:rPr>
                      <w:color w:val="000000" w:themeColor="text1"/>
                    </w:rPr>
                  </w:pPr>
                  <w:r w:rsidRPr="00510794">
                    <w:rPr>
                      <w:color w:val="000000"/>
                    </w:rPr>
                    <w:t>89,89</w:t>
                  </w:r>
                </w:p>
              </w:tc>
              <w:tc>
                <w:tcPr>
                  <w:tcW w:w="4109" w:type="dxa"/>
                  <w:vAlign w:val="center"/>
                </w:tcPr>
                <w:p w14:paraId="2C13718C" w14:textId="77777777" w:rsidR="00413F0B" w:rsidRDefault="00413F0B" w:rsidP="00413F0B">
                  <w:pPr>
                    <w:jc w:val="center"/>
                    <w:rPr>
                      <w:color w:val="000000" w:themeColor="text1"/>
                    </w:rPr>
                  </w:pPr>
                  <w:r w:rsidRPr="00510794">
                    <w:rPr>
                      <w:color w:val="000000"/>
                    </w:rPr>
                    <w:t>70,11</w:t>
                  </w:r>
                </w:p>
              </w:tc>
            </w:tr>
            <w:tr w:rsidR="00413F0B" w14:paraId="742DC5E4" w14:textId="77777777" w:rsidTr="004663AB">
              <w:tc>
                <w:tcPr>
                  <w:tcW w:w="735" w:type="dxa"/>
                  <w:vAlign w:val="bottom"/>
                </w:tcPr>
                <w:p w14:paraId="3FF3C034" w14:textId="77777777" w:rsidR="00413F0B" w:rsidRDefault="00413F0B" w:rsidP="00413F0B">
                  <w:pPr>
                    <w:jc w:val="center"/>
                    <w:rPr>
                      <w:color w:val="000000" w:themeColor="text1"/>
                    </w:rPr>
                  </w:pPr>
                  <w:r w:rsidRPr="00510794">
                    <w:rPr>
                      <w:color w:val="000000"/>
                    </w:rPr>
                    <w:t>2019</w:t>
                  </w:r>
                </w:p>
              </w:tc>
              <w:tc>
                <w:tcPr>
                  <w:tcW w:w="1701" w:type="dxa"/>
                  <w:vAlign w:val="center"/>
                </w:tcPr>
                <w:p w14:paraId="0521640F" w14:textId="3AD0366F" w:rsidR="00413F0B" w:rsidRDefault="00433594" w:rsidP="00413F0B">
                  <w:pPr>
                    <w:jc w:val="center"/>
                    <w:rPr>
                      <w:color w:val="000000" w:themeColor="text1"/>
                    </w:rPr>
                  </w:pPr>
                  <w:r>
                    <w:rPr>
                      <w:color w:val="000000"/>
                    </w:rPr>
                    <w:t>10</w:t>
                  </w:r>
                  <w:r w:rsidR="00413F0B" w:rsidRPr="00510794">
                    <w:rPr>
                      <w:color w:val="000000"/>
                    </w:rPr>
                    <w:t>0</w:t>
                  </w:r>
                  <w:r>
                    <w:rPr>
                      <w:color w:val="000000"/>
                    </w:rPr>
                    <w:t>**</w:t>
                  </w:r>
                </w:p>
              </w:tc>
              <w:tc>
                <w:tcPr>
                  <w:tcW w:w="4109" w:type="dxa"/>
                  <w:vAlign w:val="center"/>
                </w:tcPr>
                <w:p w14:paraId="6D08583B" w14:textId="77777777" w:rsidR="00413F0B" w:rsidRDefault="00413F0B" w:rsidP="00413F0B">
                  <w:pPr>
                    <w:jc w:val="center"/>
                    <w:rPr>
                      <w:color w:val="000000" w:themeColor="text1"/>
                    </w:rPr>
                  </w:pPr>
                  <w:r w:rsidRPr="00510794">
                    <w:rPr>
                      <w:color w:val="000000"/>
                    </w:rPr>
                    <w:t>75,18</w:t>
                  </w:r>
                </w:p>
              </w:tc>
            </w:tr>
          </w:tbl>
          <w:p w14:paraId="60C51D89" w14:textId="77777777" w:rsidR="00413F0B" w:rsidRDefault="00413F0B" w:rsidP="001C4F02">
            <w:pPr>
              <w:jc w:val="both"/>
              <w:rPr>
                <w:color w:val="000000" w:themeColor="text1"/>
              </w:rPr>
            </w:pPr>
            <w:r w:rsidRPr="00736477">
              <w:rPr>
                <w:color w:val="000000" w:themeColor="text1"/>
              </w:rPr>
              <w:t>* Pārkompensācijas novēršanas mehānisma efekts uz 2017.gada valsts budžetu praktiski nebūs, ņemot vērā, ka 2016.gadā pastāv iespēja, ka netiks veikti aprēķini par IRR, vērtējot no provizoriskā laika grafika.</w:t>
            </w:r>
          </w:p>
          <w:p w14:paraId="13566EEF" w14:textId="4F898D31" w:rsidR="00433594" w:rsidRPr="006E2F36" w:rsidRDefault="00433594" w:rsidP="00433594">
            <w:pPr>
              <w:jc w:val="both"/>
              <w:rPr>
                <w:color w:val="000000" w:themeColor="text1"/>
              </w:rPr>
            </w:pPr>
            <w:r>
              <w:rPr>
                <w:color w:val="000000" w:themeColor="text1"/>
              </w:rPr>
              <w:t>** Finansējuma apjoms, kas nepieciešams OIK saglabāšanai pie spēkā esošā regulējuma tiks risināts konceptuālā ziņojuma ietvaros.</w:t>
            </w:r>
          </w:p>
        </w:tc>
      </w:tr>
    </w:tbl>
    <w:p w14:paraId="40B5DE62" w14:textId="77777777" w:rsidR="00E74762" w:rsidRDefault="00E74762" w:rsidP="008667DC">
      <w:pPr>
        <w:rPr>
          <w:color w:val="000000" w:themeColor="text1"/>
        </w:rPr>
      </w:pPr>
    </w:p>
    <w:tbl>
      <w:tblPr>
        <w:tblW w:w="5164"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09"/>
        <w:gridCol w:w="2668"/>
        <w:gridCol w:w="6223"/>
      </w:tblGrid>
      <w:tr w:rsidR="00C117EF" w:rsidRPr="00C117EF" w14:paraId="3B5DAFDC" w14:textId="77777777" w:rsidTr="00C117E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8F6B8" w14:textId="77777777" w:rsidR="00C117EF" w:rsidRPr="00C117EF" w:rsidRDefault="00C117EF" w:rsidP="00621E20">
            <w:pPr>
              <w:pStyle w:val="tvhtml"/>
              <w:spacing w:line="293" w:lineRule="atLeast"/>
              <w:jc w:val="center"/>
              <w:rPr>
                <w:b/>
                <w:bCs/>
              </w:rPr>
            </w:pPr>
            <w:r w:rsidRPr="00C117EF">
              <w:rPr>
                <w:b/>
                <w:bCs/>
              </w:rPr>
              <w:t>IV. Tiesību akta projekta ietekme uz spēkā esošo tiesību normu sistēmu</w:t>
            </w:r>
          </w:p>
        </w:tc>
      </w:tr>
      <w:tr w:rsidR="00C117EF" w:rsidRPr="00C117EF" w14:paraId="6356FEE6" w14:textId="77777777" w:rsidTr="00C117EF">
        <w:tc>
          <w:tcPr>
            <w:tcW w:w="321" w:type="pct"/>
            <w:tcBorders>
              <w:top w:val="outset" w:sz="6" w:space="0" w:color="414142"/>
              <w:left w:val="outset" w:sz="6" w:space="0" w:color="414142"/>
              <w:bottom w:val="outset" w:sz="6" w:space="0" w:color="414142"/>
              <w:right w:val="outset" w:sz="6" w:space="0" w:color="414142"/>
            </w:tcBorders>
            <w:shd w:val="clear" w:color="auto" w:fill="FFFFFF"/>
            <w:hideMark/>
          </w:tcPr>
          <w:p w14:paraId="14305B8D" w14:textId="77777777" w:rsidR="00C117EF" w:rsidRPr="00C117EF" w:rsidRDefault="00C117EF" w:rsidP="00621E20">
            <w:r w:rsidRPr="00C117EF">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1E34E56D" w14:textId="77777777" w:rsidR="00C117EF" w:rsidRPr="00C117EF" w:rsidRDefault="00C117EF" w:rsidP="00621E20">
            <w:r w:rsidRPr="00C117EF">
              <w:t>Nepieciešamie saistītie tiesību aktu projekti</w:t>
            </w:r>
          </w:p>
        </w:tc>
        <w:tc>
          <w:tcPr>
            <w:tcW w:w="3275" w:type="pct"/>
            <w:tcBorders>
              <w:top w:val="outset" w:sz="6" w:space="0" w:color="414142"/>
              <w:left w:val="outset" w:sz="6" w:space="0" w:color="414142"/>
              <w:bottom w:val="outset" w:sz="6" w:space="0" w:color="414142"/>
              <w:right w:val="outset" w:sz="6" w:space="0" w:color="414142"/>
            </w:tcBorders>
            <w:shd w:val="clear" w:color="auto" w:fill="FFFFFF"/>
            <w:hideMark/>
          </w:tcPr>
          <w:p w14:paraId="6E5238B9" w14:textId="6229D68B" w:rsidR="00C117EF" w:rsidRPr="00C117EF" w:rsidRDefault="00C117EF" w:rsidP="00621E20">
            <w:r w:rsidRPr="00BF1167">
              <w:t xml:space="preserve">Noteikumu projekts tiek virzīts kopā ar saistītajiem </w:t>
            </w:r>
            <w:r>
              <w:t>grozījumiem MK noteikumos Nr.221</w:t>
            </w:r>
            <w:r w:rsidRPr="00BF1167">
              <w:t>.</w:t>
            </w:r>
          </w:p>
        </w:tc>
      </w:tr>
      <w:tr w:rsidR="00C117EF" w:rsidRPr="00C117EF" w14:paraId="16DAF848" w14:textId="77777777" w:rsidTr="00C117EF">
        <w:tc>
          <w:tcPr>
            <w:tcW w:w="321" w:type="pct"/>
            <w:tcBorders>
              <w:top w:val="outset" w:sz="6" w:space="0" w:color="414142"/>
              <w:left w:val="outset" w:sz="6" w:space="0" w:color="414142"/>
              <w:bottom w:val="outset" w:sz="6" w:space="0" w:color="414142"/>
              <w:right w:val="outset" w:sz="6" w:space="0" w:color="414142"/>
            </w:tcBorders>
            <w:shd w:val="clear" w:color="auto" w:fill="FFFFFF"/>
            <w:hideMark/>
          </w:tcPr>
          <w:p w14:paraId="1B7DBAC3" w14:textId="77777777" w:rsidR="00C117EF" w:rsidRPr="00C117EF" w:rsidRDefault="00C117EF" w:rsidP="00621E20">
            <w:r w:rsidRPr="00C117EF">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41729252" w14:textId="77777777" w:rsidR="00C117EF" w:rsidRPr="00C117EF" w:rsidRDefault="00C117EF" w:rsidP="00621E20">
            <w:r w:rsidRPr="00C117EF">
              <w:t>Atbildīgā institūcija</w:t>
            </w:r>
          </w:p>
        </w:tc>
        <w:tc>
          <w:tcPr>
            <w:tcW w:w="3275" w:type="pct"/>
            <w:tcBorders>
              <w:top w:val="outset" w:sz="6" w:space="0" w:color="414142"/>
              <w:left w:val="outset" w:sz="6" w:space="0" w:color="414142"/>
              <w:bottom w:val="outset" w:sz="6" w:space="0" w:color="414142"/>
              <w:right w:val="outset" w:sz="6" w:space="0" w:color="414142"/>
            </w:tcBorders>
            <w:shd w:val="clear" w:color="auto" w:fill="FFFFFF"/>
            <w:hideMark/>
          </w:tcPr>
          <w:p w14:paraId="63643891" w14:textId="06D7B440" w:rsidR="00C117EF" w:rsidRPr="00C117EF" w:rsidRDefault="00C117EF" w:rsidP="00621E20">
            <w:r>
              <w:t>Ekonomikas ministrija</w:t>
            </w:r>
          </w:p>
        </w:tc>
      </w:tr>
      <w:tr w:rsidR="00C117EF" w:rsidRPr="00C117EF" w14:paraId="7828E384" w14:textId="77777777" w:rsidTr="00C117EF">
        <w:tc>
          <w:tcPr>
            <w:tcW w:w="321" w:type="pct"/>
            <w:tcBorders>
              <w:top w:val="outset" w:sz="6" w:space="0" w:color="414142"/>
              <w:left w:val="outset" w:sz="6" w:space="0" w:color="414142"/>
              <w:bottom w:val="outset" w:sz="6" w:space="0" w:color="414142"/>
              <w:right w:val="outset" w:sz="6" w:space="0" w:color="414142"/>
            </w:tcBorders>
            <w:shd w:val="clear" w:color="auto" w:fill="FFFFFF"/>
            <w:hideMark/>
          </w:tcPr>
          <w:p w14:paraId="6973A152" w14:textId="77777777" w:rsidR="00C117EF" w:rsidRPr="00C117EF" w:rsidRDefault="00C117EF" w:rsidP="00621E20">
            <w:r w:rsidRPr="00C117EF">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1400A55A" w14:textId="77777777" w:rsidR="00C117EF" w:rsidRPr="00C117EF" w:rsidRDefault="00C117EF" w:rsidP="00621E20">
            <w:r w:rsidRPr="00C117EF">
              <w:t>Cita informācija</w:t>
            </w:r>
          </w:p>
        </w:tc>
        <w:tc>
          <w:tcPr>
            <w:tcW w:w="3275" w:type="pct"/>
            <w:tcBorders>
              <w:top w:val="outset" w:sz="6" w:space="0" w:color="414142"/>
              <w:left w:val="outset" w:sz="6" w:space="0" w:color="414142"/>
              <w:bottom w:val="outset" w:sz="6" w:space="0" w:color="414142"/>
              <w:right w:val="outset" w:sz="6" w:space="0" w:color="414142"/>
            </w:tcBorders>
            <w:shd w:val="clear" w:color="auto" w:fill="FFFFFF"/>
            <w:hideMark/>
          </w:tcPr>
          <w:p w14:paraId="215C9766" w14:textId="03CC387C" w:rsidR="00C117EF" w:rsidRPr="00C117EF" w:rsidRDefault="00C117EF" w:rsidP="00C117EF">
            <w:r w:rsidRPr="00C117EF">
              <w:t>Nav</w:t>
            </w:r>
          </w:p>
        </w:tc>
      </w:tr>
    </w:tbl>
    <w:p w14:paraId="681B87E3" w14:textId="77777777" w:rsidR="00C117EF" w:rsidRPr="002763E8" w:rsidRDefault="00C117EF" w:rsidP="008667DC">
      <w:pPr>
        <w:rPr>
          <w:color w:val="000000" w:themeColor="text1"/>
        </w:rPr>
      </w:pPr>
    </w:p>
    <w:tbl>
      <w:tblPr>
        <w:tblStyle w:val="TableGrid"/>
        <w:tblW w:w="9498" w:type="dxa"/>
        <w:tblInd w:w="-147" w:type="dxa"/>
        <w:tblLook w:val="04A0" w:firstRow="1" w:lastRow="0" w:firstColumn="1" w:lastColumn="0" w:noHBand="0" w:noVBand="1"/>
      </w:tblPr>
      <w:tblGrid>
        <w:gridCol w:w="396"/>
        <w:gridCol w:w="3090"/>
        <w:gridCol w:w="6012"/>
      </w:tblGrid>
      <w:tr w:rsidR="00E74762" w:rsidRPr="002763E8" w14:paraId="41F1BF08" w14:textId="77777777" w:rsidTr="00C117EF">
        <w:tc>
          <w:tcPr>
            <w:tcW w:w="9498" w:type="dxa"/>
            <w:gridSpan w:val="3"/>
          </w:tcPr>
          <w:p w14:paraId="1C213B6E" w14:textId="77777777" w:rsidR="00E74762" w:rsidRPr="002763E8" w:rsidRDefault="00E74762" w:rsidP="000056F9">
            <w:pPr>
              <w:jc w:val="center"/>
              <w:rPr>
                <w:b/>
                <w:color w:val="000000" w:themeColor="text1"/>
              </w:rPr>
            </w:pPr>
            <w:r w:rsidRPr="002763E8">
              <w:rPr>
                <w:b/>
                <w:color w:val="000000" w:themeColor="text1"/>
              </w:rPr>
              <w:t>V. Tiesību akta projekta atbilstība Latvijas Republikas starptautiskajām saistībām</w:t>
            </w:r>
          </w:p>
        </w:tc>
      </w:tr>
      <w:tr w:rsidR="00E74762" w:rsidRPr="002763E8" w14:paraId="76A3ADA5" w14:textId="77777777" w:rsidTr="00C117EF">
        <w:tc>
          <w:tcPr>
            <w:tcW w:w="396" w:type="dxa"/>
          </w:tcPr>
          <w:p w14:paraId="723A681A" w14:textId="77777777" w:rsidR="00E74762" w:rsidRPr="002763E8" w:rsidRDefault="00E74762" w:rsidP="000056F9">
            <w:pPr>
              <w:rPr>
                <w:color w:val="000000" w:themeColor="text1"/>
              </w:rPr>
            </w:pPr>
            <w:r w:rsidRPr="002763E8">
              <w:rPr>
                <w:color w:val="000000" w:themeColor="text1"/>
              </w:rPr>
              <w:t>1.</w:t>
            </w:r>
          </w:p>
        </w:tc>
        <w:tc>
          <w:tcPr>
            <w:tcW w:w="3090" w:type="dxa"/>
          </w:tcPr>
          <w:p w14:paraId="45B89140" w14:textId="77777777" w:rsidR="00E74762" w:rsidRPr="002763E8" w:rsidRDefault="00E74762" w:rsidP="000056F9">
            <w:pPr>
              <w:rPr>
                <w:color w:val="000000" w:themeColor="text1"/>
              </w:rPr>
            </w:pPr>
            <w:r w:rsidRPr="002763E8">
              <w:rPr>
                <w:color w:val="000000" w:themeColor="text1"/>
              </w:rPr>
              <w:t>Saistības pret Eiropas Savienību</w:t>
            </w:r>
          </w:p>
        </w:tc>
        <w:tc>
          <w:tcPr>
            <w:tcW w:w="6012" w:type="dxa"/>
          </w:tcPr>
          <w:p w14:paraId="54A91BFD" w14:textId="0447FDC2" w:rsidR="00E74762" w:rsidRPr="00656C16" w:rsidRDefault="00A644BE" w:rsidP="000056F9">
            <w:r w:rsidRPr="00656C16">
              <w:rPr>
                <w:shd w:val="clear" w:color="auto" w:fill="FFFFFF"/>
              </w:rPr>
              <w:t>Projekts šo jomu neskar</w:t>
            </w:r>
            <w:r w:rsidR="00E74762" w:rsidRPr="00656C16">
              <w:t>.</w:t>
            </w:r>
          </w:p>
        </w:tc>
      </w:tr>
      <w:tr w:rsidR="00E74762" w:rsidRPr="002763E8" w14:paraId="5DEBDB8A" w14:textId="77777777" w:rsidTr="00C117EF">
        <w:tc>
          <w:tcPr>
            <w:tcW w:w="396" w:type="dxa"/>
          </w:tcPr>
          <w:p w14:paraId="00499300" w14:textId="77777777" w:rsidR="00E74762" w:rsidRPr="002763E8" w:rsidRDefault="00E74762" w:rsidP="000056F9">
            <w:pPr>
              <w:rPr>
                <w:color w:val="000000" w:themeColor="text1"/>
              </w:rPr>
            </w:pPr>
            <w:r w:rsidRPr="002763E8">
              <w:rPr>
                <w:color w:val="000000" w:themeColor="text1"/>
              </w:rPr>
              <w:t>2.</w:t>
            </w:r>
          </w:p>
        </w:tc>
        <w:tc>
          <w:tcPr>
            <w:tcW w:w="3090" w:type="dxa"/>
          </w:tcPr>
          <w:p w14:paraId="21990473" w14:textId="77777777" w:rsidR="00E74762" w:rsidRPr="002763E8" w:rsidRDefault="00E74762" w:rsidP="000056F9">
            <w:pPr>
              <w:rPr>
                <w:color w:val="000000" w:themeColor="text1"/>
              </w:rPr>
            </w:pPr>
            <w:r w:rsidRPr="002763E8">
              <w:rPr>
                <w:color w:val="000000" w:themeColor="text1"/>
              </w:rPr>
              <w:t>Citas starptautiskās saistības</w:t>
            </w:r>
          </w:p>
        </w:tc>
        <w:tc>
          <w:tcPr>
            <w:tcW w:w="6012" w:type="dxa"/>
          </w:tcPr>
          <w:p w14:paraId="3DBEDB32" w14:textId="72F34446" w:rsidR="00E74762" w:rsidRPr="00656C16" w:rsidRDefault="00A644BE" w:rsidP="000056F9">
            <w:r w:rsidRPr="00656C16">
              <w:rPr>
                <w:shd w:val="clear" w:color="auto" w:fill="FFFFFF"/>
              </w:rPr>
              <w:t>Projekts šo jomu neskar</w:t>
            </w:r>
            <w:r w:rsidRPr="00656C16">
              <w:t>.</w:t>
            </w:r>
          </w:p>
        </w:tc>
      </w:tr>
      <w:tr w:rsidR="00E74762" w:rsidRPr="002763E8" w14:paraId="0CF59066" w14:textId="77777777" w:rsidTr="00C117EF">
        <w:tc>
          <w:tcPr>
            <w:tcW w:w="396" w:type="dxa"/>
          </w:tcPr>
          <w:p w14:paraId="3C5216D3" w14:textId="77777777" w:rsidR="00E74762" w:rsidRPr="002763E8" w:rsidRDefault="00E74762" w:rsidP="000056F9">
            <w:pPr>
              <w:rPr>
                <w:color w:val="000000" w:themeColor="text1"/>
              </w:rPr>
            </w:pPr>
            <w:r w:rsidRPr="002763E8">
              <w:rPr>
                <w:color w:val="000000" w:themeColor="text1"/>
              </w:rPr>
              <w:t>3.</w:t>
            </w:r>
          </w:p>
        </w:tc>
        <w:tc>
          <w:tcPr>
            <w:tcW w:w="3090" w:type="dxa"/>
          </w:tcPr>
          <w:p w14:paraId="34426063" w14:textId="77777777" w:rsidR="00E74762" w:rsidRPr="002763E8" w:rsidRDefault="00E74762" w:rsidP="000056F9">
            <w:pPr>
              <w:rPr>
                <w:color w:val="000000" w:themeColor="text1"/>
              </w:rPr>
            </w:pPr>
            <w:r w:rsidRPr="002763E8">
              <w:rPr>
                <w:color w:val="000000" w:themeColor="text1"/>
              </w:rPr>
              <w:t>Cita informācija</w:t>
            </w:r>
          </w:p>
        </w:tc>
        <w:tc>
          <w:tcPr>
            <w:tcW w:w="6012" w:type="dxa"/>
          </w:tcPr>
          <w:p w14:paraId="31B4B838" w14:textId="1B2E1A12" w:rsidR="007C1B92" w:rsidRDefault="007C1B92" w:rsidP="007C1B92">
            <w:pPr>
              <w:jc w:val="both"/>
              <w:rPr>
                <w:color w:val="000000" w:themeColor="text1"/>
              </w:rPr>
            </w:pPr>
            <w:r w:rsidRPr="002763E8">
              <w:rPr>
                <w:color w:val="000000" w:themeColor="text1"/>
              </w:rPr>
              <w:t>Noteikumu projekts ievēro EK paziņojumā “Kopienas pamatnostādnes par valsts atbalstu vides aizsardzībai”</w:t>
            </w:r>
            <w:r>
              <w:rPr>
                <w:color w:val="000000" w:themeColor="text1"/>
              </w:rPr>
              <w:t xml:space="preserve"> </w:t>
            </w:r>
            <w:r>
              <w:rPr>
                <w:color w:val="000000" w:themeColor="text1"/>
              </w:rPr>
              <w:lastRenderedPageBreak/>
              <w:t>(turpmāk – Pamatnostādnes)</w:t>
            </w:r>
            <w:r w:rsidRPr="002763E8">
              <w:rPr>
                <w:color w:val="000000" w:themeColor="text1"/>
              </w:rPr>
              <w:t xml:space="preserve"> (ES OV C/82, 01.04.2008.) izklāstītos nosacījumus</w:t>
            </w:r>
            <w:r w:rsidR="007570FE">
              <w:rPr>
                <w:color w:val="000000" w:themeColor="text1"/>
              </w:rPr>
              <w:t xml:space="preserve"> </w:t>
            </w:r>
            <w:r>
              <w:rPr>
                <w:color w:val="000000" w:themeColor="text1"/>
              </w:rPr>
              <w:t>attiecībā uz valsts atbalstu vides jomā</w:t>
            </w:r>
            <w:r w:rsidRPr="002763E8">
              <w:rPr>
                <w:color w:val="000000" w:themeColor="text1"/>
              </w:rPr>
              <w:t>.</w:t>
            </w:r>
            <w:r>
              <w:rPr>
                <w:color w:val="000000" w:themeColor="text1"/>
              </w:rPr>
              <w:t xml:space="preserve"> Konkrētu noteikumu projekta punktu atbilstības izvērtējumu Pamatnostādņu punktiem skatīt anotācijas pielikumā.</w:t>
            </w:r>
          </w:p>
          <w:p w14:paraId="3A5C960F" w14:textId="2776A31A" w:rsidR="00E74762" w:rsidRPr="002763E8" w:rsidRDefault="00E74762" w:rsidP="000056F9">
            <w:pPr>
              <w:jc w:val="both"/>
              <w:rPr>
                <w:color w:val="000000" w:themeColor="text1"/>
              </w:rPr>
            </w:pPr>
          </w:p>
        </w:tc>
      </w:tr>
    </w:tbl>
    <w:p w14:paraId="43B14F74" w14:textId="77777777" w:rsidR="00E74762" w:rsidRPr="002763E8" w:rsidRDefault="00E74762" w:rsidP="008667DC">
      <w:pPr>
        <w:rPr>
          <w:color w:val="000000" w:themeColor="text1"/>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3"/>
        <w:gridCol w:w="2982"/>
        <w:gridCol w:w="6088"/>
      </w:tblGrid>
      <w:tr w:rsidR="000056F9" w:rsidRPr="002763E8" w14:paraId="6FBC2D63" w14:textId="77777777" w:rsidTr="001E1CB2">
        <w:trPr>
          <w:trHeight w:val="281"/>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41EA0A" w14:textId="77777777" w:rsidR="000056F9" w:rsidRPr="002763E8" w:rsidRDefault="000056F9" w:rsidP="000056F9">
            <w:pPr>
              <w:pStyle w:val="tvhtml"/>
              <w:spacing w:line="293" w:lineRule="atLeast"/>
              <w:jc w:val="center"/>
              <w:rPr>
                <w:b/>
                <w:bCs/>
                <w:color w:val="000000" w:themeColor="text1"/>
              </w:rPr>
            </w:pPr>
            <w:r w:rsidRPr="002763E8">
              <w:rPr>
                <w:b/>
                <w:bCs/>
                <w:color w:val="000000" w:themeColor="text1"/>
              </w:rPr>
              <w:t>VI. Sabiedrības līdzdalība un komunikācijas aktivitātes</w:t>
            </w:r>
          </w:p>
        </w:tc>
      </w:tr>
      <w:tr w:rsidR="000056F9" w:rsidRPr="002763E8" w14:paraId="2769B171" w14:textId="77777777" w:rsidTr="001E1CB2">
        <w:trPr>
          <w:trHeight w:val="97"/>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2126322B" w14:textId="77777777" w:rsidR="000056F9" w:rsidRPr="002763E8" w:rsidRDefault="000056F9" w:rsidP="000056F9">
            <w:pPr>
              <w:rPr>
                <w:color w:val="000000" w:themeColor="text1"/>
              </w:rPr>
            </w:pPr>
            <w:r w:rsidRPr="002763E8">
              <w:rPr>
                <w:color w:val="000000" w:themeColor="text1"/>
              </w:rPr>
              <w:t>1.</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515F5132" w14:textId="77777777" w:rsidR="000056F9" w:rsidRPr="002763E8" w:rsidRDefault="000056F9" w:rsidP="000056F9">
            <w:pPr>
              <w:rPr>
                <w:color w:val="000000" w:themeColor="text1"/>
              </w:rPr>
            </w:pPr>
            <w:r w:rsidRPr="002763E8">
              <w:rPr>
                <w:color w:val="000000" w:themeColor="text1"/>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50BAC022" w14:textId="28288601" w:rsidR="000056F9" w:rsidRPr="006E2F36" w:rsidRDefault="000056F9" w:rsidP="001C4F02">
            <w:pPr>
              <w:jc w:val="both"/>
              <w:rPr>
                <w:color w:val="000000" w:themeColor="text1"/>
              </w:rPr>
            </w:pPr>
            <w:r w:rsidRPr="002763E8">
              <w:rPr>
                <w:color w:val="000000" w:themeColor="text1"/>
              </w:rPr>
              <w:t xml:space="preserve">Sabiedrība informēta par noteikumu projektu, izmantojot Ekonomikas ministrijas tīmekļa vietni, oficiālo Twitter kontu </w:t>
            </w:r>
            <w:r w:rsidRPr="000C71F9">
              <w:rPr>
                <w:color w:val="000000" w:themeColor="text1"/>
              </w:rPr>
              <w:t>un nosūtīts paziņojums masu medijiem</w:t>
            </w:r>
            <w:r w:rsidR="00656C16">
              <w:rPr>
                <w:color w:val="000000" w:themeColor="text1"/>
              </w:rPr>
              <w:t xml:space="preserve"> š.g. 11.maijā</w:t>
            </w:r>
            <w:r w:rsidRPr="00187D7E">
              <w:rPr>
                <w:color w:val="000000" w:themeColor="text1"/>
              </w:rPr>
              <w:t xml:space="preserve">. Pēc </w:t>
            </w:r>
            <w:r w:rsidR="001C4F02" w:rsidRPr="00187D7E">
              <w:rPr>
                <w:color w:val="000000" w:themeColor="text1"/>
              </w:rPr>
              <w:t xml:space="preserve">noteikumu </w:t>
            </w:r>
            <w:r w:rsidRPr="00BF4E15">
              <w:rPr>
                <w:color w:val="000000" w:themeColor="text1"/>
              </w:rPr>
              <w:t>projekta pieņemšanas paredzēts nosūtīt skaidrojošu informāciju masu medijiem.</w:t>
            </w:r>
          </w:p>
        </w:tc>
      </w:tr>
      <w:tr w:rsidR="000056F9" w:rsidRPr="002763E8" w14:paraId="33614B4E" w14:textId="77777777" w:rsidTr="001E1CB2">
        <w:trPr>
          <w:trHeight w:val="330"/>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1CC914C5" w14:textId="77777777" w:rsidR="000056F9" w:rsidRPr="002763E8" w:rsidRDefault="000056F9" w:rsidP="000056F9">
            <w:pPr>
              <w:rPr>
                <w:color w:val="000000" w:themeColor="text1"/>
              </w:rPr>
            </w:pPr>
            <w:r w:rsidRPr="002763E8">
              <w:rPr>
                <w:color w:val="000000" w:themeColor="text1"/>
              </w:rPr>
              <w:t>2.</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692E7F70" w14:textId="77777777" w:rsidR="000056F9" w:rsidRPr="002763E8" w:rsidRDefault="000056F9" w:rsidP="000056F9">
            <w:pPr>
              <w:rPr>
                <w:color w:val="000000" w:themeColor="text1"/>
              </w:rPr>
            </w:pPr>
            <w:r w:rsidRPr="002763E8">
              <w:rPr>
                <w:color w:val="000000" w:themeColor="text1"/>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37DBDC88" w14:textId="77777777" w:rsidR="000056F9" w:rsidRPr="002763E8" w:rsidRDefault="000056F9" w:rsidP="000056F9">
            <w:pPr>
              <w:suppressLineNumbers/>
              <w:jc w:val="both"/>
              <w:rPr>
                <w:color w:val="000000" w:themeColor="text1"/>
              </w:rPr>
            </w:pPr>
            <w:r w:rsidRPr="002763E8">
              <w:rPr>
                <w:color w:val="000000" w:themeColor="text1"/>
              </w:rPr>
              <w:t>Izstrādājot noteikumu projektu, Ekonomikas ministrija sadarbojās ar Latvijas atjaunojamās enerģijas federāciju, Latvijas Biogāzes asociāciju, Koģenerācijas asociāciju, Latvijas siltumuzņēmumu asociāciju, Lauksaimnieku organizāciju sadarbības padomi, komercbankām “Nordea” un “Citadeles banka”.</w:t>
            </w:r>
          </w:p>
          <w:p w14:paraId="08A81604" w14:textId="77777777" w:rsidR="000056F9" w:rsidRPr="002763E8" w:rsidRDefault="000056F9" w:rsidP="000056F9">
            <w:pPr>
              <w:suppressLineNumbers/>
              <w:jc w:val="both"/>
              <w:rPr>
                <w:color w:val="000000" w:themeColor="text1"/>
              </w:rPr>
            </w:pPr>
            <w:r w:rsidRPr="002763E8">
              <w:rPr>
                <w:color w:val="000000" w:themeColor="text1"/>
              </w:rPr>
              <w:t>Noteikumu projekts ir pārrunāts ar Latvijas Tirdzniecības un rūpniecības kameru, Būvmateriālu ražotāju asociāciju.</w:t>
            </w:r>
          </w:p>
        </w:tc>
      </w:tr>
      <w:tr w:rsidR="000056F9" w:rsidRPr="002763E8" w14:paraId="7DCC71D8" w14:textId="77777777" w:rsidTr="001E1CB2">
        <w:trPr>
          <w:trHeight w:val="233"/>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3692BD7D" w14:textId="77777777" w:rsidR="000056F9" w:rsidRPr="002763E8" w:rsidRDefault="000056F9" w:rsidP="000056F9">
            <w:pPr>
              <w:rPr>
                <w:color w:val="000000" w:themeColor="text1"/>
              </w:rPr>
            </w:pPr>
            <w:r w:rsidRPr="002763E8">
              <w:rPr>
                <w:color w:val="000000" w:themeColor="text1"/>
              </w:rPr>
              <w:t>3.</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367C2932" w14:textId="77777777" w:rsidR="000056F9" w:rsidRPr="002763E8" w:rsidRDefault="000056F9" w:rsidP="000056F9">
            <w:pPr>
              <w:rPr>
                <w:color w:val="000000" w:themeColor="text1"/>
              </w:rPr>
            </w:pPr>
            <w:r w:rsidRPr="002763E8">
              <w:rPr>
                <w:color w:val="000000" w:themeColor="text1"/>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54453343" w14:textId="77777777" w:rsidR="000056F9" w:rsidRPr="002763E8" w:rsidRDefault="000056F9" w:rsidP="000056F9">
            <w:pPr>
              <w:jc w:val="both"/>
              <w:rPr>
                <w:color w:val="000000" w:themeColor="text1"/>
              </w:rPr>
            </w:pPr>
            <w:r w:rsidRPr="002763E8">
              <w:rPr>
                <w:color w:val="000000" w:themeColor="text1"/>
              </w:rPr>
              <w:t>Neformālās saskaņošanas ietvaros tika saņemti atzinumi no Mazās hidroenerģētikas asociācijas, Vēju enerģijas asociācijas, Latvijas Biogāzes asociācijas, Latvijas siltumuzņēmumu asociācijas, komercbankas “Nordea”. Atzinu</w:t>
            </w:r>
            <w:r w:rsidR="006B45D8" w:rsidRPr="002763E8">
              <w:rPr>
                <w:color w:val="000000" w:themeColor="text1"/>
              </w:rPr>
              <w:t>mos izteiktie iebildumi un priekšlikumi ir daļēji ņemti vērā, precizējot noteikumu projektu.</w:t>
            </w:r>
            <w:r w:rsidRPr="002763E8">
              <w:rPr>
                <w:color w:val="000000" w:themeColor="text1"/>
              </w:rPr>
              <w:t xml:space="preserve"> </w:t>
            </w:r>
          </w:p>
        </w:tc>
      </w:tr>
      <w:tr w:rsidR="000056F9" w:rsidRPr="002763E8" w14:paraId="1C489AFC" w14:textId="77777777" w:rsidTr="001E1CB2">
        <w:trPr>
          <w:trHeight w:val="465"/>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273869E0" w14:textId="77777777" w:rsidR="000056F9" w:rsidRPr="002763E8" w:rsidRDefault="000056F9" w:rsidP="000056F9">
            <w:pPr>
              <w:rPr>
                <w:color w:val="000000" w:themeColor="text1"/>
              </w:rPr>
            </w:pPr>
            <w:r w:rsidRPr="002763E8">
              <w:rPr>
                <w:color w:val="000000" w:themeColor="text1"/>
              </w:rPr>
              <w:t>4.</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3A427A56" w14:textId="77777777" w:rsidR="000056F9" w:rsidRPr="002763E8" w:rsidRDefault="000056F9" w:rsidP="000056F9">
            <w:pPr>
              <w:rPr>
                <w:color w:val="000000" w:themeColor="text1"/>
              </w:rPr>
            </w:pPr>
            <w:r w:rsidRPr="002763E8">
              <w:rPr>
                <w:color w:val="000000" w:themeColor="text1"/>
              </w:rPr>
              <w:t>Cita informācija</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235C056B" w14:textId="77777777" w:rsidR="000056F9" w:rsidRPr="002763E8" w:rsidRDefault="000056F9" w:rsidP="000056F9">
            <w:pPr>
              <w:pStyle w:val="tvhtml"/>
              <w:spacing w:line="293" w:lineRule="atLeast"/>
              <w:rPr>
                <w:color w:val="000000" w:themeColor="text1"/>
              </w:rPr>
            </w:pPr>
            <w:r w:rsidRPr="002763E8">
              <w:rPr>
                <w:color w:val="000000" w:themeColor="text1"/>
              </w:rPr>
              <w:t>Nav.</w:t>
            </w:r>
          </w:p>
        </w:tc>
      </w:tr>
    </w:tbl>
    <w:p w14:paraId="286E8978" w14:textId="77777777" w:rsidR="000056F9" w:rsidRPr="002763E8" w:rsidRDefault="000056F9" w:rsidP="008667DC">
      <w:pPr>
        <w:rPr>
          <w:color w:val="000000" w:themeColor="text1"/>
        </w:rPr>
      </w:pPr>
    </w:p>
    <w:tbl>
      <w:tblPr>
        <w:tblpPr w:leftFromText="180" w:rightFromText="180" w:vertAnchor="text" w:horzAnchor="margin" w:tblpX="-174" w:tblpY="87"/>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4"/>
        <w:gridCol w:w="3145"/>
        <w:gridCol w:w="5812"/>
      </w:tblGrid>
      <w:tr w:rsidR="001C1A2E" w:rsidRPr="002763E8" w14:paraId="16A18B3F" w14:textId="77777777" w:rsidTr="00AC1F53">
        <w:tc>
          <w:tcPr>
            <w:tcW w:w="9361" w:type="dxa"/>
            <w:gridSpan w:val="3"/>
            <w:vAlign w:val="center"/>
          </w:tcPr>
          <w:p w14:paraId="339C84DB" w14:textId="77777777" w:rsidR="001C1A2E" w:rsidRPr="002763E8" w:rsidRDefault="001C1A2E" w:rsidP="008667DC">
            <w:pPr>
              <w:pStyle w:val="naisnod"/>
              <w:spacing w:before="0" w:beforeAutospacing="0" w:after="0" w:afterAutospacing="0"/>
              <w:jc w:val="center"/>
              <w:rPr>
                <w:b/>
                <w:color w:val="000000" w:themeColor="text1"/>
              </w:rPr>
            </w:pPr>
            <w:r w:rsidRPr="002763E8">
              <w:rPr>
                <w:b/>
                <w:color w:val="000000" w:themeColor="text1"/>
              </w:rPr>
              <w:t>VII. Tiesību akta projekta izpildes nodrošināšana un tās ietekme uz institūcijām</w:t>
            </w:r>
          </w:p>
        </w:tc>
      </w:tr>
      <w:tr w:rsidR="001C1A2E" w:rsidRPr="002763E8" w14:paraId="5A272CC9" w14:textId="77777777" w:rsidTr="0094759F">
        <w:trPr>
          <w:trHeight w:val="128"/>
        </w:trPr>
        <w:tc>
          <w:tcPr>
            <w:tcW w:w="404" w:type="dxa"/>
          </w:tcPr>
          <w:p w14:paraId="4E67A084" w14:textId="77777777" w:rsidR="001C1A2E" w:rsidRPr="002763E8" w:rsidRDefault="001C1A2E" w:rsidP="008667DC">
            <w:pPr>
              <w:pStyle w:val="naiskr"/>
              <w:spacing w:before="0" w:beforeAutospacing="0" w:after="0" w:afterAutospacing="0"/>
              <w:rPr>
                <w:color w:val="000000" w:themeColor="text1"/>
              </w:rPr>
            </w:pPr>
            <w:r w:rsidRPr="002763E8">
              <w:rPr>
                <w:color w:val="000000" w:themeColor="text1"/>
              </w:rPr>
              <w:t>1.</w:t>
            </w:r>
          </w:p>
        </w:tc>
        <w:tc>
          <w:tcPr>
            <w:tcW w:w="3145" w:type="dxa"/>
          </w:tcPr>
          <w:p w14:paraId="7885BD5E" w14:textId="77777777" w:rsidR="001C1A2E" w:rsidRPr="002763E8" w:rsidRDefault="001C1A2E" w:rsidP="00A644BE">
            <w:pPr>
              <w:rPr>
                <w:color w:val="000000" w:themeColor="text1"/>
              </w:rPr>
            </w:pPr>
            <w:r w:rsidRPr="002763E8">
              <w:rPr>
                <w:color w:val="000000" w:themeColor="text1"/>
              </w:rPr>
              <w:t>Projekta izpildē iesaistītās institūcijas</w:t>
            </w:r>
          </w:p>
        </w:tc>
        <w:tc>
          <w:tcPr>
            <w:tcW w:w="5812" w:type="dxa"/>
          </w:tcPr>
          <w:p w14:paraId="3DBEC20C" w14:textId="77777777" w:rsidR="001C1A2E" w:rsidRPr="002763E8" w:rsidRDefault="00DB1DA9" w:rsidP="002763E8">
            <w:pPr>
              <w:jc w:val="both"/>
              <w:rPr>
                <w:color w:val="000000" w:themeColor="text1"/>
              </w:rPr>
            </w:pPr>
            <w:r w:rsidRPr="002763E8">
              <w:rPr>
                <w:color w:val="000000" w:themeColor="text1"/>
              </w:rPr>
              <w:t>Ekonomikas ministrija.</w:t>
            </w:r>
          </w:p>
        </w:tc>
      </w:tr>
      <w:tr w:rsidR="001C1A2E" w:rsidRPr="002763E8" w14:paraId="68002080" w14:textId="77777777" w:rsidTr="0094759F">
        <w:trPr>
          <w:trHeight w:val="472"/>
        </w:trPr>
        <w:tc>
          <w:tcPr>
            <w:tcW w:w="404" w:type="dxa"/>
          </w:tcPr>
          <w:p w14:paraId="2BEE0079" w14:textId="77777777" w:rsidR="001C1A2E" w:rsidRPr="002763E8" w:rsidRDefault="001C1A2E" w:rsidP="008667DC">
            <w:pPr>
              <w:pStyle w:val="naiskr"/>
              <w:spacing w:before="0" w:beforeAutospacing="0" w:after="0" w:afterAutospacing="0"/>
              <w:rPr>
                <w:color w:val="000000" w:themeColor="text1"/>
              </w:rPr>
            </w:pPr>
            <w:r w:rsidRPr="002763E8">
              <w:rPr>
                <w:color w:val="000000" w:themeColor="text1"/>
              </w:rPr>
              <w:t>2.</w:t>
            </w:r>
          </w:p>
        </w:tc>
        <w:tc>
          <w:tcPr>
            <w:tcW w:w="3145" w:type="dxa"/>
          </w:tcPr>
          <w:p w14:paraId="6494F98C" w14:textId="77777777" w:rsidR="001C1A2E" w:rsidRPr="002763E8" w:rsidRDefault="001C1A2E" w:rsidP="00A644BE">
            <w:pPr>
              <w:jc w:val="both"/>
              <w:rPr>
                <w:color w:val="000000" w:themeColor="text1"/>
              </w:rPr>
            </w:pPr>
            <w:r w:rsidRPr="002763E8">
              <w:rPr>
                <w:color w:val="000000" w:themeColor="text1"/>
              </w:rPr>
              <w:t xml:space="preserve">Projekta izpildes ietekme uz pārvaldes funkcijām un institucionālo struktūru. </w:t>
            </w:r>
          </w:p>
          <w:p w14:paraId="423656A9" w14:textId="77777777" w:rsidR="00EC14D6" w:rsidRPr="002763E8" w:rsidRDefault="001C1A2E" w:rsidP="00817907">
            <w:pPr>
              <w:jc w:val="both"/>
              <w:rPr>
                <w:color w:val="000000" w:themeColor="text1"/>
              </w:rPr>
            </w:pPr>
            <w:r w:rsidRPr="002763E8">
              <w:rPr>
                <w:color w:val="000000" w:themeColor="text1"/>
              </w:rPr>
              <w:t>Jaunu institūciju izveide, esošu institūciju likvidācija vai reorganizācija, to ietekme uz institūcijas cilvēkresursiem</w:t>
            </w:r>
          </w:p>
        </w:tc>
        <w:tc>
          <w:tcPr>
            <w:tcW w:w="5812" w:type="dxa"/>
          </w:tcPr>
          <w:p w14:paraId="39A77354" w14:textId="77777777" w:rsidR="001C1A2E" w:rsidRPr="002763E8" w:rsidRDefault="00EB7FA3" w:rsidP="002763E8">
            <w:pPr>
              <w:pStyle w:val="naisnod"/>
              <w:spacing w:before="0" w:beforeAutospacing="0" w:after="0" w:afterAutospacing="0"/>
              <w:ind w:left="57" w:right="57"/>
              <w:jc w:val="both"/>
              <w:rPr>
                <w:b/>
                <w:color w:val="000000" w:themeColor="text1"/>
              </w:rPr>
            </w:pPr>
            <w:r w:rsidRPr="002763E8">
              <w:t>N</w:t>
            </w:r>
            <w:r w:rsidR="00BD263B" w:rsidRPr="002763E8">
              <w:t xml:space="preserve">oteikumu projekta apstiprināšanas gadījumā netiek radītas jaunas valsts institūcijas. Ar noteikumu projektu tiek </w:t>
            </w:r>
            <w:r w:rsidRPr="002763E8">
              <w:t xml:space="preserve">uzlabota esošā </w:t>
            </w:r>
            <w:r w:rsidR="00E4507B" w:rsidRPr="002763E8">
              <w:t xml:space="preserve">elektroenerģijas </w:t>
            </w:r>
            <w:r w:rsidR="001A3BE3" w:rsidRPr="002763E8">
              <w:t xml:space="preserve">obligātā iepirkuma </w:t>
            </w:r>
            <w:r w:rsidRPr="002763E8">
              <w:t>sistēma.</w:t>
            </w:r>
            <w:r w:rsidR="007422D8" w:rsidRPr="002763E8">
              <w:t xml:space="preserve"> Papildus pienākumus paredzēts veikt esošo </w:t>
            </w:r>
            <w:r w:rsidR="007422D8" w:rsidRPr="002763E8">
              <w:rPr>
                <w:color w:val="000000" w:themeColor="text1"/>
              </w:rPr>
              <w:t>cilvēkresursu ietvaros.</w:t>
            </w:r>
          </w:p>
        </w:tc>
      </w:tr>
      <w:tr w:rsidR="001C1A2E" w:rsidRPr="002763E8" w14:paraId="5A068572" w14:textId="77777777" w:rsidTr="0094759F">
        <w:trPr>
          <w:trHeight w:val="156"/>
        </w:trPr>
        <w:tc>
          <w:tcPr>
            <w:tcW w:w="404" w:type="dxa"/>
          </w:tcPr>
          <w:p w14:paraId="67EBB72C" w14:textId="77777777" w:rsidR="001C1A2E" w:rsidRPr="002763E8" w:rsidRDefault="001C1A2E" w:rsidP="008667DC">
            <w:pPr>
              <w:pStyle w:val="naiskr"/>
              <w:spacing w:before="0" w:beforeAutospacing="0" w:after="0" w:afterAutospacing="0"/>
              <w:rPr>
                <w:color w:val="000000" w:themeColor="text1"/>
              </w:rPr>
            </w:pPr>
            <w:r w:rsidRPr="002763E8">
              <w:rPr>
                <w:color w:val="000000" w:themeColor="text1"/>
              </w:rPr>
              <w:t>3.</w:t>
            </w:r>
          </w:p>
        </w:tc>
        <w:tc>
          <w:tcPr>
            <w:tcW w:w="3145" w:type="dxa"/>
          </w:tcPr>
          <w:p w14:paraId="58DF09AB" w14:textId="77777777" w:rsidR="001C1A2E" w:rsidRPr="002763E8" w:rsidRDefault="001C1A2E" w:rsidP="00A644BE">
            <w:pPr>
              <w:rPr>
                <w:color w:val="000000" w:themeColor="text1"/>
              </w:rPr>
            </w:pPr>
            <w:r w:rsidRPr="002763E8">
              <w:rPr>
                <w:color w:val="000000" w:themeColor="text1"/>
              </w:rPr>
              <w:t>Cita informācija</w:t>
            </w:r>
          </w:p>
        </w:tc>
        <w:tc>
          <w:tcPr>
            <w:tcW w:w="5812" w:type="dxa"/>
          </w:tcPr>
          <w:p w14:paraId="7F82DA88" w14:textId="77777777" w:rsidR="001C1A2E" w:rsidRPr="002763E8" w:rsidRDefault="001C1A2E" w:rsidP="002763E8">
            <w:pPr>
              <w:pStyle w:val="naisnod"/>
              <w:spacing w:before="0" w:beforeAutospacing="0" w:after="0" w:afterAutospacing="0"/>
              <w:ind w:left="57" w:right="57"/>
              <w:jc w:val="both"/>
              <w:rPr>
                <w:b/>
                <w:color w:val="000000" w:themeColor="text1"/>
              </w:rPr>
            </w:pPr>
            <w:r w:rsidRPr="002763E8">
              <w:rPr>
                <w:color w:val="000000" w:themeColor="text1"/>
              </w:rPr>
              <w:t>Normatīvā akta izpilde tiks nodrošināta esošo valsts institūciju funkciju ietvaros.</w:t>
            </w:r>
          </w:p>
        </w:tc>
      </w:tr>
    </w:tbl>
    <w:p w14:paraId="473A51F0" w14:textId="77777777" w:rsidR="00731FA4" w:rsidRPr="00187D7E" w:rsidRDefault="00731FA4" w:rsidP="00790CA8">
      <w:pPr>
        <w:rPr>
          <w:bCs/>
          <w:sz w:val="28"/>
          <w:szCs w:val="28"/>
        </w:rPr>
      </w:pPr>
    </w:p>
    <w:p w14:paraId="22699B1C" w14:textId="27B8A609" w:rsidR="00A644BE" w:rsidRPr="006E2F36" w:rsidRDefault="00A644BE" w:rsidP="00790CA8">
      <w:pPr>
        <w:rPr>
          <w:bCs/>
        </w:rPr>
      </w:pPr>
      <w:r w:rsidRPr="006E2F36">
        <w:rPr>
          <w:bCs/>
        </w:rPr>
        <w:t>Ministru prezidenta biedrs,</w:t>
      </w:r>
    </w:p>
    <w:p w14:paraId="487034B9" w14:textId="77777777" w:rsidR="005E59EE" w:rsidRPr="000C71F9" w:rsidRDefault="00A644BE" w:rsidP="00790CA8">
      <w:pPr>
        <w:rPr>
          <w:bCs/>
        </w:rPr>
      </w:pPr>
      <w:r w:rsidRPr="000C71F9">
        <w:rPr>
          <w:bCs/>
        </w:rPr>
        <w:t>e</w:t>
      </w:r>
      <w:r w:rsidR="00C73B18" w:rsidRPr="000C71F9">
        <w:rPr>
          <w:bCs/>
        </w:rPr>
        <w:t>konomikas ministr</w:t>
      </w:r>
      <w:r w:rsidR="007422D8" w:rsidRPr="000C71F9">
        <w:rPr>
          <w:bCs/>
        </w:rPr>
        <w:t>s</w:t>
      </w:r>
      <w:r w:rsidR="00731FA4" w:rsidRPr="000C71F9">
        <w:rPr>
          <w:bCs/>
        </w:rPr>
        <w:tab/>
      </w:r>
      <w:r w:rsidR="00731FA4" w:rsidRPr="000C71F9">
        <w:rPr>
          <w:bCs/>
        </w:rPr>
        <w:tab/>
      </w:r>
      <w:r w:rsidR="00731FA4" w:rsidRPr="000C71F9">
        <w:rPr>
          <w:bCs/>
        </w:rPr>
        <w:tab/>
      </w:r>
      <w:r w:rsidR="00731FA4" w:rsidRPr="000C71F9">
        <w:rPr>
          <w:bCs/>
        </w:rPr>
        <w:tab/>
      </w:r>
      <w:r w:rsidR="00731FA4" w:rsidRPr="000C71F9">
        <w:rPr>
          <w:bCs/>
        </w:rPr>
        <w:tab/>
      </w:r>
      <w:r w:rsidR="00731FA4" w:rsidRPr="000C71F9">
        <w:rPr>
          <w:bCs/>
        </w:rPr>
        <w:tab/>
      </w:r>
      <w:r w:rsidR="00731FA4" w:rsidRPr="000C71F9">
        <w:rPr>
          <w:bCs/>
        </w:rPr>
        <w:tab/>
      </w:r>
      <w:r w:rsidR="00731FA4" w:rsidRPr="000C71F9">
        <w:rPr>
          <w:bCs/>
        </w:rPr>
        <w:tab/>
      </w:r>
      <w:r w:rsidR="00731FA4" w:rsidRPr="000C71F9">
        <w:rPr>
          <w:bCs/>
        </w:rPr>
        <w:tab/>
      </w:r>
      <w:r w:rsidR="0084764D" w:rsidRPr="000C71F9">
        <w:rPr>
          <w:bCs/>
        </w:rPr>
        <w:t>A.Ašera</w:t>
      </w:r>
      <w:r w:rsidR="007422D8" w:rsidRPr="000C71F9">
        <w:rPr>
          <w:bCs/>
        </w:rPr>
        <w:t>dens</w:t>
      </w:r>
    </w:p>
    <w:p w14:paraId="13A375DA" w14:textId="77777777" w:rsidR="00AC1F53" w:rsidRPr="000C71F9" w:rsidRDefault="00AC1F53" w:rsidP="00790CA8">
      <w:pPr>
        <w:pStyle w:val="naisf"/>
        <w:spacing w:before="0" w:beforeAutospacing="0" w:after="0" w:afterAutospacing="0"/>
        <w:rPr>
          <w:bCs/>
          <w:color w:val="000000"/>
        </w:rPr>
      </w:pPr>
    </w:p>
    <w:p w14:paraId="00ECDB1B" w14:textId="77777777" w:rsidR="007C1F2A" w:rsidRPr="000B41D7" w:rsidRDefault="007C1F2A" w:rsidP="00790CA8">
      <w:pPr>
        <w:pStyle w:val="naisf"/>
        <w:spacing w:before="0" w:beforeAutospacing="0" w:after="0" w:afterAutospacing="0"/>
        <w:rPr>
          <w:bCs/>
          <w:color w:val="000000"/>
        </w:rPr>
      </w:pPr>
    </w:p>
    <w:p w14:paraId="199E430C" w14:textId="77777777" w:rsidR="0038787E" w:rsidRPr="00EE24A8" w:rsidRDefault="0038787E" w:rsidP="00790CA8">
      <w:pPr>
        <w:pStyle w:val="naisf"/>
        <w:spacing w:before="0" w:beforeAutospacing="0" w:after="0" w:afterAutospacing="0"/>
        <w:rPr>
          <w:b/>
          <w:bCs/>
          <w:color w:val="000000"/>
        </w:rPr>
      </w:pPr>
      <w:r w:rsidRPr="00EE24A8">
        <w:rPr>
          <w:bCs/>
          <w:color w:val="000000"/>
        </w:rPr>
        <w:lastRenderedPageBreak/>
        <w:t>Vīza:</w:t>
      </w:r>
    </w:p>
    <w:p w14:paraId="677EEB97" w14:textId="77777777" w:rsidR="0038787E" w:rsidRPr="00411CE9" w:rsidRDefault="0084764D" w:rsidP="00790CA8">
      <w:pPr>
        <w:jc w:val="both"/>
        <w:rPr>
          <w:color w:val="000000"/>
        </w:rPr>
      </w:pPr>
      <w:r w:rsidRPr="00411CE9">
        <w:rPr>
          <w:color w:val="000000"/>
        </w:rPr>
        <w:t>valsts sekretārs</w:t>
      </w:r>
      <w:r w:rsidRPr="00411CE9">
        <w:rPr>
          <w:color w:val="000000"/>
        </w:rPr>
        <w:tab/>
      </w:r>
      <w:r w:rsidRPr="00411CE9">
        <w:rPr>
          <w:color w:val="000000"/>
        </w:rPr>
        <w:tab/>
      </w:r>
      <w:r w:rsidRPr="00411CE9">
        <w:rPr>
          <w:color w:val="000000"/>
        </w:rPr>
        <w:tab/>
      </w:r>
      <w:r w:rsidRPr="00411CE9">
        <w:rPr>
          <w:color w:val="000000"/>
        </w:rPr>
        <w:tab/>
      </w:r>
      <w:r w:rsidRPr="00411CE9">
        <w:rPr>
          <w:color w:val="000000"/>
        </w:rPr>
        <w:tab/>
      </w:r>
      <w:r w:rsidRPr="00411CE9">
        <w:rPr>
          <w:color w:val="000000"/>
        </w:rPr>
        <w:tab/>
      </w:r>
      <w:r w:rsidRPr="00411CE9">
        <w:rPr>
          <w:color w:val="000000"/>
        </w:rPr>
        <w:tab/>
      </w:r>
      <w:r w:rsidRPr="00411CE9">
        <w:rPr>
          <w:color w:val="000000"/>
        </w:rPr>
        <w:tab/>
      </w:r>
      <w:r w:rsidRPr="00411CE9">
        <w:rPr>
          <w:color w:val="000000"/>
        </w:rPr>
        <w:tab/>
        <w:t>J.Stinka</w:t>
      </w:r>
    </w:p>
    <w:p w14:paraId="0B20E919" w14:textId="77777777" w:rsidR="0038787E" w:rsidRPr="00842559" w:rsidRDefault="0038787E" w:rsidP="00790CA8">
      <w:pPr>
        <w:pStyle w:val="Header"/>
        <w:tabs>
          <w:tab w:val="clear" w:pos="4153"/>
          <w:tab w:val="clear" w:pos="8306"/>
        </w:tabs>
        <w:rPr>
          <w:color w:val="000000" w:themeColor="text1"/>
        </w:rPr>
      </w:pPr>
    </w:p>
    <w:p w14:paraId="006FA6C9" w14:textId="16AAF5CA" w:rsidR="0038787E" w:rsidRPr="002763E8" w:rsidRDefault="00E0632F" w:rsidP="00790CA8">
      <w:pPr>
        <w:pStyle w:val="Header"/>
        <w:tabs>
          <w:tab w:val="clear" w:pos="4153"/>
          <w:tab w:val="clear" w:pos="8306"/>
        </w:tabs>
        <w:rPr>
          <w:color w:val="000000" w:themeColor="text1"/>
          <w:sz w:val="20"/>
          <w:szCs w:val="20"/>
        </w:rPr>
      </w:pPr>
      <w:r>
        <w:rPr>
          <w:color w:val="000000" w:themeColor="text1"/>
          <w:sz w:val="20"/>
          <w:szCs w:val="20"/>
        </w:rPr>
        <w:t>29</w:t>
      </w:r>
      <w:r w:rsidR="00C77FC0">
        <w:rPr>
          <w:color w:val="000000" w:themeColor="text1"/>
          <w:sz w:val="20"/>
          <w:szCs w:val="20"/>
        </w:rPr>
        <w:t>.06</w:t>
      </w:r>
      <w:r w:rsidR="0038787E" w:rsidRPr="002763E8">
        <w:rPr>
          <w:color w:val="000000" w:themeColor="text1"/>
          <w:sz w:val="20"/>
          <w:szCs w:val="20"/>
        </w:rPr>
        <w:t>.201</w:t>
      </w:r>
      <w:r w:rsidR="00B01B65" w:rsidRPr="002763E8">
        <w:rPr>
          <w:color w:val="000000" w:themeColor="text1"/>
          <w:sz w:val="20"/>
          <w:szCs w:val="20"/>
        </w:rPr>
        <w:t>6</w:t>
      </w:r>
      <w:r w:rsidR="0038787E" w:rsidRPr="002763E8">
        <w:rPr>
          <w:color w:val="000000" w:themeColor="text1"/>
          <w:sz w:val="20"/>
          <w:szCs w:val="20"/>
        </w:rPr>
        <w:t xml:space="preserve">. </w:t>
      </w:r>
      <w:r w:rsidR="00230E4D">
        <w:rPr>
          <w:color w:val="000000" w:themeColor="text1"/>
          <w:sz w:val="20"/>
          <w:szCs w:val="20"/>
        </w:rPr>
        <w:t>17:17</w:t>
      </w:r>
      <w:bookmarkStart w:id="6" w:name="_GoBack"/>
      <w:bookmarkEnd w:id="6"/>
    </w:p>
    <w:p w14:paraId="565E2B49" w14:textId="73C8B126" w:rsidR="0038787E" w:rsidRPr="002763E8" w:rsidRDefault="009021EC" w:rsidP="00790CA8">
      <w:pPr>
        <w:pStyle w:val="Header"/>
        <w:tabs>
          <w:tab w:val="clear" w:pos="4153"/>
          <w:tab w:val="clear" w:pos="8306"/>
        </w:tabs>
        <w:rPr>
          <w:color w:val="000000" w:themeColor="text1"/>
          <w:sz w:val="20"/>
          <w:szCs w:val="20"/>
        </w:rPr>
      </w:pPr>
      <w:r>
        <w:rPr>
          <w:color w:val="000000" w:themeColor="text1"/>
          <w:sz w:val="20"/>
          <w:szCs w:val="20"/>
        </w:rPr>
        <w:t>45</w:t>
      </w:r>
      <w:r w:rsidR="00E0632F">
        <w:rPr>
          <w:color w:val="000000" w:themeColor="text1"/>
          <w:sz w:val="20"/>
          <w:szCs w:val="20"/>
        </w:rPr>
        <w:t>86</w:t>
      </w:r>
    </w:p>
    <w:p w14:paraId="28B8FFA5" w14:textId="13688387" w:rsidR="007C1F2A" w:rsidRPr="002763E8" w:rsidRDefault="00B01B65" w:rsidP="00790CA8">
      <w:pPr>
        <w:pStyle w:val="Header"/>
        <w:tabs>
          <w:tab w:val="clear" w:pos="4153"/>
          <w:tab w:val="clear" w:pos="8306"/>
        </w:tabs>
        <w:rPr>
          <w:color w:val="000000" w:themeColor="text1"/>
          <w:sz w:val="20"/>
          <w:szCs w:val="20"/>
        </w:rPr>
      </w:pPr>
      <w:r w:rsidRPr="002763E8">
        <w:rPr>
          <w:color w:val="000000" w:themeColor="text1"/>
          <w:sz w:val="20"/>
          <w:szCs w:val="20"/>
        </w:rPr>
        <w:t>I.Iļjina</w:t>
      </w:r>
      <w:r w:rsidR="0038787E" w:rsidRPr="002763E8">
        <w:rPr>
          <w:color w:val="000000" w:themeColor="text1"/>
          <w:sz w:val="20"/>
          <w:szCs w:val="20"/>
        </w:rPr>
        <w:t>, 67013</w:t>
      </w:r>
      <w:r w:rsidRPr="002763E8">
        <w:rPr>
          <w:color w:val="000000" w:themeColor="text1"/>
          <w:sz w:val="20"/>
          <w:szCs w:val="20"/>
        </w:rPr>
        <w:t>095</w:t>
      </w:r>
      <w:r w:rsidR="000E1E0B">
        <w:rPr>
          <w:color w:val="000000" w:themeColor="text1"/>
          <w:sz w:val="20"/>
          <w:szCs w:val="20"/>
        </w:rPr>
        <w:t xml:space="preserve">, </w:t>
      </w:r>
      <w:hyperlink r:id="rId8" w:history="1">
        <w:r w:rsidR="006D428C" w:rsidRPr="002763E8">
          <w:rPr>
            <w:rStyle w:val="Hyperlink"/>
            <w:sz w:val="20"/>
            <w:szCs w:val="20"/>
          </w:rPr>
          <w:t>Inga.Iljina@em.gov.lv</w:t>
        </w:r>
      </w:hyperlink>
      <w:r w:rsidR="00C73B18" w:rsidRPr="002763E8">
        <w:rPr>
          <w:sz w:val="20"/>
          <w:szCs w:val="20"/>
        </w:rPr>
        <w:t xml:space="preserve"> </w:t>
      </w:r>
      <w:r w:rsidR="007C1F2A" w:rsidRPr="002763E8">
        <w:rPr>
          <w:color w:val="000000" w:themeColor="text1"/>
          <w:sz w:val="20"/>
          <w:szCs w:val="20"/>
        </w:rPr>
        <w:t xml:space="preserve"> </w:t>
      </w:r>
    </w:p>
    <w:p w14:paraId="1D60F92D" w14:textId="421B89F6" w:rsidR="00E0632F" w:rsidRDefault="006B45D8" w:rsidP="00790CA8">
      <w:pPr>
        <w:pStyle w:val="Header"/>
        <w:tabs>
          <w:tab w:val="clear" w:pos="4153"/>
          <w:tab w:val="clear" w:pos="8306"/>
        </w:tabs>
        <w:rPr>
          <w:color w:val="000000" w:themeColor="text1"/>
          <w:sz w:val="20"/>
          <w:szCs w:val="20"/>
        </w:rPr>
      </w:pPr>
      <w:r w:rsidRPr="002763E8">
        <w:rPr>
          <w:color w:val="000000" w:themeColor="text1"/>
          <w:sz w:val="20"/>
          <w:szCs w:val="20"/>
        </w:rPr>
        <w:t>A.Timofejeva, 67013227</w:t>
      </w:r>
      <w:r w:rsidR="000E1E0B">
        <w:rPr>
          <w:color w:val="000000" w:themeColor="text1"/>
          <w:sz w:val="20"/>
          <w:szCs w:val="20"/>
        </w:rPr>
        <w:t xml:space="preserve">, </w:t>
      </w:r>
      <w:hyperlink r:id="rId9" w:history="1">
        <w:r w:rsidRPr="002763E8">
          <w:rPr>
            <w:rStyle w:val="Hyperlink"/>
            <w:sz w:val="20"/>
            <w:szCs w:val="20"/>
          </w:rPr>
          <w:t>Aija.Timofejeva@em.gov.lv</w:t>
        </w:r>
      </w:hyperlink>
      <w:r w:rsidRPr="002763E8">
        <w:rPr>
          <w:sz w:val="20"/>
          <w:szCs w:val="20"/>
        </w:rPr>
        <w:t xml:space="preserve"> </w:t>
      </w:r>
      <w:r w:rsidRPr="002763E8">
        <w:rPr>
          <w:color w:val="000000" w:themeColor="text1"/>
          <w:sz w:val="20"/>
          <w:szCs w:val="20"/>
        </w:rPr>
        <w:t xml:space="preserve"> </w:t>
      </w:r>
    </w:p>
    <w:p w14:paraId="2D33782F" w14:textId="77777777" w:rsidR="00E0632F" w:rsidRPr="00E0632F" w:rsidRDefault="00E0632F" w:rsidP="00E0632F"/>
    <w:p w14:paraId="6A6B2CDE" w14:textId="77777777" w:rsidR="00E0632F" w:rsidRPr="00E0632F" w:rsidRDefault="00E0632F" w:rsidP="00E0632F"/>
    <w:p w14:paraId="57BEDF02" w14:textId="77777777" w:rsidR="00E0632F" w:rsidRPr="00E0632F" w:rsidRDefault="00E0632F" w:rsidP="00E0632F"/>
    <w:p w14:paraId="150D1A55" w14:textId="77777777" w:rsidR="00E0632F" w:rsidRPr="00E0632F" w:rsidRDefault="00E0632F" w:rsidP="00E0632F"/>
    <w:p w14:paraId="52B01786" w14:textId="77777777" w:rsidR="00E0632F" w:rsidRPr="00E0632F" w:rsidRDefault="00E0632F" w:rsidP="00E0632F"/>
    <w:p w14:paraId="71577196" w14:textId="77777777" w:rsidR="00E0632F" w:rsidRPr="00E0632F" w:rsidRDefault="00E0632F" w:rsidP="00E0632F"/>
    <w:p w14:paraId="158391B1" w14:textId="77777777" w:rsidR="00E0632F" w:rsidRPr="00E0632F" w:rsidRDefault="00E0632F" w:rsidP="00E0632F"/>
    <w:p w14:paraId="007C4EFF" w14:textId="77777777" w:rsidR="00E0632F" w:rsidRPr="00E0632F" w:rsidRDefault="00E0632F" w:rsidP="00E0632F"/>
    <w:p w14:paraId="61B84A05" w14:textId="77777777" w:rsidR="00E0632F" w:rsidRPr="00E0632F" w:rsidRDefault="00E0632F" w:rsidP="00E0632F"/>
    <w:p w14:paraId="7639DE7F" w14:textId="77777777" w:rsidR="00E0632F" w:rsidRPr="00E0632F" w:rsidRDefault="00E0632F" w:rsidP="00E0632F"/>
    <w:p w14:paraId="64001FD6" w14:textId="77777777" w:rsidR="00E0632F" w:rsidRPr="00E0632F" w:rsidRDefault="00E0632F" w:rsidP="00E0632F"/>
    <w:p w14:paraId="6279EE7A" w14:textId="77777777" w:rsidR="00E0632F" w:rsidRPr="00E0632F" w:rsidRDefault="00E0632F" w:rsidP="00E0632F"/>
    <w:p w14:paraId="0232B145" w14:textId="77777777" w:rsidR="00E0632F" w:rsidRPr="00E0632F" w:rsidRDefault="00E0632F" w:rsidP="00E0632F"/>
    <w:p w14:paraId="13DDBC84" w14:textId="77777777" w:rsidR="00E0632F" w:rsidRPr="00E0632F" w:rsidRDefault="00E0632F" w:rsidP="00E0632F"/>
    <w:p w14:paraId="5D3828C8" w14:textId="77777777" w:rsidR="00E0632F" w:rsidRPr="00E0632F" w:rsidRDefault="00E0632F" w:rsidP="00E0632F"/>
    <w:p w14:paraId="54DDFBC5" w14:textId="77777777" w:rsidR="00E0632F" w:rsidRPr="00E0632F" w:rsidRDefault="00E0632F" w:rsidP="00E0632F"/>
    <w:p w14:paraId="110B113A" w14:textId="77777777" w:rsidR="00E0632F" w:rsidRPr="00E0632F" w:rsidRDefault="00E0632F" w:rsidP="00E0632F"/>
    <w:p w14:paraId="5C6C68FA" w14:textId="77777777" w:rsidR="00E0632F" w:rsidRPr="00E0632F" w:rsidRDefault="00E0632F" w:rsidP="00E0632F"/>
    <w:p w14:paraId="27974D08" w14:textId="77777777" w:rsidR="00E0632F" w:rsidRPr="00E0632F" w:rsidRDefault="00E0632F" w:rsidP="00E0632F"/>
    <w:p w14:paraId="3FC7980B" w14:textId="77777777" w:rsidR="00E0632F" w:rsidRPr="00E0632F" w:rsidRDefault="00E0632F" w:rsidP="00E0632F"/>
    <w:p w14:paraId="6EA94DDC" w14:textId="77777777" w:rsidR="00E0632F" w:rsidRPr="00E0632F" w:rsidRDefault="00E0632F" w:rsidP="00E0632F"/>
    <w:p w14:paraId="1CFA1CD0" w14:textId="77777777" w:rsidR="00E0632F" w:rsidRPr="00E0632F" w:rsidRDefault="00E0632F" w:rsidP="00E0632F"/>
    <w:p w14:paraId="48860BE8" w14:textId="77777777" w:rsidR="00E0632F" w:rsidRPr="00E0632F" w:rsidRDefault="00E0632F" w:rsidP="00E0632F"/>
    <w:p w14:paraId="2B1DE9B1" w14:textId="77777777" w:rsidR="00E0632F" w:rsidRPr="00E0632F" w:rsidRDefault="00E0632F" w:rsidP="00E0632F"/>
    <w:p w14:paraId="14526816" w14:textId="77777777" w:rsidR="00E0632F" w:rsidRPr="00E0632F" w:rsidRDefault="00E0632F" w:rsidP="00E0632F"/>
    <w:p w14:paraId="325E229D" w14:textId="77777777" w:rsidR="00E0632F" w:rsidRPr="00E0632F" w:rsidRDefault="00E0632F" w:rsidP="00E0632F"/>
    <w:p w14:paraId="35886F65" w14:textId="6062AAD6" w:rsidR="00E0632F" w:rsidRDefault="00E0632F" w:rsidP="00E0632F"/>
    <w:p w14:paraId="4440D0B9" w14:textId="05942227" w:rsidR="006B45D8" w:rsidRPr="00E0632F" w:rsidRDefault="00E0632F" w:rsidP="00E0632F">
      <w:pPr>
        <w:tabs>
          <w:tab w:val="left" w:pos="1056"/>
        </w:tabs>
      </w:pPr>
      <w:r>
        <w:tab/>
      </w:r>
    </w:p>
    <w:sectPr w:rsidR="006B45D8" w:rsidRPr="00E0632F" w:rsidSect="00731FA4">
      <w:headerReference w:type="default" r:id="rId10"/>
      <w:footerReference w:type="default" r:id="rId11"/>
      <w:footerReference w:type="first" r:id="rId12"/>
      <w:pgSz w:w="11906" w:h="16838"/>
      <w:pgMar w:top="1418" w:right="991"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EA549" w14:textId="77777777" w:rsidR="006F4241" w:rsidRDefault="006F4241">
      <w:r>
        <w:separator/>
      </w:r>
    </w:p>
  </w:endnote>
  <w:endnote w:type="continuationSeparator" w:id="0">
    <w:p w14:paraId="07C806AA" w14:textId="77777777" w:rsidR="006F4241" w:rsidRDefault="006F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10002FF" w:usb1="4000ACFF" w:usb2="00000009"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93A9" w14:textId="720C60C4" w:rsidR="0058193A" w:rsidRPr="004024C2" w:rsidRDefault="0058193A" w:rsidP="004024C2">
    <w:pPr>
      <w:contextualSpacing/>
      <w:jc w:val="both"/>
      <w:outlineLvl w:val="0"/>
    </w:pPr>
    <w:r w:rsidRPr="004024C2">
      <w:rPr>
        <w:sz w:val="20"/>
        <w:szCs w:val="20"/>
      </w:rPr>
      <w:t>EMAnot_</w:t>
    </w:r>
    <w:r w:rsidR="00E0632F">
      <w:rPr>
        <w:sz w:val="20"/>
        <w:szCs w:val="20"/>
      </w:rPr>
      <w:t>29</w:t>
    </w:r>
    <w:r w:rsidR="00C77FC0">
      <w:rPr>
        <w:sz w:val="20"/>
        <w:szCs w:val="20"/>
      </w:rPr>
      <w:t>06</w:t>
    </w:r>
    <w:r>
      <w:rPr>
        <w:sz w:val="20"/>
        <w:szCs w:val="20"/>
      </w:rPr>
      <w:t>16</w:t>
    </w:r>
    <w:r w:rsidRPr="004024C2">
      <w:rPr>
        <w:sz w:val="20"/>
        <w:szCs w:val="20"/>
      </w:rPr>
      <w:t>_</w:t>
    </w:r>
    <w:r>
      <w:rPr>
        <w:sz w:val="20"/>
        <w:szCs w:val="20"/>
      </w:rPr>
      <w:t>MK262</w:t>
    </w:r>
    <w:r w:rsidRPr="004024C2">
      <w:rPr>
        <w:sz w:val="20"/>
        <w:szCs w:val="20"/>
      </w:rPr>
      <w:t xml:space="preserve">; </w:t>
    </w:r>
    <w:r w:rsidRPr="004024C2">
      <w:rPr>
        <w:color w:val="000000"/>
        <w:sz w:val="20"/>
        <w:szCs w:val="20"/>
      </w:rPr>
      <w:t xml:space="preserve">Ministru kabineta noteikumu projekta </w:t>
    </w:r>
    <w:r>
      <w:rPr>
        <w:bCs/>
        <w:sz w:val="20"/>
        <w:szCs w:val="20"/>
      </w:rPr>
      <w:t>“</w:t>
    </w:r>
    <w:r w:rsidRPr="004024C2">
      <w:rPr>
        <w:bCs/>
        <w:sz w:val="20"/>
        <w:szCs w:val="20"/>
      </w:rPr>
      <w:t>Grozījum</w:t>
    </w:r>
    <w:r>
      <w:rPr>
        <w:bCs/>
        <w:sz w:val="20"/>
        <w:szCs w:val="20"/>
      </w:rPr>
      <w:t>i</w:t>
    </w:r>
    <w:r w:rsidRPr="004024C2">
      <w:rPr>
        <w:bCs/>
        <w:sz w:val="20"/>
        <w:szCs w:val="20"/>
      </w:rPr>
      <w:t xml:space="preserve"> </w:t>
    </w:r>
    <w:r>
      <w:rPr>
        <w:color w:val="000000"/>
        <w:sz w:val="20"/>
        <w:szCs w:val="20"/>
      </w:rPr>
      <w:t>Ministru kabineta 20</w:t>
    </w:r>
    <w:r w:rsidR="00E27654">
      <w:rPr>
        <w:color w:val="000000"/>
        <w:sz w:val="20"/>
        <w:szCs w:val="20"/>
      </w:rPr>
      <w:t>10</w:t>
    </w:r>
    <w:r>
      <w:rPr>
        <w:color w:val="000000"/>
        <w:sz w:val="20"/>
        <w:szCs w:val="20"/>
      </w:rPr>
      <w:t>.gada 1</w:t>
    </w:r>
    <w:r w:rsidR="00E27654">
      <w:rPr>
        <w:color w:val="000000"/>
        <w:sz w:val="20"/>
        <w:szCs w:val="20"/>
      </w:rPr>
      <w:t>6</w:t>
    </w:r>
    <w:r>
      <w:rPr>
        <w:color w:val="000000"/>
        <w:sz w:val="20"/>
        <w:szCs w:val="20"/>
      </w:rPr>
      <w:t>.</w:t>
    </w:r>
    <w:r w:rsidRPr="004024C2">
      <w:rPr>
        <w:color w:val="000000"/>
        <w:sz w:val="20"/>
        <w:szCs w:val="20"/>
      </w:rPr>
      <w:t>marta noteikumos Nr.2</w:t>
    </w:r>
    <w:r>
      <w:rPr>
        <w:color w:val="000000"/>
        <w:sz w:val="20"/>
        <w:szCs w:val="20"/>
      </w:rPr>
      <w:t>62</w:t>
    </w:r>
    <w:r w:rsidRPr="004024C2">
      <w:rPr>
        <w:color w:val="000000"/>
        <w:sz w:val="20"/>
        <w:szCs w:val="20"/>
      </w:rPr>
      <w:t xml:space="preserve"> </w:t>
    </w:r>
    <w:r>
      <w:rPr>
        <w:color w:val="000000"/>
        <w:sz w:val="20"/>
        <w:szCs w:val="20"/>
      </w:rPr>
      <w:t>“</w:t>
    </w:r>
    <w:r w:rsidRPr="00BA077D">
      <w:rPr>
        <w:color w:val="000000"/>
        <w:sz w:val="20"/>
        <w:szCs w:val="20"/>
      </w:rPr>
      <w:t>Noteikumi par elektroenerģijas ražošanu, izmantojot atjaunojamos energoresursus, un cenu noteikšanas kārtību</w:t>
    </w:r>
    <w:r w:rsidRPr="004024C2">
      <w:rPr>
        <w:color w:val="000000"/>
        <w:sz w:val="20"/>
        <w:szCs w:val="20"/>
      </w:rPr>
      <w:t>”</w:t>
    </w:r>
    <w:r w:rsidRPr="004024C2">
      <w:rPr>
        <w:bCs/>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0D9D" w14:textId="274E6E26" w:rsidR="0058193A" w:rsidRPr="00DD514A" w:rsidRDefault="0058193A" w:rsidP="00DD514A">
    <w:pPr>
      <w:contextualSpacing/>
      <w:jc w:val="both"/>
      <w:outlineLvl w:val="0"/>
    </w:pPr>
    <w:r w:rsidRPr="004024C2">
      <w:rPr>
        <w:sz w:val="20"/>
        <w:szCs w:val="20"/>
      </w:rPr>
      <w:t>EMAnot_</w:t>
    </w:r>
    <w:r w:rsidR="00A9274F">
      <w:rPr>
        <w:sz w:val="20"/>
        <w:szCs w:val="20"/>
      </w:rPr>
      <w:t>29</w:t>
    </w:r>
    <w:r w:rsidR="00C77FC0">
      <w:rPr>
        <w:sz w:val="20"/>
        <w:szCs w:val="20"/>
      </w:rPr>
      <w:t>06</w:t>
    </w:r>
    <w:r>
      <w:rPr>
        <w:sz w:val="20"/>
        <w:szCs w:val="20"/>
      </w:rPr>
      <w:t>16</w:t>
    </w:r>
    <w:r w:rsidRPr="004024C2">
      <w:rPr>
        <w:sz w:val="20"/>
        <w:szCs w:val="20"/>
      </w:rPr>
      <w:t>_</w:t>
    </w:r>
    <w:r>
      <w:rPr>
        <w:sz w:val="20"/>
        <w:szCs w:val="20"/>
      </w:rPr>
      <w:t>MK262</w:t>
    </w:r>
    <w:r w:rsidRPr="004024C2">
      <w:rPr>
        <w:sz w:val="20"/>
        <w:szCs w:val="20"/>
      </w:rPr>
      <w:t xml:space="preserve">; </w:t>
    </w:r>
    <w:r w:rsidRPr="004024C2">
      <w:rPr>
        <w:color w:val="000000"/>
        <w:sz w:val="20"/>
        <w:szCs w:val="20"/>
      </w:rPr>
      <w:t xml:space="preserve">Ministru kabineta noteikumu projekta </w:t>
    </w:r>
    <w:r>
      <w:rPr>
        <w:bCs/>
        <w:sz w:val="20"/>
        <w:szCs w:val="20"/>
      </w:rPr>
      <w:t>“</w:t>
    </w:r>
    <w:r w:rsidRPr="004024C2">
      <w:rPr>
        <w:bCs/>
        <w:sz w:val="20"/>
        <w:szCs w:val="20"/>
      </w:rPr>
      <w:t>Grozījum</w:t>
    </w:r>
    <w:r>
      <w:rPr>
        <w:bCs/>
        <w:sz w:val="20"/>
        <w:szCs w:val="20"/>
      </w:rPr>
      <w:t>i</w:t>
    </w:r>
    <w:r w:rsidRPr="004024C2">
      <w:rPr>
        <w:bCs/>
        <w:sz w:val="20"/>
        <w:szCs w:val="20"/>
      </w:rPr>
      <w:t xml:space="preserve"> </w:t>
    </w:r>
    <w:r>
      <w:rPr>
        <w:color w:val="000000"/>
        <w:sz w:val="20"/>
        <w:szCs w:val="20"/>
      </w:rPr>
      <w:t>Ministru kabineta 20</w:t>
    </w:r>
    <w:r w:rsidR="00E27654">
      <w:rPr>
        <w:color w:val="000000"/>
        <w:sz w:val="20"/>
        <w:szCs w:val="20"/>
      </w:rPr>
      <w:t>10</w:t>
    </w:r>
    <w:r>
      <w:rPr>
        <w:color w:val="000000"/>
        <w:sz w:val="20"/>
        <w:szCs w:val="20"/>
      </w:rPr>
      <w:t>.gada 1</w:t>
    </w:r>
    <w:r w:rsidR="00E27654">
      <w:rPr>
        <w:color w:val="000000"/>
        <w:sz w:val="20"/>
        <w:szCs w:val="20"/>
      </w:rPr>
      <w:t>6</w:t>
    </w:r>
    <w:r>
      <w:rPr>
        <w:color w:val="000000"/>
        <w:sz w:val="20"/>
        <w:szCs w:val="20"/>
      </w:rPr>
      <w:t>.</w:t>
    </w:r>
    <w:r w:rsidRPr="004024C2">
      <w:rPr>
        <w:color w:val="000000"/>
        <w:sz w:val="20"/>
        <w:szCs w:val="20"/>
      </w:rPr>
      <w:t>marta noteikumos Nr.2</w:t>
    </w:r>
    <w:r>
      <w:rPr>
        <w:color w:val="000000"/>
        <w:sz w:val="20"/>
        <w:szCs w:val="20"/>
      </w:rPr>
      <w:t>62</w:t>
    </w:r>
    <w:r w:rsidRPr="004024C2">
      <w:rPr>
        <w:color w:val="000000"/>
        <w:sz w:val="20"/>
        <w:szCs w:val="20"/>
      </w:rPr>
      <w:t xml:space="preserve"> </w:t>
    </w:r>
    <w:r>
      <w:rPr>
        <w:color w:val="000000"/>
        <w:sz w:val="20"/>
        <w:szCs w:val="20"/>
      </w:rPr>
      <w:t>“</w:t>
    </w:r>
    <w:r w:rsidRPr="00BA077D">
      <w:rPr>
        <w:color w:val="000000"/>
        <w:sz w:val="20"/>
        <w:szCs w:val="20"/>
      </w:rPr>
      <w:t>Noteikumi par elektroenerģijas ražošanu, izmantojot atjaunojamos energoresursus, un cenu noteikšanas kārtību</w:t>
    </w:r>
    <w:r w:rsidRPr="004024C2">
      <w:rPr>
        <w:color w:val="000000"/>
        <w:sz w:val="20"/>
        <w:szCs w:val="20"/>
      </w:rPr>
      <w:t>”</w:t>
    </w:r>
    <w:r w:rsidRPr="004024C2">
      <w:rPr>
        <w:bCs/>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10267" w14:textId="77777777" w:rsidR="006F4241" w:rsidRDefault="006F4241">
      <w:r>
        <w:separator/>
      </w:r>
    </w:p>
  </w:footnote>
  <w:footnote w:type="continuationSeparator" w:id="0">
    <w:p w14:paraId="37C56F4F" w14:textId="77777777" w:rsidR="006F4241" w:rsidRDefault="006F4241">
      <w:r>
        <w:continuationSeparator/>
      </w:r>
    </w:p>
  </w:footnote>
  <w:footnote w:id="1">
    <w:p w14:paraId="0E789FCE" w14:textId="77777777" w:rsidR="0058193A" w:rsidRDefault="0058193A" w:rsidP="00AC59FA">
      <w:pPr>
        <w:pStyle w:val="FootnoteText"/>
      </w:pPr>
      <w:r>
        <w:rPr>
          <w:rStyle w:val="FootnoteReference"/>
        </w:rPr>
        <w:footnoteRef/>
      </w:r>
      <w:r>
        <w:t xml:space="preserve"> </w:t>
      </w:r>
      <w:hyperlink r:id="rId1" w:history="1">
        <w:r w:rsidRPr="001B6F9B">
          <w:rPr>
            <w:rStyle w:val="Hyperlink"/>
          </w:rPr>
          <w:t>http://diacore.eu/images/files2/WP3-Final%20Report/diacore-2016-impact-of-risk-in-res-investments.pdf</w:t>
        </w:r>
      </w:hyperlink>
      <w:r>
        <w:t xml:space="preserve"> </w:t>
      </w:r>
    </w:p>
  </w:footnote>
  <w:footnote w:id="2">
    <w:p w14:paraId="42A0A6A1" w14:textId="77777777" w:rsidR="0058193A" w:rsidRDefault="0058193A">
      <w:pPr>
        <w:pStyle w:val="FootnoteText"/>
      </w:pPr>
      <w:r>
        <w:rPr>
          <w:rStyle w:val="FootnoteReference"/>
        </w:rPr>
        <w:footnoteRef/>
      </w:r>
      <w:r>
        <w:t xml:space="preserve"> Piemēram, </w:t>
      </w:r>
      <w:r w:rsidRPr="005509ED">
        <w:t>Methodology for determining reference costs of electricity generated from renewable resources</w:t>
      </w:r>
      <w:r>
        <w:t>, Slovēnija, 2009</w:t>
      </w:r>
    </w:p>
  </w:footnote>
  <w:footnote w:id="3">
    <w:p w14:paraId="282538E5" w14:textId="77777777" w:rsidR="0058193A" w:rsidRDefault="0058193A" w:rsidP="006F693A">
      <w:pPr>
        <w:pStyle w:val="FootnoteText"/>
        <w:jc w:val="both"/>
      </w:pPr>
      <w:r>
        <w:rPr>
          <w:rStyle w:val="FootnoteReference"/>
        </w:rPr>
        <w:footnoteRef/>
      </w:r>
      <w:r>
        <w:t xml:space="preserve"> Piemēram, </w:t>
      </w:r>
      <w:r w:rsidRPr="005509ED">
        <w:t>Elektroenerģijas, kas ražota no atjaunojamiem energoresursiem un koģenerācijā, atbalsta izvērtējums un priekšlikumi atbalsta uzlabošanai</w:t>
      </w:r>
      <w:r>
        <w:t>. Otrais nodevums, Rīga, 2013</w:t>
      </w:r>
    </w:p>
  </w:footnote>
  <w:footnote w:id="4">
    <w:p w14:paraId="3F83255A" w14:textId="77777777" w:rsidR="0058193A" w:rsidRPr="00DA7FFA" w:rsidRDefault="0058193A" w:rsidP="00597B0B">
      <w:pPr>
        <w:jc w:val="both"/>
        <w:rPr>
          <w:sz w:val="20"/>
          <w:szCs w:val="20"/>
        </w:rPr>
      </w:pPr>
      <w:r w:rsidRPr="00B87A66">
        <w:rPr>
          <w:rStyle w:val="FootnoteReference"/>
          <w:sz w:val="20"/>
          <w:szCs w:val="20"/>
        </w:rPr>
        <w:footnoteRef/>
      </w:r>
      <w:r w:rsidRPr="00B87A66">
        <w:rPr>
          <w:sz w:val="20"/>
          <w:szCs w:val="20"/>
        </w:rPr>
        <w:t xml:space="preserve"> Pētījum</w:t>
      </w:r>
      <w:r>
        <w:rPr>
          <w:sz w:val="20"/>
          <w:szCs w:val="20"/>
        </w:rPr>
        <w:t xml:space="preserve">a </w:t>
      </w:r>
      <w:r>
        <w:rPr>
          <w:rFonts w:eastAsia="Calibri"/>
          <w:color w:val="000000"/>
          <w:sz w:val="20"/>
          <w:szCs w:val="20"/>
        </w:rPr>
        <w:t>“</w:t>
      </w:r>
      <w:r w:rsidRPr="00B87A66">
        <w:rPr>
          <w:rFonts w:eastAsia="Calibri"/>
          <w:color w:val="000000"/>
          <w:sz w:val="20"/>
          <w:szCs w:val="20"/>
        </w:rPr>
        <w:t>Elektroenerģijas, kas ražota no atjaunojamiem energoresursiem un koģenerācijā, atbalsta izvērtējums un priekšlikumi atbalsta uzlabošanai”</w:t>
      </w:r>
      <w:r>
        <w:rPr>
          <w:rFonts w:eastAsia="Calibri"/>
          <w:color w:val="000000"/>
          <w:sz w:val="20"/>
          <w:szCs w:val="20"/>
        </w:rPr>
        <w:t xml:space="preserve"> 118.lpp. Pētījums</w:t>
      </w:r>
      <w:r w:rsidRPr="00B87A66">
        <w:rPr>
          <w:rFonts w:eastAsia="Calibri"/>
          <w:color w:val="000000"/>
          <w:sz w:val="20"/>
          <w:szCs w:val="20"/>
        </w:rPr>
        <w:t xml:space="preserve"> pieejams Ekonomikas ministrija tīmekļa vietnē: </w:t>
      </w:r>
      <w:r w:rsidRPr="00DA7FFA">
        <w:rPr>
          <w:rFonts w:eastAsia="Calibri"/>
          <w:color w:val="000000"/>
          <w:sz w:val="20"/>
          <w:szCs w:val="20"/>
        </w:rPr>
        <w:t>(</w:t>
      </w:r>
      <w:hyperlink r:id="rId2" w:history="1">
        <w:r w:rsidRPr="00DA7FFA">
          <w:rPr>
            <w:rStyle w:val="Hyperlink"/>
            <w:sz w:val="20"/>
            <w:szCs w:val="20"/>
          </w:rPr>
          <w:t>https://www.em.gov.lv/files/energetika/SIA_Ekodoma_atskaite.pdf</w:t>
        </w:r>
      </w:hyperlink>
      <w:r w:rsidRPr="00DA7FFA">
        <w:rPr>
          <w:sz w:val="20"/>
          <w:szCs w:val="20"/>
        </w:rPr>
        <w:t xml:space="preserve"> </w:t>
      </w:r>
      <w:r w:rsidRPr="00DA7FFA">
        <w:rPr>
          <w:rStyle w:val="Hyperlink"/>
          <w:rFonts w:eastAsia="Calibri"/>
          <w:color w:val="000000"/>
          <w:sz w:val="20"/>
          <w:szCs w:val="20"/>
        </w:rPr>
        <w:t>)</w:t>
      </w:r>
      <w:r w:rsidRPr="00DA7FFA">
        <w:rPr>
          <w:rFonts w:eastAsia="Calibri"/>
          <w:color w:val="000000"/>
          <w:sz w:val="20"/>
          <w:szCs w:val="20"/>
        </w:rPr>
        <w:t>.</w:t>
      </w:r>
    </w:p>
  </w:footnote>
  <w:footnote w:id="5">
    <w:p w14:paraId="54B7F695" w14:textId="77777777" w:rsidR="0058193A" w:rsidRPr="00A644BE" w:rsidRDefault="0058193A">
      <w:pPr>
        <w:pStyle w:val="FootnoteText"/>
        <w:rPr>
          <w:sz w:val="16"/>
          <w:szCs w:val="16"/>
        </w:rPr>
      </w:pPr>
      <w:r>
        <w:rPr>
          <w:rStyle w:val="FootnoteReference"/>
        </w:rPr>
        <w:footnoteRef/>
      </w:r>
      <w:r>
        <w:t xml:space="preserve"> </w:t>
      </w:r>
      <w:r w:rsidRPr="00A644BE">
        <w:rPr>
          <w:sz w:val="16"/>
          <w:szCs w:val="16"/>
        </w:rPr>
        <w:t>Pieejams: (</w:t>
      </w:r>
      <w:hyperlink r:id="rId3" w:history="1">
        <w:r w:rsidRPr="00A644BE">
          <w:rPr>
            <w:rStyle w:val="Hyperlink"/>
            <w:sz w:val="16"/>
            <w:szCs w:val="16"/>
          </w:rPr>
          <w:t>http://likumi.lv/ta/id/276625-par-konceptualo-zinojumu-kompleksi-pasakumi-elektroenergijas-tirgus-attistibai</w:t>
        </w:r>
      </w:hyperlink>
      <w:r w:rsidRPr="00A644BE">
        <w:rPr>
          <w:rStyle w:val="Hyperlink"/>
          <w:sz w:val="16"/>
          <w:szCs w:val="16"/>
        </w:rPr>
        <w:t>)</w:t>
      </w:r>
      <w:r w:rsidRPr="00A644BE">
        <w:rPr>
          <w:sz w:val="16"/>
          <w:szCs w:val="16"/>
        </w:rPr>
        <w:t xml:space="preserve"> [Aplūkots 14.05.2016.]</w:t>
      </w:r>
    </w:p>
  </w:footnote>
  <w:footnote w:id="6">
    <w:p w14:paraId="10BDC35C" w14:textId="77777777" w:rsidR="0058193A" w:rsidRPr="00A644BE" w:rsidRDefault="0058193A">
      <w:pPr>
        <w:pStyle w:val="FootnoteText"/>
        <w:rPr>
          <w:sz w:val="16"/>
          <w:szCs w:val="16"/>
        </w:rPr>
      </w:pPr>
      <w:r w:rsidRPr="00A644BE">
        <w:rPr>
          <w:rStyle w:val="FootnoteReference"/>
          <w:sz w:val="16"/>
          <w:szCs w:val="16"/>
        </w:rPr>
        <w:footnoteRef/>
      </w:r>
      <w:r w:rsidRPr="00A644BE">
        <w:rPr>
          <w:sz w:val="16"/>
          <w:szCs w:val="16"/>
        </w:rPr>
        <w:t xml:space="preserve"> Pieejams: (</w:t>
      </w:r>
      <w:hyperlink r:id="rId4" w:history="1">
        <w:r w:rsidRPr="00A644BE">
          <w:rPr>
            <w:rStyle w:val="Hyperlink"/>
            <w:sz w:val="16"/>
            <w:szCs w:val="16"/>
          </w:rPr>
          <w:t>http://www.pkc.gov.lv/images/vald%C4%ABbas_deklar%C4%81cijas/2016/20160210_MKucinskis_vald_prior_GALA_VERS.pdf</w:t>
        </w:r>
      </w:hyperlink>
      <w:r w:rsidRPr="00A644BE">
        <w:rPr>
          <w:rStyle w:val="Hyperlink"/>
          <w:sz w:val="16"/>
          <w:szCs w:val="16"/>
        </w:rPr>
        <w:t>)</w:t>
      </w:r>
      <w:r w:rsidRPr="00A644BE">
        <w:rPr>
          <w:sz w:val="16"/>
          <w:szCs w:val="16"/>
        </w:rPr>
        <w:t xml:space="preserve">  [Aplūkots 14.05.2016.]</w:t>
      </w:r>
    </w:p>
  </w:footnote>
  <w:footnote w:id="7">
    <w:p w14:paraId="5AFC68CD" w14:textId="77777777" w:rsidR="0058193A" w:rsidRDefault="0058193A">
      <w:pPr>
        <w:pStyle w:val="FootnoteText"/>
      </w:pPr>
      <w:r w:rsidRPr="00A644BE">
        <w:rPr>
          <w:rStyle w:val="FootnoteReference"/>
          <w:sz w:val="16"/>
          <w:szCs w:val="16"/>
        </w:rPr>
        <w:footnoteRef/>
      </w:r>
      <w:r w:rsidRPr="00A644BE">
        <w:rPr>
          <w:sz w:val="16"/>
          <w:szCs w:val="16"/>
        </w:rPr>
        <w:t xml:space="preserve"> Pieejams: (</w:t>
      </w:r>
      <w:hyperlink r:id="rId5" w:history="1">
        <w:r w:rsidRPr="00A644BE">
          <w:rPr>
            <w:rStyle w:val="Hyperlink"/>
            <w:sz w:val="16"/>
            <w:szCs w:val="16"/>
          </w:rPr>
          <w:t>http://www.pkc.gov.lv/images/vald%C4%ABbas_deklar%C4%81cijas/2016/VRP/Copy_of_1_2_10_11_280416_VRP_pielikum.xls</w:t>
        </w:r>
      </w:hyperlink>
      <w:r w:rsidRPr="00A644BE">
        <w:rPr>
          <w:rStyle w:val="Hyperlink"/>
          <w:sz w:val="16"/>
          <w:szCs w:val="16"/>
        </w:rPr>
        <w:t>)</w:t>
      </w:r>
      <w:r w:rsidRPr="00A644BE">
        <w:rPr>
          <w:sz w:val="16"/>
          <w:szCs w:val="16"/>
        </w:rPr>
        <w:t xml:space="preserve"> [Aplūkots 14.05.2016.]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391"/>
      <w:docPartObj>
        <w:docPartGallery w:val="Page Numbers (Top of Page)"/>
        <w:docPartUnique/>
      </w:docPartObj>
    </w:sdtPr>
    <w:sdtEndPr/>
    <w:sdtContent>
      <w:p w14:paraId="546F9DDD" w14:textId="77777777" w:rsidR="0058193A" w:rsidRDefault="0058193A">
        <w:pPr>
          <w:pStyle w:val="Header"/>
          <w:jc w:val="center"/>
        </w:pPr>
        <w:r>
          <w:fldChar w:fldCharType="begin"/>
        </w:r>
        <w:r>
          <w:instrText xml:space="preserve"> PAGE   \* MERGEFORMAT </w:instrText>
        </w:r>
        <w:r>
          <w:fldChar w:fldCharType="separate"/>
        </w:r>
        <w:r w:rsidR="00230E4D">
          <w:rPr>
            <w:noProof/>
          </w:rPr>
          <w:t>16</w:t>
        </w:r>
        <w:r>
          <w:rPr>
            <w:noProof/>
          </w:rPr>
          <w:fldChar w:fldCharType="end"/>
        </w:r>
      </w:p>
    </w:sdtContent>
  </w:sdt>
  <w:p w14:paraId="590800AC" w14:textId="77777777" w:rsidR="0058193A" w:rsidRDefault="00581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C64477"/>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857C00"/>
    <w:multiLevelType w:val="hybridMultilevel"/>
    <w:tmpl w:val="B40CA53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8943ED"/>
    <w:multiLevelType w:val="multilevel"/>
    <w:tmpl w:val="615427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CC4F38"/>
    <w:multiLevelType w:val="hybridMultilevel"/>
    <w:tmpl w:val="B702422C"/>
    <w:lvl w:ilvl="0" w:tplc="04260005">
      <w:start w:val="1"/>
      <w:numFmt w:val="bullet"/>
      <w:lvlText w:val=""/>
      <w:lvlJc w:val="left"/>
      <w:pPr>
        <w:ind w:left="776" w:hanging="360"/>
      </w:pPr>
      <w:rPr>
        <w:rFonts w:ascii="Wingdings" w:hAnsi="Wingdings"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6" w15:restartNumberingAfterBreak="0">
    <w:nsid w:val="30351702"/>
    <w:multiLevelType w:val="hybridMultilevel"/>
    <w:tmpl w:val="D3388B38"/>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7" w15:restartNumberingAfterBreak="0">
    <w:nsid w:val="442875B8"/>
    <w:multiLevelType w:val="hybridMultilevel"/>
    <w:tmpl w:val="7E4A4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F34067"/>
    <w:multiLevelType w:val="hybridMultilevel"/>
    <w:tmpl w:val="D6D690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CA5B45"/>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0D5EB9"/>
    <w:multiLevelType w:val="hybridMultilevel"/>
    <w:tmpl w:val="7E4A4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6C524C6C"/>
    <w:multiLevelType w:val="hybridMultilevel"/>
    <w:tmpl w:val="B486E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1"/>
  </w:num>
  <w:num w:numId="2">
    <w:abstractNumId w:val="1"/>
  </w:num>
  <w:num w:numId="3">
    <w:abstractNumId w:val="0"/>
  </w:num>
  <w:num w:numId="4">
    <w:abstractNumId w:val="13"/>
  </w:num>
  <w:num w:numId="5">
    <w:abstractNumId w:val="9"/>
  </w:num>
  <w:num w:numId="6">
    <w:abstractNumId w:val="2"/>
  </w:num>
  <w:num w:numId="7">
    <w:abstractNumId w:val="10"/>
  </w:num>
  <w:num w:numId="8">
    <w:abstractNumId w:val="7"/>
  </w:num>
  <w:num w:numId="9">
    <w:abstractNumId w:val="3"/>
  </w:num>
  <w:num w:numId="10">
    <w:abstractNumId w:val="6"/>
  </w:num>
  <w:num w:numId="11">
    <w:abstractNumId w:val="12"/>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0C"/>
    <w:rsid w:val="00001B29"/>
    <w:rsid w:val="00002533"/>
    <w:rsid w:val="00002C43"/>
    <w:rsid w:val="00002CFB"/>
    <w:rsid w:val="00003034"/>
    <w:rsid w:val="000056F9"/>
    <w:rsid w:val="00006186"/>
    <w:rsid w:val="00006263"/>
    <w:rsid w:val="00015274"/>
    <w:rsid w:val="00022BAF"/>
    <w:rsid w:val="00023BE0"/>
    <w:rsid w:val="000275C4"/>
    <w:rsid w:val="000307EC"/>
    <w:rsid w:val="00030E08"/>
    <w:rsid w:val="000411A2"/>
    <w:rsid w:val="00045CA7"/>
    <w:rsid w:val="000618A5"/>
    <w:rsid w:val="00062AFB"/>
    <w:rsid w:val="0008083E"/>
    <w:rsid w:val="00083D0E"/>
    <w:rsid w:val="00085923"/>
    <w:rsid w:val="0009208B"/>
    <w:rsid w:val="00092EC2"/>
    <w:rsid w:val="000B0EA4"/>
    <w:rsid w:val="000B1299"/>
    <w:rsid w:val="000B2F14"/>
    <w:rsid w:val="000B41D7"/>
    <w:rsid w:val="000B654C"/>
    <w:rsid w:val="000C346D"/>
    <w:rsid w:val="000C3A7F"/>
    <w:rsid w:val="000C4407"/>
    <w:rsid w:val="000C5C51"/>
    <w:rsid w:val="000C624C"/>
    <w:rsid w:val="000C71F9"/>
    <w:rsid w:val="000D0970"/>
    <w:rsid w:val="000D4C2E"/>
    <w:rsid w:val="000D5F09"/>
    <w:rsid w:val="000D7D82"/>
    <w:rsid w:val="000E1E0B"/>
    <w:rsid w:val="000E2245"/>
    <w:rsid w:val="000E47DB"/>
    <w:rsid w:val="000E690F"/>
    <w:rsid w:val="000F0035"/>
    <w:rsid w:val="000F3432"/>
    <w:rsid w:val="000F6095"/>
    <w:rsid w:val="001035B2"/>
    <w:rsid w:val="0011496F"/>
    <w:rsid w:val="00114A12"/>
    <w:rsid w:val="0012248A"/>
    <w:rsid w:val="00131719"/>
    <w:rsid w:val="00141922"/>
    <w:rsid w:val="00142063"/>
    <w:rsid w:val="00144309"/>
    <w:rsid w:val="00146184"/>
    <w:rsid w:val="00147B5F"/>
    <w:rsid w:val="0015274F"/>
    <w:rsid w:val="00152CA8"/>
    <w:rsid w:val="001549DC"/>
    <w:rsid w:val="00155A90"/>
    <w:rsid w:val="0015761D"/>
    <w:rsid w:val="00171647"/>
    <w:rsid w:val="00171B35"/>
    <w:rsid w:val="00171C09"/>
    <w:rsid w:val="00183897"/>
    <w:rsid w:val="00186BBC"/>
    <w:rsid w:val="00187797"/>
    <w:rsid w:val="00187D7E"/>
    <w:rsid w:val="001A0F18"/>
    <w:rsid w:val="001A3BE3"/>
    <w:rsid w:val="001A6C2B"/>
    <w:rsid w:val="001A72AA"/>
    <w:rsid w:val="001A732D"/>
    <w:rsid w:val="001B4DC7"/>
    <w:rsid w:val="001C1A2E"/>
    <w:rsid w:val="001C4F02"/>
    <w:rsid w:val="001D1B66"/>
    <w:rsid w:val="001E1CB2"/>
    <w:rsid w:val="001E3714"/>
    <w:rsid w:val="001F1A2E"/>
    <w:rsid w:val="001F72E1"/>
    <w:rsid w:val="002000B5"/>
    <w:rsid w:val="00204A0F"/>
    <w:rsid w:val="002051F5"/>
    <w:rsid w:val="002056DF"/>
    <w:rsid w:val="00205ACF"/>
    <w:rsid w:val="00205F55"/>
    <w:rsid w:val="00212C50"/>
    <w:rsid w:val="00213196"/>
    <w:rsid w:val="00213A4F"/>
    <w:rsid w:val="002143A9"/>
    <w:rsid w:val="00224297"/>
    <w:rsid w:val="00225654"/>
    <w:rsid w:val="00230712"/>
    <w:rsid w:val="00230E4D"/>
    <w:rsid w:val="00232EE3"/>
    <w:rsid w:val="00234E56"/>
    <w:rsid w:val="00235C64"/>
    <w:rsid w:val="002365F1"/>
    <w:rsid w:val="00245DB5"/>
    <w:rsid w:val="00251C2D"/>
    <w:rsid w:val="002612CE"/>
    <w:rsid w:val="00263785"/>
    <w:rsid w:val="00263D0D"/>
    <w:rsid w:val="002762A5"/>
    <w:rsid w:val="002763E8"/>
    <w:rsid w:val="00280BF3"/>
    <w:rsid w:val="0028250F"/>
    <w:rsid w:val="002830FC"/>
    <w:rsid w:val="00292262"/>
    <w:rsid w:val="002B44AF"/>
    <w:rsid w:val="002B708A"/>
    <w:rsid w:val="002D7C67"/>
    <w:rsid w:val="002E584A"/>
    <w:rsid w:val="002F6FE8"/>
    <w:rsid w:val="0030164A"/>
    <w:rsid w:val="0031785A"/>
    <w:rsid w:val="00321F7E"/>
    <w:rsid w:val="00322ACC"/>
    <w:rsid w:val="00325030"/>
    <w:rsid w:val="003255EE"/>
    <w:rsid w:val="00330730"/>
    <w:rsid w:val="00355EED"/>
    <w:rsid w:val="00367663"/>
    <w:rsid w:val="003716AE"/>
    <w:rsid w:val="00374BAD"/>
    <w:rsid w:val="003754C8"/>
    <w:rsid w:val="00375B99"/>
    <w:rsid w:val="00375BB7"/>
    <w:rsid w:val="00377D1F"/>
    <w:rsid w:val="00382A29"/>
    <w:rsid w:val="0038729A"/>
    <w:rsid w:val="0038787E"/>
    <w:rsid w:val="003938D5"/>
    <w:rsid w:val="00397020"/>
    <w:rsid w:val="003B6256"/>
    <w:rsid w:val="003B72FF"/>
    <w:rsid w:val="003C5082"/>
    <w:rsid w:val="003C574F"/>
    <w:rsid w:val="003D44D3"/>
    <w:rsid w:val="003E00E1"/>
    <w:rsid w:val="003E0379"/>
    <w:rsid w:val="003F7923"/>
    <w:rsid w:val="004024C2"/>
    <w:rsid w:val="004068A0"/>
    <w:rsid w:val="00407576"/>
    <w:rsid w:val="00411CE9"/>
    <w:rsid w:val="00413F0B"/>
    <w:rsid w:val="0042350B"/>
    <w:rsid w:val="004238DC"/>
    <w:rsid w:val="00433594"/>
    <w:rsid w:val="0043460D"/>
    <w:rsid w:val="00435C4E"/>
    <w:rsid w:val="00436FED"/>
    <w:rsid w:val="00444F36"/>
    <w:rsid w:val="00445CE6"/>
    <w:rsid w:val="00454A67"/>
    <w:rsid w:val="00456AB4"/>
    <w:rsid w:val="004602E5"/>
    <w:rsid w:val="004625CB"/>
    <w:rsid w:val="0046388B"/>
    <w:rsid w:val="00467807"/>
    <w:rsid w:val="00467AE2"/>
    <w:rsid w:val="00470C42"/>
    <w:rsid w:val="00476C69"/>
    <w:rsid w:val="004874F2"/>
    <w:rsid w:val="00496E0A"/>
    <w:rsid w:val="004A7C3C"/>
    <w:rsid w:val="004B0A2B"/>
    <w:rsid w:val="004B51EA"/>
    <w:rsid w:val="004B6002"/>
    <w:rsid w:val="004C1E1A"/>
    <w:rsid w:val="004C27A3"/>
    <w:rsid w:val="004E3DE6"/>
    <w:rsid w:val="004E4FC5"/>
    <w:rsid w:val="00504184"/>
    <w:rsid w:val="00510E71"/>
    <w:rsid w:val="00515281"/>
    <w:rsid w:val="00516161"/>
    <w:rsid w:val="00525153"/>
    <w:rsid w:val="0052711C"/>
    <w:rsid w:val="00527E2C"/>
    <w:rsid w:val="00537FB4"/>
    <w:rsid w:val="005401D5"/>
    <w:rsid w:val="005502A9"/>
    <w:rsid w:val="00551821"/>
    <w:rsid w:val="005674CF"/>
    <w:rsid w:val="00580579"/>
    <w:rsid w:val="0058193A"/>
    <w:rsid w:val="00586632"/>
    <w:rsid w:val="005905EA"/>
    <w:rsid w:val="00594F99"/>
    <w:rsid w:val="005953F7"/>
    <w:rsid w:val="00597319"/>
    <w:rsid w:val="00597614"/>
    <w:rsid w:val="00597B0B"/>
    <w:rsid w:val="005A3F8B"/>
    <w:rsid w:val="005B01F1"/>
    <w:rsid w:val="005B1DE9"/>
    <w:rsid w:val="005B4750"/>
    <w:rsid w:val="005B49C4"/>
    <w:rsid w:val="005D2283"/>
    <w:rsid w:val="005D51D5"/>
    <w:rsid w:val="005D52E5"/>
    <w:rsid w:val="005E4FB7"/>
    <w:rsid w:val="005E5231"/>
    <w:rsid w:val="005E59EE"/>
    <w:rsid w:val="005E64FE"/>
    <w:rsid w:val="005F1654"/>
    <w:rsid w:val="005F499B"/>
    <w:rsid w:val="0060359C"/>
    <w:rsid w:val="00605930"/>
    <w:rsid w:val="00606F0F"/>
    <w:rsid w:val="006070AD"/>
    <w:rsid w:val="00607FC1"/>
    <w:rsid w:val="0061285C"/>
    <w:rsid w:val="006153C6"/>
    <w:rsid w:val="00621CFE"/>
    <w:rsid w:val="006233BE"/>
    <w:rsid w:val="00634C4B"/>
    <w:rsid w:val="00636316"/>
    <w:rsid w:val="0063700E"/>
    <w:rsid w:val="00642ED1"/>
    <w:rsid w:val="006444BD"/>
    <w:rsid w:val="006448A9"/>
    <w:rsid w:val="006450D6"/>
    <w:rsid w:val="00646084"/>
    <w:rsid w:val="006479B8"/>
    <w:rsid w:val="0065682C"/>
    <w:rsid w:val="00656C16"/>
    <w:rsid w:val="00667AC4"/>
    <w:rsid w:val="00677470"/>
    <w:rsid w:val="00681B8F"/>
    <w:rsid w:val="00682CE4"/>
    <w:rsid w:val="00683362"/>
    <w:rsid w:val="00684126"/>
    <w:rsid w:val="0069091D"/>
    <w:rsid w:val="00693AC9"/>
    <w:rsid w:val="006943D4"/>
    <w:rsid w:val="00696206"/>
    <w:rsid w:val="006A06DE"/>
    <w:rsid w:val="006A7797"/>
    <w:rsid w:val="006B07E1"/>
    <w:rsid w:val="006B38AA"/>
    <w:rsid w:val="006B45D8"/>
    <w:rsid w:val="006B5BA5"/>
    <w:rsid w:val="006B5F24"/>
    <w:rsid w:val="006B6539"/>
    <w:rsid w:val="006B7369"/>
    <w:rsid w:val="006C6203"/>
    <w:rsid w:val="006C626F"/>
    <w:rsid w:val="006D1678"/>
    <w:rsid w:val="006D1AD3"/>
    <w:rsid w:val="006D428C"/>
    <w:rsid w:val="006E2057"/>
    <w:rsid w:val="006E2E30"/>
    <w:rsid w:val="006E2F36"/>
    <w:rsid w:val="006E4BB6"/>
    <w:rsid w:val="006E56FB"/>
    <w:rsid w:val="006F22B7"/>
    <w:rsid w:val="006F320B"/>
    <w:rsid w:val="006F4123"/>
    <w:rsid w:val="006F4241"/>
    <w:rsid w:val="006F693A"/>
    <w:rsid w:val="0070288B"/>
    <w:rsid w:val="007040BF"/>
    <w:rsid w:val="00707445"/>
    <w:rsid w:val="0071109E"/>
    <w:rsid w:val="007135F5"/>
    <w:rsid w:val="00720C43"/>
    <w:rsid w:val="007213EE"/>
    <w:rsid w:val="00722569"/>
    <w:rsid w:val="00722D04"/>
    <w:rsid w:val="00726DBD"/>
    <w:rsid w:val="00727F9E"/>
    <w:rsid w:val="00731681"/>
    <w:rsid w:val="00731868"/>
    <w:rsid w:val="00731FA4"/>
    <w:rsid w:val="0073218E"/>
    <w:rsid w:val="007343BB"/>
    <w:rsid w:val="0074075A"/>
    <w:rsid w:val="0074115E"/>
    <w:rsid w:val="007422D8"/>
    <w:rsid w:val="007423D7"/>
    <w:rsid w:val="00747325"/>
    <w:rsid w:val="007508D8"/>
    <w:rsid w:val="0075256C"/>
    <w:rsid w:val="00752EA8"/>
    <w:rsid w:val="0075376F"/>
    <w:rsid w:val="007570FE"/>
    <w:rsid w:val="00764D5D"/>
    <w:rsid w:val="007733AB"/>
    <w:rsid w:val="00774214"/>
    <w:rsid w:val="00777029"/>
    <w:rsid w:val="00781525"/>
    <w:rsid w:val="0078546C"/>
    <w:rsid w:val="00790CA8"/>
    <w:rsid w:val="00794236"/>
    <w:rsid w:val="00797AEE"/>
    <w:rsid w:val="007A14B7"/>
    <w:rsid w:val="007A2129"/>
    <w:rsid w:val="007A4CFE"/>
    <w:rsid w:val="007A6A26"/>
    <w:rsid w:val="007A72E5"/>
    <w:rsid w:val="007A7613"/>
    <w:rsid w:val="007B3C6A"/>
    <w:rsid w:val="007B4C35"/>
    <w:rsid w:val="007C1B92"/>
    <w:rsid w:val="007C1F2A"/>
    <w:rsid w:val="007D2420"/>
    <w:rsid w:val="007F11D4"/>
    <w:rsid w:val="00804CFF"/>
    <w:rsid w:val="008105A9"/>
    <w:rsid w:val="00814312"/>
    <w:rsid w:val="00815C3A"/>
    <w:rsid w:val="008162B5"/>
    <w:rsid w:val="00817316"/>
    <w:rsid w:val="00817907"/>
    <w:rsid w:val="008204E8"/>
    <w:rsid w:val="00822526"/>
    <w:rsid w:val="00822FE8"/>
    <w:rsid w:val="008323C5"/>
    <w:rsid w:val="00840817"/>
    <w:rsid w:val="00842559"/>
    <w:rsid w:val="0084764D"/>
    <w:rsid w:val="00851C84"/>
    <w:rsid w:val="00863ADD"/>
    <w:rsid w:val="008667DC"/>
    <w:rsid w:val="00867DEE"/>
    <w:rsid w:val="00871475"/>
    <w:rsid w:val="008745B3"/>
    <w:rsid w:val="0089380C"/>
    <w:rsid w:val="008A2240"/>
    <w:rsid w:val="008A3446"/>
    <w:rsid w:val="008A64B2"/>
    <w:rsid w:val="008B0B85"/>
    <w:rsid w:val="008C222E"/>
    <w:rsid w:val="008C7745"/>
    <w:rsid w:val="008D0DDD"/>
    <w:rsid w:val="008D6852"/>
    <w:rsid w:val="008E1079"/>
    <w:rsid w:val="008E1EA2"/>
    <w:rsid w:val="008E3CA5"/>
    <w:rsid w:val="008F7768"/>
    <w:rsid w:val="008F7F1F"/>
    <w:rsid w:val="00900F89"/>
    <w:rsid w:val="009021EC"/>
    <w:rsid w:val="00903F26"/>
    <w:rsid w:val="00904884"/>
    <w:rsid w:val="00907769"/>
    <w:rsid w:val="00911250"/>
    <w:rsid w:val="00916830"/>
    <w:rsid w:val="009279E6"/>
    <w:rsid w:val="009352A5"/>
    <w:rsid w:val="009426AE"/>
    <w:rsid w:val="00944E33"/>
    <w:rsid w:val="00946975"/>
    <w:rsid w:val="0094759F"/>
    <w:rsid w:val="009515C4"/>
    <w:rsid w:val="009519B3"/>
    <w:rsid w:val="0095727B"/>
    <w:rsid w:val="00957B65"/>
    <w:rsid w:val="009622AF"/>
    <w:rsid w:val="0096767A"/>
    <w:rsid w:val="009820C0"/>
    <w:rsid w:val="00986A9C"/>
    <w:rsid w:val="009871E7"/>
    <w:rsid w:val="0099482E"/>
    <w:rsid w:val="00996430"/>
    <w:rsid w:val="009A090E"/>
    <w:rsid w:val="009A16A1"/>
    <w:rsid w:val="009A775F"/>
    <w:rsid w:val="009B0D25"/>
    <w:rsid w:val="009B3275"/>
    <w:rsid w:val="009C3598"/>
    <w:rsid w:val="009C444F"/>
    <w:rsid w:val="009D07A5"/>
    <w:rsid w:val="009D2285"/>
    <w:rsid w:val="009D35DA"/>
    <w:rsid w:val="009D502D"/>
    <w:rsid w:val="009E1CB5"/>
    <w:rsid w:val="009E385B"/>
    <w:rsid w:val="009F062C"/>
    <w:rsid w:val="009F5B0D"/>
    <w:rsid w:val="00A01D4D"/>
    <w:rsid w:val="00A0594A"/>
    <w:rsid w:val="00A24608"/>
    <w:rsid w:val="00A257A8"/>
    <w:rsid w:val="00A31910"/>
    <w:rsid w:val="00A3255A"/>
    <w:rsid w:val="00A45F3F"/>
    <w:rsid w:val="00A45F8E"/>
    <w:rsid w:val="00A46D4A"/>
    <w:rsid w:val="00A535F5"/>
    <w:rsid w:val="00A53A71"/>
    <w:rsid w:val="00A63D1F"/>
    <w:rsid w:val="00A644BE"/>
    <w:rsid w:val="00A75B93"/>
    <w:rsid w:val="00A81088"/>
    <w:rsid w:val="00A8143F"/>
    <w:rsid w:val="00A84158"/>
    <w:rsid w:val="00A9274F"/>
    <w:rsid w:val="00A92C0C"/>
    <w:rsid w:val="00A96DC6"/>
    <w:rsid w:val="00AA2980"/>
    <w:rsid w:val="00AA2F10"/>
    <w:rsid w:val="00AB1AE9"/>
    <w:rsid w:val="00AB264F"/>
    <w:rsid w:val="00AC0250"/>
    <w:rsid w:val="00AC0DCF"/>
    <w:rsid w:val="00AC1F53"/>
    <w:rsid w:val="00AC3AEF"/>
    <w:rsid w:val="00AC4672"/>
    <w:rsid w:val="00AC55C7"/>
    <w:rsid w:val="00AC59FA"/>
    <w:rsid w:val="00AC5CEE"/>
    <w:rsid w:val="00AD12E3"/>
    <w:rsid w:val="00AD5B51"/>
    <w:rsid w:val="00AD6F6C"/>
    <w:rsid w:val="00AD7DC7"/>
    <w:rsid w:val="00AE10FF"/>
    <w:rsid w:val="00AE2232"/>
    <w:rsid w:val="00AE3D51"/>
    <w:rsid w:val="00AE44F1"/>
    <w:rsid w:val="00B01B65"/>
    <w:rsid w:val="00B04733"/>
    <w:rsid w:val="00B06E68"/>
    <w:rsid w:val="00B078C3"/>
    <w:rsid w:val="00B1634A"/>
    <w:rsid w:val="00B21B97"/>
    <w:rsid w:val="00B22DDF"/>
    <w:rsid w:val="00B2471F"/>
    <w:rsid w:val="00B27AAD"/>
    <w:rsid w:val="00B302B4"/>
    <w:rsid w:val="00B318BB"/>
    <w:rsid w:val="00B32FE5"/>
    <w:rsid w:val="00B34FD1"/>
    <w:rsid w:val="00B36AE9"/>
    <w:rsid w:val="00B45AEB"/>
    <w:rsid w:val="00B56B89"/>
    <w:rsid w:val="00B61505"/>
    <w:rsid w:val="00B6178C"/>
    <w:rsid w:val="00B64DB5"/>
    <w:rsid w:val="00B772E7"/>
    <w:rsid w:val="00B800AE"/>
    <w:rsid w:val="00B807CD"/>
    <w:rsid w:val="00B85E4C"/>
    <w:rsid w:val="00B8600D"/>
    <w:rsid w:val="00B87A66"/>
    <w:rsid w:val="00B91CA0"/>
    <w:rsid w:val="00BA077D"/>
    <w:rsid w:val="00BA71FF"/>
    <w:rsid w:val="00BB5653"/>
    <w:rsid w:val="00BD0455"/>
    <w:rsid w:val="00BD263B"/>
    <w:rsid w:val="00BD4304"/>
    <w:rsid w:val="00BD4772"/>
    <w:rsid w:val="00BD6148"/>
    <w:rsid w:val="00BE2C72"/>
    <w:rsid w:val="00BE44E0"/>
    <w:rsid w:val="00BE6521"/>
    <w:rsid w:val="00BF2755"/>
    <w:rsid w:val="00BF4E15"/>
    <w:rsid w:val="00C0118A"/>
    <w:rsid w:val="00C050A4"/>
    <w:rsid w:val="00C1175D"/>
    <w:rsid w:val="00C117EF"/>
    <w:rsid w:val="00C1367F"/>
    <w:rsid w:val="00C13CB6"/>
    <w:rsid w:val="00C15E77"/>
    <w:rsid w:val="00C17079"/>
    <w:rsid w:val="00C258CE"/>
    <w:rsid w:val="00C27320"/>
    <w:rsid w:val="00C3315D"/>
    <w:rsid w:val="00C425B6"/>
    <w:rsid w:val="00C52054"/>
    <w:rsid w:val="00C5632C"/>
    <w:rsid w:val="00C61BF9"/>
    <w:rsid w:val="00C63108"/>
    <w:rsid w:val="00C703B2"/>
    <w:rsid w:val="00C73B18"/>
    <w:rsid w:val="00C73BD5"/>
    <w:rsid w:val="00C770AD"/>
    <w:rsid w:val="00C77FC0"/>
    <w:rsid w:val="00C841CC"/>
    <w:rsid w:val="00C870DB"/>
    <w:rsid w:val="00C96074"/>
    <w:rsid w:val="00CA4C33"/>
    <w:rsid w:val="00CA6A77"/>
    <w:rsid w:val="00CA6B76"/>
    <w:rsid w:val="00CB4654"/>
    <w:rsid w:val="00CD1B12"/>
    <w:rsid w:val="00CE6EF4"/>
    <w:rsid w:val="00CF0035"/>
    <w:rsid w:val="00D00630"/>
    <w:rsid w:val="00D04B59"/>
    <w:rsid w:val="00D05A30"/>
    <w:rsid w:val="00D25278"/>
    <w:rsid w:val="00D34BD0"/>
    <w:rsid w:val="00D35394"/>
    <w:rsid w:val="00D6038E"/>
    <w:rsid w:val="00D62BE0"/>
    <w:rsid w:val="00D62F85"/>
    <w:rsid w:val="00D70509"/>
    <w:rsid w:val="00D725F0"/>
    <w:rsid w:val="00D72D4D"/>
    <w:rsid w:val="00D751B0"/>
    <w:rsid w:val="00D76697"/>
    <w:rsid w:val="00D800A7"/>
    <w:rsid w:val="00D81689"/>
    <w:rsid w:val="00D823FB"/>
    <w:rsid w:val="00D8433F"/>
    <w:rsid w:val="00D85761"/>
    <w:rsid w:val="00D95162"/>
    <w:rsid w:val="00D95530"/>
    <w:rsid w:val="00D976BB"/>
    <w:rsid w:val="00DA176A"/>
    <w:rsid w:val="00DA26CB"/>
    <w:rsid w:val="00DA7022"/>
    <w:rsid w:val="00DA7FFA"/>
    <w:rsid w:val="00DB08E1"/>
    <w:rsid w:val="00DB1DA9"/>
    <w:rsid w:val="00DB609E"/>
    <w:rsid w:val="00DC3064"/>
    <w:rsid w:val="00DC5C95"/>
    <w:rsid w:val="00DC7A99"/>
    <w:rsid w:val="00DC7B61"/>
    <w:rsid w:val="00DD3FB8"/>
    <w:rsid w:val="00DD514A"/>
    <w:rsid w:val="00DD528A"/>
    <w:rsid w:val="00DD6BE1"/>
    <w:rsid w:val="00DE0352"/>
    <w:rsid w:val="00DE0E8D"/>
    <w:rsid w:val="00DE1024"/>
    <w:rsid w:val="00DE3B12"/>
    <w:rsid w:val="00DF012F"/>
    <w:rsid w:val="00DF18D9"/>
    <w:rsid w:val="00DF6696"/>
    <w:rsid w:val="00E04040"/>
    <w:rsid w:val="00E04F4C"/>
    <w:rsid w:val="00E0632F"/>
    <w:rsid w:val="00E10361"/>
    <w:rsid w:val="00E10FE5"/>
    <w:rsid w:val="00E12E17"/>
    <w:rsid w:val="00E23870"/>
    <w:rsid w:val="00E27654"/>
    <w:rsid w:val="00E33C97"/>
    <w:rsid w:val="00E345CF"/>
    <w:rsid w:val="00E40368"/>
    <w:rsid w:val="00E40631"/>
    <w:rsid w:val="00E40CD5"/>
    <w:rsid w:val="00E440E8"/>
    <w:rsid w:val="00E4507B"/>
    <w:rsid w:val="00E5535B"/>
    <w:rsid w:val="00E60D37"/>
    <w:rsid w:val="00E620BE"/>
    <w:rsid w:val="00E6657E"/>
    <w:rsid w:val="00E71495"/>
    <w:rsid w:val="00E74762"/>
    <w:rsid w:val="00E76CDA"/>
    <w:rsid w:val="00E94F11"/>
    <w:rsid w:val="00EA04BE"/>
    <w:rsid w:val="00EA18F1"/>
    <w:rsid w:val="00EA19D2"/>
    <w:rsid w:val="00EA2AA3"/>
    <w:rsid w:val="00EA2EA1"/>
    <w:rsid w:val="00EA43AB"/>
    <w:rsid w:val="00EA7A72"/>
    <w:rsid w:val="00EB01F6"/>
    <w:rsid w:val="00EB2194"/>
    <w:rsid w:val="00EB7FA3"/>
    <w:rsid w:val="00EC14D6"/>
    <w:rsid w:val="00EC4F25"/>
    <w:rsid w:val="00EC52D1"/>
    <w:rsid w:val="00EC5D03"/>
    <w:rsid w:val="00EC6916"/>
    <w:rsid w:val="00ED708F"/>
    <w:rsid w:val="00EE1FDB"/>
    <w:rsid w:val="00EE24A8"/>
    <w:rsid w:val="00EE2530"/>
    <w:rsid w:val="00EE2F3C"/>
    <w:rsid w:val="00EE2FD6"/>
    <w:rsid w:val="00F0583F"/>
    <w:rsid w:val="00F07468"/>
    <w:rsid w:val="00F1032F"/>
    <w:rsid w:val="00F17731"/>
    <w:rsid w:val="00F17D87"/>
    <w:rsid w:val="00F20DA3"/>
    <w:rsid w:val="00F2130A"/>
    <w:rsid w:val="00F25D11"/>
    <w:rsid w:val="00F25D4D"/>
    <w:rsid w:val="00F36583"/>
    <w:rsid w:val="00F3698F"/>
    <w:rsid w:val="00F40385"/>
    <w:rsid w:val="00F41EFF"/>
    <w:rsid w:val="00F421D7"/>
    <w:rsid w:val="00F503BA"/>
    <w:rsid w:val="00F50DC4"/>
    <w:rsid w:val="00F54A75"/>
    <w:rsid w:val="00F66415"/>
    <w:rsid w:val="00F7241C"/>
    <w:rsid w:val="00F72E13"/>
    <w:rsid w:val="00F77128"/>
    <w:rsid w:val="00F813D1"/>
    <w:rsid w:val="00F821C4"/>
    <w:rsid w:val="00F821DE"/>
    <w:rsid w:val="00F82390"/>
    <w:rsid w:val="00F8291D"/>
    <w:rsid w:val="00F87271"/>
    <w:rsid w:val="00F87FA1"/>
    <w:rsid w:val="00F91240"/>
    <w:rsid w:val="00F9798A"/>
    <w:rsid w:val="00FA09D1"/>
    <w:rsid w:val="00FA7810"/>
    <w:rsid w:val="00FB0404"/>
    <w:rsid w:val="00FB2C7D"/>
    <w:rsid w:val="00FB4700"/>
    <w:rsid w:val="00FC1CC8"/>
    <w:rsid w:val="00FD02B2"/>
    <w:rsid w:val="00FD4A18"/>
    <w:rsid w:val="00FE0727"/>
    <w:rsid w:val="00FE28E4"/>
    <w:rsid w:val="00FF1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4310912"/>
  <w15:docId w15:val="{87703D2F-DADF-4F0B-95A7-129553AE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FB"/>
    <w:rPr>
      <w:sz w:val="24"/>
      <w:szCs w:val="24"/>
    </w:rPr>
  </w:style>
  <w:style w:type="paragraph" w:styleId="Heading1">
    <w:name w:val="heading 1"/>
    <w:basedOn w:val="Normal"/>
    <w:link w:val="Heading1Char"/>
    <w:uiPriority w:val="9"/>
    <w:qFormat/>
    <w:rsid w:val="00DC5C9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CA6A7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uiPriority w:val="99"/>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uiPriority w:val="99"/>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aliases w:val="2"/>
    <w:basedOn w:val="Normal"/>
    <w:link w:val="ListParagraphChar"/>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1C1A2E"/>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1C1A2E"/>
  </w:style>
  <w:style w:type="character" w:styleId="FootnoteReference">
    <w:name w:val="footnote reference"/>
    <w:aliases w:val="Footnote Reference Number,SUPERS"/>
    <w:basedOn w:val="DefaultParagraphFont"/>
    <w:uiPriority w:val="99"/>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doc-ti">
    <w:name w:val="doc-ti"/>
    <w:basedOn w:val="Normal"/>
    <w:rsid w:val="004024C2"/>
    <w:pPr>
      <w:spacing w:before="240" w:after="120"/>
      <w:jc w:val="center"/>
    </w:pPr>
    <w:rPr>
      <w:b/>
      <w:bCs/>
      <w:sz w:val="18"/>
      <w:szCs w:val="18"/>
    </w:rPr>
  </w:style>
  <w:style w:type="character" w:customStyle="1" w:styleId="Heading1Char">
    <w:name w:val="Heading 1 Char"/>
    <w:basedOn w:val="DefaultParagraphFont"/>
    <w:link w:val="Heading1"/>
    <w:uiPriority w:val="9"/>
    <w:rsid w:val="00DC5C95"/>
    <w:rPr>
      <w:b/>
      <w:bCs/>
      <w:kern w:val="36"/>
      <w:sz w:val="48"/>
      <w:szCs w:val="48"/>
    </w:rPr>
  </w:style>
  <w:style w:type="character" w:styleId="PlaceholderText">
    <w:name w:val="Placeholder Text"/>
    <w:basedOn w:val="DefaultParagraphFont"/>
    <w:uiPriority w:val="99"/>
    <w:semiHidden/>
    <w:rsid w:val="0015274F"/>
    <w:rPr>
      <w:color w:val="808080"/>
    </w:rPr>
  </w:style>
  <w:style w:type="character" w:customStyle="1" w:styleId="Heading3Char">
    <w:name w:val="Heading 3 Char"/>
    <w:basedOn w:val="DefaultParagraphFont"/>
    <w:link w:val="Heading3"/>
    <w:rsid w:val="00CA6A77"/>
    <w:rPr>
      <w:rFonts w:asciiTheme="majorHAnsi" w:eastAsiaTheme="majorEastAsia" w:hAnsiTheme="majorHAnsi" w:cstheme="majorBidi"/>
      <w:color w:val="243F60" w:themeColor="accent1" w:themeShade="7F"/>
      <w:sz w:val="24"/>
      <w:szCs w:val="24"/>
    </w:rPr>
  </w:style>
  <w:style w:type="paragraph" w:customStyle="1" w:styleId="ListParagraph1">
    <w:name w:val="List Paragraph1"/>
    <w:basedOn w:val="Normal"/>
    <w:rsid w:val="009279E6"/>
    <w:pPr>
      <w:spacing w:after="200" w:line="276" w:lineRule="auto"/>
      <w:ind w:left="720"/>
      <w:contextualSpacing/>
    </w:pPr>
    <w:rPr>
      <w:rFonts w:ascii="Calibri" w:hAnsi="Calibri"/>
      <w:sz w:val="22"/>
      <w:szCs w:val="22"/>
      <w:lang w:val="en-US" w:eastAsia="en-US"/>
    </w:rPr>
  </w:style>
  <w:style w:type="paragraph" w:customStyle="1" w:styleId="tvhtml">
    <w:name w:val="tv_html"/>
    <w:basedOn w:val="Normal"/>
    <w:rsid w:val="00E74762"/>
    <w:pPr>
      <w:spacing w:before="100" w:beforeAutospacing="1" w:after="100" w:afterAutospacing="1"/>
    </w:pPr>
  </w:style>
  <w:style w:type="character" w:customStyle="1" w:styleId="ListParagraphChar">
    <w:name w:val="List Paragraph Char"/>
    <w:aliases w:val="2 Char"/>
    <w:link w:val="ListParagraph"/>
    <w:uiPriority w:val="34"/>
    <w:locked/>
    <w:rsid w:val="00E74762"/>
    <w:rPr>
      <w:sz w:val="28"/>
      <w:szCs w:val="28"/>
    </w:rPr>
  </w:style>
  <w:style w:type="character" w:customStyle="1" w:styleId="apple-converted-space">
    <w:name w:val="apple-converted-space"/>
    <w:basedOn w:val="DefaultParagraphFont"/>
    <w:rsid w:val="000056F9"/>
  </w:style>
  <w:style w:type="character" w:customStyle="1" w:styleId="st1">
    <w:name w:val="st1"/>
    <w:basedOn w:val="DefaultParagraphFont"/>
    <w:rsid w:val="0000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230432811">
      <w:bodyDiv w:val="1"/>
      <w:marLeft w:val="0"/>
      <w:marRight w:val="0"/>
      <w:marTop w:val="0"/>
      <w:marBottom w:val="0"/>
      <w:divBdr>
        <w:top w:val="none" w:sz="0" w:space="0" w:color="auto"/>
        <w:left w:val="none" w:sz="0" w:space="0" w:color="auto"/>
        <w:bottom w:val="none" w:sz="0" w:space="0" w:color="auto"/>
        <w:right w:val="none" w:sz="0" w:space="0" w:color="auto"/>
      </w:divBdr>
      <w:divsChild>
        <w:div w:id="1325933693">
          <w:marLeft w:val="0"/>
          <w:marRight w:val="0"/>
          <w:marTop w:val="480"/>
          <w:marBottom w:val="240"/>
          <w:divBdr>
            <w:top w:val="none" w:sz="0" w:space="0" w:color="auto"/>
            <w:left w:val="none" w:sz="0" w:space="0" w:color="auto"/>
            <w:bottom w:val="none" w:sz="0" w:space="0" w:color="auto"/>
            <w:right w:val="none" w:sz="0" w:space="0" w:color="auto"/>
          </w:divBdr>
        </w:div>
        <w:div w:id="1529417256">
          <w:marLeft w:val="0"/>
          <w:marRight w:val="0"/>
          <w:marTop w:val="0"/>
          <w:marBottom w:val="567"/>
          <w:divBdr>
            <w:top w:val="none" w:sz="0" w:space="0" w:color="auto"/>
            <w:left w:val="none" w:sz="0" w:space="0" w:color="auto"/>
            <w:bottom w:val="none" w:sz="0" w:space="0" w:color="auto"/>
            <w:right w:val="none" w:sz="0" w:space="0" w:color="auto"/>
          </w:divBdr>
        </w:div>
      </w:divsChild>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1065689281">
      <w:bodyDiv w:val="1"/>
      <w:marLeft w:val="0"/>
      <w:marRight w:val="0"/>
      <w:marTop w:val="0"/>
      <w:marBottom w:val="0"/>
      <w:divBdr>
        <w:top w:val="none" w:sz="0" w:space="0" w:color="auto"/>
        <w:left w:val="none" w:sz="0" w:space="0" w:color="auto"/>
        <w:bottom w:val="none" w:sz="0" w:space="0" w:color="auto"/>
        <w:right w:val="none" w:sz="0" w:space="0" w:color="auto"/>
      </w:divBdr>
    </w:div>
    <w:div w:id="1186673441">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29287547">
      <w:bodyDiv w:val="1"/>
      <w:marLeft w:val="0"/>
      <w:marRight w:val="0"/>
      <w:marTop w:val="0"/>
      <w:marBottom w:val="0"/>
      <w:divBdr>
        <w:top w:val="none" w:sz="0" w:space="0" w:color="auto"/>
        <w:left w:val="none" w:sz="0" w:space="0" w:color="auto"/>
        <w:bottom w:val="none" w:sz="0" w:space="0" w:color="auto"/>
        <w:right w:val="none" w:sz="0" w:space="0" w:color="auto"/>
      </w:divBdr>
    </w:div>
    <w:div w:id="1430197695">
      <w:bodyDiv w:val="1"/>
      <w:marLeft w:val="0"/>
      <w:marRight w:val="0"/>
      <w:marTop w:val="0"/>
      <w:marBottom w:val="0"/>
      <w:divBdr>
        <w:top w:val="none" w:sz="0" w:space="0" w:color="auto"/>
        <w:left w:val="none" w:sz="0" w:space="0" w:color="auto"/>
        <w:bottom w:val="none" w:sz="0" w:space="0" w:color="auto"/>
        <w:right w:val="none" w:sz="0" w:space="0" w:color="auto"/>
      </w:divBdr>
      <w:divsChild>
        <w:div w:id="852039248">
          <w:marLeft w:val="0"/>
          <w:marRight w:val="0"/>
          <w:marTop w:val="480"/>
          <w:marBottom w:val="240"/>
          <w:divBdr>
            <w:top w:val="none" w:sz="0" w:space="0" w:color="auto"/>
            <w:left w:val="none" w:sz="0" w:space="0" w:color="auto"/>
            <w:bottom w:val="none" w:sz="0" w:space="0" w:color="auto"/>
            <w:right w:val="none" w:sz="0" w:space="0" w:color="auto"/>
          </w:divBdr>
        </w:div>
        <w:div w:id="407119767">
          <w:marLeft w:val="0"/>
          <w:marRight w:val="0"/>
          <w:marTop w:val="0"/>
          <w:marBottom w:val="567"/>
          <w:divBdr>
            <w:top w:val="none" w:sz="0" w:space="0" w:color="auto"/>
            <w:left w:val="none" w:sz="0" w:space="0" w:color="auto"/>
            <w:bottom w:val="none" w:sz="0" w:space="0" w:color="auto"/>
            <w:right w:val="none" w:sz="0" w:space="0" w:color="auto"/>
          </w:divBdr>
        </w:div>
      </w:divsChild>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1186098779">
                      <w:marLeft w:val="0"/>
                      <w:marRight w:val="0"/>
                      <w:marTop w:val="0"/>
                      <w:marBottom w:val="0"/>
                      <w:divBdr>
                        <w:top w:val="none" w:sz="0" w:space="0" w:color="auto"/>
                        <w:left w:val="none" w:sz="0" w:space="0" w:color="auto"/>
                        <w:bottom w:val="none" w:sz="0" w:space="0" w:color="auto"/>
                        <w:right w:val="none" w:sz="0" w:space="0" w:color="auto"/>
                      </w:divBdr>
                    </w:div>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311204950">
                              <w:marLeft w:val="0"/>
                              <w:marRight w:val="0"/>
                              <w:marTop w:val="0"/>
                              <w:marBottom w:val="0"/>
                              <w:divBdr>
                                <w:top w:val="none" w:sz="0" w:space="0" w:color="auto"/>
                                <w:left w:val="none" w:sz="0" w:space="0" w:color="auto"/>
                                <w:bottom w:val="none" w:sz="0" w:space="0" w:color="auto"/>
                                <w:right w:val="none" w:sz="0" w:space="0" w:color="auto"/>
                              </w:divBdr>
                            </w:div>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76720843">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20017317">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sChild>
            </w:div>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94190980">
                      <w:marLeft w:val="0"/>
                      <w:marRight w:val="0"/>
                      <w:marTop w:val="0"/>
                      <w:marBottom w:val="0"/>
                      <w:divBdr>
                        <w:top w:val="none" w:sz="0" w:space="0" w:color="auto"/>
                        <w:left w:val="none" w:sz="0" w:space="0" w:color="auto"/>
                        <w:bottom w:val="none" w:sz="0" w:space="0" w:color="auto"/>
                        <w:right w:val="none" w:sz="0" w:space="0" w:color="auto"/>
                      </w:divBdr>
                    </w:div>
                    <w:div w:id="16016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869687634">
                  <w:marLeft w:val="0"/>
                  <w:marRight w:val="0"/>
                  <w:marTop w:val="0"/>
                  <w:marBottom w:val="0"/>
                  <w:divBdr>
                    <w:top w:val="none" w:sz="0" w:space="0" w:color="auto"/>
                    <w:left w:val="none" w:sz="0" w:space="0" w:color="auto"/>
                    <w:bottom w:val="none" w:sz="0" w:space="0" w:color="auto"/>
                    <w:right w:val="none" w:sz="0" w:space="0" w:color="auto"/>
                  </w:divBdr>
                </w:div>
                <w:div w:id="23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850097860">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Iljin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ja.Timofejeva@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ta/id/276625-par-konceptualo-zinojumu-kompleksi-pasakumi-elektroenergijas-tirgus-attistibai" TargetMode="External"/><Relationship Id="rId2" Type="http://schemas.openxmlformats.org/officeDocument/2006/relationships/hyperlink" Target="https://www.em.gov.lv/files/energetika/SIA_Ekodoma_atskaite.pdf" TargetMode="External"/><Relationship Id="rId1" Type="http://schemas.openxmlformats.org/officeDocument/2006/relationships/hyperlink" Target="http://diacore.eu/images/files2/WP3-Final%20Report/diacore-2016-impact-of-risk-in-res-investments.pdf" TargetMode="External"/><Relationship Id="rId5" Type="http://schemas.openxmlformats.org/officeDocument/2006/relationships/hyperlink" Target="http://www.pkc.gov.lv/images/vald%C4%ABbas_deklar%C4%81cijas/2016/VRP/Copy_of_1_2_10_11_280416_VRP_pielikum.xls" TargetMode="External"/><Relationship Id="rId4" Type="http://schemas.openxmlformats.org/officeDocument/2006/relationships/hyperlink" Target="http://www.pkc.gov.lv/images/vald%C4%ABbas_deklar%C4%81cijas/2016/20160210_MKucinskis_vald_prior_GALA_V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9828-A7A5-46B1-83B1-E4B4F1AF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4586</Words>
  <Characters>33671</Characters>
  <Application>Microsoft Office Word</Application>
  <DocSecurity>0</DocSecurity>
  <Lines>280</Lines>
  <Paragraphs>76</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Ekonomikas ministrija</Company>
  <LinksUpToDate>false</LinksUpToDate>
  <CharactersWithSpaces>38181</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creator>Aija Timofejeva</dc:creator>
  <cp:lastModifiedBy>Inga Iļjina</cp:lastModifiedBy>
  <cp:revision>6</cp:revision>
  <cp:lastPrinted>2016-05-16T11:05:00Z</cp:lastPrinted>
  <dcterms:created xsi:type="dcterms:W3CDTF">2016-06-17T16:21:00Z</dcterms:created>
  <dcterms:modified xsi:type="dcterms:W3CDTF">2016-06-29T14:17:00Z</dcterms:modified>
  <cp:contentStatus/>
</cp:coreProperties>
</file>