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Spacing w:w="0" w:type="dxa"/>
        <w:tblInd w:w="-2" w:type="dxa"/>
        <w:tblLayout w:type="fixed"/>
        <w:tblCellMar>
          <w:left w:w="0" w:type="dxa"/>
          <w:right w:w="0" w:type="dxa"/>
        </w:tblCellMar>
        <w:tblLook w:val="04A0" w:firstRow="1" w:lastRow="0" w:firstColumn="1" w:lastColumn="0" w:noHBand="0" w:noVBand="1"/>
      </w:tblPr>
      <w:tblGrid>
        <w:gridCol w:w="569"/>
        <w:gridCol w:w="2268"/>
        <w:gridCol w:w="6365"/>
      </w:tblGrid>
      <w:tr w:rsidR="00AA085C" w:rsidRPr="009E19AF" w:rsidTr="00650469">
        <w:trPr>
          <w:trHeight w:val="1554"/>
          <w:tblCellSpacing w:w="0" w:type="dxa"/>
        </w:trPr>
        <w:tc>
          <w:tcPr>
            <w:tcW w:w="9202" w:type="dxa"/>
            <w:gridSpan w:val="3"/>
            <w:vAlign w:val="center"/>
          </w:tcPr>
          <w:p w:rsidR="00AA085C" w:rsidRPr="00CC7093" w:rsidRDefault="00AA085C" w:rsidP="00054A5C">
            <w:pPr>
              <w:jc w:val="center"/>
            </w:pPr>
            <w:bookmarkStart w:id="0" w:name="OLE_LINK1"/>
            <w:bookmarkStart w:id="1" w:name="OLE_LINK2"/>
            <w:r w:rsidRPr="00CC7093">
              <w:t>Ministru kabineta rīkojuma projekta</w:t>
            </w:r>
          </w:p>
          <w:p w:rsidR="00AA085C" w:rsidRPr="00FA6B67" w:rsidRDefault="004A2FEB" w:rsidP="000113F4">
            <w:pPr>
              <w:jc w:val="center"/>
              <w:rPr>
                <w:b/>
                <w:bCs/>
              </w:rPr>
            </w:pPr>
            <w:bookmarkStart w:id="2" w:name="OLE_LINK3"/>
            <w:bookmarkStart w:id="3" w:name="OLE_LINK4"/>
            <w:r w:rsidRPr="00FA6B67">
              <w:rPr>
                <w:b/>
                <w:bCs/>
              </w:rPr>
              <w:t>„</w:t>
            </w:r>
            <w:bookmarkEnd w:id="2"/>
            <w:bookmarkEnd w:id="3"/>
            <w:r w:rsidR="00FA6B67" w:rsidRPr="00FA6B67">
              <w:rPr>
                <w:b/>
              </w:rPr>
              <w:t>Grozījum</w:t>
            </w:r>
            <w:r w:rsidR="00AF7DCD">
              <w:rPr>
                <w:b/>
              </w:rPr>
              <w:t>s</w:t>
            </w:r>
            <w:r w:rsidR="00FA6B67" w:rsidRPr="00FA6B67">
              <w:rPr>
                <w:b/>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AA085C" w:rsidRPr="00FA6B67">
              <w:rPr>
                <w:b/>
                <w:bCs/>
              </w:rPr>
              <w:t xml:space="preserve">” </w:t>
            </w:r>
          </w:p>
          <w:p w:rsidR="00AA085C" w:rsidRPr="00CC7093" w:rsidRDefault="00AA085C" w:rsidP="00EC5F50">
            <w:pPr>
              <w:spacing w:after="120"/>
              <w:jc w:val="center"/>
              <w:rPr>
                <w:rFonts w:ascii="Arial" w:hAnsi="Arial" w:cs="Arial"/>
                <w:color w:val="000000"/>
              </w:rPr>
            </w:pPr>
            <w:r w:rsidRPr="00CC7093">
              <w:t>sākotnējās ietekmes novērtējuma ziņojums (anotācija)</w:t>
            </w:r>
            <w:r w:rsidRPr="00CC7093">
              <w:rPr>
                <w:rFonts w:ascii="Arial" w:hAnsi="Arial" w:cs="Arial"/>
                <w:color w:val="00000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10"/>
              <w:gridCol w:w="2127"/>
              <w:gridCol w:w="141"/>
              <w:gridCol w:w="142"/>
              <w:gridCol w:w="6218"/>
            </w:tblGrid>
            <w:tr w:rsidR="00AA085C" w:rsidRPr="00CC7093" w:rsidTr="0042321A">
              <w:trPr>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EC5F50">
                  <w:pPr>
                    <w:jc w:val="center"/>
                    <w:rPr>
                      <w:b/>
                    </w:rPr>
                  </w:pPr>
                  <w:r w:rsidRPr="00CC7093">
                    <w:rPr>
                      <w:b/>
                    </w:rPr>
                    <w:t>I. Tiesību akta projekta izstrādes nepieciešamība</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1.</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Pamatojums</w:t>
                  </w:r>
                </w:p>
              </w:tc>
              <w:tc>
                <w:tcPr>
                  <w:tcW w:w="6456" w:type="dxa"/>
                  <w:gridSpan w:val="3"/>
                  <w:tcBorders>
                    <w:top w:val="single" w:sz="4" w:space="0" w:color="auto"/>
                    <w:left w:val="single" w:sz="4" w:space="0" w:color="auto"/>
                    <w:bottom w:val="single" w:sz="4" w:space="0" w:color="auto"/>
                    <w:right w:val="single" w:sz="4" w:space="0" w:color="auto"/>
                  </w:tcBorders>
                </w:tcPr>
                <w:p w:rsidR="009A1BF5" w:rsidRDefault="009A1BF5" w:rsidP="00D0199A">
                  <w:pPr>
                    <w:pStyle w:val="BodyText2"/>
                    <w:spacing w:after="0" w:line="240" w:lineRule="auto"/>
                    <w:ind w:firstLine="720"/>
                    <w:jc w:val="both"/>
                  </w:pPr>
                  <w:r>
                    <w:t>Likuma „Par valsts un pašvaldību zemes īpašuma tiesībām un t</w:t>
                  </w:r>
                  <w:r w:rsidR="00E93DDB">
                    <w:t xml:space="preserve">o nostiprināšanu zemesgrāmatās” 2.pants, </w:t>
                  </w:r>
                  <w:r w:rsidR="0087594B">
                    <w:t>4.</w:t>
                  </w:r>
                  <w:r w:rsidR="0087594B" w:rsidRPr="0087594B">
                    <w:rPr>
                      <w:vertAlign w:val="superscript"/>
                    </w:rPr>
                    <w:t>1</w:t>
                  </w:r>
                  <w:r w:rsidR="0087594B">
                    <w:t xml:space="preserve">pants, </w:t>
                  </w:r>
                  <w:r>
                    <w:t>6.panta sestā un septītā daļa</w:t>
                  </w:r>
                  <w:r w:rsidR="00D0199A">
                    <w:t>.</w:t>
                  </w:r>
                </w:p>
                <w:p w:rsidR="00E93DDB" w:rsidRDefault="009A1BF5" w:rsidP="00E93DDB">
                  <w:pPr>
                    <w:pStyle w:val="BodyText2"/>
                    <w:spacing w:after="0" w:line="240" w:lineRule="auto"/>
                    <w:ind w:firstLine="720"/>
                    <w:jc w:val="both"/>
                  </w:pPr>
                  <w:r>
                    <w:t>Zemes pārvaldība</w:t>
                  </w:r>
                  <w:r w:rsidR="00E93DDB">
                    <w:t xml:space="preserve">s likuma 17.panta ceturtā daļa. </w:t>
                  </w:r>
                </w:p>
                <w:p w:rsidR="00CD5012" w:rsidRPr="00CC7093" w:rsidRDefault="00962ED0" w:rsidP="00E93DDB">
                  <w:pPr>
                    <w:pStyle w:val="BodyText2"/>
                    <w:spacing w:after="0" w:line="240" w:lineRule="auto"/>
                    <w:ind w:firstLine="720"/>
                    <w:jc w:val="both"/>
                  </w:pPr>
                  <w:r w:rsidRPr="00962ED0">
                    <w:t>Ministru kabineta 2009.gada 1.septembra noteikumu Nr.996 „Kārtība, kādā nosaka valstij un pašvaldībām piekrītošo lauku apvidu zemi, kura turpmāk izmantojama zemes reformas pabeigšanai, kā arī valstij un pašvaldībām piedero</w:t>
                  </w:r>
                  <w:r>
                    <w:t>šo un piekrītošo zemi” 10.punkts.</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2.</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Pašreizējā situācija un problēmas, kuru risināšanai tiesību akta projekts izstrādāts, tiesiskā regulējuma mērķis un būtība</w:t>
                  </w:r>
                </w:p>
              </w:tc>
              <w:tc>
                <w:tcPr>
                  <w:tcW w:w="6456" w:type="dxa"/>
                  <w:gridSpan w:val="3"/>
                  <w:tcBorders>
                    <w:top w:val="single" w:sz="4" w:space="0" w:color="auto"/>
                    <w:left w:val="single" w:sz="4" w:space="0" w:color="auto"/>
                    <w:bottom w:val="single" w:sz="4" w:space="0" w:color="auto"/>
                    <w:right w:val="single" w:sz="4" w:space="0" w:color="auto"/>
                  </w:tcBorders>
                </w:tcPr>
                <w:p w:rsidR="00962ED0" w:rsidRPr="002F5F75" w:rsidRDefault="00962ED0" w:rsidP="00616D42">
                  <w:pPr>
                    <w:spacing w:after="120"/>
                    <w:ind w:firstLine="720"/>
                    <w:jc w:val="both"/>
                  </w:pPr>
                  <w:bookmarkStart w:id="4" w:name="bkm17"/>
                  <w:r w:rsidRPr="00CC7093">
                    <w:t xml:space="preserve">Ņemot vērā ierobežotos termiņus, kādos bija </w:t>
                  </w:r>
                  <w:r>
                    <w:t xml:space="preserve">nepieciešams iesniegt </w:t>
                  </w:r>
                  <w:r w:rsidRPr="00CC7093">
                    <w:t xml:space="preserve">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w:t>
                  </w:r>
                  <w:r w:rsidRPr="00962ED0">
                    <w:t>Ministru kabinet</w:t>
                  </w:r>
                  <w:r>
                    <w:t>a 2010.gada 10.novembra rīkojumā</w:t>
                  </w:r>
                  <w:r w:rsidRPr="00962ED0">
                    <w:t xml:space="preserve"> Nr.648 „Par zemes vienību Rīgas administratīvajā teritorijā piederību vai piekritību valstij un nostiprināšanu zemesgrāmatā uz valsts vārda attiecīgās ministrijas vai valsts akciju sabiedrības „Privatizācijas aģentūra” perso</w:t>
                  </w:r>
                  <w:r>
                    <w:t xml:space="preserve">nā” (turpmāk – rīkojums Nr.648). </w:t>
                  </w:r>
                  <w:r w:rsidRPr="00CC7093">
                    <w:t xml:space="preserve">Kadastra objekta - zemes vienības - noteikšanai un reģistrēšanai </w:t>
                  </w:r>
                  <w:r>
                    <w:t xml:space="preserve">Nekustamā īpašuma valsts kadastra informācijas sistēmā (turpmāk - Kadastrs) </w:t>
                  </w:r>
                  <w:r w:rsidRPr="00CC7093">
                    <w:t xml:space="preserve">ir jāiesniedz Ministru kabineta </w:t>
                  </w:r>
                  <w:r w:rsidRPr="002F5F75">
                    <w:t xml:space="preserve">rīkojums par tās piekritību vai piederību valstij, tādēļ Finanšu ministrija ir izstrādājusi </w:t>
                  </w:r>
                  <w:r>
                    <w:t>Ministru kabineta rīkojuma projektu „</w:t>
                  </w:r>
                  <w:r w:rsidR="00E5226B">
                    <w:t>Grozījums</w:t>
                  </w:r>
                  <w:r w:rsidRPr="00962ED0">
                    <w:t xml:space="preserve"> Ministru kabineta 2010.gada 10.novembra rīkojumā Nr.648 „Par zemes vienību Rīgas administratīvajā teritorijā piederību vai piekritību valstij un nostiprināšanu zemesgrāmatā uz valsts vārda attiecīgās ministrijas</w:t>
                  </w:r>
                  <w:r>
                    <w:t xml:space="preserve"> vai valsts akciju sabiedrības „</w:t>
                  </w:r>
                  <w:r w:rsidRPr="00962ED0">
                    <w:t>Privatizācijas aģentūra” personā”</w:t>
                  </w:r>
                  <w:r>
                    <w:t xml:space="preserve">” (turpmāk – </w:t>
                  </w:r>
                  <w:r w:rsidR="00D0199A">
                    <w:t>R</w:t>
                  </w:r>
                  <w:r>
                    <w:t>īkojuma projekts)</w:t>
                  </w:r>
                  <w:r w:rsidRPr="002F5F75">
                    <w:t xml:space="preserve">, lai </w:t>
                  </w:r>
                  <w:r w:rsidR="00D0199A">
                    <w:t>R</w:t>
                  </w:r>
                  <w:r w:rsidRPr="002F5F75">
                    <w:t xml:space="preserve">īkojuma projektā minētās zemes vienības varētu reģistrēt </w:t>
                  </w:r>
                  <w:bookmarkEnd w:id="4"/>
                  <w:r w:rsidRPr="002F5F75">
                    <w:t>Kadastrā kā valstij piekrītošas.</w:t>
                  </w:r>
                </w:p>
                <w:p w:rsidR="00A15449" w:rsidRDefault="00616D42" w:rsidP="00A15449">
                  <w:pPr>
                    <w:ind w:firstLine="720"/>
                    <w:jc w:val="both"/>
                  </w:pPr>
                  <w:r w:rsidRPr="00D0199A">
                    <w:rPr>
                      <w:b/>
                    </w:rPr>
                    <w:t>1.</w:t>
                  </w:r>
                  <w:r w:rsidR="00874873">
                    <w:t xml:space="preserve"> Rīkojuma projektā Nr.154</w:t>
                  </w:r>
                  <w:r>
                    <w:t xml:space="preserve"> –</w:t>
                  </w:r>
                  <w:r w:rsidR="00AE6958">
                    <w:t xml:space="preserve"> zemes vienība</w:t>
                  </w:r>
                  <w:r>
                    <w:t xml:space="preserve"> </w:t>
                  </w:r>
                  <w:r w:rsidR="00AE6958">
                    <w:t>Ernestīnes</w:t>
                  </w:r>
                  <w:r>
                    <w:t xml:space="preserve"> ielā </w:t>
                  </w:r>
                  <w:r w:rsidR="00AE6958">
                    <w:t>20</w:t>
                  </w:r>
                  <w:r>
                    <w:t xml:space="preserve">, Rīgā, (zemes vienības kadastra apzīmējums </w:t>
                  </w:r>
                  <w:r w:rsidRPr="00D0199A">
                    <w:rPr>
                      <w:b/>
                    </w:rPr>
                    <w:t xml:space="preserve">0100 </w:t>
                  </w:r>
                  <w:r w:rsidR="00A15449">
                    <w:rPr>
                      <w:b/>
                    </w:rPr>
                    <w:t>0</w:t>
                  </w:r>
                  <w:r w:rsidR="00AE6958">
                    <w:rPr>
                      <w:b/>
                    </w:rPr>
                    <w:t>59</w:t>
                  </w:r>
                  <w:r w:rsidRPr="00D0199A">
                    <w:rPr>
                      <w:b/>
                    </w:rPr>
                    <w:t xml:space="preserve"> </w:t>
                  </w:r>
                  <w:r w:rsidR="00A15449">
                    <w:rPr>
                      <w:b/>
                    </w:rPr>
                    <w:t>0</w:t>
                  </w:r>
                  <w:r w:rsidR="00AE6958">
                    <w:rPr>
                      <w:b/>
                    </w:rPr>
                    <w:t>232</w:t>
                  </w:r>
                  <w:r>
                    <w:t>) 0,</w:t>
                  </w:r>
                  <w:r w:rsidR="00AE6958">
                    <w:t>1435</w:t>
                  </w:r>
                  <w:r>
                    <w:t xml:space="preserve"> ha platībā, zemes vienības kadastrālā vērtība uz 201</w:t>
                  </w:r>
                  <w:r w:rsidR="00687B2C">
                    <w:t>6</w:t>
                  </w:r>
                  <w:r>
                    <w:t>.gada 1.j</w:t>
                  </w:r>
                  <w:r w:rsidR="00687B2C">
                    <w:t>anvāri</w:t>
                  </w:r>
                  <w:r>
                    <w:t xml:space="preserve"> sastāda </w:t>
                  </w:r>
                  <w:r w:rsidR="00AE6958">
                    <w:t>65 336</w:t>
                  </w:r>
                  <w:r>
                    <w:t xml:space="preserve"> </w:t>
                  </w:r>
                  <w:proofErr w:type="spellStart"/>
                  <w:r w:rsidRPr="00752C94">
                    <w:rPr>
                      <w:i/>
                    </w:rPr>
                    <w:t>euro</w:t>
                  </w:r>
                  <w:proofErr w:type="spellEnd"/>
                  <w:r>
                    <w:t xml:space="preserve">. Saskaņā ar Kadastra datiem zemes vienības statuss ir – </w:t>
                  </w:r>
                  <w:r w:rsidR="00176C55">
                    <w:t>rezerves zemes fonds</w:t>
                  </w:r>
                  <w:r>
                    <w:t xml:space="preserve">. </w:t>
                  </w:r>
                </w:p>
                <w:p w:rsidR="00DD016B" w:rsidRDefault="00616D42" w:rsidP="00A15449">
                  <w:pPr>
                    <w:ind w:firstLine="720"/>
                    <w:jc w:val="both"/>
                  </w:pPr>
                  <w:r>
                    <w:t xml:space="preserve">Saskaņā ar Kadastra datiem uz zemes vienības atrodas </w:t>
                  </w:r>
                  <w:r w:rsidR="00DD016B">
                    <w:t xml:space="preserve">cita </w:t>
                  </w:r>
                  <w:r w:rsidR="00A15449">
                    <w:t xml:space="preserve">nekustamā īpašuma </w:t>
                  </w:r>
                  <w:r w:rsidR="00AE0DD7">
                    <w:t xml:space="preserve">(nekustamā īpašuma kadastra Nr.0100 </w:t>
                  </w:r>
                  <w:r w:rsidR="00DD016B">
                    <w:t>559</w:t>
                  </w:r>
                  <w:r w:rsidR="00AE0DD7">
                    <w:t xml:space="preserve"> </w:t>
                  </w:r>
                  <w:r w:rsidR="00DD016B">
                    <w:t>0012</w:t>
                  </w:r>
                  <w:r w:rsidR="00AE0DD7">
                    <w:t xml:space="preserve">) </w:t>
                  </w:r>
                  <w:r w:rsidR="00A15449">
                    <w:t xml:space="preserve">sastāvā ietilpstoša </w:t>
                  </w:r>
                  <w:r>
                    <w:t xml:space="preserve">dzīvojamā ēka (būves kadastra </w:t>
                  </w:r>
                  <w:r>
                    <w:lastRenderedPageBreak/>
                    <w:t xml:space="preserve">apzīmējums 0100 </w:t>
                  </w:r>
                  <w:r w:rsidR="00DD016B">
                    <w:t>059</w:t>
                  </w:r>
                  <w:r w:rsidR="00A15449">
                    <w:t xml:space="preserve"> 0</w:t>
                  </w:r>
                  <w:r w:rsidR="00DD016B">
                    <w:t>232</w:t>
                  </w:r>
                  <w:r w:rsidR="00A15449">
                    <w:t xml:space="preserve"> 001</w:t>
                  </w:r>
                  <w:r>
                    <w:t>)</w:t>
                  </w:r>
                  <w:r w:rsidR="00A15449">
                    <w:t xml:space="preserve">, </w:t>
                  </w:r>
                  <w:r w:rsidR="00DD016B">
                    <w:t>lapene</w:t>
                  </w:r>
                  <w:r w:rsidR="00A15449">
                    <w:t xml:space="preserve"> (būv</w:t>
                  </w:r>
                  <w:r w:rsidR="00DD016B">
                    <w:t>es kadastra apzīmējums</w:t>
                  </w:r>
                  <w:r w:rsidR="00A15449">
                    <w:t xml:space="preserve"> </w:t>
                  </w:r>
                  <w:r w:rsidR="00DD016B">
                    <w:t xml:space="preserve">0100 059 0232 003) </w:t>
                  </w:r>
                  <w:r w:rsidR="00A15449">
                    <w:t xml:space="preserve">un </w:t>
                  </w:r>
                  <w:r w:rsidR="00DD016B">
                    <w:t>šķūnis (būves kadastr</w:t>
                  </w:r>
                  <w:r w:rsidR="00F67896">
                    <w:t>a apzīmējums 0100 059 0232 004) Ernestīnes ielā 20, Rīgā.</w:t>
                  </w:r>
                </w:p>
                <w:p w:rsidR="00A57D44" w:rsidRDefault="00A57D44" w:rsidP="00A15449">
                  <w:pPr>
                    <w:ind w:firstLine="720"/>
                    <w:jc w:val="both"/>
                  </w:pPr>
                  <w:r w:rsidRPr="00201057">
                    <w:t xml:space="preserve">Uz zemes vienības atrodas arī </w:t>
                  </w:r>
                  <w:r w:rsidR="00201057" w:rsidRPr="00201057">
                    <w:t>garāža</w:t>
                  </w:r>
                  <w:r w:rsidRPr="00201057">
                    <w:t xml:space="preserve"> (būves kadastra apzīmējums </w:t>
                  </w:r>
                  <w:r w:rsidR="00201057" w:rsidRPr="00201057">
                    <w:t>0100 059 0232 002</w:t>
                  </w:r>
                  <w:r w:rsidRPr="00201057">
                    <w:t>)</w:t>
                  </w:r>
                  <w:r w:rsidR="00F67896">
                    <w:t xml:space="preserve"> Sabiles ielā 11, Rīgā</w:t>
                  </w:r>
                  <w:r w:rsidRPr="00201057">
                    <w:t xml:space="preserve">, uz kuru </w:t>
                  </w:r>
                  <w:r w:rsidRPr="00201057">
                    <w:rPr>
                      <w:color w:val="000000" w:themeColor="text1"/>
                    </w:rPr>
                    <w:t>īpašuma tiesības nav reģistrētas.</w:t>
                  </w:r>
                </w:p>
                <w:p w:rsidR="00616D42" w:rsidRDefault="00616D42" w:rsidP="00616D42">
                  <w:pPr>
                    <w:ind w:firstLine="720"/>
                    <w:jc w:val="both"/>
                  </w:pPr>
                  <w:r>
                    <w:t>Atbilstoši Rīgas pilsētas zemesgrāmatas nodalījumā Nr.</w:t>
                  </w:r>
                  <w:r w:rsidR="00285DFA">
                    <w:t>100000542842</w:t>
                  </w:r>
                  <w:r>
                    <w:t xml:space="preserve"> esošajai informācijai īpašuma tiesības uz </w:t>
                  </w:r>
                  <w:r w:rsidR="00F67896">
                    <w:t>nekustamo īpašumu</w:t>
                  </w:r>
                  <w:r w:rsidR="00285DFA" w:rsidRPr="00285DFA">
                    <w:t xml:space="preserve"> (nekustamā īpašuma kadastra Nr.0100 559 0012) </w:t>
                  </w:r>
                  <w:r w:rsidR="00CE0E3F">
                    <w:t>ir nostiprinātas</w:t>
                  </w:r>
                  <w:r w:rsidR="00285DFA">
                    <w:t xml:space="preserve"> </w:t>
                  </w:r>
                  <w:proofErr w:type="spellStart"/>
                  <w:r w:rsidR="00285DFA">
                    <w:t>Nadeždai</w:t>
                  </w:r>
                  <w:proofErr w:type="spellEnd"/>
                  <w:r w:rsidR="00285DFA">
                    <w:t xml:space="preserve"> </w:t>
                  </w:r>
                  <w:proofErr w:type="spellStart"/>
                  <w:r w:rsidR="00285DFA">
                    <w:t>Vitkovskai</w:t>
                  </w:r>
                  <w:proofErr w:type="spellEnd"/>
                  <w:r w:rsidR="00285DFA">
                    <w:t>.</w:t>
                  </w:r>
                </w:p>
                <w:p w:rsidR="00AE2ADE" w:rsidRDefault="00616D42" w:rsidP="00616D42">
                  <w:pPr>
                    <w:ind w:firstLine="720"/>
                    <w:jc w:val="both"/>
                  </w:pPr>
                  <w:r>
                    <w:t>Latvijas Nacionālā arhīva 201</w:t>
                  </w:r>
                  <w:r w:rsidR="00A15449">
                    <w:t>5</w:t>
                  </w:r>
                  <w:r>
                    <w:t xml:space="preserve">.gada </w:t>
                  </w:r>
                  <w:r w:rsidR="002D1A44">
                    <w:t>25</w:t>
                  </w:r>
                  <w:r w:rsidR="00A15449">
                    <w:t>.</w:t>
                  </w:r>
                  <w:r w:rsidR="002D1A44">
                    <w:t>jūnija</w:t>
                  </w:r>
                  <w:r>
                    <w:t xml:space="preserve"> izziņā </w:t>
                  </w:r>
                  <w:proofErr w:type="spellStart"/>
                  <w:r>
                    <w:t>Nr.</w:t>
                  </w:r>
                  <w:r w:rsidR="002D1A44">
                    <w:t>LVVA-6.2.1.</w:t>
                  </w:r>
                  <w:proofErr w:type="spellEnd"/>
                  <w:r w:rsidR="002D1A44">
                    <w:t xml:space="preserve">/5/2798 </w:t>
                  </w:r>
                  <w:r>
                    <w:t xml:space="preserve">norādīts, ka </w:t>
                  </w:r>
                  <w:r w:rsidR="00AE2ADE">
                    <w:t>uz zemes vienību</w:t>
                  </w:r>
                  <w:r>
                    <w:t xml:space="preserve"> Rīgas pilsētā, </w:t>
                  </w:r>
                  <w:r w:rsidR="002D1A44">
                    <w:t>59</w:t>
                  </w:r>
                  <w:r>
                    <w:t xml:space="preserve">.grupā, </w:t>
                  </w:r>
                  <w:r w:rsidR="002D1A44">
                    <w:t>232.grunts</w:t>
                  </w:r>
                  <w:r>
                    <w:t xml:space="preserve">, </w:t>
                  </w:r>
                  <w:r w:rsidR="002D1A44">
                    <w:t>Ernestīnes</w:t>
                  </w:r>
                  <w:r w:rsidR="00A15449">
                    <w:t xml:space="preserve"> ielā</w:t>
                  </w:r>
                  <w:r>
                    <w:t xml:space="preserve"> </w:t>
                  </w:r>
                  <w:r w:rsidR="002D1A44">
                    <w:t xml:space="preserve">20, </w:t>
                  </w:r>
                  <w:r w:rsidR="00AE2ADE">
                    <w:t xml:space="preserve">uz </w:t>
                  </w:r>
                  <w:r w:rsidR="006C5814">
                    <w:t>pirkuma</w:t>
                  </w:r>
                  <w:r w:rsidR="00AE2ADE">
                    <w:t xml:space="preserve"> līguma pamata </w:t>
                  </w:r>
                  <w:r w:rsidR="00DA65B6">
                    <w:t>īpašuma</w:t>
                  </w:r>
                  <w:r w:rsidR="00AE2ADE">
                    <w:t xml:space="preserve"> tiesības apstiprinātas </w:t>
                  </w:r>
                  <w:proofErr w:type="spellStart"/>
                  <w:r w:rsidR="00DA65B6">
                    <w:t>Konstantinam</w:t>
                  </w:r>
                  <w:proofErr w:type="spellEnd"/>
                  <w:r w:rsidR="00DA65B6">
                    <w:t xml:space="preserve"> </w:t>
                  </w:r>
                  <w:proofErr w:type="spellStart"/>
                  <w:r w:rsidR="00DA65B6">
                    <w:t>Vitkovskim</w:t>
                  </w:r>
                  <w:proofErr w:type="spellEnd"/>
                  <w:r w:rsidR="007C4433">
                    <w:t xml:space="preserve">. </w:t>
                  </w:r>
                  <w:r w:rsidR="00AE2ADE">
                    <w:t xml:space="preserve">Vēlāk izdarītu īpašuma tiesības apstiprinošu ierakstu zemesgrāmatā nav.  </w:t>
                  </w:r>
                </w:p>
                <w:p w:rsidR="007C4433" w:rsidRDefault="00616D42" w:rsidP="00616D42">
                  <w:pPr>
                    <w:ind w:firstLine="720"/>
                    <w:jc w:val="both"/>
                  </w:pPr>
                  <w:r>
                    <w:t>Rīg</w:t>
                  </w:r>
                  <w:r w:rsidR="00AE2ADE">
                    <w:t>as pilsētas zemes komisijas 2015</w:t>
                  </w:r>
                  <w:r>
                    <w:t xml:space="preserve">.gada </w:t>
                  </w:r>
                  <w:r w:rsidR="007C4433">
                    <w:t>14.maija</w:t>
                  </w:r>
                  <w:r>
                    <w:t xml:space="preserve"> izziņa </w:t>
                  </w:r>
                  <w:proofErr w:type="spellStart"/>
                  <w:r>
                    <w:t>Nr.ZK-1</w:t>
                  </w:r>
                  <w:r w:rsidR="00AE2ADE">
                    <w:t>5</w:t>
                  </w:r>
                  <w:r>
                    <w:t>-</w:t>
                  </w:r>
                  <w:r w:rsidR="007C4433">
                    <w:t>136</w:t>
                  </w:r>
                  <w:proofErr w:type="spellEnd"/>
                  <w:r>
                    <w:t>-iz apli</w:t>
                  </w:r>
                  <w:r w:rsidR="00752C94">
                    <w:t>eci</w:t>
                  </w:r>
                  <w:r>
                    <w:t xml:space="preserve">na, ka uz zemes vienību </w:t>
                  </w:r>
                  <w:r w:rsidR="00AE2ADE">
                    <w:t xml:space="preserve">Rīgā, </w:t>
                  </w:r>
                  <w:r w:rsidR="007C4433">
                    <w:t>Ernestīnes</w:t>
                  </w:r>
                  <w:r w:rsidR="00AE2ADE">
                    <w:t xml:space="preserve"> ielā</w:t>
                  </w:r>
                  <w:r w:rsidR="007C4433">
                    <w:t xml:space="preserve"> 20</w:t>
                  </w:r>
                  <w:r w:rsidR="00AE2ADE">
                    <w:t xml:space="preserve">, </w:t>
                  </w:r>
                  <w:r w:rsidR="007C4433">
                    <w:t>59</w:t>
                  </w:r>
                  <w:r>
                    <w:t xml:space="preserve">.grupa, </w:t>
                  </w:r>
                  <w:r w:rsidR="007C4433">
                    <w:t>232</w:t>
                  </w:r>
                  <w:r>
                    <w:t>.grunts,</w:t>
                  </w:r>
                  <w:r w:rsidR="00AE2ADE">
                    <w:t xml:space="preserve"> </w:t>
                  </w:r>
                  <w:r w:rsidR="007C4433">
                    <w:t xml:space="preserve">likumā noteiktā termiņā saņemts </w:t>
                  </w:r>
                  <w:proofErr w:type="spellStart"/>
                  <w:r w:rsidR="007C4433">
                    <w:t>Romana</w:t>
                  </w:r>
                  <w:proofErr w:type="spellEnd"/>
                  <w:r w:rsidR="007C4433">
                    <w:t xml:space="preserve"> </w:t>
                  </w:r>
                  <w:proofErr w:type="spellStart"/>
                  <w:r w:rsidR="007C4433">
                    <w:t>Vitnovska</w:t>
                  </w:r>
                  <w:proofErr w:type="spellEnd"/>
                  <w:r w:rsidR="007C4433">
                    <w:t xml:space="preserve"> zemes pieprasījums, kas noraidīts ar Rīgas pilsētas zemes komisijas 1996.gada 27.jūnija protokolu Nr.26/237-N, jo iesniegumam nav pievienoti īpašuma tiesību un radniecību apliecinoši dokumenti. Uz pieprasījumā norādīto zemes vienību citu zemes pieprasījumu pieteikumi nav saņemti. </w:t>
                  </w:r>
                </w:p>
                <w:p w:rsidR="00F67896" w:rsidRPr="00F67896" w:rsidRDefault="00F67896" w:rsidP="00F67896">
                  <w:pPr>
                    <w:ind w:firstLine="720"/>
                    <w:jc w:val="both"/>
                  </w:pPr>
                  <w:r w:rsidRPr="00F67896">
                    <w:t xml:space="preserve">Ņemot vērā minēto, secināms, ka arī ēku īpašnieks nebija iesniedzis pieteikumu zemes vienības iegūšanai īpašumā par maksu likumā „Par zemes reformas pabeigšanu pilsētās” noteiktajā termiņā, līdz ar to atbilstoši </w:t>
                  </w:r>
                  <w:r w:rsidRPr="00F67896">
                    <w:rPr>
                      <w:color w:val="000000"/>
                    </w:rPr>
                    <w:t>likuma „</w:t>
                  </w:r>
                  <w:r w:rsidRPr="00F67896">
                    <w:rPr>
                      <w:bCs/>
                      <w:color w:val="000000"/>
                    </w:rPr>
                    <w:t>Par zemes reformas pabeigšanu pilsētās</w:t>
                  </w:r>
                  <w:r w:rsidRPr="00F67896">
                    <w:rPr>
                      <w:color w:val="000000"/>
                    </w:rPr>
                    <w:t>” 2.panta trešajai daļai</w:t>
                  </w:r>
                  <w:r w:rsidRPr="00F67896">
                    <w:t xml:space="preserve"> tā zaudēja tiesības izpirkt zemi likuma „Par zemes reformu Latvijas Republikas pilsētās” 12.pantā noteiktajā kārtībā.</w:t>
                  </w:r>
                </w:p>
                <w:p w:rsidR="00616D42" w:rsidRPr="008B376C" w:rsidRDefault="00F67896" w:rsidP="00F67896">
                  <w:pPr>
                    <w:ind w:firstLine="720"/>
                    <w:jc w:val="both"/>
                  </w:pPr>
                  <w:r w:rsidRPr="00F67896">
                    <w:t xml:space="preserve">Ņemot vērā, ka ēku īpašniekam šobrīd nav tiesību iegūt īpašumā </w:t>
                  </w:r>
                  <w:r w:rsidRPr="008B376C">
                    <w:t>zemes vienību saskaņā ar zemes reformas likumiem, atbilstoši</w:t>
                  </w:r>
                  <w:r w:rsidR="00616D42" w:rsidRPr="008B376C">
                    <w:t xml:space="preserve"> likuma „Par valsts un pašvaldību zemes īpašuma tiesībām un to nostiprināšanu zemesgrāmatās” 2.pa</w:t>
                  </w:r>
                  <w:r w:rsidR="00176C55" w:rsidRPr="008B376C">
                    <w:t>nta otrās daļas 2.punktu</w:t>
                  </w:r>
                  <w:r w:rsidR="00F57EAF" w:rsidRPr="008B376C">
                    <w:t>,</w:t>
                  </w:r>
                  <w:r w:rsidR="00176C55" w:rsidRPr="008B376C">
                    <w:t xml:space="preserve"> minētā zemes vienība</w:t>
                  </w:r>
                  <w:r w:rsidR="007A23D2" w:rsidRPr="008B376C">
                    <w:t xml:space="preserve"> ir piekritīga</w:t>
                  </w:r>
                  <w:r w:rsidR="00176C55" w:rsidRPr="008B376C">
                    <w:t xml:space="preserve"> </w:t>
                  </w:r>
                  <w:r w:rsidR="00616D42" w:rsidRPr="008B376C">
                    <w:t xml:space="preserve">valstij. </w:t>
                  </w:r>
                </w:p>
                <w:p w:rsidR="000351BD" w:rsidRDefault="008B376C" w:rsidP="008B376C">
                  <w:pPr>
                    <w:spacing w:after="120"/>
                    <w:ind w:firstLine="720"/>
                    <w:jc w:val="both"/>
                    <w:rPr>
                      <w:bCs/>
                      <w:u w:val="single"/>
                    </w:rPr>
                  </w:pPr>
                  <w:r w:rsidRPr="008B376C">
                    <w:rPr>
                      <w:bCs/>
                      <w:u w:val="single"/>
                    </w:rPr>
                    <w:t>Ņemot vērā, ka zemes vienības daļa ~ 85m</w:t>
                  </w:r>
                  <w:r w:rsidRPr="008B376C">
                    <w:rPr>
                      <w:bCs/>
                      <w:u w:val="single"/>
                      <w:vertAlign w:val="superscript"/>
                    </w:rPr>
                    <w:t>2</w:t>
                  </w:r>
                  <w:r w:rsidRPr="008B376C">
                    <w:rPr>
                      <w:bCs/>
                      <w:u w:val="single"/>
                    </w:rPr>
                    <w:t xml:space="preserve"> platībā atbilstoši Rīgas teritorijas plānojumam 2006. </w:t>
                  </w:r>
                  <w:r w:rsidRPr="008B376C">
                    <w:rPr>
                      <w:bCs/>
                      <w:u w:val="single"/>
                    </w:rPr>
                    <w:noBreakHyphen/>
                    <w:t xml:space="preserve"> 2018. gadam un Rīgas domes 20.12.2005. saistošajiem noteikumiem Nr.34 “Rīgas teritorijas izmantošanas un apbūves noteikumi” (17.pielikuma “Galvenās aizsargjoslas un citi zemesgabalu izmantošanas aprobežojumi M 1:10 000” daļa “Sarkanās līnijas”) atrodas ielu teritorijā – Ernestīnes ielas un Sabiles ielas sarkanajās līnijās – un ir nepieciešama pašvaldības autonomās funkcijas – gādāt par savas administratīvās teritorijas labiekārtošanu un sanitāro tīrību (ielu, ceļu un laukumu būvniecība, rekonstruēšana un uzturēšana) – izpildei, </w:t>
                  </w:r>
                  <w:r w:rsidR="0010470E">
                    <w:rPr>
                      <w:bCs/>
                      <w:u w:val="single"/>
                    </w:rPr>
                    <w:t xml:space="preserve">uz minēto zemes vienību ir attiecināma </w:t>
                  </w:r>
                  <w:r w:rsidR="000351BD" w:rsidRPr="000351BD">
                    <w:rPr>
                      <w:bCs/>
                      <w:u w:val="single"/>
                    </w:rPr>
                    <w:t>rīkojum</w:t>
                  </w:r>
                  <w:r w:rsidR="000351BD">
                    <w:rPr>
                      <w:bCs/>
                      <w:u w:val="single"/>
                    </w:rPr>
                    <w:t>a</w:t>
                  </w:r>
                  <w:r w:rsidR="000351BD" w:rsidRPr="000351BD">
                    <w:rPr>
                      <w:bCs/>
                      <w:u w:val="single"/>
                    </w:rPr>
                    <w:t xml:space="preserve"> Nr.648</w:t>
                  </w:r>
                  <w:r w:rsidR="000351BD">
                    <w:rPr>
                      <w:bCs/>
                      <w:u w:val="single"/>
                    </w:rPr>
                    <w:t xml:space="preserve"> </w:t>
                  </w:r>
                  <w:r w:rsidR="006F4F91">
                    <w:rPr>
                      <w:u w:val="single"/>
                    </w:rPr>
                    <w:t>11.pielikuma 3</w:t>
                  </w:r>
                  <w:r w:rsidR="0010470E" w:rsidRPr="00805494">
                    <w:rPr>
                      <w:u w:val="single"/>
                    </w:rPr>
                    <w:t>.piezīme, kas noteic</w:t>
                  </w:r>
                  <w:r w:rsidR="006F4F91">
                    <w:rPr>
                      <w:bCs/>
                      <w:u w:val="single"/>
                    </w:rPr>
                    <w:t xml:space="preserve">, ka zemes vienība </w:t>
                  </w:r>
                  <w:r w:rsidRPr="008B376C">
                    <w:rPr>
                      <w:bCs/>
                      <w:u w:val="single"/>
                    </w:rPr>
                    <w:t xml:space="preserve">piekrīt valstij un nostiprināma zemesgrāmatā uz valsts </w:t>
                  </w:r>
                  <w:r w:rsidRPr="008B376C">
                    <w:rPr>
                      <w:bCs/>
                      <w:u w:val="single"/>
                    </w:rPr>
                    <w:lastRenderedPageBreak/>
                    <w:t>vārda platībā, kura atrodas ārpus ielu teritorijas, kas noteikta saskaņā ar minētajiem Rīgas domes saistošajiem noteikumie</w:t>
                  </w:r>
                  <w:r w:rsidRPr="00A55055">
                    <w:rPr>
                      <w:bCs/>
                      <w:u w:val="single"/>
                    </w:rPr>
                    <w:t>m</w:t>
                  </w:r>
                  <w:r w:rsidR="00A55055" w:rsidRPr="00A55055">
                    <w:rPr>
                      <w:u w:val="single"/>
                    </w:rPr>
                    <w:t xml:space="preserve"> </w:t>
                  </w:r>
                  <w:r w:rsidR="00A55055">
                    <w:rPr>
                      <w:bCs/>
                      <w:u w:val="single"/>
                    </w:rPr>
                    <w:t>un tiek atzīmēta -  ***</w:t>
                  </w:r>
                  <w:r w:rsidRPr="008B376C">
                    <w:rPr>
                      <w:bCs/>
                      <w:u w:val="single"/>
                    </w:rPr>
                    <w:t>.</w:t>
                  </w:r>
                  <w:r w:rsidR="00A55055">
                    <w:rPr>
                      <w:bCs/>
                      <w:u w:val="single"/>
                    </w:rPr>
                    <w:t xml:space="preserve"> </w:t>
                  </w:r>
                </w:p>
                <w:p w:rsidR="008B376C" w:rsidRDefault="00A55055" w:rsidP="008B376C">
                  <w:pPr>
                    <w:spacing w:after="120"/>
                    <w:ind w:firstLine="720"/>
                    <w:jc w:val="both"/>
                    <w:rPr>
                      <w:bCs/>
                      <w:u w:val="single"/>
                    </w:rPr>
                  </w:pPr>
                  <w:r>
                    <w:rPr>
                      <w:bCs/>
                      <w:u w:val="single"/>
                    </w:rPr>
                    <w:t>Attiecīgi Rīgas domei ir jāpieņem lēmums par minētās zemes vienības</w:t>
                  </w:r>
                  <w:r w:rsidR="000351BD">
                    <w:rPr>
                      <w:bCs/>
                      <w:u w:val="single"/>
                    </w:rPr>
                    <w:t xml:space="preserve"> daļu</w:t>
                  </w:r>
                  <w:r>
                    <w:rPr>
                      <w:bCs/>
                      <w:u w:val="single"/>
                    </w:rPr>
                    <w:t xml:space="preserve"> ielu teritorijā </w:t>
                  </w:r>
                  <w:r w:rsidR="000351BD">
                    <w:rPr>
                      <w:bCs/>
                      <w:u w:val="single"/>
                    </w:rPr>
                    <w:t xml:space="preserve">nepieciešamību </w:t>
                  </w:r>
                  <w:r w:rsidR="000351BD" w:rsidRPr="000351BD">
                    <w:rPr>
                      <w:bCs/>
                      <w:u w:val="single"/>
                    </w:rPr>
                    <w:t xml:space="preserve">pašvaldības autonomās funkcijas – gādāt par savas administratīvās teritorijas labiekārtošanu un sanitāro tīrību (ielu, ceļu un laukumu būvniecība, rekonstruēšana un uzturēšana) – īstenošanai, </w:t>
                  </w:r>
                  <w:r w:rsidR="000351BD">
                    <w:rPr>
                      <w:bCs/>
                      <w:u w:val="single"/>
                    </w:rPr>
                    <w:t xml:space="preserve">un </w:t>
                  </w:r>
                  <w:r w:rsidR="000351BD" w:rsidRPr="000351BD">
                    <w:rPr>
                      <w:bCs/>
                      <w:u w:val="single"/>
                    </w:rPr>
                    <w:t>piekr</w:t>
                  </w:r>
                  <w:r w:rsidR="000351BD">
                    <w:rPr>
                      <w:bCs/>
                      <w:u w:val="single"/>
                    </w:rPr>
                    <w:t>i</w:t>
                  </w:r>
                  <w:r w:rsidR="000351BD" w:rsidRPr="000351BD">
                    <w:rPr>
                      <w:bCs/>
                      <w:u w:val="single"/>
                    </w:rPr>
                    <w:t>t</w:t>
                  </w:r>
                  <w:r w:rsidR="000351BD">
                    <w:rPr>
                      <w:bCs/>
                      <w:u w:val="single"/>
                    </w:rPr>
                    <w:t>ību</w:t>
                  </w:r>
                  <w:r w:rsidR="000351BD" w:rsidRPr="000351BD">
                    <w:rPr>
                      <w:bCs/>
                      <w:u w:val="single"/>
                    </w:rPr>
                    <w:t xml:space="preserve"> vai pieder</w:t>
                  </w:r>
                  <w:r w:rsidR="000351BD">
                    <w:rPr>
                      <w:bCs/>
                      <w:u w:val="single"/>
                    </w:rPr>
                    <w:t>ību Rīgas pilsētas pašvaldībai.</w:t>
                  </w:r>
                </w:p>
                <w:p w:rsidR="00C354BC" w:rsidRDefault="00C354BC" w:rsidP="00C354BC">
                  <w:pPr>
                    <w:ind w:firstLine="720"/>
                    <w:jc w:val="both"/>
                  </w:pPr>
                  <w:r w:rsidRPr="008B376C">
                    <w:t xml:space="preserve">Pēc zemes vienības pārņemšanas Finanšu ministrijas valdījumā tiks veiktas nepieciešamās darbības būves </w:t>
                  </w:r>
                  <w:r w:rsidRPr="008B376C">
                    <w:rPr>
                      <w:color w:val="000000" w:themeColor="text1"/>
                    </w:rPr>
                    <w:t xml:space="preserve">(būves kadastra apzīmējums </w:t>
                  </w:r>
                  <w:r w:rsidR="002D1A44" w:rsidRPr="008B376C">
                    <w:rPr>
                      <w:color w:val="000000" w:themeColor="text1"/>
                    </w:rPr>
                    <w:t>0100 059 0232 002</w:t>
                  </w:r>
                  <w:r w:rsidRPr="008B376C">
                    <w:rPr>
                      <w:color w:val="000000" w:themeColor="text1"/>
                    </w:rPr>
                    <w:t>)</w:t>
                  </w:r>
                  <w:r w:rsidRPr="008B376C">
                    <w:t xml:space="preserve">, </w:t>
                  </w:r>
                  <w:r w:rsidRPr="0087594B">
                    <w:t>uz kuru īpašuma tiesības nav reģistrētas, piederības noskaidrošanai, nepieciešamības gadījumā veicot darbības tās atzīšanai par valstij piekrītošu.</w:t>
                  </w:r>
                </w:p>
                <w:p w:rsidR="00616D42" w:rsidRDefault="00616D42" w:rsidP="00616D42">
                  <w:pPr>
                    <w:ind w:firstLine="720"/>
                    <w:jc w:val="both"/>
                  </w:pPr>
                  <w:r>
                    <w:t>Pēc Rīkojuma projekta pieņemšanas VNĪ piedāvās ēk</w:t>
                  </w:r>
                  <w:r w:rsidR="007A23D2">
                    <w:t>u</w:t>
                  </w:r>
                  <w:r>
                    <w:t xml:space="preserve"> īpašniekam slēgt nomas līgumu. </w:t>
                  </w:r>
                </w:p>
                <w:p w:rsidR="007C4433" w:rsidRDefault="007C4433" w:rsidP="00616D42">
                  <w:pPr>
                    <w:ind w:firstLine="720"/>
                    <w:jc w:val="both"/>
                  </w:pPr>
                  <w:r w:rsidRPr="007C4433">
                    <w:t>Pēc zemes vienības ierakstīšanas zemesgrāmatā uz valsts vārda Finanšu ministrijas personā, apbūves īpašniekam radīsies tiesības ierosināt zemes vienības atsavināšanu, ievērojot Publiskas personas mantas atsavināšanas likuma 4.panta ceturtās daļas 3.punktu.</w:t>
                  </w:r>
                </w:p>
                <w:p w:rsidR="007C4433" w:rsidRDefault="007C4433" w:rsidP="00616D42">
                  <w:pPr>
                    <w:ind w:firstLine="720"/>
                    <w:jc w:val="both"/>
                  </w:pPr>
                </w:p>
                <w:p w:rsidR="00616D42" w:rsidRPr="00583DE8" w:rsidRDefault="00616D42" w:rsidP="00616D42">
                  <w:pPr>
                    <w:ind w:firstLine="720"/>
                    <w:jc w:val="both"/>
                  </w:pPr>
                  <w:r w:rsidRPr="00D0199A">
                    <w:rPr>
                      <w:b/>
                    </w:rPr>
                    <w:t>2.</w:t>
                  </w:r>
                  <w:r w:rsidR="0029622E">
                    <w:t xml:space="preserve"> Rīkojuma projektā Nr.155</w:t>
                  </w:r>
                  <w:r>
                    <w:t xml:space="preserve"> - zemes vienība </w:t>
                  </w:r>
                  <w:r w:rsidR="009F74C1">
                    <w:t>Rīgā</w:t>
                  </w:r>
                  <w:r w:rsidR="00AE0DD7">
                    <w:t xml:space="preserve"> </w:t>
                  </w:r>
                  <w:r>
                    <w:t xml:space="preserve">(zemes vienības kadastra apzīmējums </w:t>
                  </w:r>
                  <w:r w:rsidRPr="00D0199A">
                    <w:rPr>
                      <w:b/>
                    </w:rPr>
                    <w:t>0100 0</w:t>
                  </w:r>
                  <w:r w:rsidR="00731749">
                    <w:rPr>
                      <w:b/>
                    </w:rPr>
                    <w:t>55</w:t>
                  </w:r>
                  <w:r w:rsidRPr="00D0199A">
                    <w:rPr>
                      <w:b/>
                    </w:rPr>
                    <w:t xml:space="preserve"> 0</w:t>
                  </w:r>
                  <w:r w:rsidR="00731749">
                    <w:rPr>
                      <w:b/>
                    </w:rPr>
                    <w:t>104</w:t>
                  </w:r>
                  <w:r>
                    <w:t>) 0,</w:t>
                  </w:r>
                  <w:r w:rsidR="0045352C">
                    <w:t>0</w:t>
                  </w:r>
                  <w:r w:rsidR="00731749">
                    <w:t>800</w:t>
                  </w:r>
                  <w:r>
                    <w:t xml:space="preserve"> ha platībā, zemes vienības kadastrālā vērtība uz 201</w:t>
                  </w:r>
                  <w:r w:rsidR="00F57EAF">
                    <w:t>6</w:t>
                  </w:r>
                  <w:r>
                    <w:t>.gada 1.j</w:t>
                  </w:r>
                  <w:r w:rsidR="00F57EAF">
                    <w:t>anvāri</w:t>
                  </w:r>
                  <w:r>
                    <w:t xml:space="preserve"> sastāda </w:t>
                  </w:r>
                  <w:r w:rsidR="00731749">
                    <w:t>18 216</w:t>
                  </w:r>
                  <w:r>
                    <w:t xml:space="preserve"> </w:t>
                  </w:r>
                  <w:proofErr w:type="spellStart"/>
                  <w:r w:rsidRPr="00752C94">
                    <w:rPr>
                      <w:i/>
                    </w:rPr>
                    <w:t>euro</w:t>
                  </w:r>
                  <w:proofErr w:type="spellEnd"/>
                  <w:r>
                    <w:t xml:space="preserve">. Saskaņā ar Kadastra datiem </w:t>
                  </w:r>
                  <w:r w:rsidRPr="00583DE8">
                    <w:t>zemes vienības statuss ir – rezerves zemes fonds.</w:t>
                  </w:r>
                </w:p>
                <w:p w:rsidR="00F6386E" w:rsidRPr="00583DE8" w:rsidRDefault="00616D42" w:rsidP="00616D42">
                  <w:pPr>
                    <w:ind w:firstLine="720"/>
                    <w:jc w:val="both"/>
                  </w:pPr>
                  <w:r w:rsidRPr="00583DE8">
                    <w:t xml:space="preserve">Saskaņā ar Kadastra datiem uz zemes vienības atrodas </w:t>
                  </w:r>
                  <w:r w:rsidR="00F6386E" w:rsidRPr="00583DE8">
                    <w:t xml:space="preserve">cita nekustamā īpašuma (nekustamā īpašuma kadastra Nr.0100 </w:t>
                  </w:r>
                  <w:r w:rsidR="00731749" w:rsidRPr="00583DE8">
                    <w:t>555</w:t>
                  </w:r>
                  <w:r w:rsidR="00F6386E" w:rsidRPr="00583DE8">
                    <w:t xml:space="preserve"> 0</w:t>
                  </w:r>
                  <w:r w:rsidR="00731749" w:rsidRPr="00583DE8">
                    <w:t xml:space="preserve">007) sastāvā esoša dzīvojamā māja </w:t>
                  </w:r>
                  <w:r w:rsidRPr="00583DE8">
                    <w:t xml:space="preserve">(būves kadastra apzīmējums 0100 </w:t>
                  </w:r>
                  <w:r w:rsidR="00F6386E" w:rsidRPr="00583DE8">
                    <w:t>0</w:t>
                  </w:r>
                  <w:r w:rsidR="00731749" w:rsidRPr="00583DE8">
                    <w:t>55</w:t>
                  </w:r>
                  <w:r w:rsidR="00F6386E" w:rsidRPr="00583DE8">
                    <w:t xml:space="preserve"> 0</w:t>
                  </w:r>
                  <w:r w:rsidR="00731749" w:rsidRPr="00583DE8">
                    <w:t>104</w:t>
                  </w:r>
                  <w:r w:rsidR="00F6386E" w:rsidRPr="00583DE8">
                    <w:t xml:space="preserve"> 00</w:t>
                  </w:r>
                  <w:r w:rsidR="00731749" w:rsidRPr="00583DE8">
                    <w:t>1) un šķūnis (būves kadast</w:t>
                  </w:r>
                  <w:r w:rsidR="009F1C7B" w:rsidRPr="00583DE8">
                    <w:t>ra apzīmējums 0100 055 0104 002)</w:t>
                  </w:r>
                  <w:r w:rsidR="0083634A">
                    <w:t xml:space="preserve"> </w:t>
                  </w:r>
                  <w:proofErr w:type="spellStart"/>
                  <w:r w:rsidR="0083634A">
                    <w:t>Ārlavas</w:t>
                  </w:r>
                  <w:proofErr w:type="spellEnd"/>
                  <w:r w:rsidR="0083634A">
                    <w:t xml:space="preserve"> ielā 4, Rīgā</w:t>
                  </w:r>
                  <w:r w:rsidR="00F6386E" w:rsidRPr="00583DE8">
                    <w:t>.</w:t>
                  </w:r>
                  <w:r w:rsidR="009F1C7B" w:rsidRPr="00583DE8">
                    <w:t xml:space="preserve"> Minēto ēku īpašnieks ir </w:t>
                  </w:r>
                  <w:proofErr w:type="spellStart"/>
                  <w:r w:rsidR="009F1C7B" w:rsidRPr="00583DE8">
                    <w:t>Annemari</w:t>
                  </w:r>
                  <w:proofErr w:type="spellEnd"/>
                  <w:r w:rsidR="009F1C7B" w:rsidRPr="00583DE8">
                    <w:t xml:space="preserve"> </w:t>
                  </w:r>
                  <w:proofErr w:type="spellStart"/>
                  <w:r w:rsidR="009F1C7B" w:rsidRPr="00583DE8">
                    <w:t>Megi</w:t>
                  </w:r>
                  <w:proofErr w:type="spellEnd"/>
                  <w:r w:rsidR="009F1C7B" w:rsidRPr="00583DE8">
                    <w:t xml:space="preserve">. </w:t>
                  </w:r>
                  <w:r w:rsidR="00F6386E" w:rsidRPr="00583DE8">
                    <w:t xml:space="preserve"> </w:t>
                  </w:r>
                </w:p>
                <w:p w:rsidR="00F6386E" w:rsidRPr="00054A5C" w:rsidRDefault="00F6386E" w:rsidP="00616D42">
                  <w:pPr>
                    <w:ind w:firstLine="720"/>
                    <w:jc w:val="both"/>
                    <w:rPr>
                      <w:u w:val="single"/>
                    </w:rPr>
                  </w:pPr>
                  <w:r w:rsidRPr="00583DE8">
                    <w:t>Atbilstoši Rīgas pilsētas zemesgrāmatas nodalījumā Nr.1</w:t>
                  </w:r>
                  <w:r w:rsidR="009F1C7B" w:rsidRPr="00583DE8">
                    <w:t>00000508082</w:t>
                  </w:r>
                  <w:r w:rsidRPr="00583DE8">
                    <w:t xml:space="preserve"> esošajai informācijai īpašuma tiesības uz </w:t>
                  </w:r>
                  <w:r w:rsidR="00545026">
                    <w:t xml:space="preserve">nekustamo īpašumu </w:t>
                  </w:r>
                  <w:r w:rsidR="00545026" w:rsidRPr="00545026">
                    <w:t>(nekustamā īpašuma kadastra Nr.0100 55</w:t>
                  </w:r>
                  <w:r w:rsidR="00545026">
                    <w:t>5</w:t>
                  </w:r>
                  <w:r w:rsidR="00545026" w:rsidRPr="00545026">
                    <w:t xml:space="preserve"> 00</w:t>
                  </w:r>
                  <w:r w:rsidR="00545026">
                    <w:t>07</w:t>
                  </w:r>
                  <w:r w:rsidR="00545026" w:rsidRPr="00545026">
                    <w:t>)</w:t>
                  </w:r>
                  <w:r w:rsidR="000351BD">
                    <w:t xml:space="preserve"> ir nostiprinātas </w:t>
                  </w:r>
                  <w:proofErr w:type="spellStart"/>
                  <w:r w:rsidR="000351BD">
                    <w:t>Annemari</w:t>
                  </w:r>
                  <w:proofErr w:type="spellEnd"/>
                  <w:r w:rsidR="000351BD">
                    <w:t xml:space="preserve"> </w:t>
                  </w:r>
                  <w:proofErr w:type="spellStart"/>
                  <w:r w:rsidR="000351BD">
                    <w:t>Megi</w:t>
                  </w:r>
                  <w:proofErr w:type="spellEnd"/>
                  <w:r w:rsidR="000351BD">
                    <w:t xml:space="preserve">, </w:t>
                  </w:r>
                  <w:r w:rsidR="000351BD" w:rsidRPr="00054A5C">
                    <w:rPr>
                      <w:u w:val="single"/>
                    </w:rPr>
                    <w:t xml:space="preserve">lēmuma datums 01.08.2012. </w:t>
                  </w:r>
                </w:p>
                <w:p w:rsidR="000351BD" w:rsidRPr="00054A5C" w:rsidRDefault="000351BD" w:rsidP="000351BD">
                  <w:pPr>
                    <w:ind w:firstLine="720"/>
                    <w:jc w:val="both"/>
                    <w:rPr>
                      <w:u w:val="single"/>
                    </w:rPr>
                  </w:pPr>
                  <w:r w:rsidRPr="00054A5C">
                    <w:rPr>
                      <w:u w:val="single"/>
                    </w:rPr>
                    <w:t xml:space="preserve">Atbilstoši tobrīd spēkā esošajai likuma „Par nekustamā īpašuma ierakstīšanu zemesgrāmatās” 19.panta redakcijai zemesgrāmatā nebija ierakstāmas ēkas (būves), kuru kadastrālās uzmērīšanas lietā ir uzrādītas patvaļīgas būvniecības pazīmes, kā arī </w:t>
                  </w:r>
                  <w:proofErr w:type="spellStart"/>
                  <w:r w:rsidRPr="00054A5C">
                    <w:rPr>
                      <w:u w:val="single"/>
                    </w:rPr>
                    <w:t>mazēkas</w:t>
                  </w:r>
                  <w:proofErr w:type="spellEnd"/>
                  <w:r w:rsidRPr="00054A5C">
                    <w:rPr>
                      <w:u w:val="single"/>
                    </w:rPr>
                    <w:t xml:space="preserve"> un pagaidu būves. </w:t>
                  </w:r>
                </w:p>
                <w:p w:rsidR="000351BD" w:rsidRPr="00054A5C" w:rsidRDefault="000351BD" w:rsidP="000351BD">
                  <w:pPr>
                    <w:ind w:firstLine="720"/>
                    <w:jc w:val="both"/>
                    <w:rPr>
                      <w:u w:val="single"/>
                    </w:rPr>
                  </w:pPr>
                  <w:r w:rsidRPr="00054A5C">
                    <w:rPr>
                      <w:u w:val="single"/>
                    </w:rPr>
                    <w:t xml:space="preserve">Saskaņā ar Ministru kabineta 2014.gada 19.augusta noteikumu Nr.500 „Vispārīgie būvnoteikumi” 2.20.apakšpunktu </w:t>
                  </w:r>
                  <w:proofErr w:type="spellStart"/>
                  <w:r w:rsidRPr="00054A5C">
                    <w:rPr>
                      <w:u w:val="single"/>
                    </w:rPr>
                    <w:t>mazēka</w:t>
                  </w:r>
                  <w:proofErr w:type="spellEnd"/>
                  <w:r w:rsidRPr="00054A5C">
                    <w:rPr>
                      <w:u w:val="single"/>
                    </w:rPr>
                    <w:t xml:space="preserve"> ir vienstāva ēka, kuras apbūves laukums nav lielāks par 25 m</w:t>
                  </w:r>
                  <w:r w:rsidRPr="00054A5C">
                    <w:rPr>
                      <w:u w:val="single"/>
                      <w:vertAlign w:val="superscript"/>
                    </w:rPr>
                    <w:t>2</w:t>
                  </w:r>
                  <w:r w:rsidRPr="00054A5C">
                    <w:rPr>
                      <w:u w:val="single"/>
                    </w:rPr>
                    <w:t xml:space="preserve">. Atbilstoši Nekustamā īpašuma valsts kadastra informācijas </w:t>
                  </w:r>
                  <w:r w:rsidRPr="00054A5C">
                    <w:rPr>
                      <w:u w:val="single"/>
                    </w:rPr>
                    <w:lastRenderedPageBreak/>
                    <w:t>sistēmas datiem būves (būves kadastra apzīmējumus 0100 055 0104 002) apbūves laukums ir 17,10 m</w:t>
                  </w:r>
                  <w:r w:rsidRPr="00054A5C">
                    <w:rPr>
                      <w:u w:val="single"/>
                      <w:vertAlign w:val="superscript"/>
                    </w:rPr>
                    <w:t>2</w:t>
                  </w:r>
                  <w:r w:rsidRPr="00054A5C">
                    <w:rPr>
                      <w:u w:val="single"/>
                    </w:rPr>
                    <w:t xml:space="preserve">, līdz ar to tā ir uzskatāma par </w:t>
                  </w:r>
                  <w:proofErr w:type="spellStart"/>
                  <w:r w:rsidRPr="00054A5C">
                    <w:rPr>
                      <w:u w:val="single"/>
                    </w:rPr>
                    <w:t>mazēku</w:t>
                  </w:r>
                  <w:proofErr w:type="spellEnd"/>
                  <w:r w:rsidRPr="00054A5C">
                    <w:rPr>
                      <w:u w:val="single"/>
                    </w:rPr>
                    <w:t xml:space="preserve"> un nekustamā īpašuma (nekustamā īpašuma kadastra Nr.0100 555 0007) reģistrācijas brīdī nebija ierakstāma zemesgrāmatā. Minētās ēkas reģistrēšana zemesgrāmatā </w:t>
                  </w:r>
                  <w:r w:rsidR="00054A5C" w:rsidRPr="00054A5C">
                    <w:rPr>
                      <w:u w:val="single"/>
                    </w:rPr>
                    <w:t xml:space="preserve">nekustamā īpašuma </w:t>
                  </w:r>
                  <w:r w:rsidRPr="00054A5C">
                    <w:rPr>
                      <w:u w:val="single"/>
                    </w:rPr>
                    <w:t>sastāvā šobrīd ir īpašnieka kompetencē.</w:t>
                  </w:r>
                </w:p>
                <w:p w:rsidR="001E7B92" w:rsidRDefault="00616D42" w:rsidP="001E7B92">
                  <w:pPr>
                    <w:ind w:firstLine="720"/>
                    <w:jc w:val="both"/>
                  </w:pPr>
                  <w:r>
                    <w:t>Latvijas Nacionālā arhīva 201</w:t>
                  </w:r>
                  <w:r w:rsidR="0071587B">
                    <w:t>5</w:t>
                  </w:r>
                  <w:r>
                    <w:t xml:space="preserve">.gada </w:t>
                  </w:r>
                  <w:r w:rsidR="002A4664">
                    <w:t>25</w:t>
                  </w:r>
                  <w:r w:rsidR="0071587B">
                    <w:t>.</w:t>
                  </w:r>
                  <w:r w:rsidR="002A4664">
                    <w:t>jūnija</w:t>
                  </w:r>
                  <w:r>
                    <w:t xml:space="preserve"> izziņā </w:t>
                  </w:r>
                  <w:proofErr w:type="spellStart"/>
                  <w:r>
                    <w:t>Nr.</w:t>
                  </w:r>
                  <w:r w:rsidR="002A4664">
                    <w:t>LVVA-6.2.1.</w:t>
                  </w:r>
                  <w:proofErr w:type="spellEnd"/>
                  <w:r w:rsidR="002A4664">
                    <w:t>/5/2796</w:t>
                  </w:r>
                  <w:r>
                    <w:t xml:space="preserve"> norādīts, ka </w:t>
                  </w:r>
                  <w:r w:rsidR="0071587B">
                    <w:t>u</w:t>
                  </w:r>
                  <w:r w:rsidR="002A4664">
                    <w:t>z zemes vienību Rīgas pilsētā 55</w:t>
                  </w:r>
                  <w:r>
                    <w:t xml:space="preserve">.grupa, </w:t>
                  </w:r>
                  <w:r w:rsidR="002A4664">
                    <w:t>104</w:t>
                  </w:r>
                  <w:r w:rsidR="0071587B">
                    <w:t>.grunts,</w:t>
                  </w:r>
                  <w:r>
                    <w:t xml:space="preserve"> </w:t>
                  </w:r>
                  <w:proofErr w:type="spellStart"/>
                  <w:r w:rsidR="00F30AD4">
                    <w:t>Ārlavas</w:t>
                  </w:r>
                  <w:proofErr w:type="spellEnd"/>
                  <w:r w:rsidR="00F30AD4">
                    <w:t xml:space="preserve"> ielā 4, </w:t>
                  </w:r>
                  <w:r>
                    <w:t>uz</w:t>
                  </w:r>
                  <w:r w:rsidR="0071587B">
                    <w:t xml:space="preserve"> </w:t>
                  </w:r>
                  <w:r w:rsidR="002A4664">
                    <w:t>pirkuma līguma pamata</w:t>
                  </w:r>
                  <w:r>
                    <w:t xml:space="preserve"> </w:t>
                  </w:r>
                  <w:proofErr w:type="spellStart"/>
                  <w:r w:rsidR="0071587B">
                    <w:t>apakš</w:t>
                  </w:r>
                  <w:r>
                    <w:t>īpašuma</w:t>
                  </w:r>
                  <w:proofErr w:type="spellEnd"/>
                  <w:r>
                    <w:t xml:space="preserve"> tiesības ir apstiprinātas </w:t>
                  </w:r>
                  <w:r w:rsidR="002A4664">
                    <w:t>Ansim Eņģelim</w:t>
                  </w:r>
                  <w:r w:rsidR="0071587B">
                    <w:t xml:space="preserve">, neaizskarot Rīgas pilsētas </w:t>
                  </w:r>
                  <w:proofErr w:type="spellStart"/>
                  <w:r w:rsidR="0071587B">
                    <w:t>virsīpašumu</w:t>
                  </w:r>
                  <w:proofErr w:type="spellEnd"/>
                  <w:r w:rsidR="00811E6D">
                    <w:t xml:space="preserve">. </w:t>
                  </w:r>
                  <w:r w:rsidR="0071587B">
                    <w:t>Ar Likumu par dalītu īpašuma ties</w:t>
                  </w:r>
                  <w:r w:rsidR="001E7B92">
                    <w:t>ību at</w:t>
                  </w:r>
                  <w:r w:rsidR="0071587B">
                    <w:t xml:space="preserve">celšanu līdzšinējam </w:t>
                  </w:r>
                  <w:proofErr w:type="spellStart"/>
                  <w:r w:rsidR="0071587B">
                    <w:t>īpašumtiesīgajam</w:t>
                  </w:r>
                  <w:proofErr w:type="spellEnd"/>
                  <w:r w:rsidR="0071587B">
                    <w:t xml:space="preserve"> lietotājam piešķirtas pilnas īpašuma tiesības. Vēlāk izdarītu īpašuma tiesības apstiprinošu ierakstu zemesgrāmatā nav.  </w:t>
                  </w:r>
                </w:p>
                <w:p w:rsidR="00616D42" w:rsidRDefault="00616D42" w:rsidP="001E7B92">
                  <w:pPr>
                    <w:ind w:firstLine="720"/>
                    <w:jc w:val="both"/>
                  </w:pPr>
                  <w:r>
                    <w:t>Rīg</w:t>
                  </w:r>
                  <w:r w:rsidR="001E7B92">
                    <w:t>as pilsētas zemes komisijas 2015</w:t>
                  </w:r>
                  <w:r>
                    <w:t xml:space="preserve">.gada </w:t>
                  </w:r>
                  <w:r w:rsidR="006F1F23">
                    <w:t>14.maija</w:t>
                  </w:r>
                  <w:r>
                    <w:t xml:space="preserve"> izziņa </w:t>
                  </w:r>
                  <w:proofErr w:type="spellStart"/>
                  <w:r>
                    <w:t>Nr.</w:t>
                  </w:r>
                  <w:r w:rsidR="001E7B92">
                    <w:t>ZK-15-</w:t>
                  </w:r>
                  <w:r w:rsidR="006F1F23">
                    <w:t>141</w:t>
                  </w:r>
                  <w:proofErr w:type="spellEnd"/>
                  <w:r w:rsidR="001E7B92">
                    <w:t>-iz</w:t>
                  </w:r>
                  <w:r>
                    <w:t xml:space="preserve"> apliecina, ka uz zemes vienību Rīgā, </w:t>
                  </w:r>
                  <w:proofErr w:type="spellStart"/>
                  <w:r w:rsidR="006F1F23">
                    <w:t>Ārlavas</w:t>
                  </w:r>
                  <w:proofErr w:type="spellEnd"/>
                  <w:r w:rsidR="001E7B92">
                    <w:t xml:space="preserve"> ielā</w:t>
                  </w:r>
                  <w:r w:rsidR="006F1F23">
                    <w:t xml:space="preserve"> 4</w:t>
                  </w:r>
                  <w:r w:rsidR="001E7B92">
                    <w:t xml:space="preserve">, </w:t>
                  </w:r>
                  <w:r w:rsidR="006F1F23">
                    <w:t>55</w:t>
                  </w:r>
                  <w:r>
                    <w:t xml:space="preserve">.grupa, </w:t>
                  </w:r>
                  <w:r w:rsidR="001E7B92">
                    <w:t>1</w:t>
                  </w:r>
                  <w:r w:rsidR="006F1F23">
                    <w:t>04</w:t>
                  </w:r>
                  <w:r>
                    <w:t>.grunts</w:t>
                  </w:r>
                  <w:r w:rsidR="001E7B92">
                    <w:t>,</w:t>
                  </w:r>
                  <w:r>
                    <w:t xml:space="preserve"> </w:t>
                  </w:r>
                  <w:r w:rsidR="001E7B92" w:rsidRPr="001E7B92">
                    <w:t>līdz 1994.gada 1.jūnijam bijušais īpašnieks, ne viņa mantinieki nav pieteikušies</w:t>
                  </w:r>
                  <w:r w:rsidR="001E7B92">
                    <w:t>. Citu zemes vienības pieprasītāju pieteikumi nav saņemti.</w:t>
                  </w:r>
                </w:p>
                <w:p w:rsidR="00545026" w:rsidRPr="00F67896" w:rsidRDefault="00545026" w:rsidP="00545026">
                  <w:pPr>
                    <w:ind w:firstLine="720"/>
                    <w:jc w:val="both"/>
                  </w:pPr>
                  <w:r w:rsidRPr="00F67896">
                    <w:t xml:space="preserve">Ņemot vērā minēto, secināms, ka arī ēku īpašnieks nebija iesniedzis pieteikumu zemes vienības iegūšanai īpašumā par maksu likumā „Par zemes reformas pabeigšanu pilsētās” noteiktajā termiņā, līdz ar to atbilstoši </w:t>
                  </w:r>
                  <w:r w:rsidRPr="00F67896">
                    <w:rPr>
                      <w:color w:val="000000"/>
                    </w:rPr>
                    <w:t>likuma „</w:t>
                  </w:r>
                  <w:r w:rsidRPr="00F67896">
                    <w:rPr>
                      <w:bCs/>
                      <w:color w:val="000000"/>
                    </w:rPr>
                    <w:t>Par zemes reformas pabeigšanu pilsētās</w:t>
                  </w:r>
                  <w:r w:rsidRPr="00F67896">
                    <w:rPr>
                      <w:color w:val="000000"/>
                    </w:rPr>
                    <w:t>” 2.panta trešajai daļai</w:t>
                  </w:r>
                  <w:r w:rsidRPr="00F67896">
                    <w:t xml:space="preserve"> tā zaudēja tiesības izpirkt zemi likuma „Par zemes reformu Latvijas Republikas pilsētās” 12.pantā noteiktajā kārtībā.</w:t>
                  </w:r>
                </w:p>
                <w:p w:rsidR="00545026" w:rsidRDefault="00545026" w:rsidP="00545026">
                  <w:pPr>
                    <w:ind w:firstLine="720"/>
                    <w:jc w:val="both"/>
                  </w:pPr>
                  <w:r w:rsidRPr="00F67896">
                    <w:t>Ņemot vērā, ka ēku īpašniekam šobrīd nav tiesību iegūt īpašumā zemes vienību saskaņā ar zemes reformas likumiem,</w:t>
                  </w:r>
                  <w:r>
                    <w:t xml:space="preserve"> atbilstoši likuma „Par valsts un pašvaldību zemes īpašuma tiesībām un to nostiprināšanu zemesgrāmatās” 2.panta otrās daļas 2.punktu, minētā zemes vienība ir piekritīga valstij. </w:t>
                  </w:r>
                </w:p>
                <w:p w:rsidR="00054A5C" w:rsidRPr="00054A5C" w:rsidRDefault="00054A5C" w:rsidP="00054A5C">
                  <w:pPr>
                    <w:ind w:firstLine="720"/>
                    <w:jc w:val="both"/>
                    <w:rPr>
                      <w:u w:val="single"/>
                    </w:rPr>
                  </w:pPr>
                  <w:r w:rsidRPr="00054A5C">
                    <w:rPr>
                      <w:u w:val="single"/>
                    </w:rPr>
                    <w:t xml:space="preserve">Fakts, ka būve (būves kadastra apzīmējumus 0100 055 0104 002) nav reģistrēta zemesgrāmatā neietekmē </w:t>
                  </w:r>
                  <w:r>
                    <w:rPr>
                      <w:u w:val="single"/>
                    </w:rPr>
                    <w:t>to</w:t>
                  </w:r>
                  <w:r w:rsidRPr="00054A5C">
                    <w:rPr>
                      <w:u w:val="single"/>
                    </w:rPr>
                    <w:t>, ka zemes vienība ar kadastra apzīmējumu 0100 055 0104  ir piekritīga valstij un ierakstāma zemesgrāmatā uz valsts vārda Finanšu ministrijas personā.</w:t>
                  </w:r>
                </w:p>
                <w:p w:rsidR="00616D42" w:rsidRDefault="00616D42" w:rsidP="00616D42">
                  <w:pPr>
                    <w:ind w:firstLine="720"/>
                    <w:jc w:val="both"/>
                  </w:pPr>
                  <w:r>
                    <w:t xml:space="preserve">Pēc Rīkojuma projekta pieņemšanas VNĪ piedāvās </w:t>
                  </w:r>
                  <w:r w:rsidR="006F1F23">
                    <w:t>ēku</w:t>
                  </w:r>
                  <w:r w:rsidR="00054EED">
                    <w:t xml:space="preserve"> īpašniekam </w:t>
                  </w:r>
                  <w:r>
                    <w:t xml:space="preserve">slēgt nomas līgumu. </w:t>
                  </w:r>
                </w:p>
                <w:p w:rsidR="00616D42" w:rsidRDefault="006F1F23" w:rsidP="00616D42">
                  <w:pPr>
                    <w:ind w:firstLine="720"/>
                    <w:jc w:val="both"/>
                  </w:pPr>
                  <w:r w:rsidRPr="006F1F23">
                    <w:t xml:space="preserve">Pēc zemes vienības ierakstīšanas zemesgrāmatā uz valsts vārda Finanšu ministrijas personā, apbūves </w:t>
                  </w:r>
                  <w:r>
                    <w:t>īpašnieka</w:t>
                  </w:r>
                  <w:r w:rsidRPr="006F1F23">
                    <w:t>m radīsies tiesības ierosināt zemes vienības atsavināšanu, ievērojot Publiskas personas mantas atsavināšanas likuma 4.panta ceturtās daļas 3.punktu.</w:t>
                  </w:r>
                </w:p>
                <w:p w:rsidR="006F1F23" w:rsidRDefault="006F1F23" w:rsidP="00616D42">
                  <w:pPr>
                    <w:ind w:firstLine="720"/>
                    <w:jc w:val="both"/>
                  </w:pPr>
                </w:p>
                <w:p w:rsidR="00616D42" w:rsidRDefault="00616D42" w:rsidP="00616D42">
                  <w:pPr>
                    <w:ind w:firstLine="720"/>
                    <w:jc w:val="both"/>
                  </w:pPr>
                  <w:r w:rsidRPr="00D0199A">
                    <w:rPr>
                      <w:b/>
                    </w:rPr>
                    <w:t>3.</w:t>
                  </w:r>
                  <w:r w:rsidR="00D31CCF">
                    <w:t xml:space="preserve"> Rīkojuma projektā Nr.156</w:t>
                  </w:r>
                  <w:r>
                    <w:t xml:space="preserve"> –</w:t>
                  </w:r>
                  <w:r w:rsidR="00176FED">
                    <w:t xml:space="preserve"> </w:t>
                  </w:r>
                  <w:r w:rsidR="00D31CCF">
                    <w:t>zemes vienība</w:t>
                  </w:r>
                  <w:r>
                    <w:t xml:space="preserve"> </w:t>
                  </w:r>
                  <w:r w:rsidR="003B22A5">
                    <w:t>Rušonu ielā 8</w:t>
                  </w:r>
                  <w:r>
                    <w:t xml:space="preserve">, Rīgā, (zemes vienības kadastra apzīmējums </w:t>
                  </w:r>
                  <w:r w:rsidR="00D31CCF">
                    <w:rPr>
                      <w:b/>
                    </w:rPr>
                    <w:t>0100 0</w:t>
                  </w:r>
                  <w:r w:rsidR="003B22A5">
                    <w:rPr>
                      <w:b/>
                    </w:rPr>
                    <w:t>78</w:t>
                  </w:r>
                  <w:r w:rsidRPr="00D0199A">
                    <w:rPr>
                      <w:b/>
                    </w:rPr>
                    <w:t xml:space="preserve"> </w:t>
                  </w:r>
                  <w:r w:rsidR="003B22A5">
                    <w:rPr>
                      <w:b/>
                    </w:rPr>
                    <w:t>0391</w:t>
                  </w:r>
                  <w:r>
                    <w:t>) 0,</w:t>
                  </w:r>
                  <w:r w:rsidR="003B22A5">
                    <w:t>1007</w:t>
                  </w:r>
                  <w:r>
                    <w:t xml:space="preserve"> ha platībā, zemes vie</w:t>
                  </w:r>
                  <w:r w:rsidR="00983B74">
                    <w:t>nības kadastrālā vērtība uz 2016</w:t>
                  </w:r>
                  <w:r>
                    <w:t>.gada 1.j</w:t>
                  </w:r>
                  <w:r w:rsidR="00983B74">
                    <w:t>anvāri</w:t>
                  </w:r>
                  <w:r>
                    <w:t xml:space="preserve"> sastāda </w:t>
                  </w:r>
                  <w:r w:rsidR="003B22A5">
                    <w:t>25</w:t>
                  </w:r>
                  <w:r>
                    <w:t xml:space="preserve"> </w:t>
                  </w:r>
                  <w:r w:rsidR="003B22A5">
                    <w:t>789</w:t>
                  </w:r>
                  <w:r>
                    <w:t xml:space="preserve"> </w:t>
                  </w:r>
                  <w:proofErr w:type="spellStart"/>
                  <w:r w:rsidRPr="00752C94">
                    <w:rPr>
                      <w:i/>
                    </w:rPr>
                    <w:t>euro</w:t>
                  </w:r>
                  <w:proofErr w:type="spellEnd"/>
                  <w:r>
                    <w:t xml:space="preserve">. Saskaņā ar Kadastra datiem zemes vienības statuss ir – </w:t>
                  </w:r>
                  <w:r w:rsidR="003B22A5">
                    <w:t>rezerves zemes fonds</w:t>
                  </w:r>
                  <w:r w:rsidRPr="009F74C1">
                    <w:t>.</w:t>
                  </w:r>
                </w:p>
                <w:p w:rsidR="00616D42" w:rsidRDefault="00616D42" w:rsidP="00616D42">
                  <w:pPr>
                    <w:ind w:firstLine="720"/>
                    <w:jc w:val="both"/>
                  </w:pPr>
                  <w:r>
                    <w:lastRenderedPageBreak/>
                    <w:t>Saskaņā ar Kadastra datiem uz zemes vienības atrodas</w:t>
                  </w:r>
                  <w:r w:rsidR="00764BC6">
                    <w:t xml:space="preserve"> cita nekustamā īpašuma </w:t>
                  </w:r>
                  <w:r w:rsidR="00A57D44">
                    <w:t>Rušonu ielā 8</w:t>
                  </w:r>
                  <w:r w:rsidR="009F74C1">
                    <w:t xml:space="preserve">, Rīgā, </w:t>
                  </w:r>
                  <w:r w:rsidR="00764BC6">
                    <w:t>(nekustamā īpašuma kadastra Nr.0100 5</w:t>
                  </w:r>
                  <w:r w:rsidR="00A57D44">
                    <w:t>78</w:t>
                  </w:r>
                  <w:r w:rsidR="00764BC6">
                    <w:t xml:space="preserve"> 0</w:t>
                  </w:r>
                  <w:r w:rsidR="00A57D44">
                    <w:t>451</w:t>
                  </w:r>
                  <w:r w:rsidR="00764BC6">
                    <w:t xml:space="preserve">) sastāvā esoša dzīvojamā māja (būves kadastra apzīmējums </w:t>
                  </w:r>
                  <w:r>
                    <w:t>0100 0</w:t>
                  </w:r>
                  <w:r w:rsidR="00A57D44">
                    <w:t>78</w:t>
                  </w:r>
                  <w:r>
                    <w:t xml:space="preserve"> </w:t>
                  </w:r>
                  <w:r w:rsidR="00A57D44">
                    <w:t>0391</w:t>
                  </w:r>
                  <w:r>
                    <w:t xml:space="preserve"> 00</w:t>
                  </w:r>
                  <w:r w:rsidR="00764BC6">
                    <w:t>1</w:t>
                  </w:r>
                  <w:r>
                    <w:t xml:space="preserve">), </w:t>
                  </w:r>
                  <w:r w:rsidR="00A57D44">
                    <w:t>saimniecības ēka</w:t>
                  </w:r>
                  <w:r>
                    <w:t xml:space="preserve"> (būves kadastra apzīmējums </w:t>
                  </w:r>
                  <w:r w:rsidR="00A57D44">
                    <w:t>0100 078 0391 002</w:t>
                  </w:r>
                  <w:r>
                    <w:t xml:space="preserve">), </w:t>
                  </w:r>
                  <w:r w:rsidR="00A57D44">
                    <w:t>tualete</w:t>
                  </w:r>
                  <w:r w:rsidR="00764BC6">
                    <w:t xml:space="preserve"> (būves</w:t>
                  </w:r>
                  <w:r>
                    <w:t xml:space="preserve"> kadastra apzīmējumi </w:t>
                  </w:r>
                  <w:r w:rsidR="00A57D44">
                    <w:t>0100 078 0391</w:t>
                  </w:r>
                  <w:r w:rsidR="00764BC6">
                    <w:t xml:space="preserve"> 003)</w:t>
                  </w:r>
                  <w:r w:rsidR="00A57D44">
                    <w:t>, šķūnis (</w:t>
                  </w:r>
                  <w:r w:rsidR="00A57D44" w:rsidRPr="00A57D44">
                    <w:t>būves kadastra apzīmējumi 0100 078 0391 00</w:t>
                  </w:r>
                  <w:r w:rsidR="00A57D44">
                    <w:t>4</w:t>
                  </w:r>
                  <w:r w:rsidR="00A57D44" w:rsidRPr="00A57D44">
                    <w:t>)</w:t>
                  </w:r>
                  <w:r w:rsidR="00A57D44">
                    <w:t xml:space="preserve"> un garāža (būves kadastra apzīmējumi 0100 078 0391 005)</w:t>
                  </w:r>
                  <w:r w:rsidR="009F74C1">
                    <w:t xml:space="preserve">. </w:t>
                  </w:r>
                </w:p>
                <w:p w:rsidR="00616D42" w:rsidRDefault="00616D42" w:rsidP="00BE57F0">
                  <w:pPr>
                    <w:ind w:firstLine="720"/>
                    <w:jc w:val="both"/>
                  </w:pPr>
                  <w:r>
                    <w:t>Atbilstoši Rīgas pilsētas zemesgrāmatas nodalījumā Nr.100000</w:t>
                  </w:r>
                  <w:r w:rsidR="00A57D44">
                    <w:t>382020</w:t>
                  </w:r>
                  <w:r>
                    <w:t xml:space="preserve"> esošajai informācijai īpašuma </w:t>
                  </w:r>
                  <w:r w:rsidR="00764BC6">
                    <w:t>tiesības uz</w:t>
                  </w:r>
                  <w:r w:rsidR="00983B74">
                    <w:t xml:space="preserve"> nekustamo īpašumu</w:t>
                  </w:r>
                  <w:r w:rsidR="00764BC6">
                    <w:t xml:space="preserve"> </w:t>
                  </w:r>
                  <w:r w:rsidR="00983B74">
                    <w:t xml:space="preserve">(nekustamā īpašuma kadastra Nr.0100 578 0451) </w:t>
                  </w:r>
                  <w:r w:rsidR="00764BC6">
                    <w:t xml:space="preserve">ir nostiprinātas </w:t>
                  </w:r>
                  <w:r w:rsidR="00A57D44">
                    <w:t>Agnesei Rudzītei</w:t>
                  </w:r>
                  <w:r w:rsidR="00764BC6">
                    <w:t xml:space="preserve"> </w:t>
                  </w:r>
                  <w:r w:rsidR="00A57D44">
                    <w:t>1/3</w:t>
                  </w:r>
                  <w:r w:rsidR="001261D0">
                    <w:t xml:space="preserve"> domājamās daļas apmērā</w:t>
                  </w:r>
                  <w:r w:rsidR="00764BC6">
                    <w:t xml:space="preserve"> un </w:t>
                  </w:r>
                  <w:r w:rsidR="00A57D44">
                    <w:t xml:space="preserve">Inārai </w:t>
                  </w:r>
                  <w:proofErr w:type="spellStart"/>
                  <w:r w:rsidR="00A57D44">
                    <w:t>Sproģei</w:t>
                  </w:r>
                  <w:proofErr w:type="spellEnd"/>
                  <w:r w:rsidR="00764BC6">
                    <w:t xml:space="preserve"> </w:t>
                  </w:r>
                  <w:r w:rsidR="00A57D44">
                    <w:t>2/3</w:t>
                  </w:r>
                  <w:r w:rsidR="00764BC6">
                    <w:t xml:space="preserve"> </w:t>
                  </w:r>
                  <w:r w:rsidR="00A57D44">
                    <w:t>domājamo daļu</w:t>
                  </w:r>
                  <w:r>
                    <w:t xml:space="preserve"> apmērā. </w:t>
                  </w:r>
                </w:p>
                <w:p w:rsidR="00C354BC" w:rsidRDefault="00616D42" w:rsidP="00616D42">
                  <w:pPr>
                    <w:ind w:firstLine="720"/>
                    <w:jc w:val="both"/>
                  </w:pPr>
                  <w:r>
                    <w:t>Latvijas Nacionālā arhīva 201</w:t>
                  </w:r>
                  <w:r w:rsidR="00006EC7">
                    <w:t>5</w:t>
                  </w:r>
                  <w:r>
                    <w:t xml:space="preserve">.gada </w:t>
                  </w:r>
                  <w:r w:rsidR="00F30AD4">
                    <w:t>2</w:t>
                  </w:r>
                  <w:r w:rsidR="00006EC7">
                    <w:t>5.jūnija</w:t>
                  </w:r>
                  <w:r>
                    <w:t xml:space="preserve"> izziņā </w:t>
                  </w:r>
                  <w:proofErr w:type="spellStart"/>
                  <w:r>
                    <w:t>Nr.</w:t>
                  </w:r>
                  <w:r w:rsidR="00006EC7">
                    <w:t>LVVA-6.2.1.</w:t>
                  </w:r>
                  <w:proofErr w:type="spellEnd"/>
                  <w:r w:rsidR="00006EC7">
                    <w:t>/5/</w:t>
                  </w:r>
                  <w:r w:rsidR="00C354BC">
                    <w:t>2801</w:t>
                  </w:r>
                  <w:r>
                    <w:t xml:space="preserve"> norādīts, ka </w:t>
                  </w:r>
                  <w:r w:rsidR="00F30AD4">
                    <w:t>zemes vienība</w:t>
                  </w:r>
                  <w:r>
                    <w:t xml:space="preserve"> Rīgas pilsētā, </w:t>
                  </w:r>
                  <w:r w:rsidR="00C354BC">
                    <w:t>78</w:t>
                  </w:r>
                  <w:r w:rsidR="009F74C1">
                    <w:t xml:space="preserve">.grupā, </w:t>
                  </w:r>
                  <w:r w:rsidR="00C354BC">
                    <w:t>391</w:t>
                  </w:r>
                  <w:r w:rsidR="00E24572">
                    <w:t>.grunts</w:t>
                  </w:r>
                  <w:r>
                    <w:t xml:space="preserve">, </w:t>
                  </w:r>
                  <w:r w:rsidR="00C354BC">
                    <w:t>Rušonu ielā kā atsevišķa hipotekāra vienība līdz 1940.gadam nav izdalīta, un zemesgrāmatu nodalījums tam nav atvērts, tādēļ nav iespējams sniegt izrakstu no zemesgrāmatas par tā piederību līdz 1940.gadam.</w:t>
                  </w:r>
                </w:p>
                <w:p w:rsidR="003462A8" w:rsidRDefault="00AE2497" w:rsidP="00616D42">
                  <w:pPr>
                    <w:ind w:firstLine="720"/>
                    <w:jc w:val="both"/>
                  </w:pPr>
                  <w:r w:rsidRPr="00AE2497">
                    <w:t>Rīgas pilsē</w:t>
                  </w:r>
                  <w:r>
                    <w:t>tas zemes komisijas 2015.g</w:t>
                  </w:r>
                  <w:r w:rsidR="00C354BC">
                    <w:t xml:space="preserve">ada 11.maija izziņa </w:t>
                  </w:r>
                  <w:proofErr w:type="spellStart"/>
                  <w:r w:rsidR="00C354BC">
                    <w:t>Nr.ZK-15-132</w:t>
                  </w:r>
                  <w:proofErr w:type="spellEnd"/>
                  <w:r w:rsidRPr="00AE2497">
                    <w:t xml:space="preserve">-iz apliecina, ka uz zemes vienību Rīgā, </w:t>
                  </w:r>
                  <w:r w:rsidR="00C354BC">
                    <w:t>Rušonu</w:t>
                  </w:r>
                  <w:r w:rsidRPr="00AE2497">
                    <w:t xml:space="preserve"> ielā</w:t>
                  </w:r>
                  <w:r w:rsidR="00C354BC">
                    <w:t xml:space="preserve"> 8</w:t>
                  </w:r>
                  <w:r>
                    <w:t xml:space="preserve"> (agrāk – </w:t>
                  </w:r>
                  <w:proofErr w:type="spellStart"/>
                  <w:r w:rsidR="00C354BC">
                    <w:t>Rušānu</w:t>
                  </w:r>
                  <w:proofErr w:type="spellEnd"/>
                  <w:r w:rsidR="00C354BC">
                    <w:t xml:space="preserve"> ielā), 78</w:t>
                  </w:r>
                  <w:r w:rsidRPr="00AE2497">
                    <w:t xml:space="preserve">.grupa, </w:t>
                  </w:r>
                  <w:r w:rsidR="00C354BC">
                    <w:t>391</w:t>
                  </w:r>
                  <w:r w:rsidR="00BE57F0">
                    <w:t>.grunts</w:t>
                  </w:r>
                  <w:r w:rsidRPr="00AE2497">
                    <w:t>, līdz 1994.gada 1.jūnijam bijušais īpašnieks, ne viņa mantinieki nav pieteikušies.</w:t>
                  </w:r>
                  <w:r>
                    <w:t xml:space="preserve"> Īpašuma tiesības nav atzītas.</w:t>
                  </w:r>
                  <w:r w:rsidRPr="00AE2497">
                    <w:t xml:space="preserve"> Citu zemes vienības pieprasītāju pieteikumi nav saņemti.</w:t>
                  </w:r>
                </w:p>
                <w:p w:rsidR="005250F8" w:rsidRDefault="005250F8" w:rsidP="005250F8">
                  <w:pPr>
                    <w:ind w:firstLine="720"/>
                    <w:jc w:val="both"/>
                  </w:pPr>
                  <w:r>
                    <w:t xml:space="preserve">Ņemot vērā minēto, secināms, ka arī ēku </w:t>
                  </w:r>
                  <w:r w:rsidR="001261D0">
                    <w:t>kop</w:t>
                  </w:r>
                  <w:r>
                    <w:t>īpašniek</w:t>
                  </w:r>
                  <w:r w:rsidR="001261D0">
                    <w:t>i nebija iesnieguši</w:t>
                  </w:r>
                  <w:r>
                    <w:t xml:space="preserve"> pieteikumu zemes vienības iegūšanai īpašumā par maksu likumā „Par zemes reformas pabeigšanu pilsētās” noteiktajā termiņā, līdz ar to atbilstoši likuma „Par zemes reformas pabeigšanu pilsētās” 2.panta trešajai daļai tā</w:t>
                  </w:r>
                  <w:r w:rsidR="001261D0">
                    <w:t>s</w:t>
                  </w:r>
                  <w:r>
                    <w:t xml:space="preserve"> zaudēja tiesības izpirkt zemi likuma „Par zemes reformu Latvijas Republikas pilsētās” 12.pantā noteiktajā kārtībā.</w:t>
                  </w:r>
                </w:p>
                <w:p w:rsidR="005E6DEB" w:rsidRDefault="005250F8" w:rsidP="005250F8">
                  <w:pPr>
                    <w:ind w:firstLine="720"/>
                    <w:jc w:val="both"/>
                  </w:pPr>
                  <w:r>
                    <w:t xml:space="preserve">Ņemot vērā, ka ēku </w:t>
                  </w:r>
                  <w:r w:rsidR="00F9489A">
                    <w:t>kopīpašniekiem</w:t>
                  </w:r>
                  <w:r>
                    <w:t xml:space="preserve"> šobrīd nav tiesību iegūt īpašumā zemes vienību saskaņā ar zemes reformas likumiem, atbilstoši</w:t>
                  </w:r>
                  <w:r w:rsidR="005E6DEB">
                    <w:t xml:space="preserve"> likuma „Par valsts un pašvaldību zemes īpašuma tiesībām un to nostiprināšanu zemesgrāmatās” </w:t>
                  </w:r>
                  <w:r w:rsidR="00C354BC">
                    <w:t>4</w:t>
                  </w:r>
                  <w:r w:rsidR="00C354BC" w:rsidRPr="00C354BC">
                    <w:rPr>
                      <w:vertAlign w:val="superscript"/>
                    </w:rPr>
                    <w:t>1</w:t>
                  </w:r>
                  <w:r w:rsidR="005E6DEB">
                    <w:t xml:space="preserve">.panta </w:t>
                  </w:r>
                  <w:r w:rsidR="00C354BC">
                    <w:t>pirmās daļas 4</w:t>
                  </w:r>
                  <w:r w:rsidR="005E6DEB">
                    <w:t xml:space="preserve">.punktu minētā zemes vienība ir piekritīga valstij. </w:t>
                  </w:r>
                </w:p>
                <w:p w:rsidR="005E6DEB" w:rsidRDefault="005E6DEB" w:rsidP="005E6DEB">
                  <w:pPr>
                    <w:ind w:firstLine="720"/>
                    <w:jc w:val="both"/>
                  </w:pPr>
                  <w:r>
                    <w:t xml:space="preserve">Pēc Rīkojuma projekta pieņemšanas VNĪ piedāvās apbūves </w:t>
                  </w:r>
                  <w:r w:rsidR="00AF7DCD">
                    <w:t>kop</w:t>
                  </w:r>
                  <w:r>
                    <w:t xml:space="preserve">īpašniekiem slēgt nomas līgumu. </w:t>
                  </w:r>
                </w:p>
                <w:p w:rsidR="00282491" w:rsidRDefault="00282491" w:rsidP="00282491">
                  <w:pPr>
                    <w:ind w:firstLine="720"/>
                    <w:jc w:val="both"/>
                  </w:pPr>
                  <w:r>
                    <w:t>P</w:t>
                  </w:r>
                  <w:r w:rsidR="005E6DEB" w:rsidRPr="006321F5">
                    <w:t xml:space="preserve">ēc zemes vienības ierakstīšanas zemesgrāmatā uz valsts vārda Finanšu ministrijas personā, </w:t>
                  </w:r>
                  <w:r>
                    <w:t xml:space="preserve">apbūves kopīpašniekiem radīsies tiesības ierosināt zemes vienības atsavināšanu, ievērojot Publiskas personas </w:t>
                  </w:r>
                  <w:r w:rsidRPr="00FC1297">
                    <w:t xml:space="preserve">mantas atsavināšanas likuma 4.panta ceturtās daļas </w:t>
                  </w:r>
                  <w:r w:rsidR="00AF7DCD">
                    <w:t>3</w:t>
                  </w:r>
                  <w:r w:rsidRPr="00FC1297">
                    <w:t>.</w:t>
                  </w:r>
                  <w:r w:rsidR="00983B74">
                    <w:t xml:space="preserve"> un 4.</w:t>
                  </w:r>
                  <w:r w:rsidRPr="00FC1297">
                    <w:t>punktu.</w:t>
                  </w:r>
                </w:p>
                <w:p w:rsidR="00665053" w:rsidRDefault="00665053" w:rsidP="00282491">
                  <w:pPr>
                    <w:ind w:firstLine="720"/>
                    <w:jc w:val="both"/>
                  </w:pPr>
                </w:p>
                <w:p w:rsidR="002C58DA" w:rsidRDefault="00AF7DCD" w:rsidP="00257522">
                  <w:pPr>
                    <w:ind w:firstLine="720"/>
                    <w:jc w:val="both"/>
                  </w:pPr>
                  <w:r>
                    <w:t xml:space="preserve">Ņemot vērā iepriekš minēto ir sagatavots Rīkojuma projekts, kas paredz grozīt Rīkojuma Nr.648 11.pielikumu – papildinot to ar zemes vienībām, kas ir piekritīgas valstij un kuras normatīvajos aktos noteiktā kārtībā tiks ierakstītas zemesgrāmatā </w:t>
                  </w:r>
                  <w:r>
                    <w:lastRenderedPageBreak/>
                    <w:t xml:space="preserve">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w:t>
                  </w:r>
                </w:p>
                <w:p w:rsidR="0010470E" w:rsidRDefault="002C58DA" w:rsidP="00257522">
                  <w:pPr>
                    <w:ind w:firstLine="720"/>
                    <w:jc w:val="both"/>
                    <w:rPr>
                      <w:u w:val="single"/>
                    </w:rPr>
                  </w:pPr>
                  <w:r w:rsidRPr="00B7251D">
                    <w:rPr>
                      <w:u w:val="single"/>
                    </w:rPr>
                    <w:t>Visu rīkojuma projektā ietverto zemes vienību projektēšana un uzmērīšana notiks saskaņā ar Ministru kabineta 27.12.2011. noteikumos Nr.1019 „Zemes kadastrālās uzmērīšanas noteikumi” noteikto, proti, zemes vienību neapbūvētai daļai, kas atrodas ielu sarkanajās līnijās, un ir nepieciešama pašvaldības autonomās funkcijas - gādāt par savas administratīvās teritorijas labiekārtošanu un sanitāro tīrību (ielu, ceļu un laukumu būvniecība, rekonstruēšana un uzturēšana) – veikšanai, veicot projektēšanu, tiks nodalīta platība ielu sarkanajās līnijās.</w:t>
                  </w:r>
                  <w:r>
                    <w:rPr>
                      <w:u w:val="single"/>
                    </w:rPr>
                    <w:t xml:space="preserve"> </w:t>
                  </w:r>
                </w:p>
                <w:p w:rsidR="00780C8C" w:rsidRPr="0025218E" w:rsidRDefault="00AF7DCD" w:rsidP="00257522">
                  <w:pPr>
                    <w:ind w:firstLine="720"/>
                    <w:jc w:val="both"/>
                  </w:pPr>
                  <w:r>
                    <w:t>Veicot zemes vienību kadastrālo uzmērīšanu, zemes vienību platības var tikt precizētas.</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lastRenderedPageBreak/>
                    <w:t>3.</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Projekta izstrādē iesaistītās institūcijas</w:t>
                  </w:r>
                </w:p>
              </w:tc>
              <w:tc>
                <w:tcPr>
                  <w:tcW w:w="6456" w:type="dxa"/>
                  <w:gridSpan w:val="3"/>
                  <w:tcBorders>
                    <w:top w:val="single" w:sz="4" w:space="0" w:color="auto"/>
                    <w:left w:val="single" w:sz="4" w:space="0" w:color="auto"/>
                    <w:bottom w:val="single" w:sz="4" w:space="0" w:color="auto"/>
                    <w:right w:val="single" w:sz="4" w:space="0" w:color="auto"/>
                  </w:tcBorders>
                </w:tcPr>
                <w:p w:rsidR="00AA085C" w:rsidRPr="00CC7093" w:rsidRDefault="00B46A16" w:rsidP="00046AFF">
                  <w:pPr>
                    <w:ind w:firstLine="720"/>
                    <w:jc w:val="both"/>
                  </w:pPr>
                  <w:r>
                    <w:t>Rīkojuma p</w:t>
                  </w:r>
                  <w:r w:rsidR="00780C8C" w:rsidRPr="00CC7093">
                    <w:t xml:space="preserve">rojekta izstrādē ir iesaistīta Finanšu ministrija un </w:t>
                  </w:r>
                  <w:r w:rsidR="00046AFF">
                    <w:t>VNĪ</w:t>
                  </w:r>
                  <w:r w:rsidR="00780C8C" w:rsidRPr="00CC7093">
                    <w:t>.</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4</w:t>
                  </w:r>
                  <w:r w:rsidR="00AA085C" w:rsidRPr="00CC7093">
                    <w:t>.</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Cita informācija</w:t>
                  </w:r>
                </w:p>
              </w:tc>
              <w:tc>
                <w:tcPr>
                  <w:tcW w:w="6456" w:type="dxa"/>
                  <w:gridSpan w:val="3"/>
                  <w:tcBorders>
                    <w:top w:val="single" w:sz="4" w:space="0" w:color="auto"/>
                    <w:left w:val="single" w:sz="4" w:space="0" w:color="auto"/>
                    <w:bottom w:val="single" w:sz="4" w:space="0" w:color="auto"/>
                    <w:right w:val="single" w:sz="4" w:space="0" w:color="auto"/>
                  </w:tcBorders>
                </w:tcPr>
                <w:p w:rsidR="00AA085C" w:rsidRPr="00CC7093" w:rsidRDefault="00AA085C" w:rsidP="00EC5F50">
                  <w:pPr>
                    <w:ind w:firstLine="131"/>
                  </w:pPr>
                  <w:r w:rsidRPr="00CC7093">
                    <w:t>Nav.</w:t>
                  </w:r>
                </w:p>
              </w:tc>
            </w:tr>
            <w:tr w:rsidR="0085529C" w:rsidRPr="00CC7093" w:rsidTr="0042321A">
              <w:tblPrEx>
                <w:tblCellMar>
                  <w:top w:w="24" w:type="dxa"/>
                  <w:left w:w="24" w:type="dxa"/>
                  <w:bottom w:w="24" w:type="dxa"/>
                  <w:right w:w="24" w:type="dxa"/>
                </w:tblCellMar>
              </w:tblPrEx>
              <w:trPr>
                <w:trHeight w:val="375"/>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hideMark/>
                </w:tcPr>
                <w:p w:rsidR="00046AFF" w:rsidRDefault="00046AFF" w:rsidP="00EC5F50">
                  <w:pPr>
                    <w:ind w:firstLine="300"/>
                    <w:jc w:val="center"/>
                  </w:pPr>
                </w:p>
                <w:p w:rsidR="0085529C" w:rsidRPr="00CC7093" w:rsidRDefault="00AA085C" w:rsidP="00EC5F50">
                  <w:pPr>
                    <w:ind w:firstLine="300"/>
                    <w:jc w:val="center"/>
                    <w:rPr>
                      <w:b/>
                      <w:bCs/>
                    </w:rPr>
                  </w:pPr>
                  <w:r w:rsidRPr="00CC7093">
                    <w:t> </w:t>
                  </w:r>
                  <w:r w:rsidR="0085529C" w:rsidRPr="00CC7093">
                    <w:rPr>
                      <w:b/>
                      <w:bCs/>
                    </w:rPr>
                    <w:t>II. Tiesību akta projekta ietekme uz sabiedrību, tautsaimniecības attīstību un administratīvo slogu</w:t>
                  </w:r>
                </w:p>
              </w:tc>
            </w:tr>
            <w:tr w:rsidR="0085529C" w:rsidRPr="00CC7093" w:rsidTr="00046AFF">
              <w:tblPrEx>
                <w:tblCellMar>
                  <w:top w:w="24" w:type="dxa"/>
                  <w:left w:w="24" w:type="dxa"/>
                  <w:bottom w:w="24" w:type="dxa"/>
                  <w:right w:w="24" w:type="dxa"/>
                </w:tblCellMar>
              </w:tblPrEx>
              <w:trPr>
                <w:trHeight w:val="314"/>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1.</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 xml:space="preserve">Sabiedrības </w:t>
                  </w:r>
                  <w:proofErr w:type="spellStart"/>
                  <w:r w:rsidRPr="00CC7093">
                    <w:t>mērķgrupas</w:t>
                  </w:r>
                  <w:proofErr w:type="spellEnd"/>
                  <w:r w:rsidRPr="00CC7093">
                    <w:t>, kuras tiesiskais regulējums ietekmē vai varētu ietekmēt</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277153">
                  <w:pPr>
                    <w:ind w:firstLine="720"/>
                    <w:jc w:val="both"/>
                  </w:pPr>
                  <w:r w:rsidRPr="00992F0A">
                    <w:t>Rīkojuma projektā risinātie jautājumi skar tiesību subjektus - fiziskas personas, kuru ēkas atrodas uz valst</w:t>
                  </w:r>
                  <w:r w:rsidR="001261D0">
                    <w:t>ij piekritīgajām zemes vienībām,</w:t>
                  </w:r>
                  <w:r>
                    <w:t xml:space="preserve"> </w:t>
                  </w:r>
                  <w:r w:rsidR="00054A5C">
                    <w:t>Finanšu ministriju</w:t>
                  </w:r>
                  <w:r w:rsidR="009A1BF5">
                    <w:t xml:space="preserve"> (VNĪ)</w:t>
                  </w:r>
                  <w:r w:rsidR="00054A5C">
                    <w:t xml:space="preserve"> un Rīgas pilsētas pašvaldību</w:t>
                  </w:r>
                  <w:r w:rsidR="009A1BF5">
                    <w:t>.</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2.</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Tiesiskā regulējuma ietekme uz tautsaimniecību un administratīvo slogu</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tautsaimniecību, kā valsts saimniecības nozari, neietekmē un administratīvo slogu nemaina.</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3.</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Administratīvo izmaksu monetārs novērtējums</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administratīvo slogu neietekmē.</w:t>
                  </w:r>
                </w:p>
              </w:tc>
            </w:tr>
            <w:tr w:rsidR="0085529C" w:rsidRPr="00CC7093" w:rsidTr="00046AFF">
              <w:tblPrEx>
                <w:tblCellMar>
                  <w:top w:w="24" w:type="dxa"/>
                  <w:left w:w="24" w:type="dxa"/>
                  <w:bottom w:w="24" w:type="dxa"/>
                  <w:right w:w="24" w:type="dxa"/>
                </w:tblCellMar>
              </w:tblPrEx>
              <w:trPr>
                <w:trHeight w:val="233"/>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Default="0085529C" w:rsidP="00EC5F50">
                  <w:pPr>
                    <w:rPr>
                      <w:color w:val="414142"/>
                    </w:rPr>
                  </w:pPr>
                  <w:r w:rsidRPr="00CC7093">
                    <w:rPr>
                      <w:color w:val="414142"/>
                    </w:rPr>
                    <w:t>4.</w:t>
                  </w:r>
                </w:p>
                <w:p w:rsidR="0042321A" w:rsidRPr="00CC7093" w:rsidRDefault="0042321A" w:rsidP="00EC5F50">
                  <w:pPr>
                    <w:rPr>
                      <w:color w:val="414142"/>
                    </w:rPr>
                  </w:pP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Cita informācija</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EC5F50">
                  <w:pPr>
                    <w:ind w:firstLine="720"/>
                    <w:jc w:val="both"/>
                  </w:pPr>
                  <w:r w:rsidRPr="00992F0A">
                    <w:t>Rīkojuma projekta īstenošanai nav nepieciešami papildus līdzekļi no valsts vai pašvaldību budžeta.</w:t>
                  </w:r>
                </w:p>
              </w:tc>
            </w:tr>
            <w:tr w:rsidR="0085529C" w:rsidRPr="00CC7093" w:rsidTr="004232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132" w:type="dxa"/>
                  <w:gridSpan w:val="6"/>
                  <w:vAlign w:val="center"/>
                  <w:hideMark/>
                </w:tcPr>
                <w:p w:rsidR="0085529C" w:rsidRPr="00CC7093" w:rsidRDefault="0085529C" w:rsidP="00B46A16">
                  <w:pPr>
                    <w:spacing w:line="360" w:lineRule="auto"/>
                    <w:ind w:firstLine="301"/>
                    <w:jc w:val="center"/>
                    <w:rPr>
                      <w:b/>
                      <w:bCs/>
                    </w:rPr>
                  </w:pPr>
                  <w:r w:rsidRPr="00CC7093">
                    <w:rPr>
                      <w:b/>
                      <w:bCs/>
                    </w:rPr>
                    <w:t>VI. Sabiedrības līdzdalība un komunikācijas aktivitātes</w:t>
                  </w:r>
                </w:p>
              </w:tc>
            </w:tr>
            <w:tr w:rsidR="0085529C" w:rsidRPr="00CC7093" w:rsidTr="0064428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519" w:type="dxa"/>
                  <w:gridSpan w:val="2"/>
                  <w:tcBorders>
                    <w:top w:val="single" w:sz="4" w:space="0" w:color="auto"/>
                    <w:left w:val="nil"/>
                    <w:bottom w:val="single" w:sz="4" w:space="0" w:color="auto"/>
                    <w:right w:val="single" w:sz="4" w:space="0" w:color="auto"/>
                  </w:tcBorders>
                  <w:hideMark/>
                </w:tcPr>
                <w:p w:rsidR="0085529C" w:rsidRPr="00CC7093" w:rsidRDefault="0085529C" w:rsidP="00EC5F50">
                  <w:r w:rsidRPr="00CC7093">
                    <w:t>1.</w:t>
                  </w:r>
                </w:p>
              </w:tc>
              <w:tc>
                <w:tcPr>
                  <w:tcW w:w="2238"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Plānotās sabiedrības līdzdalības un komunikācijas aktivitātes saistībā ar projektu</w:t>
                  </w:r>
                </w:p>
              </w:tc>
              <w:tc>
                <w:tcPr>
                  <w:tcW w:w="6315" w:type="dxa"/>
                  <w:gridSpan w:val="2"/>
                  <w:tcBorders>
                    <w:top w:val="single" w:sz="4" w:space="0" w:color="auto"/>
                    <w:left w:val="single" w:sz="4" w:space="0" w:color="auto"/>
                    <w:bottom w:val="single" w:sz="4" w:space="0" w:color="auto"/>
                    <w:right w:val="nil"/>
                  </w:tcBorders>
                  <w:hideMark/>
                </w:tcPr>
                <w:p w:rsidR="00286C01" w:rsidRDefault="00286C01" w:rsidP="00B46A16">
                  <w:pPr>
                    <w:ind w:firstLine="720"/>
                    <w:jc w:val="both"/>
                  </w:pPr>
                  <w: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529C" w:rsidRPr="00CC7093" w:rsidRDefault="00286C01" w:rsidP="00B46A16">
                  <w:pPr>
                    <w:ind w:firstLine="720"/>
                    <w:jc w:val="both"/>
                  </w:pPr>
                  <w:r>
                    <w:t xml:space="preserve">Ņemot vērā, ka rīkojuma projekts neatbilst minētajiem kritērijiem, sabiedrības līdzdalības kārtība rīkojuma projekta </w:t>
                  </w:r>
                  <w:r>
                    <w:lastRenderedPageBreak/>
                    <w:t>izstrādē netiek piemērota. Rīkojuma projekts un tā anotācija pēc tā izsludināšanas Valsts sekretāru sanāksmē būs publiski pieejami Ministru kabineta mājas lapā - sadaļā Tiesību aktu projekti.</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519" w:type="dxa"/>
                  <w:gridSpan w:val="2"/>
                  <w:hideMark/>
                </w:tcPr>
                <w:p w:rsidR="0085529C" w:rsidRPr="00CC7093" w:rsidRDefault="0085529C" w:rsidP="00EC5F50">
                  <w:r w:rsidRPr="00CC7093">
                    <w:lastRenderedPageBreak/>
                    <w:t>2.</w:t>
                  </w:r>
                </w:p>
              </w:tc>
              <w:tc>
                <w:tcPr>
                  <w:tcW w:w="2238" w:type="dxa"/>
                  <w:gridSpan w:val="2"/>
                  <w:hideMark/>
                </w:tcPr>
                <w:p w:rsidR="0085529C" w:rsidRPr="00CC7093" w:rsidRDefault="0085529C" w:rsidP="00EC5F50">
                  <w:r w:rsidRPr="00CC7093">
                    <w:t>Sabiedrības līdzdalība projekta izstrādē</w:t>
                  </w:r>
                </w:p>
              </w:tc>
              <w:tc>
                <w:tcPr>
                  <w:tcW w:w="6315" w:type="dxa"/>
                  <w:gridSpan w:val="2"/>
                  <w:hideMark/>
                </w:tcPr>
                <w:p w:rsidR="0085529C" w:rsidRPr="00CC7093" w:rsidRDefault="00FA6B67" w:rsidP="00B46A16">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519" w:type="dxa"/>
                  <w:gridSpan w:val="2"/>
                  <w:hideMark/>
                </w:tcPr>
                <w:p w:rsidR="0085529C" w:rsidRPr="00CC7093" w:rsidRDefault="0085529C" w:rsidP="00EC5F50">
                  <w:r w:rsidRPr="00CC7093">
                    <w:t>3.</w:t>
                  </w:r>
                </w:p>
              </w:tc>
              <w:tc>
                <w:tcPr>
                  <w:tcW w:w="2238" w:type="dxa"/>
                  <w:gridSpan w:val="2"/>
                  <w:hideMark/>
                </w:tcPr>
                <w:p w:rsidR="0085529C" w:rsidRPr="00CC7093" w:rsidRDefault="0085529C" w:rsidP="00EC5F50">
                  <w:r w:rsidRPr="00CC7093">
                    <w:t>Sabiedrības līdzdalības rezultāti</w:t>
                  </w:r>
                </w:p>
              </w:tc>
              <w:tc>
                <w:tcPr>
                  <w:tcW w:w="6315" w:type="dxa"/>
                  <w:gridSpan w:val="2"/>
                  <w:hideMark/>
                </w:tcPr>
                <w:p w:rsidR="0085529C" w:rsidRPr="00CC7093" w:rsidRDefault="00FA6B67" w:rsidP="009A1BF5">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1082"/>
                <w:tblCellSpacing w:w="15" w:type="dxa"/>
                <w:jc w:val="center"/>
              </w:trPr>
              <w:tc>
                <w:tcPr>
                  <w:tcW w:w="519" w:type="dxa"/>
                  <w:gridSpan w:val="2"/>
                  <w:hideMark/>
                </w:tcPr>
                <w:p w:rsidR="0085529C" w:rsidRPr="00CC7093" w:rsidRDefault="0085529C" w:rsidP="00EC5F50">
                  <w:r w:rsidRPr="00CC7093">
                    <w:t>4.</w:t>
                  </w:r>
                </w:p>
              </w:tc>
              <w:tc>
                <w:tcPr>
                  <w:tcW w:w="2238" w:type="dxa"/>
                  <w:gridSpan w:val="2"/>
                  <w:hideMark/>
                </w:tcPr>
                <w:p w:rsidR="0085529C" w:rsidRPr="00CC7093" w:rsidRDefault="0085529C" w:rsidP="00EC5F50">
                  <w:r w:rsidRPr="00CC7093">
                    <w:t>Cita informācija</w:t>
                  </w:r>
                </w:p>
              </w:tc>
              <w:tc>
                <w:tcPr>
                  <w:tcW w:w="6315" w:type="dxa"/>
                  <w:gridSpan w:val="2"/>
                  <w:hideMark/>
                </w:tcPr>
                <w:p w:rsidR="0085529C" w:rsidRPr="00CC7093" w:rsidRDefault="0085529C" w:rsidP="00B46A16">
                  <w:pPr>
                    <w:spacing w:before="100" w:beforeAutospacing="1" w:after="100" w:afterAutospacing="1"/>
                    <w:ind w:firstLine="720"/>
                    <w:jc w:val="both"/>
                  </w:pPr>
                  <w:r w:rsidRPr="00CC7093">
                    <w:t>Saskaņā ar Oficiālo publikāciju un t</w:t>
                  </w:r>
                  <w:r w:rsidR="006C753F">
                    <w:t>iesiskās informācijas likuma 2.panta pirmo daļu un 3.</w:t>
                  </w:r>
                  <w:r w:rsidRPr="00CC7093">
                    <w:t xml:space="preserve">panta pirmo daļu tiesību aktus publicē oficiālajā izdevumā „Latvijas Vēstnesis”, tos publicējot elektroniski tīmekļa vietnē </w:t>
                  </w:r>
                  <w:proofErr w:type="spellStart"/>
                  <w:r w:rsidRPr="00CC7093">
                    <w:t>www.vestnesis.lv</w:t>
                  </w:r>
                  <w:proofErr w:type="spellEnd"/>
                  <w:r w:rsidRPr="00CC7093">
                    <w:t>.</w:t>
                  </w:r>
                </w:p>
              </w:tc>
            </w:tr>
          </w:tbl>
          <w:p w:rsidR="0085529C" w:rsidRPr="00286C01" w:rsidRDefault="0085529C" w:rsidP="00286C01">
            <w:pPr>
              <w:rPr>
                <w:lang w:eastAsia="en-US"/>
              </w:rPr>
            </w:pPr>
          </w:p>
        </w:tc>
      </w:tr>
      <w:tr w:rsidR="00F94DC9" w:rsidRPr="0085529C" w:rsidTr="00B46A1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9202" w:type="dxa"/>
            <w:gridSpan w:val="3"/>
            <w:tcBorders>
              <w:top w:val="outset" w:sz="6" w:space="0" w:color="000000"/>
              <w:bottom w:val="outset" w:sz="6" w:space="0" w:color="000000"/>
            </w:tcBorders>
          </w:tcPr>
          <w:p w:rsidR="00F94DC9" w:rsidRPr="00CC7093" w:rsidRDefault="00F94DC9" w:rsidP="00CC7093">
            <w:pPr>
              <w:spacing w:before="100" w:beforeAutospacing="1" w:after="100" w:afterAutospacing="1"/>
              <w:jc w:val="center"/>
              <w:rPr>
                <w:b/>
                <w:bCs/>
              </w:rPr>
            </w:pPr>
            <w:r w:rsidRPr="00CC7093">
              <w:rPr>
                <w:b/>
                <w:bCs/>
              </w:rPr>
              <w:lastRenderedPageBreak/>
              <w:t>VII. Tiesību akta projekta izpildes nodrošināšana un tās ietekme uz institūcijām</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1.</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Projekta izpildē iesaistītās institūcijas</w:t>
            </w:r>
          </w:p>
        </w:tc>
        <w:tc>
          <w:tcPr>
            <w:tcW w:w="6365" w:type="dxa"/>
            <w:tcBorders>
              <w:top w:val="outset" w:sz="6" w:space="0" w:color="000000"/>
              <w:left w:val="outset" w:sz="6" w:space="0" w:color="000000"/>
              <w:bottom w:val="outset" w:sz="6" w:space="0" w:color="000000"/>
            </w:tcBorders>
          </w:tcPr>
          <w:p w:rsidR="00F94DC9" w:rsidRPr="00CC7093" w:rsidRDefault="00F94DC9" w:rsidP="00644286">
            <w:pPr>
              <w:spacing w:before="100" w:beforeAutospacing="1" w:after="100" w:afterAutospacing="1"/>
              <w:ind w:firstLine="720"/>
              <w:jc w:val="both"/>
            </w:pPr>
            <w:r w:rsidRPr="00CC7093">
              <w:t xml:space="preserve">Par rīkojuma projekta izpildi atbildīgā ir </w:t>
            </w:r>
            <w:r w:rsidR="009A1BF5">
              <w:t>Finanšu ministrija (</w:t>
            </w:r>
            <w:r w:rsidR="00046AFF">
              <w:t>VNĪ</w:t>
            </w:r>
            <w:r w:rsidR="009A1BF5">
              <w:t>)</w:t>
            </w:r>
            <w:r w:rsidR="00644286">
              <w:t>.</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2.</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 xml:space="preserve">Projekta izpildes ietekme uz pārvaldes funkcijām un institucionālo struktūru. </w:t>
            </w:r>
          </w:p>
          <w:p w:rsidR="00F94DC9" w:rsidRPr="00CC7093" w:rsidRDefault="00F94DC9" w:rsidP="00EC5F50">
            <w:pPr>
              <w:spacing w:before="100" w:beforeAutospacing="1" w:after="100" w:afterAutospacing="1"/>
            </w:pPr>
            <w:r w:rsidRPr="00CC7093">
              <w:t>Jaunu institūciju izveide, esošu institūciju likvidācija vai reorganizācija, to ietekme uz institūcijas cilvēkresursiem</w:t>
            </w:r>
          </w:p>
        </w:tc>
        <w:tc>
          <w:tcPr>
            <w:tcW w:w="6365" w:type="dxa"/>
            <w:tcBorders>
              <w:top w:val="outset" w:sz="6" w:space="0" w:color="000000"/>
              <w:left w:val="outset" w:sz="6" w:space="0" w:color="000000"/>
              <w:bottom w:val="outset" w:sz="6" w:space="0" w:color="000000"/>
            </w:tcBorders>
          </w:tcPr>
          <w:p w:rsidR="00F94DC9" w:rsidRPr="00CC7093" w:rsidRDefault="0042321A" w:rsidP="0042321A">
            <w:pPr>
              <w:spacing w:before="100" w:beforeAutospacing="1" w:after="100" w:afterAutospacing="1"/>
              <w:jc w:val="both"/>
            </w:pPr>
            <w:r w:rsidRPr="0042321A">
              <w:t>Projekts šo jomu neskar.</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r w:rsidRPr="00CC7093">
              <w:t>3.</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r w:rsidRPr="00CC7093">
              <w:t>Cita informācija</w:t>
            </w:r>
          </w:p>
        </w:tc>
        <w:tc>
          <w:tcPr>
            <w:tcW w:w="6365" w:type="dxa"/>
            <w:tcBorders>
              <w:top w:val="outset" w:sz="6" w:space="0" w:color="000000"/>
              <w:left w:val="outset" w:sz="6" w:space="0" w:color="000000"/>
              <w:bottom w:val="outset" w:sz="6" w:space="0" w:color="000000"/>
            </w:tcBorders>
          </w:tcPr>
          <w:p w:rsidR="00F94DC9" w:rsidRPr="00CC7093" w:rsidRDefault="00992F0A" w:rsidP="0042321A">
            <w:pPr>
              <w:jc w:val="both"/>
            </w:pPr>
            <w:r w:rsidRPr="00992F0A">
              <w:t>Saskaņā ar VNĪ 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tc>
      </w:tr>
    </w:tbl>
    <w:p w:rsidR="0042321A" w:rsidRPr="00B46A16" w:rsidRDefault="00F94DC9" w:rsidP="00B46A16">
      <w:pPr>
        <w:spacing w:before="100" w:beforeAutospacing="1" w:after="100" w:afterAutospacing="1"/>
        <w:rPr>
          <w:i/>
        </w:rPr>
      </w:pPr>
      <w:r w:rsidRPr="00D70023">
        <w:rPr>
          <w:bCs/>
          <w:i/>
        </w:rPr>
        <w:t xml:space="preserve">Anotācijas </w:t>
      </w:r>
      <w:r w:rsidR="00992F0A">
        <w:rPr>
          <w:bCs/>
          <w:i/>
        </w:rPr>
        <w:t xml:space="preserve">III., </w:t>
      </w:r>
      <w:r w:rsidR="0042321A">
        <w:rPr>
          <w:bCs/>
          <w:i/>
        </w:rPr>
        <w:t xml:space="preserve">IV. </w:t>
      </w:r>
      <w:r w:rsidRPr="00D70023">
        <w:rPr>
          <w:bCs/>
          <w:i/>
        </w:rPr>
        <w:t>un V. sadaļa –projekts šīs jomas neskar.</w:t>
      </w:r>
    </w:p>
    <w:p w:rsidR="006F4F91" w:rsidRDefault="006F4F91" w:rsidP="00CC7093">
      <w:pPr>
        <w:pStyle w:val="BodyTextIndent"/>
        <w:ind w:left="0"/>
      </w:pPr>
    </w:p>
    <w:p w:rsidR="00AA085C" w:rsidRPr="00AC5E9A" w:rsidRDefault="00F82EE3" w:rsidP="00CC7093">
      <w:pPr>
        <w:pStyle w:val="BodyTextIndent"/>
        <w:ind w:left="0"/>
      </w:pPr>
      <w:r>
        <w:t>Finanšu ministre</w:t>
      </w:r>
      <w:r w:rsidR="00AA085C" w:rsidRPr="00AC5E9A">
        <w:tab/>
      </w:r>
      <w:r w:rsidR="00AA085C" w:rsidRPr="00AC5E9A">
        <w:tab/>
      </w:r>
      <w:r w:rsidR="00AA085C" w:rsidRPr="00AC5E9A">
        <w:tab/>
      </w:r>
      <w:r w:rsidR="00AA085C" w:rsidRPr="00AC5E9A">
        <w:tab/>
      </w:r>
      <w:r w:rsidR="00AA085C" w:rsidRPr="00AC5E9A">
        <w:tab/>
      </w:r>
      <w:r w:rsidR="00AA085C" w:rsidRPr="00AC5E9A">
        <w:tab/>
      </w:r>
      <w:r w:rsidR="00AA085C" w:rsidRPr="00AC5E9A">
        <w:tab/>
      </w:r>
      <w:proofErr w:type="spellStart"/>
      <w:r>
        <w:t>D.Reizniece-Ozola</w:t>
      </w:r>
      <w:proofErr w:type="spellEnd"/>
    </w:p>
    <w:p w:rsidR="009A1BF5" w:rsidRDefault="009A1BF5" w:rsidP="009A1BF5">
      <w:pPr>
        <w:rPr>
          <w:sz w:val="20"/>
        </w:rPr>
      </w:pPr>
    </w:p>
    <w:p w:rsidR="00F9489A" w:rsidRDefault="00F9489A" w:rsidP="009A1BF5">
      <w:pPr>
        <w:rPr>
          <w:sz w:val="20"/>
        </w:rPr>
      </w:pPr>
    </w:p>
    <w:p w:rsidR="006F4F91" w:rsidRDefault="006F4F91" w:rsidP="009A1BF5">
      <w:pPr>
        <w:rPr>
          <w:sz w:val="20"/>
        </w:rPr>
      </w:pPr>
    </w:p>
    <w:p w:rsidR="009A1BF5" w:rsidRPr="009A1BF5" w:rsidRDefault="008B376C" w:rsidP="009A1BF5">
      <w:pPr>
        <w:rPr>
          <w:sz w:val="20"/>
        </w:rPr>
      </w:pPr>
      <w:r>
        <w:rPr>
          <w:sz w:val="20"/>
        </w:rPr>
        <w:t>2</w:t>
      </w:r>
      <w:r w:rsidR="00644286">
        <w:rPr>
          <w:sz w:val="20"/>
        </w:rPr>
        <w:t>6</w:t>
      </w:r>
      <w:r>
        <w:rPr>
          <w:sz w:val="20"/>
        </w:rPr>
        <w:t>.04</w:t>
      </w:r>
      <w:r w:rsidR="00277153">
        <w:rPr>
          <w:sz w:val="20"/>
        </w:rPr>
        <w:t>.2016</w:t>
      </w:r>
      <w:r w:rsidR="00B030D0">
        <w:rPr>
          <w:sz w:val="20"/>
        </w:rPr>
        <w:t>. 1</w:t>
      </w:r>
      <w:r w:rsidR="00644286">
        <w:rPr>
          <w:sz w:val="20"/>
        </w:rPr>
        <w:t>2</w:t>
      </w:r>
      <w:r w:rsidR="00E5226B">
        <w:rPr>
          <w:sz w:val="20"/>
        </w:rPr>
        <w:t>:</w:t>
      </w:r>
      <w:r w:rsidR="00644286">
        <w:rPr>
          <w:sz w:val="20"/>
        </w:rPr>
        <w:t>02</w:t>
      </w:r>
      <w:bookmarkStart w:id="5" w:name="_GoBack"/>
      <w:bookmarkEnd w:id="5"/>
    </w:p>
    <w:p w:rsidR="009A1BF5" w:rsidRPr="009A1BF5" w:rsidRDefault="00644286" w:rsidP="009A1BF5">
      <w:pPr>
        <w:rPr>
          <w:sz w:val="20"/>
        </w:rPr>
      </w:pPr>
      <w:r>
        <w:rPr>
          <w:sz w:val="20"/>
        </w:rPr>
        <w:t>2214</w:t>
      </w:r>
    </w:p>
    <w:p w:rsidR="009A1BF5" w:rsidRPr="009A1BF5" w:rsidRDefault="009A1BF5" w:rsidP="009A1BF5">
      <w:pPr>
        <w:rPr>
          <w:sz w:val="20"/>
        </w:rPr>
      </w:pPr>
      <w:proofErr w:type="spellStart"/>
      <w:r w:rsidRPr="009A1BF5">
        <w:rPr>
          <w:sz w:val="20"/>
        </w:rPr>
        <w:t>M.Deņisova</w:t>
      </w:r>
      <w:proofErr w:type="spellEnd"/>
      <w:r w:rsidRPr="009A1BF5">
        <w:rPr>
          <w:sz w:val="20"/>
        </w:rPr>
        <w:t xml:space="preserve"> 67024676</w:t>
      </w:r>
    </w:p>
    <w:p w:rsidR="00B46A16" w:rsidRDefault="00A55055" w:rsidP="00AA085C">
      <w:pPr>
        <w:rPr>
          <w:sz w:val="20"/>
        </w:rPr>
      </w:pPr>
      <w:hyperlink r:id="rId12" w:history="1">
        <w:r w:rsidR="009A1BF5" w:rsidRPr="00F2304A">
          <w:rPr>
            <w:rStyle w:val="Hyperlink"/>
            <w:sz w:val="20"/>
          </w:rPr>
          <w:t>Mara.Denisova@vni.lv</w:t>
        </w:r>
      </w:hyperlink>
      <w:r w:rsidR="009A1BF5">
        <w:rPr>
          <w:sz w:val="20"/>
        </w:rPr>
        <w:t xml:space="preserve"> </w:t>
      </w:r>
    </w:p>
    <w:sectPr w:rsidR="00B46A16" w:rsidSect="0042321A">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5C" w:rsidRDefault="00054A5C">
      <w:r>
        <w:separator/>
      </w:r>
    </w:p>
  </w:endnote>
  <w:endnote w:type="continuationSeparator" w:id="0">
    <w:p w:rsidR="00054A5C" w:rsidRDefault="0005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C" w:rsidRPr="00E5226B" w:rsidRDefault="00054A5C" w:rsidP="00E5226B">
    <w:pPr>
      <w:pStyle w:val="Footer"/>
      <w:jc w:val="both"/>
    </w:pPr>
    <w:r w:rsidRPr="00FA6B67">
      <w:rPr>
        <w:sz w:val="20"/>
        <w:szCs w:val="20"/>
      </w:rPr>
      <w:t>FMAnot_</w:t>
    </w:r>
    <w:r>
      <w:rPr>
        <w:sz w:val="20"/>
        <w:szCs w:val="20"/>
      </w:rPr>
      <w:t>0112</w:t>
    </w:r>
    <w:r w:rsidRPr="00FA6B67">
      <w:rPr>
        <w:sz w:val="20"/>
        <w:szCs w:val="20"/>
      </w:rPr>
      <w:t>15_groz_648; Ministru kabine</w:t>
    </w:r>
    <w:r>
      <w:rPr>
        <w:sz w:val="20"/>
        <w:szCs w:val="20"/>
      </w:rPr>
      <w:t xml:space="preserve">ta rīkojuma projekta „Grozījums </w:t>
    </w:r>
    <w:r w:rsidRPr="00FA6B67">
      <w:rPr>
        <w:sz w:val="20"/>
        <w:szCs w:val="20"/>
      </w:rPr>
      <w:t>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C" w:rsidRPr="00FA6B67" w:rsidRDefault="00054A5C" w:rsidP="00FA6B67">
    <w:pPr>
      <w:pStyle w:val="Footer"/>
      <w:jc w:val="both"/>
    </w:pPr>
    <w:r w:rsidRPr="00FA6B67">
      <w:rPr>
        <w:sz w:val="20"/>
        <w:szCs w:val="20"/>
      </w:rPr>
      <w:t>FMAnot_</w:t>
    </w:r>
    <w:r>
      <w:rPr>
        <w:sz w:val="20"/>
        <w:szCs w:val="20"/>
      </w:rPr>
      <w:t>0112</w:t>
    </w:r>
    <w:r w:rsidRPr="00FA6B67">
      <w:rPr>
        <w:sz w:val="20"/>
        <w:szCs w:val="20"/>
      </w:rPr>
      <w:t>15_groz_648; Ministru kabine</w:t>
    </w:r>
    <w:r>
      <w:rPr>
        <w:sz w:val="20"/>
        <w:szCs w:val="20"/>
      </w:rPr>
      <w:t xml:space="preserve">ta rīkojuma projekta „Grozījums </w:t>
    </w:r>
    <w:r w:rsidRPr="00FA6B67">
      <w:rPr>
        <w:sz w:val="20"/>
        <w:szCs w:val="20"/>
      </w:rPr>
      <w:t>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5C" w:rsidRDefault="00054A5C">
      <w:r>
        <w:separator/>
      </w:r>
    </w:p>
  </w:footnote>
  <w:footnote w:type="continuationSeparator" w:id="0">
    <w:p w:rsidR="00054A5C" w:rsidRDefault="0005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C" w:rsidRDefault="00054A5C"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A5C" w:rsidRDefault="00054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C" w:rsidRDefault="00054A5C"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286">
      <w:rPr>
        <w:rStyle w:val="PageNumber"/>
        <w:noProof/>
      </w:rPr>
      <w:t>7</w:t>
    </w:r>
    <w:r>
      <w:rPr>
        <w:rStyle w:val="PageNumber"/>
      </w:rPr>
      <w:fldChar w:fldCharType="end"/>
    </w:r>
  </w:p>
  <w:p w:rsidR="00054A5C" w:rsidRDefault="0005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3816"/>
    <w:rsid w:val="00006EC7"/>
    <w:rsid w:val="00010B98"/>
    <w:rsid w:val="000113F4"/>
    <w:rsid w:val="0001247A"/>
    <w:rsid w:val="00012863"/>
    <w:rsid w:val="00017BA9"/>
    <w:rsid w:val="0002167D"/>
    <w:rsid w:val="000351BD"/>
    <w:rsid w:val="00040BE6"/>
    <w:rsid w:val="0004173F"/>
    <w:rsid w:val="00041F97"/>
    <w:rsid w:val="00046AFF"/>
    <w:rsid w:val="00047A36"/>
    <w:rsid w:val="00052F8E"/>
    <w:rsid w:val="00054A5C"/>
    <w:rsid w:val="00054EED"/>
    <w:rsid w:val="0007106D"/>
    <w:rsid w:val="000770CE"/>
    <w:rsid w:val="00095F94"/>
    <w:rsid w:val="000B0BF5"/>
    <w:rsid w:val="000B5199"/>
    <w:rsid w:val="000B6AD9"/>
    <w:rsid w:val="000C5FD7"/>
    <w:rsid w:val="000E0CBF"/>
    <w:rsid w:val="000F111C"/>
    <w:rsid w:val="000F1545"/>
    <w:rsid w:val="000F647F"/>
    <w:rsid w:val="0010470E"/>
    <w:rsid w:val="00107ACE"/>
    <w:rsid w:val="0011205B"/>
    <w:rsid w:val="001255A9"/>
    <w:rsid w:val="001261D0"/>
    <w:rsid w:val="001322EC"/>
    <w:rsid w:val="00135B09"/>
    <w:rsid w:val="001454FC"/>
    <w:rsid w:val="00157C71"/>
    <w:rsid w:val="00176C55"/>
    <w:rsid w:val="00176FED"/>
    <w:rsid w:val="001831EA"/>
    <w:rsid w:val="00195AEB"/>
    <w:rsid w:val="001A4193"/>
    <w:rsid w:val="001B106E"/>
    <w:rsid w:val="001E2F62"/>
    <w:rsid w:val="001E4398"/>
    <w:rsid w:val="001E7B92"/>
    <w:rsid w:val="001F5D55"/>
    <w:rsid w:val="001F6655"/>
    <w:rsid w:val="001F6713"/>
    <w:rsid w:val="001F75F6"/>
    <w:rsid w:val="00200282"/>
    <w:rsid w:val="00200D26"/>
    <w:rsid w:val="00201057"/>
    <w:rsid w:val="002028ED"/>
    <w:rsid w:val="00205CBD"/>
    <w:rsid w:val="002170D6"/>
    <w:rsid w:val="00221CD9"/>
    <w:rsid w:val="002277E7"/>
    <w:rsid w:val="00235859"/>
    <w:rsid w:val="00242ABD"/>
    <w:rsid w:val="00243011"/>
    <w:rsid w:val="00244C70"/>
    <w:rsid w:val="0025218E"/>
    <w:rsid w:val="00257522"/>
    <w:rsid w:val="00262100"/>
    <w:rsid w:val="00263392"/>
    <w:rsid w:val="00266894"/>
    <w:rsid w:val="00270553"/>
    <w:rsid w:val="00272BCA"/>
    <w:rsid w:val="00277153"/>
    <w:rsid w:val="002773EF"/>
    <w:rsid w:val="00280BC2"/>
    <w:rsid w:val="00282491"/>
    <w:rsid w:val="00284D27"/>
    <w:rsid w:val="00285DFA"/>
    <w:rsid w:val="002868D2"/>
    <w:rsid w:val="00286C01"/>
    <w:rsid w:val="00291235"/>
    <w:rsid w:val="00294463"/>
    <w:rsid w:val="0029622E"/>
    <w:rsid w:val="002A0E1A"/>
    <w:rsid w:val="002A4664"/>
    <w:rsid w:val="002B6A5F"/>
    <w:rsid w:val="002C0F54"/>
    <w:rsid w:val="002C26B4"/>
    <w:rsid w:val="002C58DA"/>
    <w:rsid w:val="002C6BD7"/>
    <w:rsid w:val="002D1A44"/>
    <w:rsid w:val="002E0115"/>
    <w:rsid w:val="002E3451"/>
    <w:rsid w:val="002F06D8"/>
    <w:rsid w:val="00306DFD"/>
    <w:rsid w:val="00310A73"/>
    <w:rsid w:val="00313B92"/>
    <w:rsid w:val="00323B7C"/>
    <w:rsid w:val="003422B3"/>
    <w:rsid w:val="00343D7F"/>
    <w:rsid w:val="00344CD5"/>
    <w:rsid w:val="003462A8"/>
    <w:rsid w:val="00347DAB"/>
    <w:rsid w:val="0035131F"/>
    <w:rsid w:val="00355DED"/>
    <w:rsid w:val="00357AAD"/>
    <w:rsid w:val="0036182B"/>
    <w:rsid w:val="00361BB6"/>
    <w:rsid w:val="0036212E"/>
    <w:rsid w:val="00364CD8"/>
    <w:rsid w:val="003743E2"/>
    <w:rsid w:val="00380BD0"/>
    <w:rsid w:val="003962F7"/>
    <w:rsid w:val="003A12DC"/>
    <w:rsid w:val="003A4265"/>
    <w:rsid w:val="003B22A5"/>
    <w:rsid w:val="003E0E06"/>
    <w:rsid w:val="003E6F99"/>
    <w:rsid w:val="003F7041"/>
    <w:rsid w:val="004007F1"/>
    <w:rsid w:val="00400F77"/>
    <w:rsid w:val="004060BA"/>
    <w:rsid w:val="00406DD3"/>
    <w:rsid w:val="00407E38"/>
    <w:rsid w:val="00412D7B"/>
    <w:rsid w:val="00413680"/>
    <w:rsid w:val="0042321A"/>
    <w:rsid w:val="00426FAC"/>
    <w:rsid w:val="00427FA3"/>
    <w:rsid w:val="00433323"/>
    <w:rsid w:val="004433D4"/>
    <w:rsid w:val="00446019"/>
    <w:rsid w:val="00447330"/>
    <w:rsid w:val="00452BAC"/>
    <w:rsid w:val="0045352C"/>
    <w:rsid w:val="00455166"/>
    <w:rsid w:val="00460D38"/>
    <w:rsid w:val="0046546A"/>
    <w:rsid w:val="0047301B"/>
    <w:rsid w:val="00482F90"/>
    <w:rsid w:val="00491A6E"/>
    <w:rsid w:val="00491BFE"/>
    <w:rsid w:val="00493392"/>
    <w:rsid w:val="00493C2C"/>
    <w:rsid w:val="0049538A"/>
    <w:rsid w:val="00497FC1"/>
    <w:rsid w:val="004A2FEB"/>
    <w:rsid w:val="004A591D"/>
    <w:rsid w:val="004A7B49"/>
    <w:rsid w:val="004B52DC"/>
    <w:rsid w:val="004B5469"/>
    <w:rsid w:val="004C209A"/>
    <w:rsid w:val="004C7D8D"/>
    <w:rsid w:val="004F18FF"/>
    <w:rsid w:val="004F25AA"/>
    <w:rsid w:val="004F5AC1"/>
    <w:rsid w:val="00516782"/>
    <w:rsid w:val="00524C15"/>
    <w:rsid w:val="00524CA5"/>
    <w:rsid w:val="005250F8"/>
    <w:rsid w:val="00525D23"/>
    <w:rsid w:val="005336DD"/>
    <w:rsid w:val="005356B8"/>
    <w:rsid w:val="00536AFA"/>
    <w:rsid w:val="00545026"/>
    <w:rsid w:val="00546933"/>
    <w:rsid w:val="00550A74"/>
    <w:rsid w:val="005511ED"/>
    <w:rsid w:val="00553849"/>
    <w:rsid w:val="00555418"/>
    <w:rsid w:val="005579C9"/>
    <w:rsid w:val="005607DB"/>
    <w:rsid w:val="00567B3F"/>
    <w:rsid w:val="0057135B"/>
    <w:rsid w:val="0057170D"/>
    <w:rsid w:val="005726C3"/>
    <w:rsid w:val="00575AC2"/>
    <w:rsid w:val="005763C0"/>
    <w:rsid w:val="005819B1"/>
    <w:rsid w:val="00583DE8"/>
    <w:rsid w:val="00593992"/>
    <w:rsid w:val="005A673B"/>
    <w:rsid w:val="005B504D"/>
    <w:rsid w:val="005C1121"/>
    <w:rsid w:val="005D5D9B"/>
    <w:rsid w:val="005D786E"/>
    <w:rsid w:val="005E6DEB"/>
    <w:rsid w:val="0060202A"/>
    <w:rsid w:val="00607131"/>
    <w:rsid w:val="00616D42"/>
    <w:rsid w:val="00631B6A"/>
    <w:rsid w:val="006321F5"/>
    <w:rsid w:val="0064165F"/>
    <w:rsid w:val="00644286"/>
    <w:rsid w:val="00650469"/>
    <w:rsid w:val="00652B9E"/>
    <w:rsid w:val="00654DAF"/>
    <w:rsid w:val="00662F47"/>
    <w:rsid w:val="006630E4"/>
    <w:rsid w:val="00665053"/>
    <w:rsid w:val="006852FB"/>
    <w:rsid w:val="00687B2C"/>
    <w:rsid w:val="006936B7"/>
    <w:rsid w:val="006B027E"/>
    <w:rsid w:val="006B0B11"/>
    <w:rsid w:val="006B1728"/>
    <w:rsid w:val="006B29C3"/>
    <w:rsid w:val="006C5814"/>
    <w:rsid w:val="006C753F"/>
    <w:rsid w:val="006F1F23"/>
    <w:rsid w:val="006F4F91"/>
    <w:rsid w:val="00700B86"/>
    <w:rsid w:val="00713D7C"/>
    <w:rsid w:val="0071587B"/>
    <w:rsid w:val="00716893"/>
    <w:rsid w:val="00722736"/>
    <w:rsid w:val="007262D0"/>
    <w:rsid w:val="00731749"/>
    <w:rsid w:val="007320B6"/>
    <w:rsid w:val="007332C8"/>
    <w:rsid w:val="007427D5"/>
    <w:rsid w:val="007474C8"/>
    <w:rsid w:val="00750130"/>
    <w:rsid w:val="00752C94"/>
    <w:rsid w:val="00764BC6"/>
    <w:rsid w:val="00765D87"/>
    <w:rsid w:val="007721F6"/>
    <w:rsid w:val="0077710F"/>
    <w:rsid w:val="00780C8C"/>
    <w:rsid w:val="00783CB5"/>
    <w:rsid w:val="00784FD4"/>
    <w:rsid w:val="007858DA"/>
    <w:rsid w:val="00787412"/>
    <w:rsid w:val="00792AFE"/>
    <w:rsid w:val="00792EE5"/>
    <w:rsid w:val="00793108"/>
    <w:rsid w:val="00797540"/>
    <w:rsid w:val="007A1F78"/>
    <w:rsid w:val="007A23D2"/>
    <w:rsid w:val="007A2E4A"/>
    <w:rsid w:val="007A6169"/>
    <w:rsid w:val="007A766E"/>
    <w:rsid w:val="007A7F61"/>
    <w:rsid w:val="007B03F0"/>
    <w:rsid w:val="007B0AE8"/>
    <w:rsid w:val="007C2978"/>
    <w:rsid w:val="007C4433"/>
    <w:rsid w:val="007D1716"/>
    <w:rsid w:val="007F0565"/>
    <w:rsid w:val="007F0FEC"/>
    <w:rsid w:val="007F7B29"/>
    <w:rsid w:val="008004C8"/>
    <w:rsid w:val="0080520D"/>
    <w:rsid w:val="00811E6D"/>
    <w:rsid w:val="00813802"/>
    <w:rsid w:val="0081607E"/>
    <w:rsid w:val="00816778"/>
    <w:rsid w:val="00826CAE"/>
    <w:rsid w:val="0083634A"/>
    <w:rsid w:val="008429A0"/>
    <w:rsid w:val="00842CE5"/>
    <w:rsid w:val="00843253"/>
    <w:rsid w:val="0085529C"/>
    <w:rsid w:val="0086118E"/>
    <w:rsid w:val="0086688D"/>
    <w:rsid w:val="0086756B"/>
    <w:rsid w:val="00874873"/>
    <w:rsid w:val="0087594B"/>
    <w:rsid w:val="00883AAD"/>
    <w:rsid w:val="00893926"/>
    <w:rsid w:val="00893D7D"/>
    <w:rsid w:val="008944A5"/>
    <w:rsid w:val="0089691C"/>
    <w:rsid w:val="008A720A"/>
    <w:rsid w:val="008B0861"/>
    <w:rsid w:val="008B1195"/>
    <w:rsid w:val="008B376C"/>
    <w:rsid w:val="008B69EA"/>
    <w:rsid w:val="008B7782"/>
    <w:rsid w:val="008B7E41"/>
    <w:rsid w:val="008C1C79"/>
    <w:rsid w:val="008C5648"/>
    <w:rsid w:val="008D1B50"/>
    <w:rsid w:val="008D5762"/>
    <w:rsid w:val="008E6D5F"/>
    <w:rsid w:val="00906E78"/>
    <w:rsid w:val="009074C9"/>
    <w:rsid w:val="009141B9"/>
    <w:rsid w:val="009203CC"/>
    <w:rsid w:val="00920FBF"/>
    <w:rsid w:val="00921844"/>
    <w:rsid w:val="00932EB8"/>
    <w:rsid w:val="009424D7"/>
    <w:rsid w:val="009436A2"/>
    <w:rsid w:val="0094494C"/>
    <w:rsid w:val="00944B5B"/>
    <w:rsid w:val="009579EF"/>
    <w:rsid w:val="00962ED0"/>
    <w:rsid w:val="009666C0"/>
    <w:rsid w:val="0097438A"/>
    <w:rsid w:val="00983B74"/>
    <w:rsid w:val="00985AA7"/>
    <w:rsid w:val="00992F0A"/>
    <w:rsid w:val="00995E1C"/>
    <w:rsid w:val="009A1BF5"/>
    <w:rsid w:val="009A4015"/>
    <w:rsid w:val="009B2F51"/>
    <w:rsid w:val="009B366C"/>
    <w:rsid w:val="009C5065"/>
    <w:rsid w:val="009D1166"/>
    <w:rsid w:val="009D14D8"/>
    <w:rsid w:val="009D2423"/>
    <w:rsid w:val="009E0074"/>
    <w:rsid w:val="009E13EC"/>
    <w:rsid w:val="009E1677"/>
    <w:rsid w:val="009E6BA3"/>
    <w:rsid w:val="009E736A"/>
    <w:rsid w:val="009F1C7B"/>
    <w:rsid w:val="009F3AC7"/>
    <w:rsid w:val="009F4BDC"/>
    <w:rsid w:val="009F74C1"/>
    <w:rsid w:val="00A016D8"/>
    <w:rsid w:val="00A03BFF"/>
    <w:rsid w:val="00A103B8"/>
    <w:rsid w:val="00A10B61"/>
    <w:rsid w:val="00A13613"/>
    <w:rsid w:val="00A13D64"/>
    <w:rsid w:val="00A149DB"/>
    <w:rsid w:val="00A15449"/>
    <w:rsid w:val="00A15F01"/>
    <w:rsid w:val="00A21534"/>
    <w:rsid w:val="00A22A8C"/>
    <w:rsid w:val="00A24463"/>
    <w:rsid w:val="00A2646D"/>
    <w:rsid w:val="00A35992"/>
    <w:rsid w:val="00A36994"/>
    <w:rsid w:val="00A40DEE"/>
    <w:rsid w:val="00A5022A"/>
    <w:rsid w:val="00A52EC1"/>
    <w:rsid w:val="00A545DD"/>
    <w:rsid w:val="00A55055"/>
    <w:rsid w:val="00A559AC"/>
    <w:rsid w:val="00A57D44"/>
    <w:rsid w:val="00A603BC"/>
    <w:rsid w:val="00A60CA2"/>
    <w:rsid w:val="00A91938"/>
    <w:rsid w:val="00A93CF4"/>
    <w:rsid w:val="00AA085C"/>
    <w:rsid w:val="00AA180E"/>
    <w:rsid w:val="00AB0355"/>
    <w:rsid w:val="00AB2451"/>
    <w:rsid w:val="00AB5079"/>
    <w:rsid w:val="00AB51A1"/>
    <w:rsid w:val="00AB75B6"/>
    <w:rsid w:val="00AC3563"/>
    <w:rsid w:val="00AC5E9A"/>
    <w:rsid w:val="00AE0DD7"/>
    <w:rsid w:val="00AE2497"/>
    <w:rsid w:val="00AE2ADE"/>
    <w:rsid w:val="00AE6958"/>
    <w:rsid w:val="00AF3344"/>
    <w:rsid w:val="00AF747F"/>
    <w:rsid w:val="00AF7DCD"/>
    <w:rsid w:val="00B030D0"/>
    <w:rsid w:val="00B179E5"/>
    <w:rsid w:val="00B26BFC"/>
    <w:rsid w:val="00B42710"/>
    <w:rsid w:val="00B46A16"/>
    <w:rsid w:val="00B46F6C"/>
    <w:rsid w:val="00B50A23"/>
    <w:rsid w:val="00B51543"/>
    <w:rsid w:val="00B51873"/>
    <w:rsid w:val="00B52141"/>
    <w:rsid w:val="00B52ADF"/>
    <w:rsid w:val="00B633AD"/>
    <w:rsid w:val="00B64BB3"/>
    <w:rsid w:val="00B7043E"/>
    <w:rsid w:val="00B70991"/>
    <w:rsid w:val="00B80CC4"/>
    <w:rsid w:val="00B80FCB"/>
    <w:rsid w:val="00B825F0"/>
    <w:rsid w:val="00B875F5"/>
    <w:rsid w:val="00B964BA"/>
    <w:rsid w:val="00BA3C15"/>
    <w:rsid w:val="00BA5BED"/>
    <w:rsid w:val="00BA7F65"/>
    <w:rsid w:val="00BB4766"/>
    <w:rsid w:val="00BD72F0"/>
    <w:rsid w:val="00BE57F0"/>
    <w:rsid w:val="00BF3F96"/>
    <w:rsid w:val="00BF754B"/>
    <w:rsid w:val="00C22F95"/>
    <w:rsid w:val="00C2360C"/>
    <w:rsid w:val="00C25010"/>
    <w:rsid w:val="00C279AF"/>
    <w:rsid w:val="00C34EEA"/>
    <w:rsid w:val="00C354BC"/>
    <w:rsid w:val="00C41B4E"/>
    <w:rsid w:val="00C4712E"/>
    <w:rsid w:val="00C502F4"/>
    <w:rsid w:val="00C50640"/>
    <w:rsid w:val="00C52AB6"/>
    <w:rsid w:val="00C55AC5"/>
    <w:rsid w:val="00C64AD2"/>
    <w:rsid w:val="00C725C0"/>
    <w:rsid w:val="00C7554B"/>
    <w:rsid w:val="00C83DAD"/>
    <w:rsid w:val="00C9144A"/>
    <w:rsid w:val="00C91586"/>
    <w:rsid w:val="00C9387F"/>
    <w:rsid w:val="00C96525"/>
    <w:rsid w:val="00CB6D5E"/>
    <w:rsid w:val="00CC7093"/>
    <w:rsid w:val="00CC7AB8"/>
    <w:rsid w:val="00CD23F9"/>
    <w:rsid w:val="00CD5012"/>
    <w:rsid w:val="00CD5180"/>
    <w:rsid w:val="00CE0E3F"/>
    <w:rsid w:val="00CE1440"/>
    <w:rsid w:val="00CE3E9C"/>
    <w:rsid w:val="00CE5AAA"/>
    <w:rsid w:val="00CE7B28"/>
    <w:rsid w:val="00CF349B"/>
    <w:rsid w:val="00CF60A7"/>
    <w:rsid w:val="00D003E8"/>
    <w:rsid w:val="00D0199A"/>
    <w:rsid w:val="00D07633"/>
    <w:rsid w:val="00D12D11"/>
    <w:rsid w:val="00D31CCF"/>
    <w:rsid w:val="00D3791D"/>
    <w:rsid w:val="00D4408B"/>
    <w:rsid w:val="00D55EA9"/>
    <w:rsid w:val="00D604B4"/>
    <w:rsid w:val="00D70023"/>
    <w:rsid w:val="00D74447"/>
    <w:rsid w:val="00D87814"/>
    <w:rsid w:val="00D94284"/>
    <w:rsid w:val="00D97108"/>
    <w:rsid w:val="00DA2C6C"/>
    <w:rsid w:val="00DA4114"/>
    <w:rsid w:val="00DA65B6"/>
    <w:rsid w:val="00DB1B50"/>
    <w:rsid w:val="00DB7D3D"/>
    <w:rsid w:val="00DD016B"/>
    <w:rsid w:val="00DD2D00"/>
    <w:rsid w:val="00DE3511"/>
    <w:rsid w:val="00DE5054"/>
    <w:rsid w:val="00DF19F8"/>
    <w:rsid w:val="00DF26DB"/>
    <w:rsid w:val="00DF6B93"/>
    <w:rsid w:val="00E04DF8"/>
    <w:rsid w:val="00E06C90"/>
    <w:rsid w:val="00E119CD"/>
    <w:rsid w:val="00E12E76"/>
    <w:rsid w:val="00E13BCE"/>
    <w:rsid w:val="00E14122"/>
    <w:rsid w:val="00E16AA4"/>
    <w:rsid w:val="00E21046"/>
    <w:rsid w:val="00E2222E"/>
    <w:rsid w:val="00E24572"/>
    <w:rsid w:val="00E27089"/>
    <w:rsid w:val="00E471C8"/>
    <w:rsid w:val="00E5052F"/>
    <w:rsid w:val="00E5226B"/>
    <w:rsid w:val="00E559A8"/>
    <w:rsid w:val="00E81A04"/>
    <w:rsid w:val="00E90E24"/>
    <w:rsid w:val="00E93DDB"/>
    <w:rsid w:val="00EA25DE"/>
    <w:rsid w:val="00EA5550"/>
    <w:rsid w:val="00EA6FE4"/>
    <w:rsid w:val="00EC5F0C"/>
    <w:rsid w:val="00EC5F50"/>
    <w:rsid w:val="00ED20CA"/>
    <w:rsid w:val="00ED3350"/>
    <w:rsid w:val="00ED532B"/>
    <w:rsid w:val="00ED54E4"/>
    <w:rsid w:val="00EE7269"/>
    <w:rsid w:val="00F01D88"/>
    <w:rsid w:val="00F05F91"/>
    <w:rsid w:val="00F16B03"/>
    <w:rsid w:val="00F20194"/>
    <w:rsid w:val="00F235BA"/>
    <w:rsid w:val="00F30AD4"/>
    <w:rsid w:val="00F44F4A"/>
    <w:rsid w:val="00F466AA"/>
    <w:rsid w:val="00F47CA5"/>
    <w:rsid w:val="00F57EAF"/>
    <w:rsid w:val="00F6386E"/>
    <w:rsid w:val="00F67896"/>
    <w:rsid w:val="00F75599"/>
    <w:rsid w:val="00F75ED3"/>
    <w:rsid w:val="00F809A5"/>
    <w:rsid w:val="00F82EE3"/>
    <w:rsid w:val="00F86896"/>
    <w:rsid w:val="00F9489A"/>
    <w:rsid w:val="00F94DC9"/>
    <w:rsid w:val="00FA34F2"/>
    <w:rsid w:val="00FA6B67"/>
    <w:rsid w:val="00FB4E16"/>
    <w:rsid w:val="00FC1297"/>
    <w:rsid w:val="00FD1E80"/>
    <w:rsid w:val="00FD22B8"/>
    <w:rsid w:val="00FD5186"/>
    <w:rsid w:val="00FE5892"/>
    <w:rsid w:val="00FF28A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899">
      <w:bodyDiv w:val="1"/>
      <w:marLeft w:val="0"/>
      <w:marRight w:val="0"/>
      <w:marTop w:val="0"/>
      <w:marBottom w:val="0"/>
      <w:divBdr>
        <w:top w:val="none" w:sz="0" w:space="0" w:color="auto"/>
        <w:left w:val="none" w:sz="0" w:space="0" w:color="auto"/>
        <w:bottom w:val="none" w:sz="0" w:space="0" w:color="auto"/>
        <w:right w:val="none" w:sz="0" w:space="0" w:color="auto"/>
      </w:divBdr>
      <w:divsChild>
        <w:div w:id="330764246">
          <w:marLeft w:val="0"/>
          <w:marRight w:val="0"/>
          <w:marTop w:val="0"/>
          <w:marBottom w:val="0"/>
          <w:divBdr>
            <w:top w:val="none" w:sz="0" w:space="0" w:color="auto"/>
            <w:left w:val="none" w:sz="0" w:space="0" w:color="auto"/>
            <w:bottom w:val="none" w:sz="0" w:space="0" w:color="auto"/>
            <w:right w:val="none" w:sz="0" w:space="0" w:color="auto"/>
          </w:divBdr>
          <w:divsChild>
            <w:div w:id="1257132448">
              <w:marLeft w:val="0"/>
              <w:marRight w:val="0"/>
              <w:marTop w:val="0"/>
              <w:marBottom w:val="0"/>
              <w:divBdr>
                <w:top w:val="none" w:sz="0" w:space="0" w:color="auto"/>
                <w:left w:val="none" w:sz="0" w:space="0" w:color="auto"/>
                <w:bottom w:val="none" w:sz="0" w:space="0" w:color="auto"/>
                <w:right w:val="none" w:sz="0" w:space="0" w:color="auto"/>
              </w:divBdr>
              <w:divsChild>
                <w:div w:id="1535461423">
                  <w:marLeft w:val="0"/>
                  <w:marRight w:val="0"/>
                  <w:marTop w:val="0"/>
                  <w:marBottom w:val="0"/>
                  <w:divBdr>
                    <w:top w:val="none" w:sz="0" w:space="0" w:color="auto"/>
                    <w:left w:val="none" w:sz="0" w:space="0" w:color="auto"/>
                    <w:bottom w:val="none" w:sz="0" w:space="0" w:color="auto"/>
                    <w:right w:val="none" w:sz="0" w:space="0" w:color="auto"/>
                  </w:divBdr>
                  <w:divsChild>
                    <w:div w:id="213199604">
                      <w:marLeft w:val="0"/>
                      <w:marRight w:val="0"/>
                      <w:marTop w:val="0"/>
                      <w:marBottom w:val="0"/>
                      <w:divBdr>
                        <w:top w:val="none" w:sz="0" w:space="0" w:color="auto"/>
                        <w:left w:val="none" w:sz="0" w:space="0" w:color="auto"/>
                        <w:bottom w:val="none" w:sz="0" w:space="0" w:color="auto"/>
                        <w:right w:val="none" w:sz="0" w:space="0" w:color="auto"/>
                      </w:divBdr>
                      <w:divsChild>
                        <w:div w:id="1583644194">
                          <w:marLeft w:val="0"/>
                          <w:marRight w:val="0"/>
                          <w:marTop w:val="0"/>
                          <w:marBottom w:val="0"/>
                          <w:divBdr>
                            <w:top w:val="none" w:sz="0" w:space="0" w:color="auto"/>
                            <w:left w:val="none" w:sz="0" w:space="0" w:color="auto"/>
                            <w:bottom w:val="none" w:sz="0" w:space="0" w:color="auto"/>
                            <w:right w:val="none" w:sz="0" w:space="0" w:color="auto"/>
                          </w:divBdr>
                          <w:divsChild>
                            <w:div w:id="113156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413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5F37-53D9-41E2-A4CD-57297C9E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F38CFD-9033-4ADD-84F8-3C308E086FE4}">
  <ds:schemaRefs>
    <ds:schemaRef ds:uri="http://purl.org/dc/dcmitype/"/>
    <ds:schemaRef ds:uri="http://purl.org/dc/elements/1.1/"/>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306799D-E4B2-4A3F-8C06-03093476108C}">
  <ds:schemaRefs>
    <ds:schemaRef ds:uri="http://schemas.microsoft.com/sharepoint/v3/contenttype/forms"/>
  </ds:schemaRefs>
</ds:datastoreItem>
</file>

<file path=customXml/itemProps4.xml><?xml version="1.0" encoding="utf-8"?>
<ds:datastoreItem xmlns:ds="http://schemas.openxmlformats.org/officeDocument/2006/customXml" ds:itemID="{42268BF6-9D18-4C95-929A-6836AD06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6383</TotalTime>
  <Pages>7</Pages>
  <Words>11261</Words>
  <Characters>6420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creator>mara.denisova@vni.lv</dc:creator>
  <dc:description>mara.denisova@vni.lv, 67024676</dc:description>
  <cp:lastModifiedBy>Māra Deņisova</cp:lastModifiedBy>
  <cp:revision>238</cp:revision>
  <cp:lastPrinted>2015-08-11T06:55:00Z</cp:lastPrinted>
  <dcterms:created xsi:type="dcterms:W3CDTF">2013-12-18T07:47:00Z</dcterms:created>
  <dcterms:modified xsi:type="dcterms:W3CDTF">2016-04-26T09:02:00Z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