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B8954" w14:textId="77777777" w:rsidR="006B2EB6" w:rsidRPr="00B42BC1" w:rsidRDefault="006B2EB6" w:rsidP="00237EE6">
      <w:pPr>
        <w:widowControl/>
        <w:spacing w:after="0" w:line="240" w:lineRule="auto"/>
        <w:ind w:right="-2"/>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b/>
          <w:bCs/>
          <w:color w:val="000000" w:themeColor="text1"/>
          <w:sz w:val="24"/>
          <w:szCs w:val="24"/>
          <w:lang w:val="lv-LV" w:eastAsia="lv-LV"/>
        </w:rPr>
        <w:t>Likumprojekta „Publisko iepirkumu likums” sākotnējās ietekmes novērtējuma ziņojums (anotācija)</w:t>
      </w:r>
    </w:p>
    <w:p w14:paraId="73A024CB" w14:textId="77777777" w:rsidR="006B2EB6" w:rsidRPr="00B42BC1" w:rsidRDefault="006B2EB6" w:rsidP="006B2EB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p>
    <w:tbl>
      <w:tblPr>
        <w:tblW w:w="94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23"/>
        <w:gridCol w:w="6035"/>
      </w:tblGrid>
      <w:tr w:rsidR="00B42BC1" w:rsidRPr="00B42BC1" w14:paraId="491E3690" w14:textId="77777777" w:rsidTr="005533E2">
        <w:trPr>
          <w:trHeight w:val="405"/>
        </w:trPr>
        <w:tc>
          <w:tcPr>
            <w:tcW w:w="9429" w:type="dxa"/>
            <w:gridSpan w:val="3"/>
            <w:tcBorders>
              <w:top w:val="outset" w:sz="6" w:space="0" w:color="414142"/>
              <w:left w:val="outset" w:sz="6" w:space="0" w:color="414142"/>
              <w:bottom w:val="outset" w:sz="6" w:space="0" w:color="414142"/>
              <w:right w:val="outset" w:sz="6" w:space="0" w:color="414142"/>
            </w:tcBorders>
            <w:hideMark/>
          </w:tcPr>
          <w:p w14:paraId="61B0724F" w14:textId="77777777" w:rsidR="006B2EB6" w:rsidRPr="00B42BC1"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b/>
                <w:bCs/>
                <w:color w:val="000000" w:themeColor="text1"/>
                <w:sz w:val="24"/>
                <w:szCs w:val="24"/>
                <w:lang w:val="lv-LV" w:eastAsia="lv-LV"/>
              </w:rPr>
              <w:t>I. Tiesību akta projekta izstrādes nepieciešamība</w:t>
            </w:r>
          </w:p>
        </w:tc>
      </w:tr>
      <w:tr w:rsidR="00B42BC1" w:rsidRPr="00B42BC1" w14:paraId="02E99DDA" w14:textId="77777777" w:rsidTr="005533E2">
        <w:trPr>
          <w:trHeight w:val="405"/>
        </w:trPr>
        <w:tc>
          <w:tcPr>
            <w:tcW w:w="471" w:type="dxa"/>
            <w:tcBorders>
              <w:top w:val="outset" w:sz="6" w:space="0" w:color="414142"/>
              <w:left w:val="outset" w:sz="6" w:space="0" w:color="414142"/>
              <w:bottom w:val="outset" w:sz="6" w:space="0" w:color="414142"/>
              <w:right w:val="outset" w:sz="6" w:space="0" w:color="414142"/>
            </w:tcBorders>
            <w:hideMark/>
          </w:tcPr>
          <w:p w14:paraId="27200170"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w:t>
            </w:r>
          </w:p>
        </w:tc>
        <w:tc>
          <w:tcPr>
            <w:tcW w:w="2923" w:type="dxa"/>
            <w:tcBorders>
              <w:top w:val="outset" w:sz="6" w:space="0" w:color="414142"/>
              <w:left w:val="outset" w:sz="6" w:space="0" w:color="414142"/>
              <w:bottom w:val="outset" w:sz="6" w:space="0" w:color="414142"/>
              <w:right w:val="outset" w:sz="6" w:space="0" w:color="414142"/>
            </w:tcBorders>
            <w:hideMark/>
          </w:tcPr>
          <w:p w14:paraId="11E3F856"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Pamatojums</w:t>
            </w:r>
          </w:p>
        </w:tc>
        <w:tc>
          <w:tcPr>
            <w:tcW w:w="6035" w:type="dxa"/>
            <w:tcBorders>
              <w:top w:val="outset" w:sz="6" w:space="0" w:color="414142"/>
              <w:left w:val="outset" w:sz="6" w:space="0" w:color="414142"/>
              <w:bottom w:val="outset" w:sz="6" w:space="0" w:color="414142"/>
              <w:right w:val="outset" w:sz="6" w:space="0" w:color="414142"/>
            </w:tcBorders>
            <w:hideMark/>
          </w:tcPr>
          <w:p w14:paraId="71BABC21" w14:textId="77777777" w:rsidR="006B2EB6" w:rsidRPr="00B42BC1" w:rsidRDefault="006B2EB6" w:rsidP="00237EE6">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Likumprojekts </w:t>
            </w:r>
            <w:r w:rsidR="00064823" w:rsidRPr="00B42BC1">
              <w:rPr>
                <w:rFonts w:ascii="Times New Roman" w:eastAsia="Times New Roman" w:hAnsi="Times New Roman"/>
                <w:color w:val="000000" w:themeColor="text1"/>
                <w:sz w:val="24"/>
                <w:szCs w:val="24"/>
                <w:lang w:val="lv-LV" w:eastAsia="lv-LV"/>
              </w:rPr>
              <w:t xml:space="preserve">izstrādāts, lai pārņemtu Eiropas Parlamenta un Padomes 2014.gada 26.februāra Direktīvu 2014/24/ES par publisko iepirkumu un ar ko atceļ Direktīvu 2004/18/EK (turpmāk – Direktīva 2014/24/ES). </w:t>
            </w:r>
          </w:p>
          <w:p w14:paraId="23D0235E" w14:textId="77777777" w:rsidR="007B582E" w:rsidRPr="00B42BC1" w:rsidRDefault="00326673" w:rsidP="001B678D">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Deklarācijas par Laimdotas Straujumas vadītā Ministru kabineta iecerēto darbību 15.punkts un ar Ministru kabineta 2015.gada 16.februāra rīkojumu Nr.78 “Par Valdības rīcības plānu Deklarācijas par Laimdotas Straujumas vadītā Ministru kabineta iecerēto darbību īstenošanai” apstiprinātā </w:t>
            </w:r>
            <w:r w:rsidR="002F3B9E" w:rsidRPr="00B42BC1">
              <w:rPr>
                <w:rFonts w:ascii="Times New Roman" w:eastAsia="Times New Roman" w:hAnsi="Times New Roman"/>
                <w:color w:val="000000" w:themeColor="text1"/>
                <w:sz w:val="24"/>
                <w:szCs w:val="24"/>
                <w:lang w:val="lv-LV" w:eastAsia="lv-LV"/>
              </w:rPr>
              <w:t>Valdības rīcības plāna Deklarācijas par Laimdotas Straujumas vadītā Ministru kabineta iecerēto darbību īstenošanai 15.1.uzdevum</w:t>
            </w:r>
            <w:r w:rsidR="001B678D" w:rsidRPr="00B42BC1">
              <w:rPr>
                <w:rFonts w:ascii="Times New Roman" w:eastAsia="Times New Roman" w:hAnsi="Times New Roman"/>
                <w:color w:val="000000" w:themeColor="text1"/>
                <w:sz w:val="24"/>
                <w:szCs w:val="24"/>
                <w:lang w:val="lv-LV" w:eastAsia="lv-LV"/>
              </w:rPr>
              <w:t>s.</w:t>
            </w:r>
          </w:p>
        </w:tc>
      </w:tr>
      <w:tr w:rsidR="00B42BC1" w:rsidRPr="00B42BC1" w14:paraId="65C91354" w14:textId="77777777" w:rsidTr="005533E2">
        <w:trPr>
          <w:trHeight w:val="465"/>
        </w:trPr>
        <w:tc>
          <w:tcPr>
            <w:tcW w:w="471" w:type="dxa"/>
            <w:tcBorders>
              <w:top w:val="outset" w:sz="6" w:space="0" w:color="414142"/>
              <w:left w:val="outset" w:sz="6" w:space="0" w:color="414142"/>
              <w:bottom w:val="outset" w:sz="6" w:space="0" w:color="414142"/>
              <w:right w:val="outset" w:sz="6" w:space="0" w:color="414142"/>
            </w:tcBorders>
            <w:hideMark/>
          </w:tcPr>
          <w:p w14:paraId="5759595C" w14:textId="77777777" w:rsidR="00C15AF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w:t>
            </w:r>
          </w:p>
          <w:p w14:paraId="19C5FBDD"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5B5C04CE"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74314386"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20F87314"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7663826E"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628FB0B1"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3D7A6485"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1B6F2393"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11B48F67"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56EE2374"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08D30C75"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2391ACE3"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26A245C6"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3A5B9772"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66CDB413"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7C821790"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25CEE746"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0D8B3AEE" w14:textId="77777777" w:rsidR="006B2EB6" w:rsidRPr="00B42BC1" w:rsidRDefault="006B2EB6" w:rsidP="00C15AF6">
            <w:pPr>
              <w:rPr>
                <w:rFonts w:ascii="Times New Roman" w:eastAsia="Times New Roman" w:hAnsi="Times New Roman"/>
                <w:color w:val="000000" w:themeColor="text1"/>
                <w:sz w:val="24"/>
                <w:szCs w:val="24"/>
                <w:lang w:val="lv-LV" w:eastAsia="lv-LV"/>
              </w:rPr>
            </w:pPr>
          </w:p>
        </w:tc>
        <w:tc>
          <w:tcPr>
            <w:tcW w:w="2923" w:type="dxa"/>
            <w:tcBorders>
              <w:top w:val="outset" w:sz="6" w:space="0" w:color="414142"/>
              <w:left w:val="outset" w:sz="6" w:space="0" w:color="414142"/>
              <w:bottom w:val="outset" w:sz="6" w:space="0" w:color="414142"/>
              <w:right w:val="outset" w:sz="6" w:space="0" w:color="414142"/>
            </w:tcBorders>
            <w:hideMark/>
          </w:tcPr>
          <w:p w14:paraId="31606F6A"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Pašreizējā situācija un problēmas, kuru risināšanai tiesību akta projekts izstrādāts, tiesiskā regulējuma mērķis un būtība</w:t>
            </w:r>
          </w:p>
          <w:p w14:paraId="5B9EFCC3" w14:textId="77777777" w:rsidR="00C15AF6" w:rsidRPr="00B42BC1" w:rsidRDefault="00C15AF6" w:rsidP="00244C96">
            <w:pPr>
              <w:widowControl/>
              <w:spacing w:after="0" w:line="240" w:lineRule="auto"/>
              <w:rPr>
                <w:rFonts w:ascii="Times New Roman" w:eastAsia="Times New Roman" w:hAnsi="Times New Roman"/>
                <w:color w:val="000000" w:themeColor="text1"/>
                <w:sz w:val="24"/>
                <w:szCs w:val="24"/>
                <w:lang w:val="lv-LV" w:eastAsia="lv-LV"/>
              </w:rPr>
            </w:pPr>
          </w:p>
          <w:p w14:paraId="7D53BB13"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103CB9DF"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04B35E22"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702EE1B7"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51961F7E"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074301EA"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30AD1905"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7BA59254"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19EBA597"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003C5C1D"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26A6783D"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5B5F7C60"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79334A49"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3FB5C370" w14:textId="77777777" w:rsidR="00C15AF6" w:rsidRPr="00B42BC1" w:rsidRDefault="00C15AF6" w:rsidP="00C15AF6">
            <w:pPr>
              <w:rPr>
                <w:rFonts w:ascii="Times New Roman" w:eastAsia="Times New Roman" w:hAnsi="Times New Roman"/>
                <w:color w:val="000000" w:themeColor="text1"/>
                <w:sz w:val="24"/>
                <w:szCs w:val="24"/>
                <w:lang w:val="lv-LV" w:eastAsia="lv-LV"/>
              </w:rPr>
            </w:pPr>
          </w:p>
          <w:p w14:paraId="3B176F56" w14:textId="77777777" w:rsidR="006B2EB6" w:rsidRPr="00B42BC1" w:rsidRDefault="006B2EB6" w:rsidP="00C15AF6">
            <w:pPr>
              <w:jc w:val="center"/>
              <w:rPr>
                <w:rFonts w:ascii="Times New Roman" w:eastAsia="Times New Roman" w:hAnsi="Times New Roman"/>
                <w:color w:val="000000" w:themeColor="text1"/>
                <w:sz w:val="24"/>
                <w:szCs w:val="24"/>
                <w:lang w:val="lv-LV" w:eastAsia="lv-LV"/>
              </w:rPr>
            </w:pPr>
          </w:p>
        </w:tc>
        <w:tc>
          <w:tcPr>
            <w:tcW w:w="6035" w:type="dxa"/>
            <w:tcBorders>
              <w:top w:val="outset" w:sz="6" w:space="0" w:color="414142"/>
              <w:left w:val="outset" w:sz="6" w:space="0" w:color="414142"/>
              <w:bottom w:val="outset" w:sz="6" w:space="0" w:color="414142"/>
              <w:right w:val="outset" w:sz="6" w:space="0" w:color="414142"/>
            </w:tcBorders>
            <w:hideMark/>
          </w:tcPr>
          <w:p w14:paraId="0D17134E" w14:textId="77777777" w:rsidR="00C50A46" w:rsidRPr="00B42BC1" w:rsidRDefault="00C50A46"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izstrādes mērķis bija Eiropas Parlamenta un Padomes 2004.gada 31.marta Direktīvas 2004/18/EK par to, kā koordinēt būvdarbu valsts līgumu, piegādes valsts līgumu un pakalpojumu valsts līgumu slēgšanas tiesību piešķiršanas procedūru, noteikumu pārskatīšana un modernizēšana, lai palielinātu publiskā sektora izdevumu efektivitāti, </w:t>
            </w:r>
            <w:r w:rsidR="00F27980" w:rsidRPr="00B42BC1">
              <w:rPr>
                <w:rFonts w:ascii="Times New Roman" w:eastAsia="Times New Roman" w:hAnsi="Times New Roman"/>
                <w:color w:val="000000" w:themeColor="text1"/>
                <w:sz w:val="24"/>
                <w:szCs w:val="24"/>
                <w:lang w:val="lv-LV" w:eastAsia="lv-LV"/>
              </w:rPr>
              <w:t xml:space="preserve">atvieglojot mazo un vidējo uzņēmumu piedalīšanos iepirkumus, un lai dotu iespēju iepirkumu rīkotājiem labāk izmantot publisko iepirkumu kopēju sabiedrisko mērķu atbalstam. Papildus minētajam bija nepieciešams precizēt galvenos jēdzienus un koncepcijas, lai nodrošinātu juridisko noteiktību un ietvertu dažus ar tiem saistītus Eiropas Savienības Tiesas iedibinātās judikatūras aspektus. </w:t>
            </w:r>
          </w:p>
          <w:p w14:paraId="494C61BD" w14:textId="77777777" w:rsidR="00680506" w:rsidRPr="00B42BC1" w:rsidRDefault="00F27980"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Dalībvalstīm Direktīvas 2014/24/ES regulējums ir jāpārņem līdz 2016.gada 18.aprīlim, taču atsevišķas prasības dalībvalstis var atlikt līdz 2018.gada 18.oktobrim (</w:t>
            </w:r>
            <w:r w:rsidR="00680506" w:rsidRPr="00B42BC1">
              <w:rPr>
                <w:rFonts w:ascii="Times New Roman" w:eastAsia="Times New Roman" w:hAnsi="Times New Roman"/>
                <w:color w:val="000000" w:themeColor="text1"/>
                <w:sz w:val="24"/>
                <w:szCs w:val="24"/>
                <w:lang w:val="lv-LV" w:eastAsia="lv-LV"/>
              </w:rPr>
              <w:t>piemēram, pāreju</w:t>
            </w:r>
            <w:r w:rsidRPr="00B42BC1">
              <w:rPr>
                <w:rFonts w:ascii="Times New Roman" w:eastAsia="Times New Roman" w:hAnsi="Times New Roman"/>
                <w:color w:val="000000" w:themeColor="text1"/>
                <w:sz w:val="24"/>
                <w:szCs w:val="24"/>
                <w:lang w:val="lv-LV" w:eastAsia="lv-LV"/>
              </w:rPr>
              <w:t xml:space="preserve"> uz pilnīgi elektronisku iepirkumu norisi)</w:t>
            </w:r>
            <w:r w:rsidR="00680506" w:rsidRPr="00B42BC1">
              <w:rPr>
                <w:rFonts w:ascii="Times New Roman" w:eastAsia="Times New Roman" w:hAnsi="Times New Roman"/>
                <w:color w:val="000000" w:themeColor="text1"/>
                <w:sz w:val="24"/>
                <w:szCs w:val="24"/>
                <w:lang w:val="lv-LV" w:eastAsia="lv-LV"/>
              </w:rPr>
              <w:t>.</w:t>
            </w:r>
          </w:p>
          <w:p w14:paraId="124E77AA" w14:textId="58A230DD" w:rsidR="00680506" w:rsidRPr="00B42BC1" w:rsidRDefault="00680506"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pārņemšanai ar finanšu ministra 2014.gada 17.marta rīkojumu Nr.131 “Par darba grupas izveidi” tika izveidota darba grupa jauna Publisko iepirkumu likuma izstrādei, vēlāk </w:t>
            </w:r>
            <w:r w:rsidR="00F57CD4" w:rsidRPr="00B42BC1">
              <w:rPr>
                <w:rFonts w:ascii="Times New Roman" w:eastAsia="Times New Roman" w:hAnsi="Times New Roman"/>
                <w:color w:val="000000" w:themeColor="text1"/>
                <w:sz w:val="24"/>
                <w:szCs w:val="24"/>
                <w:lang w:val="lv-LV" w:eastAsia="lv-LV"/>
              </w:rPr>
              <w:t>ar</w:t>
            </w:r>
            <w:r w:rsidRPr="00B42BC1">
              <w:rPr>
                <w:rFonts w:ascii="Times New Roman" w:eastAsia="Times New Roman" w:hAnsi="Times New Roman"/>
                <w:color w:val="000000" w:themeColor="text1"/>
                <w:sz w:val="24"/>
                <w:szCs w:val="24"/>
                <w:lang w:val="lv-LV" w:eastAsia="lv-LV"/>
              </w:rPr>
              <w:t xml:space="preserve"> </w:t>
            </w:r>
            <w:r w:rsidR="00F57CD4" w:rsidRPr="00B42BC1">
              <w:rPr>
                <w:rFonts w:ascii="Times New Roman" w:eastAsia="Times New Roman" w:hAnsi="Times New Roman"/>
                <w:color w:val="000000" w:themeColor="text1"/>
                <w:sz w:val="24"/>
                <w:szCs w:val="24"/>
                <w:lang w:val="lv-LV" w:eastAsia="lv-LV"/>
              </w:rPr>
              <w:t xml:space="preserve">finanšu ministra </w:t>
            </w:r>
            <w:r w:rsidRPr="00B42BC1">
              <w:rPr>
                <w:rFonts w:ascii="Times New Roman" w:eastAsia="Times New Roman" w:hAnsi="Times New Roman"/>
                <w:color w:val="000000" w:themeColor="text1"/>
                <w:sz w:val="24"/>
                <w:szCs w:val="24"/>
                <w:lang w:val="lv-LV" w:eastAsia="lv-LV"/>
              </w:rPr>
              <w:t>2015.gada 19.marta</w:t>
            </w:r>
            <w:r w:rsidR="00F57CD4" w:rsidRPr="00B42BC1">
              <w:rPr>
                <w:rFonts w:ascii="Times New Roman" w:eastAsia="Times New Roman" w:hAnsi="Times New Roman"/>
                <w:color w:val="000000" w:themeColor="text1"/>
                <w:sz w:val="24"/>
                <w:szCs w:val="24"/>
                <w:lang w:val="lv-LV" w:eastAsia="lv-LV"/>
              </w:rPr>
              <w:t xml:space="preserve"> rīkojumu Nr.136 “Par darba grupas izveidi publisko iepirkumu jomā” tika aktualizēts darba grupas sastāvs un paplašināts darba grupas uzdevums. Darba grupā jaunā Publisko iepirkumu likuma izstrādes gaitā tika aktualizēti arī problēmjautājumi un priekšlikumi iepirkumu jomas regulējuma uzlabošanai, k</w:t>
            </w:r>
            <w:r w:rsidR="003B62BC" w:rsidRPr="00B42BC1">
              <w:rPr>
                <w:rFonts w:ascii="Times New Roman" w:eastAsia="Times New Roman" w:hAnsi="Times New Roman"/>
                <w:color w:val="000000" w:themeColor="text1"/>
                <w:sz w:val="24"/>
                <w:szCs w:val="24"/>
                <w:lang w:val="lv-LV" w:eastAsia="lv-LV"/>
              </w:rPr>
              <w:t>as tiešā veidā neskar Direktīvā</w:t>
            </w:r>
            <w:r w:rsidR="00F57CD4" w:rsidRPr="00B42BC1">
              <w:rPr>
                <w:rFonts w:ascii="Times New Roman" w:eastAsia="Times New Roman" w:hAnsi="Times New Roman"/>
                <w:color w:val="000000" w:themeColor="text1"/>
                <w:sz w:val="24"/>
                <w:szCs w:val="24"/>
                <w:lang w:val="lv-LV" w:eastAsia="lv-LV"/>
              </w:rPr>
              <w:t xml:space="preserve"> 2014/24/ES </w:t>
            </w:r>
            <w:r w:rsidR="003B62BC" w:rsidRPr="00B42BC1">
              <w:rPr>
                <w:rFonts w:ascii="Times New Roman" w:eastAsia="Times New Roman" w:hAnsi="Times New Roman"/>
                <w:color w:val="000000" w:themeColor="text1"/>
                <w:sz w:val="24"/>
                <w:szCs w:val="24"/>
                <w:lang w:val="lv-LV" w:eastAsia="lv-LV"/>
              </w:rPr>
              <w:t xml:space="preserve">noteiktās </w:t>
            </w:r>
            <w:r w:rsidR="00F57CD4" w:rsidRPr="00B42BC1">
              <w:rPr>
                <w:rFonts w:ascii="Times New Roman" w:eastAsia="Times New Roman" w:hAnsi="Times New Roman"/>
                <w:color w:val="000000" w:themeColor="text1"/>
                <w:sz w:val="24"/>
                <w:szCs w:val="24"/>
                <w:lang w:val="lv-LV" w:eastAsia="lv-LV"/>
              </w:rPr>
              <w:t xml:space="preserve">prasības, līdz ar to </w:t>
            </w:r>
            <w:r w:rsidR="003B62BC" w:rsidRPr="00B42BC1">
              <w:rPr>
                <w:rFonts w:ascii="Times New Roman" w:eastAsia="Times New Roman" w:hAnsi="Times New Roman"/>
                <w:color w:val="000000" w:themeColor="text1"/>
                <w:sz w:val="24"/>
                <w:szCs w:val="24"/>
                <w:lang w:val="lv-LV" w:eastAsia="lv-LV"/>
              </w:rPr>
              <w:t xml:space="preserve">papildus </w:t>
            </w:r>
            <w:r w:rsidR="00F57CD4" w:rsidRPr="00B42BC1">
              <w:rPr>
                <w:rFonts w:ascii="Times New Roman" w:eastAsia="Times New Roman" w:hAnsi="Times New Roman"/>
                <w:color w:val="000000" w:themeColor="text1"/>
                <w:sz w:val="24"/>
                <w:szCs w:val="24"/>
                <w:lang w:val="lv-LV" w:eastAsia="lv-LV"/>
              </w:rPr>
              <w:t xml:space="preserve">likumprojektā ir ietverti </w:t>
            </w:r>
            <w:r w:rsidR="003B62BC" w:rsidRPr="00B42BC1">
              <w:rPr>
                <w:rFonts w:ascii="Times New Roman" w:eastAsia="Times New Roman" w:hAnsi="Times New Roman"/>
                <w:color w:val="000000" w:themeColor="text1"/>
                <w:sz w:val="24"/>
                <w:szCs w:val="24"/>
                <w:lang w:val="lv-LV" w:eastAsia="lv-LV"/>
              </w:rPr>
              <w:t xml:space="preserve">arī citi </w:t>
            </w:r>
            <w:r w:rsidR="00F57CD4" w:rsidRPr="00B42BC1">
              <w:rPr>
                <w:rFonts w:ascii="Times New Roman" w:eastAsia="Times New Roman" w:hAnsi="Times New Roman"/>
                <w:color w:val="000000" w:themeColor="text1"/>
                <w:sz w:val="24"/>
                <w:szCs w:val="24"/>
                <w:lang w:val="lv-LV" w:eastAsia="lv-LV"/>
              </w:rPr>
              <w:t>darba grup</w:t>
            </w:r>
            <w:r w:rsidR="003B62BC" w:rsidRPr="00B42BC1">
              <w:rPr>
                <w:rFonts w:ascii="Times New Roman" w:eastAsia="Times New Roman" w:hAnsi="Times New Roman"/>
                <w:color w:val="000000" w:themeColor="text1"/>
                <w:sz w:val="24"/>
                <w:szCs w:val="24"/>
                <w:lang w:val="lv-LV" w:eastAsia="lv-LV"/>
              </w:rPr>
              <w:t>as</w:t>
            </w:r>
            <w:r w:rsidR="00F57CD4" w:rsidRPr="00B42BC1">
              <w:rPr>
                <w:rFonts w:ascii="Times New Roman" w:eastAsia="Times New Roman" w:hAnsi="Times New Roman"/>
                <w:color w:val="000000" w:themeColor="text1"/>
                <w:sz w:val="24"/>
                <w:szCs w:val="24"/>
                <w:lang w:val="lv-LV" w:eastAsia="lv-LV"/>
              </w:rPr>
              <w:t xml:space="preserve"> atbalstītie priekšlikumi. </w:t>
            </w:r>
            <w:r w:rsidR="00261F75" w:rsidRPr="00B42BC1">
              <w:rPr>
                <w:rFonts w:ascii="Times New Roman" w:eastAsia="Times New Roman" w:hAnsi="Times New Roman"/>
                <w:color w:val="000000" w:themeColor="text1"/>
                <w:sz w:val="24"/>
                <w:szCs w:val="24"/>
                <w:lang w:val="lv-LV" w:eastAsia="lv-LV"/>
              </w:rPr>
              <w:t xml:space="preserve">Papildus jānorāda, ka spēkā esošajā Publisko iepirkumu likumā jau ir ietvertas atziņas, kas izriet no Eiropas Savienības Tiesas spriedumiem, līdz ar to </w:t>
            </w:r>
            <w:r w:rsidR="00C834EE" w:rsidRPr="00B42BC1">
              <w:rPr>
                <w:rFonts w:ascii="Times New Roman" w:eastAsia="Times New Roman" w:hAnsi="Times New Roman"/>
                <w:color w:val="000000" w:themeColor="text1"/>
                <w:sz w:val="24"/>
                <w:szCs w:val="24"/>
                <w:lang w:val="lv-LV" w:eastAsia="lv-LV"/>
              </w:rPr>
              <w:t>daudzos</w:t>
            </w:r>
            <w:r w:rsidR="00261F75" w:rsidRPr="00B42BC1">
              <w:rPr>
                <w:rFonts w:ascii="Times New Roman" w:eastAsia="Times New Roman" w:hAnsi="Times New Roman"/>
                <w:color w:val="000000" w:themeColor="text1"/>
                <w:sz w:val="24"/>
                <w:szCs w:val="24"/>
                <w:lang w:val="lv-LV" w:eastAsia="lv-LV"/>
              </w:rPr>
              <w:t xml:space="preserve"> jautājumos Latvijas tiesiskais regulējums jau ir atbilstošs Direktīvā </w:t>
            </w:r>
            <w:r w:rsidR="00261F75" w:rsidRPr="00B42BC1">
              <w:rPr>
                <w:rFonts w:ascii="Times New Roman" w:eastAsia="Times New Roman" w:hAnsi="Times New Roman"/>
                <w:color w:val="000000" w:themeColor="text1"/>
                <w:sz w:val="24"/>
                <w:szCs w:val="24"/>
                <w:lang w:val="lv-LV" w:eastAsia="lv-LV"/>
              </w:rPr>
              <w:lastRenderedPageBreak/>
              <w:t>2014/24/ES noteiktajam.</w:t>
            </w:r>
            <w:r w:rsidR="009F66A1" w:rsidRPr="00B42BC1">
              <w:rPr>
                <w:rFonts w:ascii="Times New Roman" w:eastAsia="Times New Roman" w:hAnsi="Times New Roman"/>
                <w:color w:val="000000" w:themeColor="text1"/>
                <w:sz w:val="24"/>
                <w:szCs w:val="24"/>
                <w:lang w:val="lv-LV" w:eastAsia="lv-LV"/>
              </w:rPr>
              <w:t xml:space="preserve"> Papildus jāmin 2016.gada 20.maijā spēkā stājušos grozījumus Publisko iepirkumu likumā, kas transponē būtiskas Direktīvas 2014/24/ES prasības. </w:t>
            </w:r>
          </w:p>
          <w:p w14:paraId="67516CBA" w14:textId="3CBA0B07" w:rsidR="001F5F7C" w:rsidRPr="00B42BC1" w:rsidRDefault="001F5F7C"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Direktīva 2014/24/ES atsevišķos gadījumos precizē esošās definīcijas un definē jaunus terminus.</w:t>
            </w:r>
            <w:r w:rsidR="00C04FA5" w:rsidRPr="00B42BC1">
              <w:rPr>
                <w:rFonts w:ascii="Times New Roman" w:eastAsia="Times New Roman" w:hAnsi="Times New Roman"/>
                <w:b/>
                <w:color w:val="000000" w:themeColor="text1"/>
                <w:sz w:val="24"/>
                <w:szCs w:val="24"/>
                <w:lang w:val="lv-LV" w:eastAsia="lv-LV"/>
              </w:rPr>
              <w:t xml:space="preserve"> </w:t>
            </w:r>
            <w:r w:rsidR="00140ABB" w:rsidRPr="00B42BC1">
              <w:rPr>
                <w:rFonts w:ascii="Times New Roman" w:eastAsia="Times New Roman" w:hAnsi="Times New Roman"/>
                <w:color w:val="000000" w:themeColor="text1"/>
                <w:sz w:val="24"/>
                <w:szCs w:val="24"/>
                <w:lang w:val="lv-LV" w:eastAsia="lv-LV"/>
              </w:rPr>
              <w:t xml:space="preserve">Piemēram, tiek precizēts publiska pakalpojuma līguma termins, nosakot, ka tie ir visi pakalpojumi, kas nav ietverti zem publisku būvdarbu līguma priekšmeta. </w:t>
            </w:r>
            <w:r w:rsidR="009005E5" w:rsidRPr="00B42BC1">
              <w:rPr>
                <w:rFonts w:ascii="Times New Roman" w:eastAsia="Times New Roman" w:hAnsi="Times New Roman"/>
                <w:color w:val="000000" w:themeColor="text1"/>
                <w:sz w:val="24"/>
                <w:szCs w:val="24"/>
                <w:lang w:val="lv-LV" w:eastAsia="lv-LV"/>
              </w:rPr>
              <w:t>Tiek precizēts termins piegādātājs, paredzot, ka piegādātāja</w:t>
            </w:r>
            <w:r w:rsidR="00CA27AA" w:rsidRPr="00B42BC1">
              <w:rPr>
                <w:rFonts w:ascii="Times New Roman" w:eastAsia="Times New Roman" w:hAnsi="Times New Roman"/>
                <w:color w:val="000000" w:themeColor="text1"/>
                <w:sz w:val="24"/>
                <w:szCs w:val="24"/>
                <w:lang w:val="lv-LV" w:eastAsia="lv-LV"/>
              </w:rPr>
              <w:t xml:space="preserve"> statusā var būt arī pasūtītājs, termins apakšuzņēmējs, paredzot, ka apakšuzņēmējs var būt arī publiska piegādes līguma gadījumā.</w:t>
            </w:r>
            <w:r w:rsidR="009005E5" w:rsidRPr="00B42BC1">
              <w:rPr>
                <w:rFonts w:ascii="Times New Roman" w:eastAsia="Times New Roman" w:hAnsi="Times New Roman"/>
                <w:color w:val="000000" w:themeColor="text1"/>
                <w:sz w:val="24"/>
                <w:szCs w:val="24"/>
                <w:lang w:val="lv-LV" w:eastAsia="lv-LV"/>
              </w:rPr>
              <w:t xml:space="preserve"> </w:t>
            </w:r>
            <w:r w:rsidR="00140ABB" w:rsidRPr="00B42BC1">
              <w:rPr>
                <w:rFonts w:ascii="Times New Roman" w:eastAsia="Times New Roman" w:hAnsi="Times New Roman"/>
                <w:color w:val="000000" w:themeColor="text1"/>
                <w:sz w:val="24"/>
                <w:szCs w:val="24"/>
                <w:lang w:val="lv-LV" w:eastAsia="lv-LV"/>
              </w:rPr>
              <w:t xml:space="preserve">No jauna tiek noteikti tādi termini </w:t>
            </w:r>
            <w:r w:rsidR="009005E5" w:rsidRPr="00B42BC1">
              <w:rPr>
                <w:rFonts w:ascii="Times New Roman" w:eastAsia="Times New Roman" w:hAnsi="Times New Roman"/>
                <w:color w:val="000000" w:themeColor="text1"/>
                <w:sz w:val="24"/>
                <w:szCs w:val="24"/>
                <w:lang w:val="lv-LV" w:eastAsia="lv-LV"/>
              </w:rPr>
              <w:t>kā: aprites cikls,</w:t>
            </w:r>
            <w:r w:rsidR="00CA27AA" w:rsidRPr="00B42BC1">
              <w:rPr>
                <w:rFonts w:ascii="Times New Roman" w:eastAsia="Times New Roman" w:hAnsi="Times New Roman"/>
                <w:color w:val="000000" w:themeColor="text1"/>
                <w:sz w:val="24"/>
                <w:szCs w:val="24"/>
                <w:lang w:val="lv-LV" w:eastAsia="lv-LV"/>
              </w:rPr>
              <w:t xml:space="preserve"> iepirkuma procedūras dokuments, inovācijas partnerības procedūra, konkursa procedūra ar sarunām, kopējā tehniskā specifikācija un citi termini</w:t>
            </w:r>
            <w:r w:rsidR="009005E5" w:rsidRPr="00B42BC1">
              <w:rPr>
                <w:rFonts w:ascii="Times New Roman" w:eastAsia="Times New Roman" w:hAnsi="Times New Roman"/>
                <w:color w:val="000000" w:themeColor="text1"/>
                <w:sz w:val="24"/>
                <w:szCs w:val="24"/>
                <w:lang w:val="lv-LV" w:eastAsia="lv-LV"/>
              </w:rPr>
              <w:t>.</w:t>
            </w:r>
          </w:p>
          <w:p w14:paraId="39C50FB6" w14:textId="77777777" w:rsidR="00B2304C" w:rsidRPr="00B42BC1" w:rsidRDefault="001868E4"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Direktīva 2014/24/ES</w:t>
            </w:r>
            <w:r w:rsidRPr="00B42BC1">
              <w:rPr>
                <w:rFonts w:ascii="Times New Roman" w:eastAsia="Times New Roman" w:hAnsi="Times New Roman"/>
                <w:color w:val="000000" w:themeColor="text1"/>
                <w:sz w:val="24"/>
                <w:szCs w:val="24"/>
                <w:u w:val="single"/>
                <w:lang w:val="lv-LV" w:eastAsia="lv-LV"/>
              </w:rPr>
              <w:t xml:space="preserve"> </w:t>
            </w:r>
            <w:r w:rsidRPr="00B42BC1">
              <w:rPr>
                <w:rFonts w:ascii="Times New Roman" w:eastAsia="Times New Roman" w:hAnsi="Times New Roman"/>
                <w:b/>
                <w:color w:val="000000" w:themeColor="text1"/>
                <w:sz w:val="24"/>
                <w:szCs w:val="24"/>
                <w:u w:val="single"/>
                <w:lang w:val="lv-LV" w:eastAsia="lv-LV"/>
              </w:rPr>
              <w:t>paplašina</w:t>
            </w:r>
            <w:r w:rsidR="00C834EE" w:rsidRPr="00B42BC1">
              <w:rPr>
                <w:rFonts w:ascii="Times New Roman" w:eastAsia="Times New Roman" w:hAnsi="Times New Roman"/>
                <w:b/>
                <w:color w:val="000000" w:themeColor="text1"/>
                <w:sz w:val="24"/>
                <w:szCs w:val="24"/>
                <w:u w:val="single"/>
                <w:lang w:val="lv-LV" w:eastAsia="lv-LV"/>
              </w:rPr>
              <w:t>, precizē</w:t>
            </w:r>
            <w:r w:rsidR="00820053" w:rsidRPr="00B42BC1">
              <w:rPr>
                <w:rFonts w:ascii="Times New Roman" w:eastAsia="Times New Roman" w:hAnsi="Times New Roman"/>
                <w:b/>
                <w:color w:val="000000" w:themeColor="text1"/>
                <w:sz w:val="24"/>
                <w:szCs w:val="24"/>
                <w:u w:val="single"/>
                <w:lang w:val="lv-LV" w:eastAsia="lv-LV"/>
              </w:rPr>
              <w:t xml:space="preserve"> un groza</w:t>
            </w:r>
            <w:r w:rsidRPr="00B42BC1">
              <w:rPr>
                <w:rFonts w:ascii="Times New Roman" w:eastAsia="Times New Roman" w:hAnsi="Times New Roman"/>
                <w:b/>
                <w:color w:val="000000" w:themeColor="text1"/>
                <w:sz w:val="24"/>
                <w:szCs w:val="24"/>
                <w:u w:val="single"/>
                <w:lang w:val="lv-LV" w:eastAsia="lv-LV"/>
              </w:rPr>
              <w:t xml:space="preserve"> </w:t>
            </w:r>
            <w:r w:rsidR="004459C7" w:rsidRPr="00B42BC1">
              <w:rPr>
                <w:rFonts w:ascii="Times New Roman" w:eastAsia="Times New Roman" w:hAnsi="Times New Roman"/>
                <w:b/>
                <w:color w:val="000000" w:themeColor="text1"/>
                <w:sz w:val="24"/>
                <w:szCs w:val="24"/>
                <w:u w:val="single"/>
                <w:lang w:val="lv-LV" w:eastAsia="lv-LV"/>
              </w:rPr>
              <w:t xml:space="preserve">izņēmumu </w:t>
            </w:r>
            <w:r w:rsidR="00820053" w:rsidRPr="00B42BC1">
              <w:rPr>
                <w:rFonts w:ascii="Times New Roman" w:eastAsia="Times New Roman" w:hAnsi="Times New Roman"/>
                <w:b/>
                <w:color w:val="000000" w:themeColor="text1"/>
                <w:sz w:val="24"/>
                <w:szCs w:val="24"/>
                <w:u w:val="single"/>
                <w:lang w:val="lv-LV" w:eastAsia="lv-LV"/>
              </w:rPr>
              <w:t>sarakstu</w:t>
            </w:r>
            <w:r w:rsidR="00820053" w:rsidRPr="00B42BC1">
              <w:rPr>
                <w:rFonts w:ascii="Times New Roman" w:eastAsia="Times New Roman" w:hAnsi="Times New Roman"/>
                <w:color w:val="000000" w:themeColor="text1"/>
                <w:sz w:val="24"/>
                <w:szCs w:val="24"/>
                <w:lang w:val="lv-LV" w:eastAsia="lv-LV"/>
              </w:rPr>
              <w:t>, kuriem nebūtu jāpiemēro Direktīvas 2014/24/ES regulējums, līdz ar to likumprojektā jau esošie izņēmumi</w:t>
            </w:r>
            <w:r w:rsidR="00C834EE" w:rsidRPr="00B42BC1">
              <w:rPr>
                <w:rFonts w:ascii="Times New Roman" w:eastAsia="Times New Roman" w:hAnsi="Times New Roman"/>
                <w:color w:val="000000" w:themeColor="text1"/>
                <w:sz w:val="24"/>
                <w:szCs w:val="24"/>
                <w:lang w:val="lv-LV" w:eastAsia="lv-LV"/>
              </w:rPr>
              <w:t xml:space="preserve"> (atsevišķiem no tiem tiek atbilstoši Direktīvai 2014/24/ES precizētas redakcijas)</w:t>
            </w:r>
            <w:r w:rsidR="00820053" w:rsidRPr="00B42BC1">
              <w:rPr>
                <w:rFonts w:ascii="Times New Roman" w:eastAsia="Times New Roman" w:hAnsi="Times New Roman"/>
                <w:color w:val="000000" w:themeColor="text1"/>
                <w:sz w:val="24"/>
                <w:szCs w:val="24"/>
                <w:lang w:val="lv-LV" w:eastAsia="lv-LV"/>
              </w:rPr>
              <w:t xml:space="preserve"> tiek papildināti</w:t>
            </w:r>
            <w:r w:rsidR="00ED756F" w:rsidRPr="00B42BC1">
              <w:rPr>
                <w:rFonts w:ascii="Times New Roman" w:eastAsia="Times New Roman" w:hAnsi="Times New Roman"/>
                <w:color w:val="000000" w:themeColor="text1"/>
                <w:sz w:val="24"/>
                <w:szCs w:val="24"/>
                <w:lang w:val="lv-LV" w:eastAsia="lv-LV"/>
              </w:rPr>
              <w:t>, piemēram,</w:t>
            </w:r>
            <w:r w:rsidR="00202485" w:rsidRPr="00B42BC1">
              <w:rPr>
                <w:rFonts w:ascii="Times New Roman" w:eastAsia="Times New Roman" w:hAnsi="Times New Roman"/>
                <w:color w:val="000000" w:themeColor="text1"/>
                <w:sz w:val="24"/>
                <w:szCs w:val="24"/>
                <w:lang w:val="lv-LV" w:eastAsia="lv-LV"/>
              </w:rPr>
              <w:t xml:space="preserve"> ar</w:t>
            </w:r>
            <w:r w:rsidR="00B2304C" w:rsidRPr="00B42BC1">
              <w:rPr>
                <w:rFonts w:ascii="Times New Roman" w:eastAsia="Times New Roman" w:hAnsi="Times New Roman"/>
                <w:color w:val="000000" w:themeColor="text1"/>
                <w:sz w:val="24"/>
                <w:szCs w:val="24"/>
                <w:lang w:val="lv-LV" w:eastAsia="lv-LV"/>
              </w:rPr>
              <w:t>:</w:t>
            </w:r>
          </w:p>
          <w:p w14:paraId="57F8816C" w14:textId="77777777" w:rsidR="00B2304C" w:rsidRPr="00B42BC1" w:rsidRDefault="00B2304C"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pakalpojumiem civilās aizsardzības, civilās drošības un katastrofu novēršanās jomā (izņemot ar pacientu transportēšanu saistītiem neatliekamās medicīniskās palīdzības pakalpojumiem);</w:t>
            </w:r>
          </w:p>
          <w:p w14:paraId="7389F0EF" w14:textId="77777777" w:rsidR="00B2304C" w:rsidRPr="00B42BC1" w:rsidRDefault="00B2304C"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sabiedriskā transporta pakalpojumiem pa dzelzceļu</w:t>
            </w:r>
            <w:r w:rsidR="000C3B95" w:rsidRPr="00B42BC1">
              <w:rPr>
                <w:rFonts w:ascii="Times New Roman" w:eastAsia="Times New Roman" w:hAnsi="Times New Roman"/>
                <w:color w:val="000000" w:themeColor="text1"/>
                <w:sz w:val="24"/>
                <w:szCs w:val="24"/>
                <w:lang w:val="lv-LV" w:eastAsia="lv-LV"/>
              </w:rPr>
              <w:t xml:space="preserve"> vai metro</w:t>
            </w:r>
            <w:r w:rsidRPr="00B42BC1">
              <w:rPr>
                <w:rFonts w:ascii="Times New Roman" w:eastAsia="Times New Roman" w:hAnsi="Times New Roman"/>
                <w:color w:val="000000" w:themeColor="text1"/>
                <w:sz w:val="24"/>
                <w:szCs w:val="24"/>
                <w:lang w:val="lv-LV" w:eastAsia="lv-LV"/>
              </w:rPr>
              <w:t>;</w:t>
            </w:r>
          </w:p>
          <w:p w14:paraId="0DED05D3" w14:textId="77777777" w:rsidR="00ED756F" w:rsidRPr="00B42BC1" w:rsidRDefault="00ED756F"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dokumentu apliecināšanas pakalpojumiem, kas jāsniedz notāriem;</w:t>
            </w:r>
          </w:p>
          <w:p w14:paraId="59053303" w14:textId="77777777" w:rsidR="00447E70" w:rsidRPr="00B42BC1" w:rsidRDefault="00C36787"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aizņēmumiem, kas ir vai nav saistīti ar vērtspapīru vai citu finanšu instrumentu emisiju, p</w:t>
            </w:r>
            <w:r w:rsidR="00447E70" w:rsidRPr="00B42BC1">
              <w:rPr>
                <w:rFonts w:ascii="Times New Roman" w:eastAsia="Times New Roman" w:hAnsi="Times New Roman"/>
                <w:color w:val="000000" w:themeColor="text1"/>
                <w:sz w:val="24"/>
                <w:szCs w:val="24"/>
                <w:lang w:val="lv-LV" w:eastAsia="lv-LV"/>
              </w:rPr>
              <w:t>ārdošanu, pirkšanu vai nodošanu;</w:t>
            </w:r>
          </w:p>
          <w:p w14:paraId="3782DF3E" w14:textId="77777777" w:rsidR="00ED756F" w:rsidRPr="00B42BC1" w:rsidRDefault="00447E70"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atsevišķiem pakalpojuma līgumiem saistībā</w:t>
            </w:r>
            <w:r w:rsidR="00ED756F" w:rsidRPr="00B42BC1">
              <w:rPr>
                <w:rFonts w:ascii="Times New Roman" w:eastAsia="Times New Roman" w:hAnsi="Times New Roman"/>
                <w:color w:val="000000" w:themeColor="text1"/>
                <w:sz w:val="24"/>
                <w:szCs w:val="24"/>
                <w:lang w:val="lv-LV" w:eastAsia="lv-LV"/>
              </w:rPr>
              <w:t xml:space="preserve"> ar pasta pakalpojumu sniegšanu;</w:t>
            </w:r>
          </w:p>
          <w:p w14:paraId="32BB2F9B" w14:textId="77777777" w:rsidR="00261F75" w:rsidRPr="00B42BC1" w:rsidRDefault="00ED756F" w:rsidP="00E546F8">
            <w:pPr>
              <w:pStyle w:val="ListParagraph"/>
              <w:widowControl/>
              <w:numPr>
                <w:ilvl w:val="0"/>
                <w:numId w:val="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atsevišķiem juridisko pakalpojumu veidiem. </w:t>
            </w:r>
            <w:r w:rsidR="00B2304C" w:rsidRPr="00B42BC1">
              <w:rPr>
                <w:rFonts w:ascii="Times New Roman" w:eastAsia="Times New Roman" w:hAnsi="Times New Roman"/>
                <w:color w:val="000000" w:themeColor="text1"/>
                <w:sz w:val="24"/>
                <w:szCs w:val="24"/>
                <w:lang w:val="lv-LV" w:eastAsia="lv-LV"/>
              </w:rPr>
              <w:t xml:space="preserve">  </w:t>
            </w:r>
            <w:r w:rsidR="00202485" w:rsidRPr="00B42BC1">
              <w:rPr>
                <w:rFonts w:ascii="Times New Roman" w:eastAsia="Times New Roman" w:hAnsi="Times New Roman"/>
                <w:color w:val="000000" w:themeColor="text1"/>
                <w:sz w:val="24"/>
                <w:szCs w:val="24"/>
                <w:lang w:val="lv-LV" w:eastAsia="lv-LV"/>
              </w:rPr>
              <w:t xml:space="preserve"> </w:t>
            </w:r>
            <w:r w:rsidR="00820053" w:rsidRPr="00B42BC1">
              <w:rPr>
                <w:rFonts w:ascii="Times New Roman" w:eastAsia="Times New Roman" w:hAnsi="Times New Roman"/>
                <w:color w:val="000000" w:themeColor="text1"/>
                <w:sz w:val="24"/>
                <w:szCs w:val="24"/>
                <w:lang w:val="lv-LV" w:eastAsia="lv-LV"/>
              </w:rPr>
              <w:t xml:space="preserve"> </w:t>
            </w:r>
          </w:p>
          <w:p w14:paraId="521E1E3B" w14:textId="77777777" w:rsidR="00ED756F" w:rsidRPr="00B42BC1" w:rsidRDefault="00ED756F" w:rsidP="00C834EE">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Viens no likumprojektā iekļautajiem</w:t>
            </w:r>
            <w:r w:rsidR="00B311F0" w:rsidRPr="00B42BC1">
              <w:rPr>
                <w:rFonts w:ascii="Times New Roman" w:eastAsia="Times New Roman" w:hAnsi="Times New Roman"/>
                <w:color w:val="000000" w:themeColor="text1"/>
                <w:sz w:val="24"/>
                <w:szCs w:val="24"/>
                <w:lang w:val="lv-LV" w:eastAsia="lv-LV"/>
              </w:rPr>
              <w:t xml:space="preserve"> juridisko pakalpojumu veidiem, kam nav jāpiemēro Publisko iepirkumu likums ir juridiskie pakalpojumi, kuri saistīti ar valsts varas īstenošanu</w:t>
            </w:r>
            <w:r w:rsidR="00393184" w:rsidRPr="00B42BC1">
              <w:rPr>
                <w:rFonts w:ascii="Times New Roman" w:eastAsia="Times New Roman" w:hAnsi="Times New Roman"/>
                <w:color w:val="000000" w:themeColor="text1"/>
                <w:sz w:val="24"/>
                <w:szCs w:val="24"/>
                <w:lang w:val="lv-LV" w:eastAsia="lv-LV"/>
              </w:rPr>
              <w:t xml:space="preserve">. Lai noteiktu, vai konkrēts juridiskais pakalpojums ir saistīts ar valsts varas īstenošanu, ir jāņem vērā Līguma par Eiropas Savienības darbību 51.pants un </w:t>
            </w:r>
            <w:r w:rsidR="00EE495A" w:rsidRPr="00B42BC1">
              <w:rPr>
                <w:rFonts w:ascii="Times New Roman" w:eastAsia="Times New Roman" w:hAnsi="Times New Roman"/>
                <w:color w:val="000000" w:themeColor="text1"/>
                <w:sz w:val="24"/>
                <w:szCs w:val="24"/>
                <w:lang w:val="lv-LV" w:eastAsia="lv-LV"/>
              </w:rPr>
              <w:t>uz šī panta piemērošanu attiecināmā jurisprudence. Jāņem vērā tas, ka, piemērojot šo izņēmumu, tiek ierobežota brīva uzņēmējdarbība, un tas ir pieļaujams tikai pamatojoties uz Līguma par Eiropas Savienības darbību 51.pantu. Eiropas Savienības Tiesas spriedumos ir norādes uz atsevišķām pazīmēm, kas raksturo valsts varas īstenošanu, piemēram, valsts varas īstenošanā nav konkurences aspekta, valsts ir atbildīga par zaudējumiem, ko radījušas personas, kas sniedz attiecīgos pakalpojumus u.c.</w:t>
            </w:r>
            <w:r w:rsidR="00CE1798" w:rsidRPr="00B42BC1">
              <w:rPr>
                <w:rFonts w:ascii="Times New Roman" w:eastAsia="Times New Roman" w:hAnsi="Times New Roman"/>
                <w:color w:val="000000" w:themeColor="text1"/>
                <w:sz w:val="24"/>
                <w:szCs w:val="24"/>
                <w:lang w:val="lv-LV" w:eastAsia="lv-LV"/>
              </w:rPr>
              <w:t xml:space="preserve"> </w:t>
            </w:r>
            <w:r w:rsidR="00CE1798" w:rsidRPr="00B42BC1">
              <w:rPr>
                <w:rFonts w:ascii="Times New Roman" w:eastAsia="Times New Roman" w:hAnsi="Times New Roman"/>
                <w:color w:val="000000" w:themeColor="text1"/>
                <w:sz w:val="24"/>
                <w:szCs w:val="24"/>
                <w:lang w:val="lv-LV" w:eastAsia="lv-LV"/>
              </w:rPr>
              <w:lastRenderedPageBreak/>
              <w:t>Ņemot vērā minēto, pasūtītājam ir jāveic pienācīgs izvērtējums, lai piemērotu šo izņēmumu.</w:t>
            </w:r>
            <w:r w:rsidR="00EE495A" w:rsidRPr="00B42BC1">
              <w:rPr>
                <w:rFonts w:ascii="Times New Roman" w:eastAsia="Times New Roman" w:hAnsi="Times New Roman"/>
                <w:color w:val="000000" w:themeColor="text1"/>
                <w:sz w:val="24"/>
                <w:szCs w:val="24"/>
                <w:lang w:val="lv-LV" w:eastAsia="lv-LV"/>
              </w:rPr>
              <w:t xml:space="preserve"> </w:t>
            </w:r>
          </w:p>
          <w:p w14:paraId="687A9DDD" w14:textId="77777777" w:rsidR="00ED756F" w:rsidRPr="00B42BC1" w:rsidRDefault="00ED756F" w:rsidP="00C834EE">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 2014/24/ES paredz tās nepiemērošanu atsevišķiem zvērinātu advokātu pakalpojumiem, taču likumprojektā attiecīgie pakalpojumi nav noteikti kā izņēmums, bet tiem ir jāpiemēro atvieglotā procedūra saskaņā ar likumprojekta 10.pantu.</w:t>
            </w:r>
          </w:p>
          <w:p w14:paraId="43071EB9" w14:textId="77777777" w:rsidR="00ED756F" w:rsidRPr="00B42BC1" w:rsidRDefault="00ED756F" w:rsidP="00C834EE">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paredz izņēmumu arī uz politisko kampaņu pakalpojumiem, kad pasūtītājs ir politiskā partija, taču, ņemot vērā to, ka Latvijā politiskajām partijām nav pasūtītāja statusa, šis izņēmums netiek iekļauts likumprojektā. </w:t>
            </w:r>
          </w:p>
          <w:p w14:paraId="03326738" w14:textId="77777777" w:rsidR="00E546F8" w:rsidRPr="00B42BC1" w:rsidRDefault="00447E70"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Direktīva 2014/24/ES paplašina tiešo līgumu piešķiršanas tiesības</w:t>
            </w:r>
            <w:r w:rsidRPr="00B42BC1">
              <w:rPr>
                <w:rFonts w:ascii="Times New Roman" w:eastAsia="Times New Roman" w:hAnsi="Times New Roman"/>
                <w:color w:val="000000" w:themeColor="text1"/>
                <w:sz w:val="24"/>
                <w:szCs w:val="24"/>
                <w:lang w:val="lv-LV" w:eastAsia="lv-LV"/>
              </w:rPr>
              <w:t xml:space="preserve"> </w:t>
            </w:r>
            <w:r w:rsidRPr="00B42BC1">
              <w:rPr>
                <w:rFonts w:ascii="Times New Roman" w:eastAsia="Times New Roman" w:hAnsi="Times New Roman"/>
                <w:i/>
                <w:color w:val="000000" w:themeColor="text1"/>
                <w:sz w:val="24"/>
                <w:szCs w:val="24"/>
                <w:lang w:val="lv-LV" w:eastAsia="lv-LV"/>
              </w:rPr>
              <w:t>(</w:t>
            </w:r>
            <w:r w:rsidRPr="00B42BC1">
              <w:rPr>
                <w:rFonts w:ascii="Times New Roman" w:eastAsia="Times New Roman" w:hAnsi="Times New Roman"/>
                <w:i/>
                <w:color w:val="000000" w:themeColor="text1"/>
                <w:sz w:val="24"/>
                <w:szCs w:val="24"/>
                <w:u w:val="single"/>
                <w:lang w:val="lv-LV" w:eastAsia="lv-LV"/>
              </w:rPr>
              <w:t>in-house</w:t>
            </w:r>
            <w:r w:rsidRPr="00B42BC1">
              <w:rPr>
                <w:rFonts w:ascii="Times New Roman" w:eastAsia="Times New Roman" w:hAnsi="Times New Roman"/>
                <w:color w:val="000000" w:themeColor="text1"/>
                <w:sz w:val="24"/>
                <w:szCs w:val="24"/>
                <w:lang w:val="lv-LV" w:eastAsia="lv-LV"/>
              </w:rPr>
              <w:t xml:space="preserve"> iepirkums)</w:t>
            </w:r>
            <w:r w:rsidR="00302076" w:rsidRPr="00B42BC1">
              <w:rPr>
                <w:rFonts w:ascii="Times New Roman" w:eastAsia="Times New Roman" w:hAnsi="Times New Roman"/>
                <w:color w:val="000000" w:themeColor="text1"/>
                <w:sz w:val="24"/>
                <w:szCs w:val="24"/>
                <w:lang w:val="lv-LV" w:eastAsia="lv-LV"/>
              </w:rPr>
              <w:t xml:space="preserve"> un paredz tiesības</w:t>
            </w:r>
            <w:r w:rsidRPr="00B42BC1">
              <w:rPr>
                <w:rFonts w:ascii="Times New Roman" w:eastAsia="Times New Roman" w:hAnsi="Times New Roman"/>
                <w:color w:val="000000" w:themeColor="text1"/>
                <w:sz w:val="24"/>
                <w:szCs w:val="24"/>
                <w:lang w:val="lv-LV" w:eastAsia="lv-LV"/>
              </w:rPr>
              <w:t xml:space="preserve"> </w:t>
            </w:r>
            <w:r w:rsidR="00302076" w:rsidRPr="00B42BC1">
              <w:rPr>
                <w:rFonts w:ascii="Times New Roman" w:eastAsia="Times New Roman" w:hAnsi="Times New Roman"/>
                <w:color w:val="000000" w:themeColor="text1"/>
                <w:sz w:val="24"/>
                <w:szCs w:val="24"/>
                <w:lang w:val="lv-LV" w:eastAsia="lv-LV"/>
              </w:rPr>
              <w:t xml:space="preserve">ne tikai </w:t>
            </w:r>
            <w:r w:rsidRPr="00B42BC1">
              <w:rPr>
                <w:rFonts w:ascii="Times New Roman" w:eastAsia="Times New Roman" w:hAnsi="Times New Roman"/>
                <w:color w:val="000000" w:themeColor="text1"/>
                <w:sz w:val="24"/>
                <w:szCs w:val="24"/>
                <w:lang w:val="lv-LV" w:eastAsia="lv-LV"/>
              </w:rPr>
              <w:t xml:space="preserve">pasūtītājiem </w:t>
            </w:r>
            <w:r w:rsidR="00302076" w:rsidRPr="00B42BC1">
              <w:rPr>
                <w:rFonts w:ascii="Times New Roman" w:eastAsia="Times New Roman" w:hAnsi="Times New Roman"/>
                <w:color w:val="000000" w:themeColor="text1"/>
                <w:sz w:val="24"/>
                <w:szCs w:val="24"/>
                <w:lang w:val="lv-LV" w:eastAsia="lv-LV"/>
              </w:rPr>
              <w:t xml:space="preserve">tieši </w:t>
            </w:r>
            <w:r w:rsidRPr="00B42BC1">
              <w:rPr>
                <w:rFonts w:ascii="Times New Roman" w:eastAsia="Times New Roman" w:hAnsi="Times New Roman"/>
                <w:color w:val="000000" w:themeColor="text1"/>
                <w:sz w:val="24"/>
                <w:szCs w:val="24"/>
                <w:lang w:val="lv-LV" w:eastAsia="lv-LV"/>
              </w:rPr>
              <w:t xml:space="preserve">piešķirt iepirkuma līgumus </w:t>
            </w:r>
            <w:r w:rsidR="00302076" w:rsidRPr="00B42BC1">
              <w:rPr>
                <w:rFonts w:ascii="Times New Roman" w:eastAsia="Times New Roman" w:hAnsi="Times New Roman"/>
                <w:color w:val="000000" w:themeColor="text1"/>
                <w:sz w:val="24"/>
                <w:szCs w:val="24"/>
                <w:lang w:val="lv-LV" w:eastAsia="lv-LV"/>
              </w:rPr>
              <w:t xml:space="preserve">to kontrolētajām personām, </w:t>
            </w:r>
            <w:r w:rsidRPr="00B42BC1">
              <w:rPr>
                <w:rFonts w:ascii="Times New Roman" w:eastAsia="Times New Roman" w:hAnsi="Times New Roman"/>
                <w:color w:val="000000" w:themeColor="text1"/>
                <w:sz w:val="24"/>
                <w:szCs w:val="24"/>
                <w:lang w:val="lv-LV" w:eastAsia="lv-LV"/>
              </w:rPr>
              <w:t xml:space="preserve">bet arī ļauj kontrolētām juridiskām personām piešķirt iepirkuma līgumus </w:t>
            </w:r>
            <w:r w:rsidR="00302076" w:rsidRPr="00B42BC1">
              <w:rPr>
                <w:rFonts w:ascii="Times New Roman" w:eastAsia="Times New Roman" w:hAnsi="Times New Roman"/>
                <w:color w:val="000000" w:themeColor="text1"/>
                <w:sz w:val="24"/>
                <w:szCs w:val="24"/>
                <w:lang w:val="lv-LV" w:eastAsia="lv-LV"/>
              </w:rPr>
              <w:t xml:space="preserve">tieši </w:t>
            </w:r>
            <w:r w:rsidRPr="00B42BC1">
              <w:rPr>
                <w:rFonts w:ascii="Times New Roman" w:eastAsia="Times New Roman" w:hAnsi="Times New Roman"/>
                <w:color w:val="000000" w:themeColor="text1"/>
                <w:sz w:val="24"/>
                <w:szCs w:val="24"/>
                <w:lang w:val="lv-LV" w:eastAsia="lv-LV"/>
              </w:rPr>
              <w:t>attiecīgā kontrolējošā pasūtītā</w:t>
            </w:r>
            <w:r w:rsidR="00E546F8" w:rsidRPr="00B42BC1">
              <w:rPr>
                <w:rFonts w:ascii="Times New Roman" w:eastAsia="Times New Roman" w:hAnsi="Times New Roman"/>
                <w:color w:val="000000" w:themeColor="text1"/>
                <w:sz w:val="24"/>
                <w:szCs w:val="24"/>
                <w:lang w:val="lv-LV" w:eastAsia="lv-LV"/>
              </w:rPr>
              <w:t>ja citai kontrolētajai personai, kā arī izvirza nosacījumu pasūtītāju savstarpējiem līgumiem.</w:t>
            </w:r>
          </w:p>
          <w:p w14:paraId="3FAE71D0" w14:textId="77777777" w:rsidR="007D170F" w:rsidRPr="00B42BC1" w:rsidRDefault="00EF643A"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Likumprojektā ir pārņemta Direktīva 2014/24/ES un noteiktas pasūtītāju </w:t>
            </w:r>
            <w:r w:rsidR="00E94CB9" w:rsidRPr="00B42BC1">
              <w:rPr>
                <w:rFonts w:ascii="Times New Roman" w:eastAsia="Times New Roman" w:hAnsi="Times New Roman"/>
                <w:color w:val="000000" w:themeColor="text1"/>
                <w:sz w:val="24"/>
                <w:szCs w:val="24"/>
                <w:lang w:val="lv-LV" w:eastAsia="lv-LV"/>
              </w:rPr>
              <w:t xml:space="preserve">tiesības tieši piešķirt iepirkuma līgumus to kontrolētām personām. </w:t>
            </w:r>
            <w:r w:rsidR="007D457F" w:rsidRPr="00B42BC1">
              <w:rPr>
                <w:rFonts w:ascii="Times New Roman" w:eastAsia="Times New Roman" w:hAnsi="Times New Roman"/>
                <w:color w:val="000000" w:themeColor="text1"/>
                <w:sz w:val="24"/>
                <w:szCs w:val="24"/>
                <w:lang w:val="lv-LV" w:eastAsia="lv-LV"/>
              </w:rPr>
              <w:t>Likumprojekts paredz iepirkuma līguma tiešas piešķiršanas tiesības</w:t>
            </w:r>
            <w:r w:rsidR="00E94CB9" w:rsidRPr="00B42BC1">
              <w:rPr>
                <w:rFonts w:ascii="Times New Roman" w:eastAsia="Times New Roman" w:hAnsi="Times New Roman"/>
                <w:color w:val="000000" w:themeColor="text1"/>
                <w:sz w:val="24"/>
                <w:szCs w:val="24"/>
                <w:lang w:val="lv-LV" w:eastAsia="lv-LV"/>
              </w:rPr>
              <w:t xml:space="preserve"> arī</w:t>
            </w:r>
            <w:r w:rsidR="007D457F" w:rsidRPr="00B42BC1">
              <w:rPr>
                <w:rFonts w:ascii="Times New Roman" w:eastAsia="Times New Roman" w:hAnsi="Times New Roman"/>
                <w:color w:val="000000" w:themeColor="text1"/>
                <w:sz w:val="24"/>
                <w:szCs w:val="24"/>
                <w:lang w:val="lv-LV" w:eastAsia="lv-LV"/>
              </w:rPr>
              <w:t xml:space="preserve"> vairāku pasūtītāju kontrolētai personai </w:t>
            </w:r>
            <w:r w:rsidR="00EA7DD8" w:rsidRPr="00B42BC1">
              <w:rPr>
                <w:rFonts w:ascii="Times New Roman" w:eastAsia="Times New Roman" w:hAnsi="Times New Roman"/>
                <w:color w:val="000000" w:themeColor="text1"/>
                <w:sz w:val="24"/>
                <w:szCs w:val="24"/>
                <w:lang w:val="lv-LV" w:eastAsia="lv-LV"/>
              </w:rPr>
              <w:t xml:space="preserve">(juridiskai personai) </w:t>
            </w:r>
            <w:r w:rsidR="007D457F" w:rsidRPr="00B42BC1">
              <w:rPr>
                <w:rFonts w:ascii="Times New Roman" w:eastAsia="Times New Roman" w:hAnsi="Times New Roman"/>
                <w:color w:val="000000" w:themeColor="text1"/>
                <w:sz w:val="24"/>
                <w:szCs w:val="24"/>
                <w:lang w:val="lv-LV" w:eastAsia="lv-LV"/>
              </w:rPr>
              <w:t>un nosaka pazīmes, kad var uzskatīt, ka vairāki pasūtītāji īsteno pār personu kopīgu kontroli. Papildus jāmin, ka pasūtītāja kontrolēta persona nevar piešķirt iepirkuma līgumu tieši tādai pasūtītāja kontrolē esošai personai, kurā ir tieša privātā kapitāla līdzdalība, ja vien attiecīgais privātā kapitāla līdzdalības veids neietver tiesības ietekmēt un kontrolēt kontrolētās personas lēmumus un kam nav izšķirošas ietekmes uz kontrolēto personu.</w:t>
            </w:r>
          </w:p>
          <w:p w14:paraId="22510153" w14:textId="14265266" w:rsidR="00E74BC1" w:rsidRPr="00B42BC1" w:rsidRDefault="007D170F"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Likumprojekts </w:t>
            </w:r>
            <w:r w:rsidRPr="00B42BC1">
              <w:rPr>
                <w:rFonts w:ascii="Times New Roman" w:eastAsia="Times New Roman" w:hAnsi="Times New Roman"/>
                <w:b/>
                <w:color w:val="000000" w:themeColor="text1"/>
                <w:sz w:val="24"/>
                <w:szCs w:val="24"/>
                <w:u w:val="single"/>
                <w:lang w:val="lv-LV" w:eastAsia="lv-LV"/>
              </w:rPr>
              <w:t>paplašina pakalpojumu un piegāžu sarakstu, kuriem nav jāpiemēro iepirkuma procedūras, ja to paredzamā līgumcena ir mazāka par Ministru kabineta līgumcenu robežvērtībām</w:t>
            </w:r>
            <w:r w:rsidRPr="00B42BC1">
              <w:rPr>
                <w:rFonts w:ascii="Times New Roman" w:eastAsia="Times New Roman" w:hAnsi="Times New Roman"/>
                <w:color w:val="000000" w:themeColor="text1"/>
                <w:sz w:val="24"/>
                <w:szCs w:val="24"/>
                <w:lang w:val="lv-LV" w:eastAsia="lv-LV"/>
              </w:rPr>
              <w:t xml:space="preserve"> (šobrīd 13</w:t>
            </w:r>
            <w:r w:rsidR="00CA27AA" w:rsidRPr="00B42BC1">
              <w:rPr>
                <w:rFonts w:ascii="Times New Roman" w:eastAsia="Times New Roman" w:hAnsi="Times New Roman"/>
                <w:color w:val="000000" w:themeColor="text1"/>
                <w:sz w:val="24"/>
                <w:szCs w:val="24"/>
                <w:lang w:val="lv-LV" w:eastAsia="lv-LV"/>
              </w:rPr>
              <w:t>5</w:t>
            </w:r>
            <w:r w:rsidRPr="00B42BC1">
              <w:rPr>
                <w:rFonts w:ascii="Times New Roman" w:eastAsia="Times New Roman" w:hAnsi="Times New Roman"/>
                <w:color w:val="000000" w:themeColor="text1"/>
                <w:sz w:val="24"/>
                <w:szCs w:val="24"/>
                <w:lang w:val="lv-LV" w:eastAsia="lv-LV"/>
              </w:rPr>
              <w:t xml:space="preserve">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Papildus uzskaitījumam, kas ir jau spēkā esošā Publisko iepirkumu likumā, tiek norādīti speciālistu un ekspertu sniegtie pakalpojumi, kas nepieciešami izmeklēšanas darbību veikšanai kriminālprocesā</w:t>
            </w:r>
            <w:r w:rsidR="00CA27AA" w:rsidRPr="00B42BC1">
              <w:rPr>
                <w:rFonts w:ascii="Times New Roman" w:eastAsia="Times New Roman" w:hAnsi="Times New Roman"/>
                <w:color w:val="000000" w:themeColor="text1"/>
                <w:sz w:val="24"/>
                <w:szCs w:val="24"/>
                <w:lang w:val="lv-LV" w:eastAsia="lv-LV"/>
              </w:rPr>
              <w:t>,</w:t>
            </w:r>
            <w:r w:rsidRPr="00B42BC1">
              <w:rPr>
                <w:rFonts w:ascii="Times New Roman" w:eastAsia="Times New Roman" w:hAnsi="Times New Roman"/>
                <w:color w:val="000000" w:themeColor="text1"/>
                <w:sz w:val="24"/>
                <w:szCs w:val="24"/>
                <w:lang w:val="lv-LV" w:eastAsia="lv-LV"/>
              </w:rPr>
              <w:t xml:space="preserve"> zvērināta revidenta snie</w:t>
            </w:r>
            <w:r w:rsidR="00CA27AA" w:rsidRPr="00B42BC1">
              <w:rPr>
                <w:rFonts w:ascii="Times New Roman" w:eastAsia="Times New Roman" w:hAnsi="Times New Roman"/>
                <w:color w:val="000000" w:themeColor="text1"/>
                <w:sz w:val="24"/>
                <w:szCs w:val="24"/>
                <w:lang w:val="lv-LV" w:eastAsia="lv-LV"/>
              </w:rPr>
              <w:t xml:space="preserve">gtajiem revīzijas pakalpojumiem, piegādēm, pakalpojumiem vai būvdarbiem, kurus iepērk Latvijas Republikas diplomātiskās un konsulārās pārstāvniecības savu funkciju nodrošināšanai, ja iepirkuma līguma izpilde ir pārstāvniecības akreditācijas valstī vai citā valstī, kurā akreditēts pārstāvniecības vadītājs, </w:t>
            </w:r>
            <w:r w:rsidR="00E74BC1" w:rsidRPr="00B42BC1">
              <w:rPr>
                <w:rFonts w:ascii="Times New Roman" w:eastAsia="Times New Roman" w:hAnsi="Times New Roman"/>
                <w:color w:val="000000" w:themeColor="text1"/>
                <w:sz w:val="24"/>
                <w:szCs w:val="24"/>
                <w:lang w:val="lv-LV" w:eastAsia="lv-LV"/>
              </w:rPr>
              <w:t xml:space="preserve"> </w:t>
            </w:r>
            <w:r w:rsidR="00CA27AA" w:rsidRPr="00B42BC1">
              <w:rPr>
                <w:rFonts w:ascii="Times New Roman" w:eastAsia="Times New Roman" w:hAnsi="Times New Roman"/>
                <w:color w:val="000000" w:themeColor="text1"/>
                <w:sz w:val="24"/>
                <w:szCs w:val="24"/>
                <w:lang w:val="lv-LV" w:eastAsia="lv-LV"/>
              </w:rPr>
              <w:t xml:space="preserve">piegādēm, pakalpojumiem vai būvdarbiem, kurus iepērk valsts akciju sabiedrība “Valsts nekustamie īpašumi”, lai nodrošinātu savu vai pārvaldīšanā nodotu ārvalstīs esošu nekustamo īpašumu pārvaldīšanu, ceļojumu aģentūru pakalpojumiem, </w:t>
            </w:r>
            <w:r w:rsidR="0022201D" w:rsidRPr="00B42BC1">
              <w:rPr>
                <w:rFonts w:ascii="Times New Roman" w:eastAsia="Times New Roman" w:hAnsi="Times New Roman"/>
                <w:color w:val="000000" w:themeColor="text1"/>
                <w:sz w:val="24"/>
                <w:szCs w:val="24"/>
                <w:lang w:val="lv-LV" w:eastAsia="lv-LV"/>
              </w:rPr>
              <w:t xml:space="preserve">būtisku pilsoniskās apziņas stiprināšanas pasākumu īstenošanu, sniedzot ieguldījumu valsts drošības interešu </w:t>
            </w:r>
            <w:r w:rsidR="0022201D" w:rsidRPr="00B42BC1">
              <w:rPr>
                <w:rFonts w:ascii="Times New Roman" w:eastAsia="Times New Roman" w:hAnsi="Times New Roman"/>
                <w:color w:val="000000" w:themeColor="text1"/>
                <w:sz w:val="24"/>
                <w:szCs w:val="24"/>
                <w:lang w:val="lv-LV" w:eastAsia="lv-LV"/>
              </w:rPr>
              <w:lastRenderedPageBreak/>
              <w:t>aizsardzības nodrošināšanā, ko iepērk tiešās pārvaldes iestāde un par šā izņēmuma piemērošanu ir lēmis Ministru kabinets</w:t>
            </w:r>
            <w:r w:rsidR="00CA27AA" w:rsidRPr="00B42BC1">
              <w:rPr>
                <w:rFonts w:ascii="Times New Roman" w:eastAsia="Times New Roman" w:hAnsi="Times New Roman"/>
                <w:color w:val="000000" w:themeColor="text1"/>
                <w:sz w:val="24"/>
                <w:szCs w:val="24"/>
                <w:lang w:val="lv-LV" w:eastAsia="lv-LV"/>
              </w:rPr>
              <w:t xml:space="preserve">. </w:t>
            </w:r>
            <w:r w:rsidR="00E74BC1" w:rsidRPr="00B42BC1">
              <w:rPr>
                <w:rFonts w:ascii="Times New Roman" w:eastAsia="Times New Roman" w:hAnsi="Times New Roman"/>
                <w:color w:val="000000" w:themeColor="text1"/>
                <w:sz w:val="24"/>
                <w:szCs w:val="24"/>
                <w:lang w:val="lv-LV" w:eastAsia="lv-LV"/>
              </w:rPr>
              <w:t>Minētie izņēmumi iekļauti pēc darba grupas dalībnieku</w:t>
            </w:r>
            <w:r w:rsidR="00CA27AA" w:rsidRPr="00B42BC1">
              <w:rPr>
                <w:rFonts w:ascii="Times New Roman" w:eastAsia="Times New Roman" w:hAnsi="Times New Roman"/>
                <w:color w:val="000000" w:themeColor="text1"/>
                <w:sz w:val="24"/>
                <w:szCs w:val="24"/>
                <w:lang w:val="lv-LV" w:eastAsia="lv-LV"/>
              </w:rPr>
              <w:t xml:space="preserve"> un starpinstitūciju sanāksmju dalībnieku</w:t>
            </w:r>
            <w:r w:rsidR="00E74BC1" w:rsidRPr="00B42BC1">
              <w:rPr>
                <w:rFonts w:ascii="Times New Roman" w:eastAsia="Times New Roman" w:hAnsi="Times New Roman"/>
                <w:color w:val="000000" w:themeColor="text1"/>
                <w:sz w:val="24"/>
                <w:szCs w:val="24"/>
                <w:lang w:val="lv-LV" w:eastAsia="lv-LV"/>
              </w:rPr>
              <w:t xml:space="preserve"> izteiktajiem priekšlikumiem. </w:t>
            </w:r>
          </w:p>
          <w:p w14:paraId="18AC7F95" w14:textId="61F062D7" w:rsidR="00B20C58" w:rsidRPr="00B42BC1" w:rsidRDefault="00B20C58"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hAnsi="Times New Roman"/>
                <w:color w:val="000000" w:themeColor="text1"/>
                <w:sz w:val="24"/>
                <w:szCs w:val="24"/>
                <w:lang w:val="lv-LV"/>
              </w:rPr>
              <w:t xml:space="preserve">Likumprojekta 5.panta </w:t>
            </w:r>
            <w:r w:rsidR="00A2718E" w:rsidRPr="00B42BC1">
              <w:rPr>
                <w:rFonts w:ascii="Times New Roman" w:hAnsi="Times New Roman"/>
                <w:color w:val="000000" w:themeColor="text1"/>
                <w:sz w:val="24"/>
                <w:szCs w:val="24"/>
                <w:lang w:val="lv-LV"/>
              </w:rPr>
              <w:t>11</w:t>
            </w:r>
            <w:r w:rsidRPr="00B42BC1">
              <w:rPr>
                <w:rFonts w:ascii="Times New Roman" w:hAnsi="Times New Roman"/>
                <w:color w:val="000000" w:themeColor="text1"/>
                <w:sz w:val="24"/>
                <w:szCs w:val="24"/>
                <w:lang w:val="lv-LV"/>
              </w:rPr>
              <w:t>.punktā noteiktais iepirkuma procedūru piemērošanas izņēmums ietverts ar mērķi, lai atvieglotu Latvijas Republikas diplomātisko un konsulāro pārstāvniecību (turpmāk – pārstāvniecības) funkciju veikšanu, dodot iespēju pārstāvniecībām, nepiemērojot iepirkuma procedūru, iegādāties preces, saņemt pakalpojumus un iepirkt būvdarbus, ja iepirkuma līguma izpildes vieta ir pārstāvniecības akreditācijas valsts vai cita valsts, kurā akreditēts pārstāvniecības vadītājs, neatkarīgi no piegādātāja reģistrācijas valsts. Likumprojekts neizslēdz situāciju, kad iepirkuma līgums varētu tikt slēgts ar Latvijā reģistrētu komersantu, ja Latvijā reģistrētais komersants var nodrošināt iepirkuma līguma izpildi uz saimnieciski izdevīgākiem nosacījumiem.</w:t>
            </w:r>
            <w:r w:rsidR="005841FE" w:rsidRPr="00B42BC1">
              <w:rPr>
                <w:rFonts w:ascii="Times New Roman" w:hAnsi="Times New Roman"/>
                <w:color w:val="000000" w:themeColor="text1"/>
                <w:sz w:val="24"/>
                <w:szCs w:val="24"/>
                <w:lang w:val="lv-LV"/>
              </w:rPr>
              <w:t xml:space="preserve"> Šī izņēmuma kontekstā ir paredzēts arī izņēmums attiecībā uz </w:t>
            </w:r>
            <w:r w:rsidR="00CA27AA" w:rsidRPr="00B42BC1">
              <w:rPr>
                <w:rFonts w:ascii="Times New Roman" w:hAnsi="Times New Roman"/>
                <w:color w:val="000000" w:themeColor="text1"/>
                <w:sz w:val="24"/>
                <w:szCs w:val="24"/>
                <w:lang w:val="lv-LV"/>
              </w:rPr>
              <w:t>valsts akciju sabiedrību</w:t>
            </w:r>
            <w:r w:rsidR="005841FE" w:rsidRPr="00B42BC1">
              <w:rPr>
                <w:rFonts w:ascii="Times New Roman" w:hAnsi="Times New Roman"/>
                <w:color w:val="000000" w:themeColor="text1"/>
                <w:sz w:val="24"/>
                <w:szCs w:val="24"/>
                <w:lang w:val="lv-LV"/>
              </w:rPr>
              <w:t xml:space="preserve"> “Valsts nekustamie īpašumi”, ja </w:t>
            </w:r>
            <w:r w:rsidR="0022758C" w:rsidRPr="00B42BC1">
              <w:rPr>
                <w:rFonts w:ascii="Times New Roman" w:hAnsi="Times New Roman"/>
                <w:color w:val="000000" w:themeColor="text1"/>
                <w:sz w:val="24"/>
                <w:szCs w:val="24"/>
                <w:lang w:val="lv-LV"/>
              </w:rPr>
              <w:t xml:space="preserve">tam ir nodots pārvaldīšanā ārvalstī esošs nekustamais īpašums vai telpas, vai tas ir pašas kapitālsabiedrības īpašums vai atrodas tās valdījumā ārvalstī. </w:t>
            </w:r>
          </w:p>
          <w:p w14:paraId="2CA733F9" w14:textId="77777777" w:rsidR="00E74BC1" w:rsidRPr="00B42BC1" w:rsidRDefault="001E2E74" w:rsidP="00E546F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Likumprojekts </w:t>
            </w:r>
            <w:r w:rsidRPr="00B42BC1">
              <w:rPr>
                <w:rFonts w:ascii="Times New Roman" w:eastAsia="Times New Roman" w:hAnsi="Times New Roman"/>
                <w:b/>
                <w:color w:val="000000" w:themeColor="text1"/>
                <w:sz w:val="24"/>
                <w:szCs w:val="24"/>
                <w:u w:val="single"/>
                <w:lang w:val="lv-LV" w:eastAsia="lv-LV"/>
              </w:rPr>
              <w:t>paredz vairākas jaunas iepirkuma procedūras</w:t>
            </w:r>
            <w:r w:rsidRPr="00B42BC1">
              <w:rPr>
                <w:rFonts w:ascii="Times New Roman" w:eastAsia="Times New Roman" w:hAnsi="Times New Roman"/>
                <w:color w:val="000000" w:themeColor="text1"/>
                <w:sz w:val="24"/>
                <w:szCs w:val="24"/>
                <w:lang w:val="lv-LV" w:eastAsia="lv-LV"/>
              </w:rPr>
              <w:t xml:space="preserve"> un groza atsevišķu jau spēkā esošajā Publisko iepirkumu likumā paredzēto iepirkuma procedūru piemērošanas kārtību. </w:t>
            </w:r>
            <w:r w:rsidR="00AE4488" w:rsidRPr="00B42BC1">
              <w:rPr>
                <w:rFonts w:ascii="Times New Roman" w:eastAsia="Times New Roman" w:hAnsi="Times New Roman"/>
                <w:color w:val="000000" w:themeColor="text1"/>
                <w:sz w:val="24"/>
                <w:szCs w:val="24"/>
                <w:lang w:val="lv-LV" w:eastAsia="lv-LV"/>
              </w:rPr>
              <w:t>Direktīva 2014/24/ES kā jaunu procedūru paredz konkursa procedūru ar sarunām un inovācijas partnerības procedūru. Tiek izslēgta sarunu procedūra, nepublicējot paziņojumu par līgumu, kā atsevišķs sarunu proced</w:t>
            </w:r>
            <w:r w:rsidR="00E969D5" w:rsidRPr="00B42BC1">
              <w:rPr>
                <w:rFonts w:ascii="Times New Roman" w:eastAsia="Times New Roman" w:hAnsi="Times New Roman"/>
                <w:color w:val="000000" w:themeColor="text1"/>
                <w:sz w:val="24"/>
                <w:szCs w:val="24"/>
                <w:lang w:val="lv-LV" w:eastAsia="lv-LV"/>
              </w:rPr>
              <w:t xml:space="preserve">ūras veids, bet paturēts sarunu procedūras regulējums kā tāds. </w:t>
            </w:r>
            <w:r w:rsidR="00F51050" w:rsidRPr="00B42BC1">
              <w:rPr>
                <w:rFonts w:ascii="Times New Roman" w:eastAsia="Times New Roman" w:hAnsi="Times New Roman"/>
                <w:color w:val="000000" w:themeColor="text1"/>
                <w:sz w:val="24"/>
                <w:szCs w:val="24"/>
                <w:lang w:val="lv-LV" w:eastAsia="lv-LV"/>
              </w:rPr>
              <w:t>Līdz ar to likumprojektā ir paredzēti šādi iepirkumu procedūru veidi:</w:t>
            </w:r>
          </w:p>
          <w:p w14:paraId="25819DD1" w14:textId="77777777" w:rsidR="00F51050" w:rsidRPr="00B42BC1"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hAnsi="Times New Roman"/>
                <w:b/>
                <w:color w:val="000000" w:themeColor="text1"/>
                <w:sz w:val="24"/>
                <w:szCs w:val="24"/>
                <w:lang w:val="lv-LV"/>
              </w:rPr>
              <w:t>atklāts konkurss</w:t>
            </w:r>
            <w:r w:rsidRPr="00B42BC1">
              <w:rPr>
                <w:rFonts w:ascii="Times New Roman" w:hAnsi="Times New Roman"/>
                <w:color w:val="000000" w:themeColor="text1"/>
                <w:sz w:val="24"/>
                <w:szCs w:val="24"/>
                <w:lang w:val="lv-LV"/>
              </w:rPr>
              <w:t xml:space="preserve"> – iepirkuma procedūra, kurā visi ieinteresētie piegādātāji ir tiesīgi iesniegt piedāvājumus;</w:t>
            </w:r>
          </w:p>
          <w:p w14:paraId="789023E7" w14:textId="77777777" w:rsidR="00F51050" w:rsidRPr="00B42BC1"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hAnsi="Times New Roman"/>
                <w:b/>
                <w:color w:val="000000" w:themeColor="text1"/>
                <w:sz w:val="24"/>
                <w:szCs w:val="24"/>
                <w:lang w:val="lv-LV"/>
              </w:rPr>
              <w:t>slēgts konkurss</w:t>
            </w:r>
            <w:r w:rsidRPr="00B42BC1">
              <w:rPr>
                <w:rFonts w:ascii="Times New Roman" w:hAnsi="Times New Roman"/>
                <w:color w:val="000000" w:themeColor="text1"/>
                <w:sz w:val="24"/>
                <w:szCs w:val="24"/>
                <w:lang w:val="lv-LV"/>
              </w:rPr>
              <w:t xml:space="preserve"> – iepirkuma procedūra, kurā visi ieinteresētie piegādātāji var pieprasīt tiesības piedalīties, bet piedāvājumus var iesniegt tikai tie kandidāti, kurus pasūtītājs uzaicina;</w:t>
            </w:r>
          </w:p>
          <w:p w14:paraId="4CBE51F9" w14:textId="77777777" w:rsidR="00F51050" w:rsidRPr="00B42BC1"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hAnsi="Times New Roman"/>
                <w:b/>
                <w:color w:val="000000" w:themeColor="text1"/>
                <w:sz w:val="24"/>
                <w:szCs w:val="24"/>
                <w:lang w:val="lv-LV"/>
              </w:rPr>
              <w:t>inovācijas partnerības procedūra</w:t>
            </w:r>
            <w:r w:rsidRPr="00B42BC1">
              <w:rPr>
                <w:rFonts w:ascii="Times New Roman" w:hAnsi="Times New Roman"/>
                <w:color w:val="000000" w:themeColor="text1"/>
                <w:sz w:val="24"/>
                <w:szCs w:val="24"/>
                <w:lang w:val="lv-LV"/>
              </w:rPr>
              <w:t xml:space="preserve"> – iepirkuma procedūra, kurā visi ieinteresētie piegādātāji var pieprasīt tiesības piedalīties, bet piedāvājumus var iesniegt tikai tie kandidāti, kurus pasūtītājs uzaicina, un ko piemēro, lai izveidotu ilgtermiņa inovācijas partnerību jauna, inovatīva produkta, pakalpojuma vai būvdarbu izstrādei un turpmākai iegādei;</w:t>
            </w:r>
          </w:p>
          <w:p w14:paraId="3C5B9D71" w14:textId="77777777" w:rsidR="00F51050" w:rsidRPr="00B42BC1"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hAnsi="Times New Roman"/>
                <w:b/>
                <w:color w:val="000000" w:themeColor="text1"/>
                <w:sz w:val="24"/>
                <w:szCs w:val="24"/>
                <w:lang w:val="lv-LV"/>
              </w:rPr>
              <w:t>konkursa dialogs</w:t>
            </w:r>
            <w:r w:rsidRPr="00B42BC1">
              <w:rPr>
                <w:rFonts w:ascii="Times New Roman" w:hAnsi="Times New Roman"/>
                <w:color w:val="000000" w:themeColor="text1"/>
                <w:sz w:val="24"/>
                <w:szCs w:val="24"/>
                <w:lang w:val="lv-LV"/>
              </w:rPr>
              <w:t xml:space="preserve"> – iepirkuma procedūra, kurā visi ieinteresētie piegādātāji var pieprasīt tiesības </w:t>
            </w:r>
            <w:r w:rsidRPr="00B42BC1">
              <w:rPr>
                <w:rFonts w:ascii="Times New Roman" w:hAnsi="Times New Roman"/>
                <w:color w:val="000000" w:themeColor="text1"/>
                <w:sz w:val="24"/>
                <w:szCs w:val="24"/>
                <w:lang w:val="lv-LV"/>
              </w:rPr>
              <w:lastRenderedPageBreak/>
              <w:t>piedalīties, bet piedāvājumus var iesniegt tikai tie kandidāti, kurus pasūtītājs uzaicina, un ko piemēro, kad nav iespējams iegūt pasūtītāja vajadzībām atbilstošu piedāvājumu atklātā vai slēgtā konkursā, un kuras mērķis ir sarunās ar atlasītajiem kandidātiem noteikt un definēt līdzekļus, kuri vislabāk piemēroti pasūtītāja vajadzību apmierināšanai;</w:t>
            </w:r>
          </w:p>
          <w:p w14:paraId="21B3C5AE" w14:textId="77777777" w:rsidR="00F51050" w:rsidRPr="00B42BC1"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hAnsi="Times New Roman"/>
                <w:b/>
                <w:color w:val="000000" w:themeColor="text1"/>
                <w:sz w:val="24"/>
                <w:szCs w:val="24"/>
                <w:lang w:val="lv-LV"/>
              </w:rPr>
              <w:t>konkursa procedūra ar sarunām</w:t>
            </w:r>
            <w:r w:rsidRPr="00B42BC1">
              <w:rPr>
                <w:rFonts w:ascii="Times New Roman" w:hAnsi="Times New Roman"/>
                <w:color w:val="000000" w:themeColor="text1"/>
                <w:sz w:val="24"/>
                <w:szCs w:val="24"/>
                <w:lang w:val="lv-LV"/>
              </w:rPr>
              <w:t xml:space="preserve"> – iepirkuma procedūra, kurā visi ieinteresētie piegādātāji var pieprasīt tiesības piedalīties, bet piedāvājumus var iesniegt tikai tie kandidāti, kurus pasūtītājs uzaicina, un ko piemēro, kad nav iespējams iegūt pasūtītāja vajadzībām atbilstošu piedāvājumu atklātā vai slēgtā konkursā, un kuras mērķis ir dot iespēju pretendentiem sarunu laikā uzlabot piedāvājumu saturu atbilstoši pasūtītāja vajadzībām;</w:t>
            </w:r>
          </w:p>
          <w:p w14:paraId="08B35E95" w14:textId="77777777" w:rsidR="00F51050" w:rsidRPr="00B42BC1"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heme="minorHAnsi" w:hAnsi="Times New Roman"/>
                <w:b/>
                <w:color w:val="000000" w:themeColor="text1"/>
                <w:sz w:val="24"/>
                <w:szCs w:val="24"/>
                <w:lang w:val="lv-LV"/>
              </w:rPr>
              <w:t>metu konkurss</w:t>
            </w:r>
            <w:r w:rsidRPr="00B42BC1">
              <w:rPr>
                <w:rFonts w:ascii="Times New Roman" w:eastAsiaTheme="minorHAnsi" w:hAnsi="Times New Roman"/>
                <w:color w:val="000000" w:themeColor="text1"/>
                <w:sz w:val="24"/>
                <w:szCs w:val="24"/>
                <w:lang w:val="lv-LV"/>
              </w:rPr>
              <w:t xml:space="preserve"> </w:t>
            </w:r>
            <w:r w:rsidRPr="00B42BC1">
              <w:rPr>
                <w:rFonts w:ascii="Times New Roman" w:hAnsi="Times New Roman"/>
                <w:color w:val="000000" w:themeColor="text1"/>
                <w:sz w:val="24"/>
                <w:szCs w:val="24"/>
                <w:lang w:val="lv-LV"/>
              </w:rPr>
              <w:t>—</w:t>
            </w:r>
            <w:r w:rsidRPr="00B42BC1">
              <w:rPr>
                <w:rFonts w:ascii="Times New Roman" w:eastAsiaTheme="minorHAnsi" w:hAnsi="Times New Roman"/>
                <w:color w:val="000000" w:themeColor="text1"/>
                <w:sz w:val="24"/>
                <w:szCs w:val="24"/>
                <w:lang w:val="lv-LV"/>
              </w:rPr>
              <w:t xml:space="preserve"> iepirkuma procedūra, kas pasūtītājam dod iespēju iegūt metu vai plānu (galvenokārt, pilsētu un jebkuras citas teritorijas plānošanas, arhitektūras, būvniecības vai datu apstrādes (tajā skaitā informācijas sistēmu) jomā), ko žūrijas komisija atzinusi par labāko;</w:t>
            </w:r>
          </w:p>
          <w:p w14:paraId="644040B6" w14:textId="77777777" w:rsidR="00F51050" w:rsidRPr="00B42BC1" w:rsidRDefault="00F51050" w:rsidP="00F51050">
            <w:pPr>
              <w:pStyle w:val="ListParagraph"/>
              <w:widowControl/>
              <w:numPr>
                <w:ilvl w:val="0"/>
                <w:numId w:val="9"/>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hAnsi="Times New Roman"/>
                <w:b/>
                <w:color w:val="000000" w:themeColor="text1"/>
                <w:sz w:val="24"/>
                <w:szCs w:val="24"/>
                <w:lang w:val="lv-LV"/>
              </w:rPr>
              <w:t>sarunu procedūra</w:t>
            </w:r>
            <w:r w:rsidRPr="00B42BC1">
              <w:rPr>
                <w:rFonts w:ascii="Times New Roman" w:hAnsi="Times New Roman"/>
                <w:color w:val="000000" w:themeColor="text1"/>
                <w:sz w:val="24"/>
                <w:szCs w:val="24"/>
                <w:lang w:val="lv-LV"/>
              </w:rPr>
              <w:t xml:space="preserve"> – iepirkuma procedūra bez paziņojuma par līgumu iepriekšējas publicēšanas, kurā pasūtītājs apspriežas ar paša izraudzītajiem piegādātājiem un ar vienu vai vairākiem no viņiem rīko sarunas par iepirkuma līguma noteikumiem.</w:t>
            </w:r>
          </w:p>
          <w:p w14:paraId="0FFF6401" w14:textId="77777777" w:rsidR="004070D8" w:rsidRPr="00B42BC1" w:rsidRDefault="001559B7"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nemaina esošo kārtību, ka iepirkum</w:t>
            </w:r>
            <w:r w:rsidR="00D10580" w:rsidRPr="00B42BC1">
              <w:rPr>
                <w:rFonts w:ascii="Times New Roman" w:eastAsia="Times New Roman" w:hAnsi="Times New Roman"/>
                <w:color w:val="000000" w:themeColor="text1"/>
                <w:sz w:val="24"/>
                <w:szCs w:val="24"/>
                <w:lang w:val="lv-LV" w:eastAsia="lv-LV"/>
              </w:rPr>
              <w:t>a</w:t>
            </w:r>
            <w:r w:rsidRPr="00B42BC1">
              <w:rPr>
                <w:rFonts w:ascii="Times New Roman" w:eastAsia="Times New Roman" w:hAnsi="Times New Roman"/>
                <w:color w:val="000000" w:themeColor="text1"/>
                <w:sz w:val="24"/>
                <w:szCs w:val="24"/>
                <w:lang w:val="lv-LV" w:eastAsia="lv-LV"/>
              </w:rPr>
              <w:t xml:space="preserve"> procedūras ir jāpiemēro, ja publisku piegādes līgumu vai pakalpojumu līgumu līgumcena ir vienāda ar 42 000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vai lielāka un publisku būvdarbu līgumu līgumcena ir vienāda ar 170 000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vai lielāka.</w:t>
            </w:r>
            <w:r w:rsidR="007D170F" w:rsidRPr="00B42BC1">
              <w:rPr>
                <w:rFonts w:ascii="Times New Roman" w:eastAsia="Times New Roman" w:hAnsi="Times New Roman"/>
                <w:color w:val="000000" w:themeColor="text1"/>
                <w:sz w:val="24"/>
                <w:szCs w:val="24"/>
                <w:lang w:val="lv-LV" w:eastAsia="lv-LV"/>
              </w:rPr>
              <w:t xml:space="preserve"> </w:t>
            </w:r>
          </w:p>
          <w:p w14:paraId="53AC44B1" w14:textId="77777777" w:rsidR="00085ED0" w:rsidRPr="00B42BC1" w:rsidRDefault="00085ED0" w:rsidP="00085ED0">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paredz, ka konkursa procedūru ar sarunām un konkursa dialogu pasūtītājs ir tiesīgs piemērot, ja: </w:t>
            </w:r>
          </w:p>
          <w:p w14:paraId="12D41B56" w14:textId="77777777" w:rsidR="00085ED0" w:rsidRPr="00B42BC1"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pasūtītāja vajadzības nevar apmierināt, nepielāgojot jau tirgū pieejamus risinājumus;</w:t>
            </w:r>
          </w:p>
          <w:p w14:paraId="6E296E55" w14:textId="77777777" w:rsidR="00085ED0" w:rsidRPr="00B42BC1"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iepirkuma līgums ietver projektēšanu vai inovatīvus risinājumus;</w:t>
            </w:r>
          </w:p>
          <w:p w14:paraId="467AA6A5" w14:textId="77777777" w:rsidR="00085ED0" w:rsidRPr="00B42BC1"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iepirkuma līguma slēgšanas tiesības nevar piešķirt bez iepriekšējām sarunām īpašu apstākļu dēļ, kas attiecas uz iepirkuma raksturu, sarežģītību vai juridisko un finansiālo struktūru, vai ar tiem saistīto risku dēļ;</w:t>
            </w:r>
          </w:p>
          <w:p w14:paraId="6A57D3D7" w14:textId="77777777" w:rsidR="00085ED0" w:rsidRPr="00B42BC1"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pasūtītājs nevar pietiekami precīzi sagatavot tehniskās specifikācijas atsaucoties uz standartiem, Eiropas tehnisko novērtējumu, kopējām tehniskajām specifikācijām vai tehniskajām atsaucēm;</w:t>
            </w:r>
          </w:p>
          <w:p w14:paraId="4666DF62" w14:textId="77777777" w:rsidR="00085ED0" w:rsidRPr="00B42BC1" w:rsidRDefault="00085ED0" w:rsidP="00085ED0">
            <w:pPr>
              <w:pStyle w:val="ListParagraph"/>
              <w:numPr>
                <w:ilvl w:val="0"/>
                <w:numId w:val="12"/>
              </w:numPr>
              <w:spacing w:after="120" w:line="240" w:lineRule="auto"/>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atklātā vai slēgtā konkursā ir iesniegti iepirkuma </w:t>
            </w:r>
            <w:r w:rsidRPr="00B42BC1">
              <w:rPr>
                <w:rFonts w:ascii="Times New Roman" w:hAnsi="Times New Roman"/>
                <w:color w:val="000000" w:themeColor="text1"/>
                <w:sz w:val="24"/>
                <w:szCs w:val="24"/>
                <w:lang w:val="lv-LV"/>
              </w:rPr>
              <w:lastRenderedPageBreak/>
              <w:t xml:space="preserve">procedūras dokumentos noteiktajām prasībām neatbilstoši piedāvājumi vai piedāvājumi pārsniedz iepirkuma procedūras dokumentos norādīto paredzamo līgumcenu, vai piedāvājumi atzīti par nepamatoti lētiem, vai piedāvājumi ir iesniegti pēc piedāvājumu iesniegšanas termiņa beigām, vai pretendenti neatbilst iepirkuma procedūras dokumentos noteiktajām kvalifikācijas prasībām. </w:t>
            </w:r>
          </w:p>
          <w:p w14:paraId="73948B3D" w14:textId="77777777" w:rsidR="00085ED0" w:rsidRPr="00B42BC1" w:rsidRDefault="00085ED0"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Sarunu procedūru pasūtītājs ir tiesīgs piemērot, ja:</w:t>
            </w:r>
          </w:p>
          <w:p w14:paraId="24AE9ECB" w14:textId="77777777" w:rsidR="00085ED0" w:rsidRPr="00B42BC1" w:rsidRDefault="00085ED0" w:rsidP="00085ED0">
            <w:pPr>
              <w:pStyle w:val="ListParagraph"/>
              <w:numPr>
                <w:ilvl w:val="0"/>
                <w:numId w:val="14"/>
              </w:numPr>
              <w:spacing w:after="120" w:line="240" w:lineRule="auto"/>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atklātā vai slēgtā konkursā nav iesniegti piedāvājumi vai pieteikumi vai ir iesniegti iepirkuma procedūras dokumentos noteiktajām prasībām neatbilstoši piedāvājumi vai pieteikumi un ja netiek būtiski mainītas paredzētās iepirkuma līguma izpildei nepieciešamās prasības;</w:t>
            </w:r>
          </w:p>
          <w:p w14:paraId="5A0EA07F" w14:textId="77777777" w:rsidR="00085ED0" w:rsidRPr="00B42BC1" w:rsidRDefault="00085ED0" w:rsidP="00085ED0">
            <w:pPr>
              <w:pStyle w:val="ListParagraph"/>
              <w:numPr>
                <w:ilvl w:val="0"/>
                <w:numId w:val="14"/>
              </w:numPr>
              <w:spacing w:after="120" w:line="240" w:lineRule="auto"/>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būvdarbus, piegādes vai pakalpojumus var nodrošināt tikai konkrēts piegādātājs kādā no šādiem gadījumiem:</w:t>
            </w:r>
          </w:p>
          <w:p w14:paraId="7E2FFE4D" w14:textId="77777777" w:rsidR="00085ED0" w:rsidRPr="00B42BC1" w:rsidRDefault="00085ED0" w:rsidP="00085ED0">
            <w:pPr>
              <w:pStyle w:val="ListParagraph"/>
              <w:numPr>
                <w:ilvl w:val="0"/>
                <w:numId w:val="15"/>
              </w:numPr>
              <w:spacing w:after="120" w:line="240" w:lineRule="auto"/>
              <w:ind w:left="1390" w:hanging="284"/>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iepirkuma mērķis ir radīt vai iegādāties unikālu mākslas darbu vai māksliniecisku izpildījumu,</w:t>
            </w:r>
          </w:p>
          <w:p w14:paraId="123BCBD5" w14:textId="77777777" w:rsidR="00085ED0" w:rsidRPr="00B42BC1" w:rsidRDefault="00085ED0" w:rsidP="00085ED0">
            <w:p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Izņēmums ir piemērojami tikai tad, ja nav citas pamatotas alternatīvas vai aizstājēja un ja konkurences trūkums nav radies iepirkumam noteikto prasību dēļ.  </w:t>
            </w:r>
          </w:p>
          <w:p w14:paraId="1B076799" w14:textId="77777777" w:rsidR="00085ED0" w:rsidRPr="00B42BC1" w:rsidRDefault="00085ED0" w:rsidP="00085ED0">
            <w:pPr>
              <w:pStyle w:val="ListParagraph"/>
              <w:numPr>
                <w:ilvl w:val="0"/>
                <w:numId w:val="15"/>
              </w:numPr>
              <w:spacing w:after="120" w:line="240" w:lineRule="auto"/>
              <w:ind w:left="1390" w:hanging="284"/>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nav konkurences tehnisku iemeslu dēļ,</w:t>
            </w:r>
          </w:p>
          <w:p w14:paraId="061E1B6C" w14:textId="77777777" w:rsidR="00085ED0" w:rsidRPr="00B42BC1" w:rsidRDefault="00085ED0" w:rsidP="00085ED0">
            <w:p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Izņēmums ir piemērojami tikai tad, ja nav citas pamatotas alternatīvas vai aizstājēja un ja konkurences trūkums nav radies iepirkumam noteikto prasību dēļ.  </w:t>
            </w:r>
          </w:p>
          <w:p w14:paraId="4C0EB29C" w14:textId="77777777" w:rsidR="00085ED0" w:rsidRPr="00B42BC1" w:rsidRDefault="00085ED0" w:rsidP="00085ED0">
            <w:pPr>
              <w:pStyle w:val="ListParagraph"/>
              <w:numPr>
                <w:ilvl w:val="0"/>
                <w:numId w:val="15"/>
              </w:numPr>
              <w:spacing w:after="120" w:line="240" w:lineRule="auto"/>
              <w:ind w:left="1390" w:hanging="284"/>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nepieciešams ievērot izņēmuma tiesību, tajā skaitā intelektuālā īpašuma tiesību, aizsardzību;</w:t>
            </w:r>
          </w:p>
          <w:p w14:paraId="6AE6E33C" w14:textId="77777777" w:rsidR="00085ED0" w:rsidRPr="00B42BC1" w:rsidRDefault="00085ED0" w:rsidP="00085ED0">
            <w:pPr>
              <w:pStyle w:val="ListParagraph"/>
              <w:numPr>
                <w:ilvl w:val="0"/>
                <w:numId w:val="14"/>
              </w:num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pasūtītājam neparedzamu ārkārtas apstākļu rezultātā objektīvi radusies situācija, kurā steidzamības dēļ nav iespējams piemērot atklātu konkursu, slēgtu konkursu vai konkursa procedūru ar sarunām; </w:t>
            </w:r>
          </w:p>
          <w:p w14:paraId="36A86976" w14:textId="77777777" w:rsidR="00085ED0" w:rsidRPr="00B42BC1" w:rsidRDefault="00085ED0" w:rsidP="00085ED0">
            <w:p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Minētie apstākļi, kas pamato ārkārtas situāciju, nedrīkst būt atkarīgi no pasūtītāja darbības.</w:t>
            </w:r>
          </w:p>
          <w:p w14:paraId="75E2A6A9" w14:textId="77777777" w:rsidR="00085ED0" w:rsidRPr="00B42BC1" w:rsidRDefault="00085ED0" w:rsidP="00085ED0">
            <w:pPr>
              <w:pStyle w:val="ListParagraph"/>
              <w:numPr>
                <w:ilvl w:val="0"/>
                <w:numId w:val="14"/>
              </w:num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nepieciešamās preces ir īpaši izgatavotas izpētei un izmēģinājumiem; </w:t>
            </w:r>
          </w:p>
          <w:p w14:paraId="13209696" w14:textId="77777777" w:rsidR="00085ED0" w:rsidRPr="00B42BC1" w:rsidRDefault="00085ED0" w:rsidP="00085ED0">
            <w:p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Šī norma neattiecas uz preču ražošanu to noieta izpētei vai izpētes un izmēģinājumu izmaksu segšanai.</w:t>
            </w:r>
          </w:p>
          <w:p w14:paraId="643DAF43" w14:textId="77777777" w:rsidR="009946F0" w:rsidRPr="00B42BC1" w:rsidRDefault="00085ED0" w:rsidP="009946F0">
            <w:pPr>
              <w:pStyle w:val="ListParagraph"/>
              <w:numPr>
                <w:ilvl w:val="0"/>
                <w:numId w:val="14"/>
              </w:num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pasūtītājam nepieciešamas papildu piegādes no sākotnējā preču piegādātāja (ražotāja), lai papildinātu vai daļēji nomainītu tā rīcībā jau esošās preces vai iekārtas, jo, izvēloties citu preču piegādātāju (ražotāju), pasūtītājam vajadzētu iepirkt preces ar atšķirīgiem tehniskajiem parametriem no tā rīcībā jau esošajām precēm, un šāda atšķirība radītu nesaderību vai ievērojamas tehniskās grūtības preču vai iekā</w:t>
            </w:r>
            <w:r w:rsidR="009946F0" w:rsidRPr="00B42BC1">
              <w:rPr>
                <w:rFonts w:ascii="Times New Roman" w:hAnsi="Times New Roman"/>
                <w:color w:val="000000" w:themeColor="text1"/>
                <w:sz w:val="24"/>
                <w:szCs w:val="24"/>
                <w:lang w:val="lv-LV"/>
              </w:rPr>
              <w:t xml:space="preserve">rtu </w:t>
            </w:r>
            <w:r w:rsidR="009946F0" w:rsidRPr="00B42BC1">
              <w:rPr>
                <w:rFonts w:ascii="Times New Roman" w:hAnsi="Times New Roman"/>
                <w:color w:val="000000" w:themeColor="text1"/>
                <w:sz w:val="24"/>
                <w:szCs w:val="24"/>
                <w:lang w:val="lv-LV"/>
              </w:rPr>
              <w:lastRenderedPageBreak/>
              <w:t>uzturēšanā un ekspluatācijā;</w:t>
            </w:r>
            <w:r w:rsidRPr="00B42BC1">
              <w:rPr>
                <w:rFonts w:ascii="Times New Roman" w:hAnsi="Times New Roman"/>
                <w:color w:val="000000" w:themeColor="text1"/>
                <w:sz w:val="24"/>
                <w:szCs w:val="24"/>
                <w:lang w:val="lv-LV"/>
              </w:rPr>
              <w:t xml:space="preserve"> </w:t>
            </w:r>
          </w:p>
          <w:p w14:paraId="2D799514" w14:textId="77777777" w:rsidR="00085ED0" w:rsidRPr="00B42BC1" w:rsidRDefault="00085ED0" w:rsidP="009946F0">
            <w:p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Šāda </w:t>
            </w:r>
            <w:r w:rsidR="00D10580" w:rsidRPr="00B42BC1">
              <w:rPr>
                <w:rFonts w:ascii="Times New Roman" w:hAnsi="Times New Roman"/>
                <w:color w:val="000000" w:themeColor="text1"/>
                <w:sz w:val="24"/>
                <w:szCs w:val="24"/>
                <w:lang w:val="lv-LV"/>
              </w:rPr>
              <w:t xml:space="preserve">iepirkuma </w:t>
            </w:r>
            <w:r w:rsidRPr="00B42BC1">
              <w:rPr>
                <w:rFonts w:ascii="Times New Roman" w:hAnsi="Times New Roman"/>
                <w:color w:val="000000" w:themeColor="text1"/>
                <w:sz w:val="24"/>
                <w:szCs w:val="24"/>
                <w:lang w:val="lv-LV"/>
              </w:rPr>
              <w:t xml:space="preserve">līguma, kā arī atkārtotu </w:t>
            </w:r>
            <w:r w:rsidR="00D10580" w:rsidRPr="00B42BC1">
              <w:rPr>
                <w:rFonts w:ascii="Times New Roman" w:hAnsi="Times New Roman"/>
                <w:color w:val="000000" w:themeColor="text1"/>
                <w:sz w:val="24"/>
                <w:szCs w:val="24"/>
                <w:lang w:val="lv-LV"/>
              </w:rPr>
              <w:t xml:space="preserve">iepirkuma </w:t>
            </w:r>
            <w:r w:rsidRPr="00B42BC1">
              <w:rPr>
                <w:rFonts w:ascii="Times New Roman" w:hAnsi="Times New Roman"/>
                <w:color w:val="000000" w:themeColor="text1"/>
                <w:sz w:val="24"/>
                <w:szCs w:val="24"/>
                <w:lang w:val="lv-LV"/>
              </w:rPr>
              <w:t>līgumu darbības termiņš nedrīkst pār</w:t>
            </w:r>
            <w:r w:rsidR="009946F0" w:rsidRPr="00B42BC1">
              <w:rPr>
                <w:rFonts w:ascii="Times New Roman" w:hAnsi="Times New Roman"/>
                <w:color w:val="000000" w:themeColor="text1"/>
                <w:sz w:val="24"/>
                <w:szCs w:val="24"/>
                <w:lang w:val="lv-LV"/>
              </w:rPr>
              <w:t>sniegt trīs gadus.</w:t>
            </w:r>
          </w:p>
          <w:p w14:paraId="2C58DDC9" w14:textId="77777777" w:rsidR="009946F0" w:rsidRPr="00B42BC1" w:rsidRDefault="00D10580" w:rsidP="009946F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iepirkuma </w:t>
            </w:r>
            <w:r w:rsidR="00085ED0" w:rsidRPr="00B42BC1">
              <w:rPr>
                <w:rFonts w:ascii="Times New Roman" w:hAnsi="Times New Roman"/>
                <w:color w:val="000000" w:themeColor="text1"/>
                <w:sz w:val="24"/>
                <w:szCs w:val="24"/>
                <w:lang w:val="lv-LV"/>
              </w:rPr>
              <w:t>līguma priekšmets ir tādu preču piegāde, kuras tiek kotētas un kuras pasūtītājs pērk preču biržā;</w:t>
            </w:r>
          </w:p>
          <w:p w14:paraId="6841205D" w14:textId="77777777" w:rsidR="009946F0" w:rsidRPr="00B42BC1" w:rsidRDefault="00085ED0" w:rsidP="009946F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ir iespēja iepirkt preces vai pakalpojumus ar īpaši izdevīgiem noteikumiem no piegādātāja, kas izbeidz savu saimniecisko darbību, vai likvidatora, kurš veica piegādātāja likvidācijas procesu, vai no administratoriem, kuri rīko bankrotējuša komersanta mantas izpārdošanu saskaņā ar normatīvajiem aktiem;</w:t>
            </w:r>
          </w:p>
          <w:p w14:paraId="25838068" w14:textId="77777777" w:rsidR="009946F0" w:rsidRPr="00B42BC1" w:rsidRDefault="00085ED0" w:rsidP="00085ED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publisk</w:t>
            </w:r>
            <w:r w:rsidR="00D10580" w:rsidRPr="00B42BC1">
              <w:rPr>
                <w:rFonts w:ascii="Times New Roman" w:hAnsi="Times New Roman"/>
                <w:color w:val="000000" w:themeColor="text1"/>
                <w:sz w:val="24"/>
                <w:szCs w:val="24"/>
                <w:lang w:val="lv-LV"/>
              </w:rPr>
              <w:t>s</w:t>
            </w:r>
            <w:r w:rsidRPr="00B42BC1">
              <w:rPr>
                <w:rFonts w:ascii="Times New Roman" w:hAnsi="Times New Roman"/>
                <w:color w:val="000000" w:themeColor="text1"/>
                <w:sz w:val="24"/>
                <w:szCs w:val="24"/>
                <w:lang w:val="lv-LV"/>
              </w:rPr>
              <w:t xml:space="preserve"> pakalpojum</w:t>
            </w:r>
            <w:r w:rsidR="00D10580" w:rsidRPr="00B42BC1">
              <w:rPr>
                <w:rFonts w:ascii="Times New Roman" w:hAnsi="Times New Roman"/>
                <w:color w:val="000000" w:themeColor="text1"/>
                <w:sz w:val="24"/>
                <w:szCs w:val="24"/>
                <w:lang w:val="lv-LV"/>
              </w:rPr>
              <w:t>a</w:t>
            </w:r>
            <w:r w:rsidRPr="00B42BC1">
              <w:rPr>
                <w:rFonts w:ascii="Times New Roman" w:hAnsi="Times New Roman"/>
                <w:color w:val="000000" w:themeColor="text1"/>
                <w:sz w:val="24"/>
                <w:szCs w:val="24"/>
                <w:lang w:val="lv-LV"/>
              </w:rPr>
              <w:t xml:space="preserve"> līgums tiek slēgts ar metu konkursa uzvarētāju vai kādu no uzvarētājiem un ja metu konkurss rīkots saskaņā ar šā likuma prasībām. Ja metu konkursā noteikti vairāki uzvarētāji, visus uzvarētājus uzaicina uz sarunām;</w:t>
            </w:r>
          </w:p>
          <w:p w14:paraId="40E1C97B" w14:textId="77777777" w:rsidR="009946F0" w:rsidRPr="00B42BC1" w:rsidRDefault="00D10580" w:rsidP="00085ED0">
            <w:pPr>
              <w:pStyle w:val="ListParagraph"/>
              <w:numPr>
                <w:ilvl w:val="0"/>
                <w:numId w:val="14"/>
              </w:numPr>
              <w:spacing w:after="120" w:line="240" w:lineRule="auto"/>
              <w:ind w:left="714" w:hanging="357"/>
              <w:contextualSpacing w:val="0"/>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iepirkuma </w:t>
            </w:r>
            <w:r w:rsidR="00085ED0" w:rsidRPr="00B42BC1">
              <w:rPr>
                <w:rFonts w:ascii="Times New Roman" w:hAnsi="Times New Roman"/>
                <w:color w:val="000000" w:themeColor="text1"/>
                <w:sz w:val="24"/>
                <w:szCs w:val="24"/>
                <w:lang w:val="lv-LV"/>
              </w:rPr>
              <w:t xml:space="preserve">līguma priekšmets ir atkārtota iepriekš iepirkuma procedūras rezultātā noslēgtajā </w:t>
            </w:r>
            <w:r w:rsidRPr="00B42BC1">
              <w:rPr>
                <w:rFonts w:ascii="Times New Roman" w:hAnsi="Times New Roman"/>
                <w:color w:val="000000" w:themeColor="text1"/>
                <w:sz w:val="24"/>
                <w:szCs w:val="24"/>
                <w:lang w:val="lv-LV"/>
              </w:rPr>
              <w:t xml:space="preserve">iepirkuma </w:t>
            </w:r>
            <w:r w:rsidR="00085ED0" w:rsidRPr="00B42BC1">
              <w:rPr>
                <w:rFonts w:ascii="Times New Roman" w:hAnsi="Times New Roman"/>
                <w:color w:val="000000" w:themeColor="text1"/>
                <w:sz w:val="24"/>
                <w:szCs w:val="24"/>
                <w:lang w:val="lv-LV"/>
              </w:rPr>
              <w:t>līgumā paredzēto būvdarbu veikšana vai pakalpojumu sniegšana, kas tiek uzticēta šā</w:t>
            </w:r>
            <w:r w:rsidRPr="00B42BC1">
              <w:rPr>
                <w:rFonts w:ascii="Times New Roman" w:hAnsi="Times New Roman"/>
                <w:color w:val="000000" w:themeColor="text1"/>
                <w:sz w:val="24"/>
                <w:szCs w:val="24"/>
                <w:lang w:val="lv-LV"/>
              </w:rPr>
              <w:t xml:space="preserve"> iepirkuma </w:t>
            </w:r>
            <w:r w:rsidR="00085ED0" w:rsidRPr="00B42BC1">
              <w:rPr>
                <w:rFonts w:ascii="Times New Roman" w:hAnsi="Times New Roman"/>
                <w:color w:val="000000" w:themeColor="text1"/>
                <w:sz w:val="24"/>
                <w:szCs w:val="24"/>
                <w:lang w:val="lv-LV"/>
              </w:rPr>
              <w:t xml:space="preserve">līguma izpildītājam, un atkārtoti nepieciešamie būvdarbi vai pakalpojumi atbilst iepriekš iepirkuma procedūras rezultātā noslēgtā </w:t>
            </w:r>
            <w:r w:rsidRPr="00B42BC1">
              <w:rPr>
                <w:rFonts w:ascii="Times New Roman" w:hAnsi="Times New Roman"/>
                <w:color w:val="000000" w:themeColor="text1"/>
                <w:sz w:val="24"/>
                <w:szCs w:val="24"/>
                <w:lang w:val="lv-LV"/>
              </w:rPr>
              <w:t xml:space="preserve">iepirkuma </w:t>
            </w:r>
            <w:r w:rsidR="00085ED0" w:rsidRPr="00B42BC1">
              <w:rPr>
                <w:rFonts w:ascii="Times New Roman" w:hAnsi="Times New Roman"/>
                <w:color w:val="000000" w:themeColor="text1"/>
                <w:sz w:val="24"/>
                <w:szCs w:val="24"/>
                <w:lang w:val="lv-LV"/>
              </w:rPr>
              <w:t xml:space="preserve">līguma pamatā esošajam projektam. </w:t>
            </w:r>
          </w:p>
          <w:p w14:paraId="30FB5A43" w14:textId="77777777" w:rsidR="00085ED0" w:rsidRPr="00B42BC1" w:rsidRDefault="00085ED0" w:rsidP="009946F0">
            <w:pPr>
              <w:spacing w:after="120" w:line="240" w:lineRule="auto"/>
              <w:jc w:val="both"/>
              <w:rPr>
                <w:rFonts w:ascii="Times New Roman" w:hAnsi="Times New Roman"/>
                <w:color w:val="000000" w:themeColor="text1"/>
                <w:sz w:val="24"/>
                <w:szCs w:val="24"/>
                <w:lang w:val="lv-LV"/>
              </w:rPr>
            </w:pPr>
            <w:r w:rsidRPr="00B42BC1">
              <w:rPr>
                <w:rFonts w:ascii="Times New Roman" w:hAnsi="Times New Roman"/>
                <w:color w:val="000000" w:themeColor="text1"/>
                <w:sz w:val="24"/>
                <w:szCs w:val="24"/>
                <w:lang w:val="lv-LV"/>
              </w:rPr>
              <w:t xml:space="preserve">Šis nosacījums attiecas uz gadījumiem, kad pasūtītājs pirmā projekta iepirkuma procedūras dokumentos, un nosakot paredzamo līgumcenu, ir paredzējis atkārtotu </w:t>
            </w:r>
            <w:r w:rsidR="00D10580" w:rsidRPr="00B42BC1">
              <w:rPr>
                <w:rFonts w:ascii="Times New Roman" w:hAnsi="Times New Roman"/>
                <w:color w:val="000000" w:themeColor="text1"/>
                <w:sz w:val="24"/>
                <w:szCs w:val="24"/>
                <w:lang w:val="lv-LV"/>
              </w:rPr>
              <w:t xml:space="preserve">iepirkuma </w:t>
            </w:r>
            <w:r w:rsidRPr="00B42BC1">
              <w:rPr>
                <w:rFonts w:ascii="Times New Roman" w:hAnsi="Times New Roman"/>
                <w:color w:val="000000" w:themeColor="text1"/>
                <w:sz w:val="24"/>
                <w:szCs w:val="24"/>
                <w:lang w:val="lv-LV"/>
              </w:rPr>
              <w:t xml:space="preserve">līgumu slēgšanu, kopējo būvdarbu vai pakalpojumu paredzamo vērtību un to piešķiršanas nosacījumus. </w:t>
            </w:r>
            <w:r w:rsidR="009946F0" w:rsidRPr="00B42BC1">
              <w:rPr>
                <w:rFonts w:ascii="Times New Roman" w:hAnsi="Times New Roman"/>
                <w:color w:val="000000" w:themeColor="text1"/>
                <w:sz w:val="24"/>
                <w:szCs w:val="24"/>
                <w:lang w:val="lv-LV"/>
              </w:rPr>
              <w:t>Šādu s</w:t>
            </w:r>
            <w:r w:rsidRPr="00B42BC1">
              <w:rPr>
                <w:rFonts w:ascii="Times New Roman" w:hAnsi="Times New Roman"/>
                <w:color w:val="000000" w:themeColor="text1"/>
                <w:sz w:val="24"/>
                <w:szCs w:val="24"/>
                <w:lang w:val="lv-LV"/>
              </w:rPr>
              <w:t xml:space="preserve">arunu procedūru var piemērot triju gadu laikā no sākotnējā </w:t>
            </w:r>
            <w:r w:rsidR="00D10580" w:rsidRPr="00B42BC1">
              <w:rPr>
                <w:rFonts w:ascii="Times New Roman" w:hAnsi="Times New Roman"/>
                <w:color w:val="000000" w:themeColor="text1"/>
                <w:sz w:val="24"/>
                <w:szCs w:val="24"/>
                <w:lang w:val="lv-LV"/>
              </w:rPr>
              <w:t xml:space="preserve">iepirkuma </w:t>
            </w:r>
            <w:r w:rsidRPr="00B42BC1">
              <w:rPr>
                <w:rFonts w:ascii="Times New Roman" w:hAnsi="Times New Roman"/>
                <w:color w:val="000000" w:themeColor="text1"/>
                <w:sz w:val="24"/>
                <w:szCs w:val="24"/>
                <w:lang w:val="lv-LV"/>
              </w:rPr>
              <w:t>līguma noslēgšanas.</w:t>
            </w:r>
          </w:p>
          <w:p w14:paraId="35C2895E" w14:textId="169D1052" w:rsidR="0051415A" w:rsidRPr="00B42BC1" w:rsidRDefault="004070D8"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Izmaiņas ir paredzētas attiecībā uz iepirkumiem, kuriem piemērojama atvieglota kārtība</w:t>
            </w:r>
            <w:r w:rsidRPr="00B42BC1">
              <w:rPr>
                <w:rFonts w:ascii="Times New Roman" w:eastAsia="Times New Roman" w:hAnsi="Times New Roman"/>
                <w:color w:val="000000" w:themeColor="text1"/>
                <w:sz w:val="24"/>
                <w:szCs w:val="24"/>
                <w:lang w:val="lv-LV" w:eastAsia="lv-LV"/>
              </w:rPr>
              <w:t xml:space="preserve">, t.i., iepirkumiem zem 42 000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piegādēm un pakalpojumiem un zem 170 000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būvdarbiem. Pirmkārt, likumprojektā tiek celta līgumcen</w:t>
            </w:r>
            <w:r w:rsidR="00546FB2" w:rsidRPr="00B42BC1">
              <w:rPr>
                <w:rFonts w:ascii="Times New Roman" w:eastAsia="Times New Roman" w:hAnsi="Times New Roman"/>
                <w:color w:val="000000" w:themeColor="text1"/>
                <w:sz w:val="24"/>
                <w:szCs w:val="24"/>
                <w:lang w:val="lv-LV" w:eastAsia="lv-LV"/>
              </w:rPr>
              <w:t>u</w:t>
            </w:r>
            <w:r w:rsidRPr="00B42BC1">
              <w:rPr>
                <w:rFonts w:ascii="Times New Roman" w:eastAsia="Times New Roman" w:hAnsi="Times New Roman"/>
                <w:color w:val="000000" w:themeColor="text1"/>
                <w:sz w:val="24"/>
                <w:szCs w:val="24"/>
                <w:lang w:val="lv-LV" w:eastAsia="lv-LV"/>
              </w:rPr>
              <w:t xml:space="preserve"> </w:t>
            </w:r>
            <w:r w:rsidR="00C15AF6" w:rsidRPr="00B42BC1">
              <w:rPr>
                <w:rFonts w:ascii="Times New Roman" w:eastAsia="Times New Roman" w:hAnsi="Times New Roman"/>
                <w:color w:val="000000" w:themeColor="text1"/>
                <w:sz w:val="24"/>
                <w:szCs w:val="24"/>
                <w:lang w:val="lv-LV" w:eastAsia="lv-LV"/>
              </w:rPr>
              <w:t>ro</w:t>
            </w:r>
            <w:r w:rsidRPr="00B42BC1">
              <w:rPr>
                <w:rFonts w:ascii="Times New Roman" w:eastAsia="Times New Roman" w:hAnsi="Times New Roman"/>
                <w:color w:val="000000" w:themeColor="text1"/>
                <w:sz w:val="24"/>
                <w:szCs w:val="24"/>
                <w:lang w:val="lv-LV" w:eastAsia="lv-LV"/>
              </w:rPr>
              <w:t>b</w:t>
            </w:r>
            <w:r w:rsidR="00C15AF6" w:rsidRPr="00B42BC1">
              <w:rPr>
                <w:rFonts w:ascii="Times New Roman" w:eastAsia="Times New Roman" w:hAnsi="Times New Roman"/>
                <w:color w:val="000000" w:themeColor="text1"/>
                <w:sz w:val="24"/>
                <w:szCs w:val="24"/>
                <w:lang w:val="lv-LV" w:eastAsia="lv-LV"/>
              </w:rPr>
              <w:t>e</w:t>
            </w:r>
            <w:r w:rsidRPr="00B42BC1">
              <w:rPr>
                <w:rFonts w:ascii="Times New Roman" w:eastAsia="Times New Roman" w:hAnsi="Times New Roman"/>
                <w:color w:val="000000" w:themeColor="text1"/>
                <w:sz w:val="24"/>
                <w:szCs w:val="24"/>
                <w:lang w:val="lv-LV" w:eastAsia="lv-LV"/>
              </w:rPr>
              <w:t>žvērtība</w:t>
            </w:r>
            <w:r w:rsidR="00C15AF6" w:rsidRPr="00B42BC1">
              <w:rPr>
                <w:rFonts w:ascii="Times New Roman" w:eastAsia="Times New Roman" w:hAnsi="Times New Roman"/>
                <w:color w:val="000000" w:themeColor="text1"/>
                <w:sz w:val="24"/>
                <w:szCs w:val="24"/>
                <w:lang w:val="lv-LV" w:eastAsia="lv-LV"/>
              </w:rPr>
              <w:t>s</w:t>
            </w:r>
            <w:r w:rsidRPr="00B42BC1">
              <w:rPr>
                <w:rFonts w:ascii="Times New Roman" w:eastAsia="Times New Roman" w:hAnsi="Times New Roman"/>
                <w:color w:val="000000" w:themeColor="text1"/>
                <w:sz w:val="24"/>
                <w:szCs w:val="24"/>
                <w:lang w:val="lv-LV" w:eastAsia="lv-LV"/>
              </w:rPr>
              <w:t>, no kur</w:t>
            </w:r>
            <w:r w:rsidR="00C15AF6" w:rsidRPr="00B42BC1">
              <w:rPr>
                <w:rFonts w:ascii="Times New Roman" w:eastAsia="Times New Roman" w:hAnsi="Times New Roman"/>
                <w:color w:val="000000" w:themeColor="text1"/>
                <w:sz w:val="24"/>
                <w:szCs w:val="24"/>
                <w:lang w:val="lv-LV" w:eastAsia="lv-LV"/>
              </w:rPr>
              <w:t>ām</w:t>
            </w:r>
            <w:r w:rsidRPr="00B42BC1">
              <w:rPr>
                <w:rFonts w:ascii="Times New Roman" w:eastAsia="Times New Roman" w:hAnsi="Times New Roman"/>
                <w:color w:val="000000" w:themeColor="text1"/>
                <w:sz w:val="24"/>
                <w:szCs w:val="24"/>
                <w:lang w:val="lv-LV" w:eastAsia="lv-LV"/>
              </w:rPr>
              <w:t xml:space="preserve"> vispār piemēro Publisko iepirkumu likumu. Šobrīd pakalpojumiem un piegādēm Publisko iepirkumu likums ir jāpiemēro no 4000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bet būvdarbiem - 14 000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Likumprojekts paredz pakalpojumiem un piegādēm celt līgumcenu robežvērtību līdz 10 000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un būvdarbiem līdz 20 000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w:t>
            </w:r>
          </w:p>
          <w:p w14:paraId="031CAA80" w14:textId="77777777" w:rsidR="004070D8" w:rsidRPr="00B42BC1" w:rsidRDefault="00BF63B8" w:rsidP="001559B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Darba grupā norisinājās diskusijas par to, no kādas līgumcenas robežvērtības būtu jāpiemēro publisko iepirkumu regulējums, taču izteiktie viedokļi krasi atšķīrās (atsevišķas nevalstiskās organizācijas uzskatīja, ka publisko iepirkumu regulējums ir jāpiemēro pilnīgi visām preču, pakalpojumu un būvdarbu iegādēm, neatkarīgi no līgumcenas, taču bija arī pretēji viedokļi - publisko iepirkumu regulējums būtu jāpiemēro tikai </w:t>
            </w:r>
            <w:r w:rsidRPr="00B42BC1">
              <w:rPr>
                <w:rFonts w:ascii="Times New Roman" w:eastAsia="Times New Roman" w:hAnsi="Times New Roman"/>
                <w:color w:val="000000" w:themeColor="text1"/>
                <w:sz w:val="24"/>
                <w:szCs w:val="24"/>
                <w:lang w:val="lv-LV" w:eastAsia="lv-LV"/>
              </w:rPr>
              <w:lastRenderedPageBreak/>
              <w:t>no Direktīvā 2014/24/ES obligāti noteiktajām līgumcenu robežvērtībām</w:t>
            </w:r>
            <w:r w:rsidR="00D10580" w:rsidRPr="00B42BC1">
              <w:rPr>
                <w:rFonts w:ascii="Times New Roman" w:eastAsia="Times New Roman" w:hAnsi="Times New Roman"/>
                <w:color w:val="000000" w:themeColor="text1"/>
                <w:sz w:val="24"/>
                <w:szCs w:val="24"/>
                <w:lang w:val="lv-LV" w:eastAsia="lv-LV"/>
              </w:rPr>
              <w:t xml:space="preserve"> (135</w:t>
            </w:r>
            <w:r w:rsidR="009A4C84" w:rsidRPr="00B42BC1">
              <w:rPr>
                <w:rFonts w:ascii="Times New Roman" w:eastAsia="Times New Roman" w:hAnsi="Times New Roman"/>
                <w:color w:val="000000" w:themeColor="text1"/>
                <w:sz w:val="24"/>
                <w:szCs w:val="24"/>
                <w:lang w:val="lv-LV" w:eastAsia="lv-LV"/>
              </w:rPr>
              <w:t xml:space="preserve"> 000 </w:t>
            </w:r>
            <w:r w:rsidR="009A4C84" w:rsidRPr="00B42BC1">
              <w:rPr>
                <w:rFonts w:ascii="Times New Roman" w:eastAsia="Times New Roman" w:hAnsi="Times New Roman"/>
                <w:i/>
                <w:color w:val="000000" w:themeColor="text1"/>
                <w:sz w:val="24"/>
                <w:szCs w:val="24"/>
                <w:lang w:val="lv-LV" w:eastAsia="lv-LV"/>
              </w:rPr>
              <w:t>euro</w:t>
            </w:r>
            <w:r w:rsidR="009A4C84" w:rsidRPr="00B42BC1">
              <w:rPr>
                <w:rFonts w:ascii="Times New Roman" w:eastAsia="Times New Roman" w:hAnsi="Times New Roman"/>
                <w:color w:val="000000" w:themeColor="text1"/>
                <w:sz w:val="24"/>
                <w:szCs w:val="24"/>
                <w:lang w:val="lv-LV" w:eastAsia="lv-LV"/>
              </w:rPr>
              <w:t xml:space="preserve"> piegādēm un pakalpojumiem, 5 </w:t>
            </w:r>
            <w:r w:rsidR="00D10580" w:rsidRPr="00B42BC1">
              <w:rPr>
                <w:rFonts w:ascii="Times New Roman" w:eastAsia="Times New Roman" w:hAnsi="Times New Roman"/>
                <w:color w:val="000000" w:themeColor="text1"/>
                <w:sz w:val="24"/>
                <w:szCs w:val="24"/>
                <w:lang w:val="lv-LV" w:eastAsia="lv-LV"/>
              </w:rPr>
              <w:t>225</w:t>
            </w:r>
            <w:r w:rsidR="009A4C84" w:rsidRPr="00B42BC1">
              <w:rPr>
                <w:rFonts w:ascii="Times New Roman" w:eastAsia="Times New Roman" w:hAnsi="Times New Roman"/>
                <w:color w:val="000000" w:themeColor="text1"/>
                <w:sz w:val="24"/>
                <w:szCs w:val="24"/>
                <w:lang w:val="lv-LV" w:eastAsia="lv-LV"/>
              </w:rPr>
              <w:t xml:space="preserve"> 000 </w:t>
            </w:r>
            <w:r w:rsidR="009A4C84" w:rsidRPr="00B42BC1">
              <w:rPr>
                <w:rFonts w:ascii="Times New Roman" w:eastAsia="Times New Roman" w:hAnsi="Times New Roman"/>
                <w:i/>
                <w:color w:val="000000" w:themeColor="text1"/>
                <w:sz w:val="24"/>
                <w:szCs w:val="24"/>
                <w:lang w:val="lv-LV" w:eastAsia="lv-LV"/>
              </w:rPr>
              <w:t>euro</w:t>
            </w:r>
            <w:r w:rsidR="009A4C84" w:rsidRPr="00B42BC1">
              <w:rPr>
                <w:rFonts w:ascii="Times New Roman" w:eastAsia="Times New Roman" w:hAnsi="Times New Roman"/>
                <w:color w:val="000000" w:themeColor="text1"/>
                <w:sz w:val="24"/>
                <w:szCs w:val="24"/>
                <w:lang w:val="lv-LV" w:eastAsia="lv-LV"/>
              </w:rPr>
              <w:t xml:space="preserve"> būvdarbiem</w:t>
            </w:r>
            <w:r w:rsidRPr="00B42BC1">
              <w:rPr>
                <w:rFonts w:ascii="Times New Roman" w:eastAsia="Times New Roman" w:hAnsi="Times New Roman"/>
                <w:color w:val="000000" w:themeColor="text1"/>
                <w:sz w:val="24"/>
                <w:szCs w:val="24"/>
                <w:lang w:val="lv-LV" w:eastAsia="lv-LV"/>
              </w:rPr>
              <w:t>). Tika veikta arī minētā jautājuma izpēte attiecībā uz Eiropas Savienības dalībvalstīm un jāsecina, ka lielākajā daļā valstu ir paredzēta atvieglota iepirkum</w:t>
            </w:r>
            <w:r w:rsidR="00D10580" w:rsidRPr="00B42BC1">
              <w:rPr>
                <w:rFonts w:ascii="Times New Roman" w:eastAsia="Times New Roman" w:hAnsi="Times New Roman"/>
                <w:color w:val="000000" w:themeColor="text1"/>
                <w:sz w:val="24"/>
                <w:szCs w:val="24"/>
                <w:lang w:val="lv-LV" w:eastAsia="lv-LV"/>
              </w:rPr>
              <w:t>a</w:t>
            </w:r>
            <w:r w:rsidRPr="00B42BC1">
              <w:rPr>
                <w:rFonts w:ascii="Times New Roman" w:eastAsia="Times New Roman" w:hAnsi="Times New Roman"/>
                <w:color w:val="000000" w:themeColor="text1"/>
                <w:sz w:val="24"/>
                <w:szCs w:val="24"/>
                <w:lang w:val="lv-LV" w:eastAsia="lv-LV"/>
              </w:rPr>
              <w:t xml:space="preserve"> procedūra zem līgumcenu robežvērtībām</w:t>
            </w:r>
            <w:r w:rsidR="00D10580" w:rsidRPr="00B42BC1">
              <w:rPr>
                <w:rFonts w:ascii="Times New Roman" w:eastAsia="Times New Roman" w:hAnsi="Times New Roman"/>
                <w:color w:val="000000" w:themeColor="text1"/>
                <w:sz w:val="24"/>
                <w:szCs w:val="24"/>
                <w:lang w:val="lv-LV" w:eastAsia="lv-LV"/>
              </w:rPr>
              <w:t>,</w:t>
            </w:r>
            <w:r w:rsidRPr="00B42BC1">
              <w:rPr>
                <w:rFonts w:ascii="Times New Roman" w:eastAsia="Times New Roman" w:hAnsi="Times New Roman"/>
                <w:color w:val="000000" w:themeColor="text1"/>
                <w:sz w:val="24"/>
                <w:szCs w:val="24"/>
                <w:lang w:val="lv-LV" w:eastAsia="lv-LV"/>
              </w:rPr>
              <w:t xml:space="preserve"> no kurām obligāti ir jāpiemēro iepirkumu direktīvu regulējums.</w:t>
            </w:r>
            <w:r w:rsidR="009A4C84" w:rsidRPr="00B42BC1">
              <w:rPr>
                <w:rFonts w:ascii="Times New Roman" w:eastAsia="Times New Roman" w:hAnsi="Times New Roman"/>
                <w:color w:val="000000" w:themeColor="text1"/>
                <w:sz w:val="24"/>
                <w:szCs w:val="24"/>
                <w:lang w:val="lv-LV" w:eastAsia="lv-LV"/>
              </w:rPr>
              <w:t xml:space="preserve"> Piemēram, atvieglota iepirkumu procedūra tiek piemērota:</w:t>
            </w:r>
          </w:p>
          <w:p w14:paraId="7DC5B1AF" w14:textId="77777777" w:rsidR="009A4C84" w:rsidRPr="00B42BC1"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Igaunijā no 10 000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piegādēm un pakalpojumiem un 30 000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būvdarbiem;</w:t>
            </w:r>
          </w:p>
          <w:p w14:paraId="243E87D4" w14:textId="77777777" w:rsidR="009A4C84" w:rsidRPr="00B42BC1"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Lietuvā no 58 000 euro piegādēm un pakalpojumiem un 145 000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būvdarbiem;</w:t>
            </w:r>
          </w:p>
          <w:p w14:paraId="0DEDA729" w14:textId="77777777" w:rsidR="009A4C84" w:rsidRPr="00B42BC1"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Polijā no 30 000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piegādēm, pakalpojumiem un būvdarbiem;</w:t>
            </w:r>
          </w:p>
          <w:p w14:paraId="71328CE2" w14:textId="77777777" w:rsidR="009A4C84" w:rsidRPr="00B42BC1"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Spānijā no 18 000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pakalpojumiem un piegādēm un 50 000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būvdarbiem;</w:t>
            </w:r>
          </w:p>
          <w:p w14:paraId="3B53B4C3" w14:textId="77777777" w:rsidR="009A4C84" w:rsidRPr="00B42BC1"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Austrijā no 100 000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piegādēm, pakalpojumiem un būvdarbiem;</w:t>
            </w:r>
          </w:p>
          <w:p w14:paraId="154A5DA8" w14:textId="77777777" w:rsidR="009A4C84" w:rsidRPr="00B42BC1"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Francijā no 15 000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piegādēm, pakalpojumiem un būvdarbiem;</w:t>
            </w:r>
          </w:p>
          <w:p w14:paraId="60F7AE13" w14:textId="77777777" w:rsidR="009A4C84" w:rsidRPr="00B42BC1" w:rsidRDefault="009A4C84" w:rsidP="009A4C84">
            <w:pPr>
              <w:pStyle w:val="ListParagraph"/>
              <w:widowControl/>
              <w:numPr>
                <w:ilvl w:val="0"/>
                <w:numId w:val="10"/>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Portugālē no 75 000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piegādēm un pakalpojumiem un 150 000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būvdarbiem. </w:t>
            </w:r>
          </w:p>
          <w:p w14:paraId="18DE0A03" w14:textId="14701123" w:rsidR="00F54C9A" w:rsidRPr="00B42BC1" w:rsidRDefault="00441F8D"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Zem minētajām robežvērtībām, iepirk</w:t>
            </w:r>
            <w:r w:rsidR="00913055" w:rsidRPr="00B42BC1">
              <w:rPr>
                <w:rFonts w:ascii="Times New Roman" w:eastAsia="Times New Roman" w:hAnsi="Times New Roman"/>
                <w:color w:val="000000" w:themeColor="text1"/>
                <w:sz w:val="24"/>
                <w:szCs w:val="24"/>
                <w:lang w:val="lv-LV" w:eastAsia="lv-LV"/>
              </w:rPr>
              <w:t>umu regulējums netiek piemērots, bet atsevišķās valstīs ir paredzēta vienkāršota tirgus izpēte.</w:t>
            </w:r>
            <w:r w:rsidRPr="00B42BC1">
              <w:rPr>
                <w:rFonts w:ascii="Times New Roman" w:eastAsia="Times New Roman" w:hAnsi="Times New Roman"/>
                <w:color w:val="000000" w:themeColor="text1"/>
                <w:sz w:val="24"/>
                <w:szCs w:val="24"/>
                <w:lang w:val="lv-LV" w:eastAsia="lv-LV"/>
              </w:rPr>
              <w:t xml:space="preserve"> </w:t>
            </w:r>
          </w:p>
          <w:p w14:paraId="1932D947" w14:textId="792424D6" w:rsidR="00441F8D" w:rsidRPr="00B42BC1" w:rsidRDefault="0051415A"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Bez jau minētā ir jāsecina, ka šobrīd </w:t>
            </w:r>
            <w:r w:rsidR="00441F8D" w:rsidRPr="00B42BC1">
              <w:rPr>
                <w:rFonts w:ascii="Times New Roman" w:eastAsia="Times New Roman" w:hAnsi="Times New Roman"/>
                <w:color w:val="000000" w:themeColor="text1"/>
                <w:sz w:val="24"/>
                <w:szCs w:val="24"/>
                <w:lang w:val="lv-LV" w:eastAsia="lv-LV"/>
              </w:rPr>
              <w:t xml:space="preserve">pasūtītājiem salīdzinoši nelielu iepirkumu veikšanai ir jāpiemēro iepirkums, kas paredz gan tā dokumentēšanu, gan izsludināšanu, gan iepirkuma komisijas darbu, </w:t>
            </w:r>
            <w:r w:rsidR="00F54C9A" w:rsidRPr="00B42BC1">
              <w:rPr>
                <w:rFonts w:ascii="Times New Roman" w:eastAsia="Times New Roman" w:hAnsi="Times New Roman"/>
                <w:color w:val="000000" w:themeColor="text1"/>
                <w:sz w:val="24"/>
                <w:szCs w:val="24"/>
                <w:lang w:val="lv-LV" w:eastAsia="lv-LV"/>
              </w:rPr>
              <w:t>kā rezultātā tiek</w:t>
            </w:r>
            <w:r w:rsidR="00441F8D" w:rsidRPr="00B42BC1">
              <w:rPr>
                <w:rFonts w:ascii="Times New Roman" w:eastAsia="Times New Roman" w:hAnsi="Times New Roman"/>
                <w:color w:val="000000" w:themeColor="text1"/>
                <w:sz w:val="24"/>
                <w:szCs w:val="24"/>
                <w:lang w:val="lv-LV" w:eastAsia="lv-LV"/>
              </w:rPr>
              <w:t xml:space="preserve"> palieli</w:t>
            </w:r>
            <w:r w:rsidR="00F54C9A" w:rsidRPr="00B42BC1">
              <w:rPr>
                <w:rFonts w:ascii="Times New Roman" w:eastAsia="Times New Roman" w:hAnsi="Times New Roman"/>
                <w:color w:val="000000" w:themeColor="text1"/>
                <w:sz w:val="24"/>
                <w:szCs w:val="24"/>
                <w:lang w:val="lv-LV" w:eastAsia="lv-LV"/>
              </w:rPr>
              <w:t>nāts darba apjoms</w:t>
            </w:r>
            <w:r w:rsidR="00441F8D" w:rsidRPr="00B42BC1">
              <w:rPr>
                <w:rFonts w:ascii="Times New Roman" w:eastAsia="Times New Roman" w:hAnsi="Times New Roman"/>
                <w:color w:val="000000" w:themeColor="text1"/>
                <w:sz w:val="24"/>
                <w:szCs w:val="24"/>
                <w:lang w:val="lv-LV" w:eastAsia="lv-LV"/>
              </w:rPr>
              <w:t xml:space="preserve"> pasūtīt</w:t>
            </w:r>
            <w:r w:rsidRPr="00B42BC1">
              <w:rPr>
                <w:rFonts w:ascii="Times New Roman" w:eastAsia="Times New Roman" w:hAnsi="Times New Roman"/>
                <w:color w:val="000000" w:themeColor="text1"/>
                <w:sz w:val="24"/>
                <w:szCs w:val="24"/>
                <w:lang w:val="lv-LV" w:eastAsia="lv-LV"/>
              </w:rPr>
              <w:t xml:space="preserve">āju darbiniekiem un paildzināts laiks līdz iepirkuma līguma noslēgšanai. </w:t>
            </w:r>
            <w:r w:rsidR="002C2685" w:rsidRPr="00B42BC1">
              <w:rPr>
                <w:rFonts w:ascii="Times New Roman" w:eastAsia="Times New Roman" w:hAnsi="Times New Roman"/>
                <w:color w:val="000000" w:themeColor="text1"/>
                <w:sz w:val="24"/>
                <w:szCs w:val="24"/>
                <w:lang w:val="lv-LV" w:eastAsia="lv-LV"/>
              </w:rPr>
              <w:t>Ņemot vērā, ka Direktīva 2014/24/ES vairāk liek uzsvaru uz pasūtītāju kompetenci dažādu jautājumu un situāciju izvērtēšanā, ir jāatbrīvo resursi pasūtītājiem, lai tie varētu vairāk laika un uzmanības veltīt apjoma ziņā lielāku iepirkum</w:t>
            </w:r>
            <w:r w:rsidR="007A0624" w:rsidRPr="00B42BC1">
              <w:rPr>
                <w:rFonts w:ascii="Times New Roman" w:eastAsia="Times New Roman" w:hAnsi="Times New Roman"/>
                <w:color w:val="000000" w:themeColor="text1"/>
                <w:sz w:val="24"/>
                <w:szCs w:val="24"/>
                <w:lang w:val="lv-LV" w:eastAsia="lv-LV"/>
              </w:rPr>
              <w:t>u veikšanai</w:t>
            </w:r>
            <w:r w:rsidR="002C2685" w:rsidRPr="00B42BC1">
              <w:rPr>
                <w:rFonts w:ascii="Times New Roman" w:eastAsia="Times New Roman" w:hAnsi="Times New Roman"/>
                <w:color w:val="000000" w:themeColor="text1"/>
                <w:sz w:val="24"/>
                <w:szCs w:val="24"/>
                <w:lang w:val="lv-LV" w:eastAsia="lv-LV"/>
              </w:rPr>
              <w:t xml:space="preserve">. Līdz ar to piedāvātais risinājums līdzsvaro pasūtītāju resursu patēriņu iepirkumu veikšanai. </w:t>
            </w:r>
            <w:r w:rsidR="00DD0E57" w:rsidRPr="00B42BC1">
              <w:rPr>
                <w:rFonts w:ascii="Times New Roman" w:eastAsia="Times New Roman" w:hAnsi="Times New Roman"/>
                <w:color w:val="000000" w:themeColor="text1"/>
                <w:sz w:val="24"/>
                <w:szCs w:val="24"/>
                <w:lang w:val="lv-LV" w:eastAsia="lv-LV"/>
              </w:rPr>
              <w:t xml:space="preserve">Iepirkumu veikšanā zem minētajām līgumcenu robežvērtībām pasūtītājs ņem vērā Publiskas personas finanšu līdzekļu un mantas izšķērdēšanas novēršanas likumu. </w:t>
            </w:r>
          </w:p>
          <w:p w14:paraId="4EC63782" w14:textId="77777777" w:rsidR="006B2EB6" w:rsidRPr="00B42BC1" w:rsidRDefault="002C2685"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Otrkārt, t</w:t>
            </w:r>
            <w:r w:rsidR="00590C9F" w:rsidRPr="00B42BC1">
              <w:rPr>
                <w:rFonts w:ascii="Times New Roman" w:eastAsia="Times New Roman" w:hAnsi="Times New Roman"/>
                <w:color w:val="000000" w:themeColor="text1"/>
                <w:sz w:val="24"/>
                <w:szCs w:val="24"/>
                <w:lang w:val="lv-LV" w:eastAsia="lv-LV"/>
              </w:rPr>
              <w:t>āpat kā līdz šim ir paredzēta atvieglota kārt</w:t>
            </w:r>
            <w:r w:rsidR="009A4C84" w:rsidRPr="00B42BC1">
              <w:rPr>
                <w:rFonts w:ascii="Times New Roman" w:eastAsia="Times New Roman" w:hAnsi="Times New Roman"/>
                <w:color w:val="000000" w:themeColor="text1"/>
                <w:sz w:val="24"/>
                <w:szCs w:val="24"/>
                <w:lang w:val="lv-LV" w:eastAsia="lv-LV"/>
              </w:rPr>
              <w:t xml:space="preserve">ība iepirkumiem zem 42 000 </w:t>
            </w:r>
            <w:r w:rsidR="009A4C84" w:rsidRPr="00B42BC1">
              <w:rPr>
                <w:rFonts w:ascii="Times New Roman" w:eastAsia="Times New Roman" w:hAnsi="Times New Roman"/>
                <w:i/>
                <w:color w:val="000000" w:themeColor="text1"/>
                <w:sz w:val="24"/>
                <w:szCs w:val="24"/>
                <w:lang w:val="lv-LV" w:eastAsia="lv-LV"/>
              </w:rPr>
              <w:t>euro</w:t>
            </w:r>
            <w:r w:rsidR="009A4C84" w:rsidRPr="00B42BC1">
              <w:rPr>
                <w:rFonts w:ascii="Times New Roman" w:eastAsia="Times New Roman" w:hAnsi="Times New Roman"/>
                <w:color w:val="000000" w:themeColor="text1"/>
                <w:sz w:val="24"/>
                <w:szCs w:val="24"/>
                <w:lang w:val="lv-LV" w:eastAsia="lv-LV"/>
              </w:rPr>
              <w:t xml:space="preserve"> piegādēm un pakalpojumiem un zem 170 000 </w:t>
            </w:r>
            <w:r w:rsidR="009A4C84" w:rsidRPr="00B42BC1">
              <w:rPr>
                <w:rFonts w:ascii="Times New Roman" w:eastAsia="Times New Roman" w:hAnsi="Times New Roman"/>
                <w:i/>
                <w:color w:val="000000" w:themeColor="text1"/>
                <w:sz w:val="24"/>
                <w:szCs w:val="24"/>
                <w:lang w:val="lv-LV" w:eastAsia="lv-LV"/>
              </w:rPr>
              <w:t>euro</w:t>
            </w:r>
            <w:r w:rsidR="009A4C84" w:rsidRPr="00B42BC1">
              <w:rPr>
                <w:rFonts w:ascii="Times New Roman" w:eastAsia="Times New Roman" w:hAnsi="Times New Roman"/>
                <w:color w:val="000000" w:themeColor="text1"/>
                <w:sz w:val="24"/>
                <w:szCs w:val="24"/>
                <w:lang w:val="lv-LV" w:eastAsia="lv-LV"/>
              </w:rPr>
              <w:t xml:space="preserve"> būvdarbiem</w:t>
            </w:r>
            <w:r w:rsidR="00640043" w:rsidRPr="00B42BC1">
              <w:rPr>
                <w:rFonts w:ascii="Times New Roman" w:eastAsia="Times New Roman" w:hAnsi="Times New Roman"/>
                <w:color w:val="000000" w:themeColor="text1"/>
                <w:sz w:val="24"/>
                <w:szCs w:val="24"/>
                <w:lang w:val="lv-LV" w:eastAsia="lv-LV"/>
              </w:rPr>
              <w:t xml:space="preserve">, taču mainās iepirkumu veikšanas kārtības atspoguļošanas veids likumprojektā. Līdz šim kārtība bija aprakstīta, bet ņemot vērā, ka nebija norādīts, kurš likuma regulējums vēl attiecas uz šiem iepirkumiem, praksē radās problēmas ar to, cik tālu caur publisko iepirkumu principiem var piemērot un skaidrot šajos iepirkumos noteiktās </w:t>
            </w:r>
            <w:r w:rsidR="00640043" w:rsidRPr="00B42BC1">
              <w:rPr>
                <w:rFonts w:ascii="Times New Roman" w:eastAsia="Times New Roman" w:hAnsi="Times New Roman"/>
                <w:color w:val="000000" w:themeColor="text1"/>
                <w:sz w:val="24"/>
                <w:szCs w:val="24"/>
                <w:lang w:val="lv-LV" w:eastAsia="lv-LV"/>
              </w:rPr>
              <w:lastRenderedPageBreak/>
              <w:t xml:space="preserve">prasības. Likumprojektā ir </w:t>
            </w:r>
            <w:r w:rsidR="002822E7" w:rsidRPr="00B42BC1">
              <w:rPr>
                <w:rFonts w:ascii="Times New Roman" w:eastAsia="Times New Roman" w:hAnsi="Times New Roman"/>
                <w:color w:val="000000" w:themeColor="text1"/>
                <w:sz w:val="24"/>
                <w:szCs w:val="24"/>
                <w:lang w:val="lv-LV" w:eastAsia="lv-LV"/>
              </w:rPr>
              <w:t>paredzēt šāda iepirkuma veikšanas kārtība, taču papildus ir norādītas arī tās likuma normas</w:t>
            </w:r>
            <w:r w:rsidR="00640043" w:rsidRPr="00B42BC1">
              <w:rPr>
                <w:rFonts w:ascii="Times New Roman" w:eastAsia="Times New Roman" w:hAnsi="Times New Roman"/>
                <w:color w:val="000000" w:themeColor="text1"/>
                <w:sz w:val="24"/>
                <w:szCs w:val="24"/>
                <w:lang w:val="lv-LV" w:eastAsia="lv-LV"/>
              </w:rPr>
              <w:t>, kas pasūtītājam ir jāņem vērā rīkojot šādus iepirkumus, līdz ar to pasūtītājam ir rīcības brīvība veidot iepirkum</w:t>
            </w:r>
            <w:r w:rsidR="002822E7" w:rsidRPr="00B42BC1">
              <w:rPr>
                <w:rFonts w:ascii="Times New Roman" w:eastAsia="Times New Roman" w:hAnsi="Times New Roman"/>
                <w:color w:val="000000" w:themeColor="text1"/>
                <w:sz w:val="24"/>
                <w:szCs w:val="24"/>
                <w:lang w:val="lv-LV" w:eastAsia="lv-LV"/>
              </w:rPr>
              <w:t>u</w:t>
            </w:r>
            <w:r w:rsidR="00640043" w:rsidRPr="00B42BC1">
              <w:rPr>
                <w:rFonts w:ascii="Times New Roman" w:eastAsia="Times New Roman" w:hAnsi="Times New Roman"/>
                <w:color w:val="000000" w:themeColor="text1"/>
                <w:sz w:val="24"/>
                <w:szCs w:val="24"/>
                <w:lang w:val="lv-LV" w:eastAsia="lv-LV"/>
              </w:rPr>
              <w:t xml:space="preserve"> atbilstoši tā vajadzībām, bet ņemot vērā uz šiem iepirkumiem attiecināmās likumā noteiktās minimālās prasības.</w:t>
            </w:r>
          </w:p>
          <w:p w14:paraId="254C5157" w14:textId="77777777" w:rsidR="002B4E36" w:rsidRPr="00B42BC1" w:rsidRDefault="002B4E36"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Treškārt, tāpat kā līdz šim ir paredzēts, ka netiek piemērota arī atvieglotā kārtība iepirkumiem</w:t>
            </w:r>
            <w:r w:rsidR="005A0BFA" w:rsidRPr="00B42BC1">
              <w:rPr>
                <w:rFonts w:ascii="Times New Roman" w:eastAsia="Times New Roman" w:hAnsi="Times New Roman"/>
                <w:color w:val="000000" w:themeColor="text1"/>
                <w:sz w:val="24"/>
                <w:szCs w:val="24"/>
                <w:lang w:val="lv-LV" w:eastAsia="lv-LV"/>
              </w:rPr>
              <w:t>, ja tiek</w:t>
            </w:r>
            <w:r w:rsidRPr="00B42BC1">
              <w:rPr>
                <w:rFonts w:ascii="Times New Roman" w:eastAsia="Times New Roman" w:hAnsi="Times New Roman"/>
                <w:color w:val="000000" w:themeColor="text1"/>
                <w:sz w:val="24"/>
                <w:szCs w:val="24"/>
                <w:lang w:val="lv-LV" w:eastAsia="lv-LV"/>
              </w:rPr>
              <w:t xml:space="preserve"> slēgts iepirkuma līgums par pārtikas produktu piegādi un ja tiek ievērotas Ministru kabineta noteiktās prasības pārtikas produktu piegādēm zaļā publiskā iepirkuma ietvaros.</w:t>
            </w:r>
            <w:r w:rsidR="005A0BFA" w:rsidRPr="00B42BC1">
              <w:rPr>
                <w:rFonts w:ascii="Times New Roman" w:eastAsia="Times New Roman" w:hAnsi="Times New Roman"/>
                <w:color w:val="000000" w:themeColor="text1"/>
                <w:sz w:val="24"/>
                <w:szCs w:val="24"/>
                <w:lang w:val="lv-LV" w:eastAsia="lv-LV"/>
              </w:rPr>
              <w:t xml:space="preserve"> </w:t>
            </w:r>
          </w:p>
          <w:p w14:paraId="7BD94BA5" w14:textId="3AAF34DC" w:rsidR="005D6E74" w:rsidRPr="00B42BC1" w:rsidRDefault="005F2358" w:rsidP="009A4C8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Direktīva 2014/24/ES ievieš atvieglotu iepirkumu veikšanas kārtību sociālajiem un citiem īpašiem pakalpojumiem</w:t>
            </w:r>
            <w:r w:rsidRPr="00B42BC1">
              <w:rPr>
                <w:rFonts w:ascii="Times New Roman" w:eastAsia="Times New Roman" w:hAnsi="Times New Roman"/>
                <w:color w:val="000000" w:themeColor="text1"/>
                <w:sz w:val="24"/>
                <w:szCs w:val="24"/>
                <w:lang w:val="lv-LV" w:eastAsia="lv-LV"/>
              </w:rPr>
              <w:t>. Publisko iepirkumu likumā daļa no pakalpojumiem bija ietverta Publisko iepirkumu likuma 2.pielikuma B daļā</w:t>
            </w:r>
            <w:r w:rsidR="00FF7BBA" w:rsidRPr="00B42BC1">
              <w:rPr>
                <w:rFonts w:ascii="Times New Roman" w:eastAsia="Times New Roman" w:hAnsi="Times New Roman"/>
                <w:color w:val="000000" w:themeColor="text1"/>
                <w:sz w:val="24"/>
                <w:szCs w:val="24"/>
                <w:lang w:val="lv-LV" w:eastAsia="lv-LV"/>
              </w:rPr>
              <w:t xml:space="preserve"> (šobrīd jau pakalpojumu saraksts pārņemts ar Publisko iepirkumu likuma 2.pielikumu)</w:t>
            </w:r>
            <w:r w:rsidRPr="00B42BC1">
              <w:rPr>
                <w:rFonts w:ascii="Times New Roman" w:eastAsia="Times New Roman" w:hAnsi="Times New Roman"/>
                <w:color w:val="000000" w:themeColor="text1"/>
                <w:sz w:val="24"/>
                <w:szCs w:val="24"/>
                <w:lang w:val="lv-LV" w:eastAsia="lv-LV"/>
              </w:rPr>
              <w:t>. Direktīva 2014/24/ES paplašina šo pakalpojumu loku ar:</w:t>
            </w:r>
          </w:p>
          <w:p w14:paraId="5A37FF5D" w14:textId="77777777" w:rsidR="005F2358"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plašāku klāstu veselības, sociālajiem un citiem pakalpojumiem;</w:t>
            </w:r>
          </w:p>
          <w:p w14:paraId="314C6788"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plašāku klāstu administratīvajiem sociālajiem, izglītības, veselības aprūpes un kultūras pakalpojumiem;</w:t>
            </w:r>
          </w:p>
          <w:p w14:paraId="5B2C9097"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obligātās sociālās nodrošināšanas pakalpojumiem;</w:t>
            </w:r>
          </w:p>
          <w:p w14:paraId="57B3D5EF"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pabalstu pakalpojumiem;</w:t>
            </w:r>
          </w:p>
          <w:p w14:paraId="29230CF0"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citiem kopienas, sociālajiem un personālajiem pakalpojumiem, tostarp arodbiedrību, politisko organizāciju, jaunieši biedrību sniegtajiem pakalpojumiem, un citiem biedru organizāciju pakalpojumiem;</w:t>
            </w:r>
          </w:p>
          <w:p w14:paraId="40B4283B"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reliģiskajiem pakalpojumiem;</w:t>
            </w:r>
          </w:p>
          <w:p w14:paraId="5A783F7E" w14:textId="77777777" w:rsidR="009D7039" w:rsidRPr="00B42BC1" w:rsidRDefault="001A1902"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juridiskajiem pakalpojumiem</w:t>
            </w:r>
            <w:r w:rsidR="009D7039" w:rsidRPr="00B42BC1">
              <w:rPr>
                <w:rFonts w:ascii="Times New Roman" w:eastAsia="Times New Roman" w:hAnsi="Times New Roman"/>
                <w:color w:val="000000" w:themeColor="text1"/>
                <w:sz w:val="24"/>
                <w:szCs w:val="24"/>
                <w:lang w:val="lv-LV" w:eastAsia="lv-LV"/>
              </w:rPr>
              <w:t>;</w:t>
            </w:r>
          </w:p>
          <w:p w14:paraId="5228995E"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citiem administratīvajiem pakalpojumiem un valdības pakalpojumiem;</w:t>
            </w:r>
          </w:p>
          <w:p w14:paraId="7A9087C2"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pakalpojumu sniegšanu sabiedrībai;</w:t>
            </w:r>
          </w:p>
          <w:p w14:paraId="15B50ACD"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ar cietumiem saistītiem pakalpojumiem, sabiedriskās drošības un glābšanas pakalpojumiem, ciktāl tie nav izslēgti no likuma piemērošanas (likumprojekta 3.pants);</w:t>
            </w:r>
          </w:p>
          <w:p w14:paraId="5D6C0E8C"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plašākiem izmeklēšanas un apsardzes pakalpojumiem;</w:t>
            </w:r>
          </w:p>
          <w:p w14:paraId="1576F3EB"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starptautiskajiem pakalpojumiem;</w:t>
            </w:r>
          </w:p>
          <w:p w14:paraId="0F7836CC"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pasta pakalpojumiem;</w:t>
            </w:r>
          </w:p>
          <w:p w14:paraId="11DADAF9" w14:textId="77777777" w:rsidR="009D7039" w:rsidRPr="00B42BC1" w:rsidRDefault="009D7039" w:rsidP="009D7039">
            <w:pPr>
              <w:pStyle w:val="ListParagraph"/>
              <w:widowControl/>
              <w:numPr>
                <w:ilvl w:val="0"/>
                <w:numId w:val="17"/>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dažādiem citiem pakalpojumiem (riepu vulkanizēšanas pakalpojumiem un kalēja pakalpojumiem).</w:t>
            </w:r>
          </w:p>
          <w:p w14:paraId="140F320A" w14:textId="77777777" w:rsidR="001A1902" w:rsidRPr="00B42BC1" w:rsidRDefault="001A1902"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 xml:space="preserve">Taču atsevišķi pakalpojumi, kuriem līdz šim bija piemērojama atvieglota procedūra, ir izslēgti no atviegloto procedūru saraksta, piemēram, </w:t>
            </w:r>
            <w:r w:rsidR="002B4E36" w:rsidRPr="00B42BC1">
              <w:rPr>
                <w:rFonts w:ascii="Times New Roman" w:eastAsia="Times New Roman" w:hAnsi="Times New Roman"/>
                <w:color w:val="000000" w:themeColor="text1"/>
                <w:sz w:val="24"/>
                <w:szCs w:val="24"/>
                <w:lang w:val="lv-LV" w:eastAsia="lv-LV"/>
              </w:rPr>
              <w:t>komandējumu pakalpojumi, tulkošana, fotografēšana u.c.</w:t>
            </w:r>
            <w:r w:rsidR="005A0BFA" w:rsidRPr="00B42BC1">
              <w:rPr>
                <w:rFonts w:ascii="Times New Roman" w:eastAsia="Times New Roman" w:hAnsi="Times New Roman"/>
                <w:color w:val="000000" w:themeColor="text1"/>
                <w:sz w:val="24"/>
                <w:szCs w:val="24"/>
                <w:lang w:val="lv-LV" w:eastAsia="lv-LV"/>
              </w:rPr>
              <w:t xml:space="preserve">, līdz ar to šiem pakalpojumiem ir jāpiemēro iepirkuma veikšanas kārtība, ņemot vērā paredzamo līgumcenu. </w:t>
            </w:r>
          </w:p>
          <w:p w14:paraId="25FF6A39" w14:textId="5D95F6BF" w:rsidR="00A72BD3" w:rsidRPr="00B42BC1" w:rsidRDefault="00AD4557" w:rsidP="00AD4557">
            <w:pPr>
              <w:widowControl/>
              <w:spacing w:after="120" w:line="240" w:lineRule="auto"/>
              <w:jc w:val="both"/>
              <w:rPr>
                <w:rFonts w:ascii="Times New Roman" w:hAnsi="Times New Roman"/>
                <w:color w:val="000000" w:themeColor="text1"/>
                <w:sz w:val="24"/>
                <w:szCs w:val="24"/>
                <w:lang w:val="lv-LV"/>
              </w:rPr>
            </w:pPr>
            <w:r w:rsidRPr="00B42BC1">
              <w:rPr>
                <w:rFonts w:ascii="Times New Roman" w:eastAsia="Times New Roman" w:hAnsi="Times New Roman"/>
                <w:color w:val="000000" w:themeColor="text1"/>
                <w:sz w:val="24"/>
                <w:szCs w:val="24"/>
                <w:lang w:val="lv-LV" w:eastAsia="lv-LV"/>
              </w:rPr>
              <w:t xml:space="preserve">Direktīva 2014/24/ES paredz atvieglotas iepirkuma procedūras piemērošanu sociālajiem un citiem īpašiem pakalpojumiem no 750 000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taču, lai nodrošinātu </w:t>
            </w:r>
            <w:r w:rsidR="008A6275" w:rsidRPr="00B42BC1">
              <w:rPr>
                <w:rFonts w:ascii="Times New Roman" w:eastAsia="Times New Roman" w:hAnsi="Times New Roman"/>
                <w:color w:val="000000" w:themeColor="text1"/>
                <w:sz w:val="24"/>
                <w:szCs w:val="24"/>
                <w:lang w:val="lv-LV" w:eastAsia="lv-LV"/>
              </w:rPr>
              <w:t xml:space="preserve">šādu jomu iepirkumu caurskatāmību un </w:t>
            </w:r>
            <w:r w:rsidR="00D61EE3" w:rsidRPr="00B42BC1">
              <w:rPr>
                <w:rFonts w:ascii="Times New Roman" w:eastAsia="Times New Roman" w:hAnsi="Times New Roman"/>
                <w:color w:val="000000" w:themeColor="text1"/>
                <w:sz w:val="24"/>
                <w:szCs w:val="24"/>
                <w:lang w:val="lv-LV" w:eastAsia="lv-LV"/>
              </w:rPr>
              <w:t xml:space="preserve">tirgus atvērtību, kā arī racionālu pasūtītāja līdzekļu izmantošanu, likumprojektā tiek noteikts, ka atvieglotā iepirkuma procedūra būtu piemērojama jau no 42 000 </w:t>
            </w:r>
            <w:r w:rsidR="00D61EE3" w:rsidRPr="00B42BC1">
              <w:rPr>
                <w:rFonts w:ascii="Times New Roman" w:eastAsia="Times New Roman" w:hAnsi="Times New Roman"/>
                <w:i/>
                <w:color w:val="000000" w:themeColor="text1"/>
                <w:sz w:val="24"/>
                <w:szCs w:val="24"/>
                <w:lang w:val="lv-LV" w:eastAsia="lv-LV"/>
              </w:rPr>
              <w:t>euro</w:t>
            </w:r>
            <w:r w:rsidR="005A0BFA" w:rsidRPr="00B42BC1">
              <w:rPr>
                <w:rFonts w:ascii="Times New Roman" w:eastAsia="Times New Roman" w:hAnsi="Times New Roman"/>
                <w:i/>
                <w:color w:val="000000" w:themeColor="text1"/>
                <w:sz w:val="24"/>
                <w:szCs w:val="24"/>
                <w:lang w:val="lv-LV" w:eastAsia="lv-LV"/>
              </w:rPr>
              <w:t xml:space="preserve"> </w:t>
            </w:r>
            <w:r w:rsidR="005A0BFA" w:rsidRPr="00B42BC1">
              <w:rPr>
                <w:rFonts w:ascii="Times New Roman" w:eastAsia="Times New Roman" w:hAnsi="Times New Roman"/>
                <w:color w:val="000000" w:themeColor="text1"/>
                <w:sz w:val="24"/>
                <w:szCs w:val="24"/>
                <w:lang w:val="lv-LV" w:eastAsia="lv-LV"/>
              </w:rPr>
              <w:t>(zem 42 000</w:t>
            </w:r>
            <w:r w:rsidR="005A0BFA" w:rsidRPr="00B42BC1">
              <w:rPr>
                <w:rFonts w:ascii="Times New Roman" w:eastAsia="Times New Roman" w:hAnsi="Times New Roman"/>
                <w:i/>
                <w:color w:val="000000" w:themeColor="text1"/>
                <w:sz w:val="24"/>
                <w:szCs w:val="24"/>
                <w:lang w:val="lv-LV" w:eastAsia="lv-LV"/>
              </w:rPr>
              <w:t xml:space="preserve"> euro</w:t>
            </w:r>
            <w:r w:rsidR="005A0BFA" w:rsidRPr="00B42BC1">
              <w:rPr>
                <w:rFonts w:ascii="Times New Roman" w:eastAsia="Times New Roman" w:hAnsi="Times New Roman"/>
                <w:color w:val="000000" w:themeColor="text1"/>
                <w:sz w:val="24"/>
                <w:szCs w:val="24"/>
                <w:lang w:val="lv-LV" w:eastAsia="lv-LV"/>
              </w:rPr>
              <w:t xml:space="preserve"> iepirkums likumprojekta 2.pielikumā uzskaitītajiem pakalpojumiem nav jāpiemēro)</w:t>
            </w:r>
            <w:r w:rsidR="00D61EE3" w:rsidRPr="00B42BC1">
              <w:rPr>
                <w:rFonts w:ascii="Times New Roman" w:eastAsia="Times New Roman" w:hAnsi="Times New Roman"/>
                <w:color w:val="000000" w:themeColor="text1"/>
                <w:sz w:val="24"/>
                <w:szCs w:val="24"/>
                <w:lang w:val="lv-LV" w:eastAsia="lv-LV"/>
              </w:rPr>
              <w:t xml:space="preserve">. </w:t>
            </w:r>
            <w:r w:rsidR="00DB3361" w:rsidRPr="00B42BC1">
              <w:rPr>
                <w:rFonts w:ascii="Times New Roman" w:eastAsia="Times New Roman" w:hAnsi="Times New Roman"/>
                <w:color w:val="000000" w:themeColor="text1"/>
                <w:sz w:val="24"/>
                <w:szCs w:val="24"/>
                <w:lang w:val="lv-LV" w:eastAsia="lv-LV"/>
              </w:rPr>
              <w:t xml:space="preserve">Atvieglotā iepirkumu procedūra ir līdzīga kā jau </w:t>
            </w:r>
            <w:r w:rsidR="00441C9F" w:rsidRPr="00B42BC1">
              <w:rPr>
                <w:rFonts w:ascii="Times New Roman" w:eastAsia="Times New Roman" w:hAnsi="Times New Roman"/>
                <w:color w:val="000000" w:themeColor="text1"/>
                <w:sz w:val="24"/>
                <w:szCs w:val="24"/>
                <w:lang w:val="lv-LV" w:eastAsia="lv-LV"/>
              </w:rPr>
              <w:t>tā</w:t>
            </w:r>
            <w:r w:rsidR="00DB3361" w:rsidRPr="00B42BC1">
              <w:rPr>
                <w:rFonts w:ascii="Times New Roman" w:eastAsia="Times New Roman" w:hAnsi="Times New Roman"/>
                <w:color w:val="000000" w:themeColor="text1"/>
                <w:sz w:val="24"/>
                <w:szCs w:val="24"/>
                <w:lang w:val="lv-LV" w:eastAsia="lv-LV"/>
              </w:rPr>
              <w:t xml:space="preserve">, kas </w:t>
            </w:r>
            <w:r w:rsidR="00441C9F" w:rsidRPr="00B42BC1">
              <w:rPr>
                <w:rFonts w:ascii="Times New Roman" w:eastAsia="Times New Roman" w:hAnsi="Times New Roman"/>
                <w:color w:val="000000" w:themeColor="text1"/>
                <w:sz w:val="24"/>
                <w:szCs w:val="24"/>
                <w:lang w:val="lv-LV" w:eastAsia="lv-LV"/>
              </w:rPr>
              <w:t>tika</w:t>
            </w:r>
            <w:r w:rsidR="00DB3361" w:rsidRPr="00B42BC1">
              <w:rPr>
                <w:rFonts w:ascii="Times New Roman" w:eastAsia="Times New Roman" w:hAnsi="Times New Roman"/>
                <w:color w:val="000000" w:themeColor="text1"/>
                <w:sz w:val="24"/>
                <w:szCs w:val="24"/>
                <w:lang w:val="lv-LV" w:eastAsia="lv-LV"/>
              </w:rPr>
              <w:t xml:space="preserve"> piemērota Publisko iepirkumu likuma 2.pielikuma B daļas pakalpojumiem</w:t>
            </w:r>
            <w:r w:rsidR="00441C9F" w:rsidRPr="00B42BC1">
              <w:rPr>
                <w:rFonts w:ascii="Times New Roman" w:eastAsia="Times New Roman" w:hAnsi="Times New Roman"/>
                <w:color w:val="000000" w:themeColor="text1"/>
                <w:sz w:val="24"/>
                <w:szCs w:val="24"/>
                <w:lang w:val="lv-LV" w:eastAsia="lv-LV"/>
              </w:rPr>
              <w:t xml:space="preserve"> (šobrīd 2.pielikuma pakalpojumiem)</w:t>
            </w:r>
            <w:r w:rsidR="00DB3361" w:rsidRPr="00B42BC1">
              <w:rPr>
                <w:rFonts w:ascii="Times New Roman" w:eastAsia="Times New Roman" w:hAnsi="Times New Roman"/>
                <w:color w:val="000000" w:themeColor="text1"/>
                <w:sz w:val="24"/>
                <w:szCs w:val="24"/>
                <w:lang w:val="lv-LV" w:eastAsia="lv-LV"/>
              </w:rPr>
              <w:t xml:space="preserve">. </w:t>
            </w:r>
            <w:r w:rsidR="00DE0F56" w:rsidRPr="00B42BC1">
              <w:rPr>
                <w:rFonts w:ascii="Times New Roman" w:eastAsia="Times New Roman" w:hAnsi="Times New Roman"/>
                <w:color w:val="000000" w:themeColor="text1"/>
                <w:sz w:val="24"/>
                <w:szCs w:val="24"/>
                <w:lang w:val="lv-LV" w:eastAsia="lv-LV"/>
              </w:rPr>
              <w:t xml:space="preserve">Likumprojekts paredz arī </w:t>
            </w:r>
            <w:r w:rsidR="00025E50" w:rsidRPr="00B42BC1">
              <w:rPr>
                <w:rFonts w:ascii="Times New Roman" w:eastAsia="Times New Roman" w:hAnsi="Times New Roman"/>
                <w:color w:val="000000" w:themeColor="text1"/>
                <w:sz w:val="24"/>
                <w:szCs w:val="24"/>
                <w:lang w:val="lv-LV" w:eastAsia="lv-LV"/>
              </w:rPr>
              <w:t xml:space="preserve">izņēmumu no minētās kārtība, un nosaka, ka likumprojekta 2.pielikuma sadaļā “Veselības, sociālie un saistītie pakalpojumi” uzskaitītajiem CPV kodiem atvieglotā </w:t>
            </w:r>
            <w:r w:rsidR="00BD5CA9" w:rsidRPr="00B42BC1">
              <w:rPr>
                <w:rFonts w:ascii="Times New Roman" w:eastAsia="Times New Roman" w:hAnsi="Times New Roman"/>
                <w:color w:val="000000" w:themeColor="text1"/>
                <w:sz w:val="24"/>
                <w:szCs w:val="24"/>
                <w:lang w:val="lv-LV" w:eastAsia="lv-LV"/>
              </w:rPr>
              <w:t>iepirkuma</w:t>
            </w:r>
            <w:r w:rsidR="00025E50" w:rsidRPr="00B42BC1">
              <w:rPr>
                <w:rFonts w:ascii="Times New Roman" w:eastAsia="Times New Roman" w:hAnsi="Times New Roman"/>
                <w:color w:val="000000" w:themeColor="text1"/>
                <w:sz w:val="24"/>
                <w:szCs w:val="24"/>
                <w:lang w:val="lv-LV" w:eastAsia="lv-LV"/>
              </w:rPr>
              <w:t xml:space="preserve"> kārtība ir jāpiemēro tikai no 750 000 </w:t>
            </w:r>
            <w:r w:rsidR="00025E50" w:rsidRPr="00B42BC1">
              <w:rPr>
                <w:rFonts w:ascii="Times New Roman" w:eastAsia="Times New Roman" w:hAnsi="Times New Roman"/>
                <w:i/>
                <w:color w:val="000000" w:themeColor="text1"/>
                <w:sz w:val="24"/>
                <w:szCs w:val="24"/>
                <w:lang w:val="lv-LV" w:eastAsia="lv-LV"/>
              </w:rPr>
              <w:t>euro</w:t>
            </w:r>
            <w:r w:rsidR="00025E50" w:rsidRPr="00B42BC1">
              <w:rPr>
                <w:rFonts w:ascii="Times New Roman" w:eastAsia="Times New Roman" w:hAnsi="Times New Roman"/>
                <w:color w:val="000000" w:themeColor="text1"/>
                <w:sz w:val="24"/>
                <w:szCs w:val="24"/>
                <w:lang w:val="lv-LV" w:eastAsia="lv-LV"/>
              </w:rPr>
              <w:t xml:space="preserve">. </w:t>
            </w:r>
            <w:r w:rsidR="00BD5CA9" w:rsidRPr="00B42BC1">
              <w:rPr>
                <w:rFonts w:ascii="Times New Roman" w:eastAsia="Times New Roman" w:hAnsi="Times New Roman"/>
                <w:color w:val="000000" w:themeColor="text1"/>
                <w:sz w:val="24"/>
                <w:szCs w:val="24"/>
                <w:lang w:val="lv-LV" w:eastAsia="lv-LV"/>
              </w:rPr>
              <w:t>Šāds izņēmums ir iekļauts, jo veselības un sociālās jomas normatīvajos aktos daudziem no pakalpojumiem ir noteiktas obligāti piemērojamās izmaksu likmes</w:t>
            </w:r>
            <w:r w:rsidR="007C7F07" w:rsidRPr="00B42BC1">
              <w:rPr>
                <w:rFonts w:ascii="Times New Roman" w:eastAsia="Times New Roman" w:hAnsi="Times New Roman"/>
                <w:color w:val="000000" w:themeColor="text1"/>
                <w:sz w:val="24"/>
                <w:szCs w:val="24"/>
                <w:lang w:val="lv-LV" w:eastAsia="lv-LV"/>
              </w:rPr>
              <w:t xml:space="preserve"> (tātad piegādātāji nekonkurē ar cenu) un izpildes standarti (piegādātāji nekonkurē ar piedāvājuma apjomu un saturu)</w:t>
            </w:r>
            <w:r w:rsidR="00BD5CA9" w:rsidRPr="00B42BC1">
              <w:rPr>
                <w:rFonts w:ascii="Times New Roman" w:eastAsia="Times New Roman" w:hAnsi="Times New Roman"/>
                <w:color w:val="000000" w:themeColor="text1"/>
                <w:sz w:val="24"/>
                <w:szCs w:val="24"/>
                <w:lang w:val="lv-LV" w:eastAsia="lv-LV"/>
              </w:rPr>
              <w:t>, kā arī pakalpojumu sniedzēju bieži vien izvēlas tieši klients</w:t>
            </w:r>
            <w:r w:rsidR="007C7F07" w:rsidRPr="00B42BC1">
              <w:rPr>
                <w:rFonts w:ascii="Times New Roman" w:eastAsia="Times New Roman" w:hAnsi="Times New Roman"/>
                <w:color w:val="000000" w:themeColor="text1"/>
                <w:sz w:val="24"/>
                <w:szCs w:val="24"/>
                <w:lang w:val="lv-LV" w:eastAsia="lv-LV"/>
              </w:rPr>
              <w:t xml:space="preserve"> (izvērtējot attiecīgā pakalpojumu sniedzēja reputāciju, spēju sadarboties ar attiecīgo speciālistu (psiholoģiskie faktori))</w:t>
            </w:r>
            <w:r w:rsidR="00BD5CA9" w:rsidRPr="00B42BC1">
              <w:rPr>
                <w:rFonts w:ascii="Times New Roman" w:eastAsia="Times New Roman" w:hAnsi="Times New Roman"/>
                <w:color w:val="000000" w:themeColor="text1"/>
                <w:sz w:val="24"/>
                <w:szCs w:val="24"/>
                <w:lang w:val="lv-LV" w:eastAsia="lv-LV"/>
              </w:rPr>
              <w:t>, līdz ar to pasūtītājam ir jāierobežo klientu izvēle</w:t>
            </w:r>
            <w:r w:rsidR="007C7F07" w:rsidRPr="00B42BC1">
              <w:rPr>
                <w:rFonts w:ascii="Times New Roman" w:eastAsia="Times New Roman" w:hAnsi="Times New Roman"/>
                <w:color w:val="000000" w:themeColor="text1"/>
                <w:sz w:val="24"/>
                <w:szCs w:val="24"/>
                <w:lang w:val="lv-LV" w:eastAsia="lv-LV"/>
              </w:rPr>
              <w:t xml:space="preserve">. Tāpat </w:t>
            </w:r>
            <w:r w:rsidR="007C7F07" w:rsidRPr="00B42BC1">
              <w:rPr>
                <w:rFonts w:ascii="Times New Roman" w:hAnsi="Times New Roman"/>
                <w:color w:val="000000" w:themeColor="text1"/>
                <w:sz w:val="24"/>
                <w:szCs w:val="24"/>
                <w:lang w:val="lv-LV"/>
              </w:rPr>
              <w:t xml:space="preserve">sociālie pakalpojumi ir saistīti ar cilvēka pamatvajadzību nodrošināšanu un atbalsta sniegšanu personām krīžu un īpaši nelabvēlīgās situācijās, kad ir nepieciešams sniegt ātru un efektīvu palīdzību, līdz ar to ir nepieciešams noteikt paaugstinātu šo pakalpojumu publisko iepirkumu robežvērtību Direktīvas 2014/24/ES pieļautajā ietvarā, lai pasūtītājam būtu nepieciešamā rīcības brīvība.  </w:t>
            </w:r>
          </w:p>
          <w:p w14:paraId="529AD636" w14:textId="77777777" w:rsidR="008B6C22" w:rsidRPr="00B42BC1" w:rsidRDefault="008B6C22"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hAnsi="Times New Roman"/>
                <w:b/>
                <w:color w:val="000000" w:themeColor="text1"/>
                <w:sz w:val="24"/>
                <w:szCs w:val="24"/>
                <w:u w:val="single"/>
                <w:lang w:val="lv-LV"/>
              </w:rPr>
              <w:t>Direktīva 2014/24/ES precizē un papildina paredzamās līgumcenas noteikšanas kārtību</w:t>
            </w:r>
            <w:r w:rsidRPr="00B42BC1">
              <w:rPr>
                <w:rFonts w:ascii="Times New Roman" w:hAnsi="Times New Roman"/>
                <w:color w:val="000000" w:themeColor="text1"/>
                <w:sz w:val="24"/>
                <w:szCs w:val="24"/>
                <w:lang w:val="lv-LV"/>
              </w:rPr>
              <w:t xml:space="preserve">, ņemot vērā, ka tiek ieviestas arī jaunas procedūras. </w:t>
            </w:r>
            <w:r w:rsidR="003D7903" w:rsidRPr="00B42BC1">
              <w:rPr>
                <w:rFonts w:ascii="Times New Roman" w:hAnsi="Times New Roman"/>
                <w:color w:val="000000" w:themeColor="text1"/>
                <w:sz w:val="24"/>
                <w:szCs w:val="24"/>
                <w:lang w:val="lv-LV"/>
              </w:rPr>
              <w:t xml:space="preserve">Pasūtītājiem jāņem vērā, ka gadījumos, kad pasūtītājs sastāv no atsevišķām struktūrvienībām, tam ir paredzamā līgumcena jāaprēķina ņemot vērā visu atsevišķo struktūrvienību vajadzības, ja vien attiecīgajās struktūrvienības pašas neveic iepirkumus. </w:t>
            </w:r>
          </w:p>
          <w:p w14:paraId="1918B6BA" w14:textId="7A223A8B" w:rsidR="004E613B" w:rsidRPr="00B42BC1" w:rsidRDefault="004E613B" w:rsidP="004E613B">
            <w:pPr>
              <w:pStyle w:val="tv213"/>
              <w:shd w:val="clear" w:color="auto" w:fill="FFFFFF"/>
              <w:spacing w:before="0" w:beforeAutospacing="0" w:after="120" w:afterAutospacing="0"/>
              <w:jc w:val="both"/>
              <w:rPr>
                <w:color w:val="000000" w:themeColor="text1"/>
                <w:lang w:val="lv-LV" w:eastAsia="lv-LV"/>
              </w:rPr>
            </w:pPr>
            <w:r w:rsidRPr="00B42BC1">
              <w:rPr>
                <w:b/>
                <w:color w:val="000000" w:themeColor="text1"/>
                <w:u w:val="single"/>
                <w:lang w:val="lv-LV" w:eastAsia="lv-LV"/>
              </w:rPr>
              <w:t>Direktīva 2014/24/ES precizē uz piegādātājiem attiecināmās vispārīgās prasības</w:t>
            </w:r>
            <w:r w:rsidRPr="00B42BC1">
              <w:rPr>
                <w:color w:val="000000" w:themeColor="text1"/>
                <w:lang w:val="lv-LV" w:eastAsia="lv-LV"/>
              </w:rPr>
              <w:t xml:space="preserve"> un nosaka, ka pasūtītājs var prasīt, lai noteiktus īpaši svarīgus uzdevumus pildītu pretendents vai personu apvienības dalībnieks, ja tiek slēgts publisks būvdarbu vai pakalpojumu līgums vai ja publisks piegādes līgums ietver arī preces iebūvēšanu vai uzstādīšanu. </w:t>
            </w:r>
            <w:r w:rsidRPr="00B42BC1">
              <w:rPr>
                <w:color w:val="000000" w:themeColor="text1"/>
                <w:lang w:val="lv-LV" w:eastAsia="lv-LV"/>
              </w:rPr>
              <w:lastRenderedPageBreak/>
              <w:t>Šāds regulējums paredz iespēju pasūtītājam noteikt, ka būtiskus uzdevumus ir pienākums izpildīt pašam pretendentam, nevis nodot tālāk apakšuzņēmējiem vai personām</w:t>
            </w:r>
            <w:r w:rsidR="00E341F3" w:rsidRPr="00B42BC1">
              <w:rPr>
                <w:color w:val="000000" w:themeColor="text1"/>
                <w:lang w:val="lv-LV" w:eastAsia="lv-LV"/>
              </w:rPr>
              <w:t>,</w:t>
            </w:r>
            <w:r w:rsidRPr="00B42BC1">
              <w:rPr>
                <w:color w:val="000000" w:themeColor="text1"/>
                <w:lang w:val="lv-LV" w:eastAsia="lv-LV"/>
              </w:rPr>
              <w:t xml:space="preserve"> uz kuru pieredzi tas balstās. </w:t>
            </w:r>
            <w:r w:rsidR="00825192" w:rsidRPr="00B42BC1">
              <w:rPr>
                <w:color w:val="000000" w:themeColor="text1"/>
                <w:lang w:val="lv-LV" w:eastAsia="lv-LV"/>
              </w:rPr>
              <w:t xml:space="preserve">Regulējums ir piemērojams tikai tajos gadījumos, ja </w:t>
            </w:r>
            <w:r w:rsidR="009C19A7" w:rsidRPr="00B42BC1">
              <w:rPr>
                <w:color w:val="000000" w:themeColor="text1"/>
                <w:lang w:val="lv-LV" w:eastAsia="lv-LV"/>
              </w:rPr>
              <w:t xml:space="preserve">veicamie uzdevumi ir būtiski </w:t>
            </w:r>
            <w:r w:rsidR="00E341F3" w:rsidRPr="00B42BC1">
              <w:rPr>
                <w:color w:val="000000" w:themeColor="text1"/>
                <w:lang w:val="lv-LV" w:eastAsia="lv-LV"/>
              </w:rPr>
              <w:t xml:space="preserve">iepirkuma </w:t>
            </w:r>
            <w:r w:rsidR="009C19A7" w:rsidRPr="00B42BC1">
              <w:rPr>
                <w:color w:val="000000" w:themeColor="text1"/>
                <w:lang w:val="lv-LV" w:eastAsia="lv-LV"/>
              </w:rPr>
              <w:t xml:space="preserve">līguma izpildei un pasūtītājs tieši šo iemeslu pēc ir izvirzījis </w:t>
            </w:r>
            <w:r w:rsidR="00912900" w:rsidRPr="00B42BC1">
              <w:rPr>
                <w:color w:val="000000" w:themeColor="text1"/>
                <w:lang w:val="lv-LV" w:eastAsia="lv-LV"/>
              </w:rPr>
              <w:t xml:space="preserve">noteiktas kvalifikācijas prasības pretendentam. </w:t>
            </w:r>
          </w:p>
          <w:p w14:paraId="6426C0A1" w14:textId="6D7868F5" w:rsidR="00C2622F" w:rsidRPr="00B42BC1" w:rsidRDefault="00C2622F" w:rsidP="004E613B">
            <w:pPr>
              <w:pStyle w:val="tv213"/>
              <w:shd w:val="clear" w:color="auto" w:fill="FFFFFF"/>
              <w:spacing w:before="0" w:beforeAutospacing="0" w:after="120" w:afterAutospacing="0"/>
              <w:jc w:val="both"/>
              <w:rPr>
                <w:color w:val="000000" w:themeColor="text1"/>
                <w:lang w:val="lv-LV" w:eastAsia="lv-LV"/>
              </w:rPr>
            </w:pPr>
            <w:r w:rsidRPr="00B42BC1">
              <w:rPr>
                <w:b/>
                <w:color w:val="000000" w:themeColor="text1"/>
                <w:u w:val="single"/>
                <w:lang w:val="lv-LV" w:eastAsia="lv-LV"/>
              </w:rPr>
              <w:t>Paplašināts tiek centralizēto iepirkumu institūciju veikto iepirkumu regulējums</w:t>
            </w:r>
            <w:r w:rsidRPr="00B42BC1">
              <w:rPr>
                <w:color w:val="000000" w:themeColor="text1"/>
                <w:lang w:val="lv-LV" w:eastAsia="lv-LV"/>
              </w:rPr>
              <w:t xml:space="preserve">. Direktīva 2014/24/ES aicina plašāk izmantot centralizēto iepirkumu institūciju sniegtos pakalpojumus, līdz ar to paredz iespēju tām sniegt ne tikai iegādes pakalpojumu, bet arī palīgpakalpojumus, kas ir konsultācijas iepirkumu plānošanā un piemērošanā. </w:t>
            </w:r>
            <w:r w:rsidR="000352BD" w:rsidRPr="00B42BC1">
              <w:rPr>
                <w:color w:val="000000" w:themeColor="text1"/>
                <w:lang w:val="lv-LV" w:eastAsia="lv-LV"/>
              </w:rPr>
              <w:t xml:space="preserve">Likumprojektā nav uzlikts pienākums centralizēto iepirkumu institūcijām sniegt šādus palīgpakalpojumus, taču tās var to darīt savas kompetences robežās. </w:t>
            </w:r>
            <w:r w:rsidR="005A17D7" w:rsidRPr="00B42BC1">
              <w:rPr>
                <w:color w:val="000000" w:themeColor="text1"/>
                <w:lang w:val="lv-LV" w:eastAsia="lv-LV"/>
              </w:rPr>
              <w:t xml:space="preserve">Likumprojektā ir paredzēta līdzšinējā kārtība centralizēto iepirkuma institūciju pakalpojumu izmantošanai tiešām pārvaldes iestādēm un pašvaldībām un to iestādēm. </w:t>
            </w:r>
            <w:r w:rsidR="00E341F3" w:rsidRPr="00B42BC1">
              <w:rPr>
                <w:color w:val="000000" w:themeColor="text1"/>
                <w:lang w:val="lv-LV" w:eastAsia="lv-LV"/>
              </w:rPr>
              <w:t xml:space="preserve">Likumprojekts paredz arī pasūtītāju kopīgu veiktu iepirkumu regulējumu, kas līdz šim atsevišķi nebija ietverts Publisko iepirkumu likumā, bet praksē tika īstenots. </w:t>
            </w:r>
          </w:p>
          <w:p w14:paraId="3DB8D022" w14:textId="77777777" w:rsidR="00DB3361" w:rsidRPr="00B42BC1" w:rsidRDefault="00370E76"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w:t>
            </w:r>
            <w:r w:rsidR="0011641E" w:rsidRPr="00B42BC1">
              <w:rPr>
                <w:rFonts w:ascii="Times New Roman" w:eastAsia="Times New Roman" w:hAnsi="Times New Roman"/>
                <w:color w:val="000000" w:themeColor="text1"/>
                <w:sz w:val="24"/>
                <w:szCs w:val="24"/>
                <w:lang w:val="lv-LV" w:eastAsia="lv-LV"/>
              </w:rPr>
              <w:t xml:space="preserve">nosaka skaidru </w:t>
            </w:r>
            <w:r w:rsidR="0011641E" w:rsidRPr="00B42BC1">
              <w:rPr>
                <w:rFonts w:ascii="Times New Roman" w:eastAsia="Times New Roman" w:hAnsi="Times New Roman"/>
                <w:b/>
                <w:color w:val="000000" w:themeColor="text1"/>
                <w:sz w:val="24"/>
                <w:szCs w:val="24"/>
                <w:u w:val="single"/>
                <w:lang w:val="lv-LV" w:eastAsia="lv-LV"/>
              </w:rPr>
              <w:t>kārtību, kādā pasūtītāji var veikt apspriedes par iepirkuma priekšmetu ar piegādātājiem</w:t>
            </w:r>
            <w:r w:rsidR="0011641E" w:rsidRPr="00B42BC1">
              <w:rPr>
                <w:rFonts w:ascii="Times New Roman" w:eastAsia="Times New Roman" w:hAnsi="Times New Roman"/>
                <w:color w:val="000000" w:themeColor="text1"/>
                <w:sz w:val="24"/>
                <w:szCs w:val="24"/>
                <w:lang w:val="lv-LV" w:eastAsia="lv-LV"/>
              </w:rPr>
              <w:t xml:space="preserve"> un kādas ir sekas pretendentu iepriekšējai iesaistīšanai iepirkuma dokumentācijas izstrādē. </w:t>
            </w:r>
          </w:p>
          <w:p w14:paraId="7615748D" w14:textId="77777777" w:rsidR="00D94E10" w:rsidRPr="00B42BC1" w:rsidRDefault="00D94E10"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Likumprojektā ir definēts zaļais publiskais iepirkums un paplašināta tā piemērošanas joma</w:t>
            </w:r>
            <w:r w:rsidRPr="00B42BC1">
              <w:rPr>
                <w:rFonts w:ascii="Times New Roman" w:eastAsia="Times New Roman" w:hAnsi="Times New Roman"/>
                <w:color w:val="000000" w:themeColor="text1"/>
                <w:sz w:val="24"/>
                <w:szCs w:val="24"/>
                <w:lang w:val="lv-LV" w:eastAsia="lv-LV"/>
              </w:rPr>
              <w:t xml:space="preserve">. Likumprojektā ir dots deleģējums izstrādāt Ministru kabineta noteikumus zaļā publiskā iepirkuma piemērošanai. </w:t>
            </w:r>
          </w:p>
          <w:p w14:paraId="30253B03" w14:textId="77777777" w:rsidR="00C15AF6" w:rsidRPr="00B42BC1" w:rsidRDefault="00C15AF6" w:rsidP="00C15AF6">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Jau šobrīd spēkā ir tiesiskais regulējums, kas valsts un pašvaldību iestādēm uzliek par pienākumu piemērot zaļā publiskā iepirkuma principus un prasības pārtikas produktu piegāžu un ēdināšanas pakalpojumu iepirkumos, lai veicinātu paaugstinātas kvalitātes vietējo pārtikas produktu īpatsvaru publiskajos iepirkumos. </w:t>
            </w:r>
          </w:p>
          <w:p w14:paraId="1F55AA40" w14:textId="1F711BD2" w:rsidR="00C15AF6" w:rsidRPr="00B42BC1" w:rsidRDefault="00C15AF6" w:rsidP="00C15AF6">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Atbilstoši Publiskā iepirkuma likumā noteiktajam deleģējumam tika izstrādāti un apstiprināti Ministru kabineta 2014.gada 28.oktobra noteikumi Nr.673 “Noteikumi par vides kritēriju piemērošanu un piedāvājuma izvēles kritēriju noteikšanu pārtikas produktu piegādes un ēdināšanas pakalpojumu iepirkumiem”, kuri ir piemērojami pārtikas produktu piegādes un ēdināšanas pakalpojumu iepirkumiem, kas tiek veikti, piemērojot Publisko iepirkumu likuma 8.panta pirmajā daļā noteiktās iepirkuma procedūras, 8.panta septītajā daļā paredzēto kārtību līgumu slēgšanai par Publisko iepirkumu likuma 2.pielikuma minētajiem pakalpojumiem, kā arī pārtikas produktu piegādes līgumiem, kas slēgti, pamatojoties uz Publisko iepirkumu likuma 8.</w:t>
            </w:r>
            <w:r w:rsidRPr="00B42BC1">
              <w:rPr>
                <w:rFonts w:ascii="Times New Roman" w:eastAsia="Times New Roman" w:hAnsi="Times New Roman"/>
                <w:color w:val="000000" w:themeColor="text1"/>
                <w:sz w:val="24"/>
                <w:szCs w:val="24"/>
                <w:vertAlign w:val="superscript"/>
                <w:lang w:val="lv-LV" w:eastAsia="lv-LV"/>
              </w:rPr>
              <w:t>2</w:t>
            </w:r>
            <w:r w:rsidRPr="00B42BC1">
              <w:rPr>
                <w:rFonts w:ascii="Times New Roman" w:eastAsia="Times New Roman" w:hAnsi="Times New Roman"/>
                <w:color w:val="000000" w:themeColor="text1"/>
                <w:sz w:val="24"/>
                <w:szCs w:val="24"/>
                <w:lang w:val="lv-LV" w:eastAsia="lv-LV"/>
              </w:rPr>
              <w:t xml:space="preserve"> panta </w:t>
            </w:r>
            <w:r w:rsidRPr="00B42BC1">
              <w:rPr>
                <w:rFonts w:ascii="Times New Roman" w:eastAsia="Times New Roman" w:hAnsi="Times New Roman"/>
                <w:color w:val="000000" w:themeColor="text1"/>
                <w:sz w:val="24"/>
                <w:szCs w:val="24"/>
                <w:lang w:val="lv-LV" w:eastAsia="lv-LV"/>
              </w:rPr>
              <w:lastRenderedPageBreak/>
              <w:t>piecpadsmito daļu. Jāuzsver, ka pasūtītājs pārtikas produktu piegādes līgumiem ir tiesīgs nepiemērot 8.</w:t>
            </w:r>
            <w:r w:rsidRPr="00B42BC1">
              <w:rPr>
                <w:rFonts w:ascii="Times New Roman" w:eastAsia="Times New Roman" w:hAnsi="Times New Roman"/>
                <w:color w:val="000000" w:themeColor="text1"/>
                <w:sz w:val="24"/>
                <w:szCs w:val="24"/>
                <w:vertAlign w:val="superscript"/>
                <w:lang w:val="lv-LV" w:eastAsia="lv-LV"/>
              </w:rPr>
              <w:t>2</w:t>
            </w:r>
            <w:r w:rsidRPr="00B42BC1">
              <w:rPr>
                <w:rFonts w:ascii="Times New Roman" w:eastAsia="Times New Roman" w:hAnsi="Times New Roman"/>
                <w:color w:val="000000" w:themeColor="text1"/>
                <w:sz w:val="24"/>
                <w:szCs w:val="24"/>
                <w:lang w:val="lv-LV" w:eastAsia="lv-LV"/>
              </w:rPr>
              <w:t xml:space="preserve"> panta noteikumus, ja tiek ievērotas zaļā publiskā iepirkuma prasības.</w:t>
            </w:r>
          </w:p>
          <w:p w14:paraId="347109A8" w14:textId="77777777" w:rsidR="00C15AF6" w:rsidRPr="00B42BC1" w:rsidRDefault="00C15AF6" w:rsidP="00C15AF6">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Neskatoties uz to, ka pasūtītāji iekļauj zaļā iepirkuma prasības gan tehnisko specifikāciju prasībās, gan vērtēšanas kritērijos un ka piegādātāji apliecina gatavību piegādāt zaļā publiskā iepirkuma prasībām atbilstošus produktus, līdzšinējā pieredze zaļo publisko iepirkumu jomā pārtikas piegādes un ēdināšanas   pakalpojumos, kas uz doto brīdi ir vienīgā joma, kurā zaļā publiskā iepirkuma principi ir ieviesti ar Ministru kabineta noteikumiem, diemžēl arvien biežāk rāda, ka piegādātāji ne vienmēr godprātīgi pilda iepirkuma līgumā noteiktās saistības un valsts un pašvaldību iestādēm iepirkuma līgumu izpildes laikā paaugstinātas kvalitātes pārtikas produktu (piemēram, produktu, kas atbilst bioloģiskās lauksaimniecības vai nacionālās pārtikas kvalitātes shēmas vai tās produktu kvalitātes rādītāju, vai lauksaimniecības produktu integrētās audzēšanas prasībām) vietā piegādā lētākus importa produktus. </w:t>
            </w:r>
          </w:p>
          <w:p w14:paraId="6F8C328B" w14:textId="77777777" w:rsidR="00C15AF6" w:rsidRPr="00B42BC1" w:rsidRDefault="00C15AF6" w:rsidP="00C15AF6">
            <w:pPr>
              <w:pStyle w:val="Heading3"/>
              <w:spacing w:before="0" w:after="120" w:line="240" w:lineRule="auto"/>
              <w:jc w:val="both"/>
              <w:rPr>
                <w:rFonts w:ascii="Times New Roman" w:eastAsia="Times New Roman" w:hAnsi="Times New Roman"/>
                <w:color w:val="000000" w:themeColor="text1"/>
                <w:lang w:val="lv-LV"/>
              </w:rPr>
            </w:pPr>
            <w:r w:rsidRPr="00B42BC1">
              <w:rPr>
                <w:rFonts w:ascii="Times New Roman" w:eastAsia="Times New Roman" w:hAnsi="Times New Roman"/>
                <w:color w:val="000000" w:themeColor="text1"/>
                <w:lang w:val="lv-LV" w:eastAsia="lv-LV"/>
              </w:rPr>
              <w:t>Ņemot vērā to, ka pašreiz noslēgto iepirkumu līgumu kontrole un uzraudzība ir atstāta pasūtītāja ziņā, taču praksē pasūtītājam bieži vien nav ne nepieciešamo zināšanu, ne arī kapacitātes šādu funkciju īstenošanai, likumprojekta 19.panta otrajā daļā ir dots deleģējums Ministru kabinetam noteikt arī kontroles kārtību zaļā publiskā iepirkuma līgumā noteikto prasību izpildei, tādējādi ļaujot kontrolējošām iestādēm (pārtikas un ēdināšanas jomā – Pārtikas un veterinārais dienests (turpmāk - PVD)) izlases kārtībā veikt iepirkuma līgumu nosacījumu pārbaudes, samazinot risku, ka noslēgto iepirkuma līgumu izpildes laikā tiek piegādāti neatbilstoši produkti un neefektīvi izlietoti valsts budžeta līdzekļi. Ir plānots, ka p</w:t>
            </w:r>
            <w:r w:rsidRPr="00B42BC1">
              <w:rPr>
                <w:rFonts w:ascii="Times New Roman" w:hAnsi="Times New Roman"/>
                <w:color w:val="000000" w:themeColor="text1"/>
                <w:lang w:val="lv-LV"/>
              </w:rPr>
              <w:t xml:space="preserve">ārbaudes norises laikā PVD veiks iepirkuma līguma nosacījumu izpildes pārbaudi attiecībā uz pārtikas produktu kvalitātes atbilstību zaļā iepirkuma kritērijiem ēdināšanas uzņēmumos. Nepieciešamības gadījumā PVD veiks padziļinātu pārbaudi pie produkta piegādātāja vai ražotāja, veicot padziļinātu izsekojamības pārbaudi noteiktam laika periodam nepieciešamajam produktu skaitam. </w:t>
            </w:r>
            <w:r w:rsidRPr="00B42BC1">
              <w:rPr>
                <w:rFonts w:ascii="Times New Roman" w:eastAsia="Times New Roman" w:hAnsi="Times New Roman"/>
                <w:color w:val="000000" w:themeColor="text1"/>
                <w:lang w:val="lv-LV" w:eastAsia="lv-LV"/>
              </w:rPr>
              <w:t xml:space="preserve">Līdz ar to </w:t>
            </w:r>
            <w:r w:rsidRPr="00B42BC1">
              <w:rPr>
                <w:rFonts w:ascii="Times New Roman" w:eastAsia="Times New Roman" w:hAnsi="Times New Roman"/>
                <w:bCs/>
                <w:color w:val="000000" w:themeColor="text1"/>
                <w:lang w:val="lv-LV" w:eastAsia="lv-LV"/>
              </w:rPr>
              <w:t xml:space="preserve">PVD papildus pārbaužu nodrošināšanai 2017.gadā un turpmāk ik gadu būtu nepieciešams paredzēt un piešķirt papildus finansējumu. Finansējuma piešķiršanas un </w:t>
            </w:r>
            <w:r w:rsidRPr="00B42BC1">
              <w:rPr>
                <w:rFonts w:ascii="Times New Roman" w:hAnsi="Times New Roman"/>
                <w:color w:val="000000" w:themeColor="text1"/>
                <w:lang w:val="lv-LV"/>
              </w:rPr>
              <w:t xml:space="preserve">PVD papildus funkciju zaļo publisko iepirkumu līgumu uzraudzības jomā </w:t>
            </w:r>
            <w:r w:rsidR="00BB240E" w:rsidRPr="00B42BC1">
              <w:rPr>
                <w:rFonts w:ascii="Times New Roman" w:hAnsi="Times New Roman"/>
                <w:color w:val="000000" w:themeColor="text1"/>
                <w:lang w:val="lv-LV"/>
              </w:rPr>
              <w:t>ieviešanas jautājums tiks risināts izstrādājot Ministru kabineta noteikumos zaļo publisko iepirkumu īstenošanai.</w:t>
            </w:r>
          </w:p>
          <w:p w14:paraId="707BE765" w14:textId="77777777" w:rsidR="008C701B" w:rsidRPr="00B42BC1" w:rsidRDefault="008C701B"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nebūtiski </w:t>
            </w:r>
            <w:r w:rsidRPr="00B42BC1">
              <w:rPr>
                <w:rFonts w:ascii="Times New Roman" w:eastAsia="Times New Roman" w:hAnsi="Times New Roman"/>
                <w:b/>
                <w:color w:val="000000" w:themeColor="text1"/>
                <w:sz w:val="24"/>
                <w:szCs w:val="24"/>
                <w:u w:val="single"/>
                <w:lang w:val="lv-LV" w:eastAsia="lv-LV"/>
              </w:rPr>
              <w:t>precizē tehnisko specifikāciju saturu un detalizētāk nosaka kārtību, kādā pasūtītājs var prasīt īpašu marķējumu</w:t>
            </w:r>
            <w:r w:rsidRPr="00B42BC1">
              <w:rPr>
                <w:rFonts w:ascii="Times New Roman" w:eastAsia="Times New Roman" w:hAnsi="Times New Roman"/>
                <w:color w:val="000000" w:themeColor="text1"/>
                <w:sz w:val="24"/>
                <w:szCs w:val="24"/>
                <w:lang w:val="lv-LV" w:eastAsia="lv-LV"/>
              </w:rPr>
              <w:t xml:space="preserve">, ja tas plāno iegādāties būvdarbus, preces vai pakalpojumus ar noteiktām vides, sociālajām vai citām īpašām prasībām. Tāpat detalizētāka kārtība tiek noteikta, kādā pasūtītājs var prasīt piegādātājiem iesniegt testa ziņojumus vai sertifikātus, lai </w:t>
            </w:r>
            <w:r w:rsidRPr="00B42BC1">
              <w:rPr>
                <w:rFonts w:ascii="Times New Roman" w:eastAsia="Times New Roman" w:hAnsi="Times New Roman"/>
                <w:color w:val="000000" w:themeColor="text1"/>
                <w:sz w:val="24"/>
                <w:szCs w:val="24"/>
                <w:lang w:val="lv-LV" w:eastAsia="lv-LV"/>
              </w:rPr>
              <w:lastRenderedPageBreak/>
              <w:t>pierādītu atbilstību tehniskajā specifikācijā noteiktajām prasībām vai kritērijiem, piedāvājumu vērtēšanas kritērijiem vai iepirkuma līguma izpildes noteikumiem.</w:t>
            </w:r>
          </w:p>
          <w:p w14:paraId="0B0258FD" w14:textId="77777777" w:rsidR="0013023A" w:rsidRPr="00B42BC1" w:rsidRDefault="008C701B"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Likumprojektā tiek </w:t>
            </w:r>
            <w:r w:rsidRPr="00B42BC1">
              <w:rPr>
                <w:rFonts w:ascii="Times New Roman" w:eastAsia="Times New Roman" w:hAnsi="Times New Roman"/>
                <w:b/>
                <w:color w:val="000000" w:themeColor="text1"/>
                <w:sz w:val="24"/>
                <w:szCs w:val="24"/>
                <w:u w:val="single"/>
                <w:lang w:val="lv-LV" w:eastAsia="lv-LV"/>
              </w:rPr>
              <w:t>papildināts iepirku</w:t>
            </w:r>
            <w:r w:rsidR="000E7C35" w:rsidRPr="00B42BC1">
              <w:rPr>
                <w:rFonts w:ascii="Times New Roman" w:eastAsia="Times New Roman" w:hAnsi="Times New Roman"/>
                <w:b/>
                <w:color w:val="000000" w:themeColor="text1"/>
                <w:sz w:val="24"/>
                <w:szCs w:val="24"/>
                <w:u w:val="single"/>
                <w:lang w:val="lv-LV" w:eastAsia="lv-LV"/>
              </w:rPr>
              <w:t>ma</w:t>
            </w:r>
            <w:r w:rsidRPr="00B42BC1">
              <w:rPr>
                <w:rFonts w:ascii="Times New Roman" w:eastAsia="Times New Roman" w:hAnsi="Times New Roman"/>
                <w:b/>
                <w:color w:val="000000" w:themeColor="text1"/>
                <w:sz w:val="24"/>
                <w:szCs w:val="24"/>
                <w:u w:val="single"/>
                <w:lang w:val="lv-LV" w:eastAsia="lv-LV"/>
              </w:rPr>
              <w:t xml:space="preserve"> komisij</w:t>
            </w:r>
            <w:r w:rsidR="000E7C35" w:rsidRPr="00B42BC1">
              <w:rPr>
                <w:rFonts w:ascii="Times New Roman" w:eastAsia="Times New Roman" w:hAnsi="Times New Roman"/>
                <w:b/>
                <w:color w:val="000000" w:themeColor="text1"/>
                <w:sz w:val="24"/>
                <w:szCs w:val="24"/>
                <w:u w:val="single"/>
                <w:lang w:val="lv-LV" w:eastAsia="lv-LV"/>
              </w:rPr>
              <w:t>as</w:t>
            </w:r>
            <w:r w:rsidRPr="00B42BC1">
              <w:rPr>
                <w:rFonts w:ascii="Times New Roman" w:eastAsia="Times New Roman" w:hAnsi="Times New Roman"/>
                <w:b/>
                <w:color w:val="000000" w:themeColor="text1"/>
                <w:sz w:val="24"/>
                <w:szCs w:val="24"/>
                <w:u w:val="single"/>
                <w:lang w:val="lv-LV" w:eastAsia="lv-LV"/>
              </w:rPr>
              <w:t xml:space="preserve"> darbības regulējums</w:t>
            </w:r>
            <w:r w:rsidRPr="00B42BC1">
              <w:rPr>
                <w:rFonts w:ascii="Times New Roman" w:eastAsia="Times New Roman" w:hAnsi="Times New Roman"/>
                <w:color w:val="000000" w:themeColor="text1"/>
                <w:sz w:val="24"/>
                <w:szCs w:val="24"/>
                <w:lang w:val="lv-LV" w:eastAsia="lv-LV"/>
              </w:rPr>
              <w:t xml:space="preserve">, nosakot, ka iepirkuma komisijā iekļauj personas, kurām nav piemērots administratīvais sods par pārkāpumiem publisko iepirkumu un publiskās un privātās partnerības jomā – </w:t>
            </w:r>
            <w:r w:rsidR="003D2CC2" w:rsidRPr="00B42BC1">
              <w:rPr>
                <w:rFonts w:ascii="Times New Roman" w:eastAsia="Times New Roman" w:hAnsi="Times New Roman"/>
                <w:color w:val="000000" w:themeColor="text1"/>
                <w:sz w:val="24"/>
                <w:szCs w:val="24"/>
                <w:lang w:val="lv-LV" w:eastAsia="lv-LV"/>
              </w:rPr>
              <w:t>aizliegums</w:t>
            </w:r>
            <w:r w:rsidRPr="00B42BC1">
              <w:rPr>
                <w:rFonts w:ascii="Times New Roman" w:eastAsia="Times New Roman" w:hAnsi="Times New Roman"/>
                <w:color w:val="000000" w:themeColor="text1"/>
                <w:sz w:val="24"/>
                <w:szCs w:val="24"/>
                <w:lang w:val="lv-LV" w:eastAsia="lv-LV"/>
              </w:rPr>
              <w:t xml:space="preserve"> ieņemt </w:t>
            </w:r>
            <w:r w:rsidR="00A87C4A" w:rsidRPr="00B42BC1">
              <w:rPr>
                <w:rFonts w:ascii="Times New Roman" w:eastAsia="Times New Roman" w:hAnsi="Times New Roman"/>
                <w:color w:val="000000" w:themeColor="text1"/>
                <w:sz w:val="24"/>
                <w:szCs w:val="24"/>
                <w:lang w:val="lv-LV" w:eastAsia="lv-LV"/>
              </w:rPr>
              <w:t xml:space="preserve">tādus </w:t>
            </w:r>
            <w:r w:rsidRPr="00B42BC1">
              <w:rPr>
                <w:rFonts w:ascii="Times New Roman" w:eastAsia="Times New Roman" w:hAnsi="Times New Roman"/>
                <w:color w:val="000000" w:themeColor="text1"/>
                <w:sz w:val="24"/>
                <w:szCs w:val="24"/>
                <w:lang w:val="lv-LV" w:eastAsia="lv-LV"/>
              </w:rPr>
              <w:t>valsts amatpersonas amatus</w:t>
            </w:r>
            <w:r w:rsidR="00A87C4A" w:rsidRPr="00B42BC1">
              <w:rPr>
                <w:rFonts w:ascii="Times New Roman" w:eastAsia="Times New Roman" w:hAnsi="Times New Roman"/>
                <w:color w:val="000000" w:themeColor="text1"/>
                <w:sz w:val="24"/>
                <w:szCs w:val="24"/>
                <w:lang w:val="lv-LV" w:eastAsia="lv-LV"/>
              </w:rPr>
              <w:t>,</w:t>
            </w:r>
            <w:r w:rsidR="00A87C4A" w:rsidRPr="00B42BC1">
              <w:rPr>
                <w:rFonts w:ascii="Times New Roman" w:hAnsi="Times New Roman"/>
                <w:color w:val="000000" w:themeColor="text1"/>
                <w:sz w:val="24"/>
                <w:szCs w:val="24"/>
                <w:lang w:val="lv-LV"/>
              </w:rPr>
              <w:t xml:space="preserve"> kuru pienākumos ietilpst lēmumu pieņemšana publisko iepirkumu un publiskās un privātās partnerības jomā vai iepirkuma līgumu, vispārīgo vienošanos, partnerības iepirkuma līgumu vai koncesijas līgumu noslēgšana,</w:t>
            </w:r>
            <w:r w:rsidRPr="00B42BC1">
              <w:rPr>
                <w:rFonts w:ascii="Times New Roman" w:eastAsia="Times New Roman" w:hAnsi="Times New Roman"/>
                <w:color w:val="000000" w:themeColor="text1"/>
                <w:sz w:val="24"/>
                <w:szCs w:val="24"/>
                <w:lang w:val="lv-LV" w:eastAsia="lv-LV"/>
              </w:rPr>
              <w:t xml:space="preserve"> – vai šā soda izpilde ir beigusies</w:t>
            </w:r>
            <w:r w:rsidR="0051422C" w:rsidRPr="00B42BC1">
              <w:rPr>
                <w:rFonts w:ascii="Times New Roman" w:eastAsia="Times New Roman" w:hAnsi="Times New Roman"/>
                <w:color w:val="000000" w:themeColor="text1"/>
                <w:sz w:val="24"/>
                <w:szCs w:val="24"/>
                <w:lang w:val="lv-LV" w:eastAsia="lv-LV"/>
              </w:rPr>
              <w:t>. Lai pasūtītājs varētu pārliecinātie</w:t>
            </w:r>
            <w:r w:rsidR="003D2CC2" w:rsidRPr="00B42BC1">
              <w:rPr>
                <w:rFonts w:ascii="Times New Roman" w:eastAsia="Times New Roman" w:hAnsi="Times New Roman"/>
                <w:color w:val="000000" w:themeColor="text1"/>
                <w:sz w:val="24"/>
                <w:szCs w:val="24"/>
                <w:lang w:val="lv-LV" w:eastAsia="lv-LV"/>
              </w:rPr>
              <w:t>s</w:t>
            </w:r>
            <w:r w:rsidR="0051422C" w:rsidRPr="00B42BC1">
              <w:rPr>
                <w:rFonts w:ascii="Times New Roman" w:eastAsia="Times New Roman" w:hAnsi="Times New Roman"/>
                <w:color w:val="000000" w:themeColor="text1"/>
                <w:sz w:val="24"/>
                <w:szCs w:val="24"/>
                <w:lang w:val="lv-LV" w:eastAsia="lv-LV"/>
              </w:rPr>
              <w:t xml:space="preserve"> par to, vai iepirkuma komisijā iekļaujamā persona nav sodīta, tam tiks nodrošināta informācija par sodītajām personām (tikai tām, kurām piemērots sods </w:t>
            </w:r>
            <w:r w:rsidR="003D2CC2" w:rsidRPr="00B42BC1">
              <w:rPr>
                <w:rFonts w:ascii="Times New Roman" w:eastAsia="Times New Roman" w:hAnsi="Times New Roman"/>
                <w:color w:val="000000" w:themeColor="text1"/>
                <w:sz w:val="24"/>
                <w:szCs w:val="24"/>
                <w:lang w:val="lv-LV" w:eastAsia="lv-LV"/>
              </w:rPr>
              <w:t>–</w:t>
            </w:r>
            <w:r w:rsidR="0051422C" w:rsidRPr="00B42BC1">
              <w:rPr>
                <w:rFonts w:ascii="Times New Roman" w:eastAsia="Times New Roman" w:hAnsi="Times New Roman"/>
                <w:color w:val="000000" w:themeColor="text1"/>
                <w:sz w:val="24"/>
                <w:szCs w:val="24"/>
                <w:lang w:val="lv-LV" w:eastAsia="lv-LV"/>
              </w:rPr>
              <w:t xml:space="preserve"> </w:t>
            </w:r>
            <w:r w:rsidR="003D2CC2" w:rsidRPr="00B42BC1">
              <w:rPr>
                <w:rFonts w:ascii="Times New Roman" w:eastAsia="Times New Roman" w:hAnsi="Times New Roman"/>
                <w:color w:val="000000" w:themeColor="text1"/>
                <w:sz w:val="24"/>
                <w:szCs w:val="24"/>
                <w:lang w:val="lv-LV" w:eastAsia="lv-LV"/>
              </w:rPr>
              <w:t>aizliegums</w:t>
            </w:r>
            <w:r w:rsidR="0051422C" w:rsidRPr="00B42BC1">
              <w:rPr>
                <w:rFonts w:ascii="Times New Roman" w:eastAsia="Times New Roman" w:hAnsi="Times New Roman"/>
                <w:color w:val="000000" w:themeColor="text1"/>
                <w:sz w:val="24"/>
                <w:szCs w:val="24"/>
                <w:lang w:val="lv-LV" w:eastAsia="lv-LV"/>
              </w:rPr>
              <w:t xml:space="preserve"> ieņemt </w:t>
            </w:r>
            <w:r w:rsidR="00A87C4A" w:rsidRPr="00B42BC1">
              <w:rPr>
                <w:rFonts w:ascii="Times New Roman" w:eastAsia="Times New Roman" w:hAnsi="Times New Roman"/>
                <w:color w:val="000000" w:themeColor="text1"/>
                <w:sz w:val="24"/>
                <w:szCs w:val="24"/>
                <w:lang w:val="lv-LV" w:eastAsia="lv-LV"/>
              </w:rPr>
              <w:t xml:space="preserve">attiecīgos </w:t>
            </w:r>
            <w:r w:rsidR="0051422C" w:rsidRPr="00B42BC1">
              <w:rPr>
                <w:rFonts w:ascii="Times New Roman" w:eastAsia="Times New Roman" w:hAnsi="Times New Roman"/>
                <w:color w:val="000000" w:themeColor="text1"/>
                <w:sz w:val="24"/>
                <w:szCs w:val="24"/>
                <w:lang w:val="lv-LV" w:eastAsia="lv-LV"/>
              </w:rPr>
              <w:t>valsts amatpersonas amatus</w:t>
            </w:r>
            <w:r w:rsidR="006E69E3" w:rsidRPr="00B42BC1">
              <w:rPr>
                <w:rFonts w:ascii="Times New Roman" w:eastAsia="Times New Roman" w:hAnsi="Times New Roman"/>
                <w:color w:val="000000" w:themeColor="text1"/>
                <w:sz w:val="24"/>
                <w:szCs w:val="24"/>
                <w:lang w:val="lv-LV" w:eastAsia="lv-LV"/>
              </w:rPr>
              <w:t>) Iepirkumu uzraudzības biroja P</w:t>
            </w:r>
            <w:r w:rsidR="0051422C" w:rsidRPr="00B42BC1">
              <w:rPr>
                <w:rFonts w:ascii="Times New Roman" w:eastAsia="Times New Roman" w:hAnsi="Times New Roman"/>
                <w:color w:val="000000" w:themeColor="text1"/>
                <w:sz w:val="24"/>
                <w:szCs w:val="24"/>
                <w:lang w:val="lv-LV" w:eastAsia="lv-LV"/>
              </w:rPr>
              <w:t>ublikāciju vadības sistēmā.</w:t>
            </w:r>
            <w:r w:rsidR="000E7C35" w:rsidRPr="00B42BC1">
              <w:rPr>
                <w:rFonts w:ascii="Times New Roman" w:eastAsia="Times New Roman" w:hAnsi="Times New Roman"/>
                <w:color w:val="000000" w:themeColor="text1"/>
                <w:sz w:val="24"/>
                <w:szCs w:val="24"/>
                <w:lang w:val="lv-LV" w:eastAsia="lv-LV"/>
              </w:rPr>
              <w:t xml:space="preserve"> </w:t>
            </w:r>
            <w:r w:rsidR="0073518A" w:rsidRPr="00B42BC1">
              <w:rPr>
                <w:rFonts w:ascii="Times New Roman" w:eastAsia="Times New Roman" w:hAnsi="Times New Roman"/>
                <w:color w:val="000000" w:themeColor="text1"/>
                <w:sz w:val="24"/>
                <w:szCs w:val="24"/>
                <w:lang w:val="lv-LV" w:eastAsia="lv-LV"/>
              </w:rPr>
              <w:t xml:space="preserve"> Tiek noteikts, ka vismaz pieci iepirkuma komisijas locekļi ir nepieciešami, ja paredzamā līgumcena ir </w:t>
            </w:r>
            <w:r w:rsidR="003D2CC2" w:rsidRPr="00B42BC1">
              <w:rPr>
                <w:rFonts w:ascii="Times New Roman" w:eastAsia="Times New Roman" w:hAnsi="Times New Roman"/>
                <w:color w:val="000000" w:themeColor="text1"/>
                <w:sz w:val="24"/>
                <w:szCs w:val="24"/>
                <w:lang w:val="lv-LV" w:eastAsia="lv-LV"/>
              </w:rPr>
              <w:t xml:space="preserve">vismaz </w:t>
            </w:r>
            <w:r w:rsidR="0073518A" w:rsidRPr="00B42BC1">
              <w:rPr>
                <w:rFonts w:ascii="Times New Roman" w:eastAsia="Times New Roman" w:hAnsi="Times New Roman"/>
                <w:color w:val="000000" w:themeColor="text1"/>
                <w:sz w:val="24"/>
                <w:szCs w:val="24"/>
                <w:lang w:val="lv-LV" w:eastAsia="lv-LV"/>
              </w:rPr>
              <w:t xml:space="preserve">1 000 000 </w:t>
            </w:r>
            <w:r w:rsidR="0073518A" w:rsidRPr="00B42BC1">
              <w:rPr>
                <w:rFonts w:ascii="Times New Roman" w:eastAsia="Times New Roman" w:hAnsi="Times New Roman"/>
                <w:i/>
                <w:color w:val="000000" w:themeColor="text1"/>
                <w:sz w:val="24"/>
                <w:szCs w:val="24"/>
                <w:lang w:val="lv-LV" w:eastAsia="lv-LV"/>
              </w:rPr>
              <w:t>euro</w:t>
            </w:r>
            <w:r w:rsidR="0073518A" w:rsidRPr="00B42BC1">
              <w:rPr>
                <w:rFonts w:ascii="Times New Roman" w:eastAsia="Times New Roman" w:hAnsi="Times New Roman"/>
                <w:color w:val="000000" w:themeColor="text1"/>
                <w:sz w:val="24"/>
                <w:szCs w:val="24"/>
                <w:lang w:val="lv-LV" w:eastAsia="lv-LV"/>
              </w:rPr>
              <w:t xml:space="preserve">, nevis kā līdz šim – no 711 000 </w:t>
            </w:r>
            <w:r w:rsidR="0073518A" w:rsidRPr="00B42BC1">
              <w:rPr>
                <w:rFonts w:ascii="Times New Roman" w:eastAsia="Times New Roman" w:hAnsi="Times New Roman"/>
                <w:i/>
                <w:color w:val="000000" w:themeColor="text1"/>
                <w:sz w:val="24"/>
                <w:szCs w:val="24"/>
                <w:lang w:val="lv-LV" w:eastAsia="lv-LV"/>
              </w:rPr>
              <w:t>euro</w:t>
            </w:r>
            <w:r w:rsidR="0073518A" w:rsidRPr="00B42BC1">
              <w:rPr>
                <w:rFonts w:ascii="Times New Roman" w:eastAsia="Times New Roman" w:hAnsi="Times New Roman"/>
                <w:color w:val="000000" w:themeColor="text1"/>
                <w:sz w:val="24"/>
                <w:szCs w:val="24"/>
                <w:lang w:val="lv-LV" w:eastAsia="lv-LV"/>
              </w:rPr>
              <w:t xml:space="preserve">. </w:t>
            </w:r>
          </w:p>
          <w:p w14:paraId="5C68F2EB" w14:textId="756DF6C5" w:rsidR="002E4242" w:rsidRPr="00B42BC1" w:rsidRDefault="0013023A"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paplašina arī interešu konflikta tvērumu un attiecina to arī uz iepirkuma procedūras dokumentu izstrādātājiem (pasūtītāja darbiniekiem</w:t>
            </w:r>
            <w:r w:rsidR="0051422C" w:rsidRPr="00B42BC1">
              <w:rPr>
                <w:rFonts w:ascii="Times New Roman" w:eastAsia="Times New Roman" w:hAnsi="Times New Roman"/>
                <w:color w:val="000000" w:themeColor="text1"/>
                <w:sz w:val="24"/>
                <w:szCs w:val="24"/>
                <w:lang w:val="lv-LV" w:eastAsia="lv-LV"/>
              </w:rPr>
              <w:t xml:space="preserve"> </w:t>
            </w:r>
            <w:r w:rsidRPr="00B42BC1">
              <w:rPr>
                <w:rFonts w:ascii="Times New Roman" w:eastAsia="Times New Roman" w:hAnsi="Times New Roman"/>
                <w:color w:val="000000" w:themeColor="text1"/>
                <w:sz w:val="24"/>
                <w:szCs w:val="24"/>
                <w:lang w:val="lv-LV" w:eastAsia="lv-LV"/>
              </w:rPr>
              <w:t>un amatpersonām). Minētās personas, izstrādājot iepirkuma procedūras dokumentus un to sastāvdaļas, nedrīkst atrasties interešu konflikta situācij</w:t>
            </w:r>
            <w:r w:rsidR="00B737EB" w:rsidRPr="00B42BC1">
              <w:rPr>
                <w:rFonts w:ascii="Times New Roman" w:eastAsia="Times New Roman" w:hAnsi="Times New Roman"/>
                <w:color w:val="000000" w:themeColor="text1"/>
                <w:sz w:val="24"/>
                <w:szCs w:val="24"/>
                <w:lang w:val="lv-LV" w:eastAsia="lv-LV"/>
              </w:rPr>
              <w:t xml:space="preserve">ā, tām ir arī jāapliecina interešu konflikta neesamība. </w:t>
            </w:r>
            <w:r w:rsidRPr="00B42BC1">
              <w:rPr>
                <w:rFonts w:ascii="Times New Roman" w:eastAsia="Times New Roman" w:hAnsi="Times New Roman"/>
                <w:color w:val="000000" w:themeColor="text1"/>
                <w:sz w:val="24"/>
                <w:szCs w:val="24"/>
                <w:lang w:val="lv-LV" w:eastAsia="lv-LV"/>
              </w:rPr>
              <w:t xml:space="preserve"> </w:t>
            </w:r>
            <w:r w:rsidR="008C701B" w:rsidRPr="00B42BC1">
              <w:rPr>
                <w:rFonts w:ascii="Times New Roman" w:eastAsia="Times New Roman" w:hAnsi="Times New Roman"/>
                <w:color w:val="000000" w:themeColor="text1"/>
                <w:sz w:val="24"/>
                <w:szCs w:val="24"/>
                <w:lang w:val="lv-LV" w:eastAsia="lv-LV"/>
              </w:rPr>
              <w:t xml:space="preserve"> </w:t>
            </w:r>
          </w:p>
          <w:p w14:paraId="413C0A7F" w14:textId="4CFE663C" w:rsidR="006E69E3" w:rsidRPr="00B42BC1" w:rsidRDefault="008D00F1" w:rsidP="00AD455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Tāpat tiek noteikts, ka Iepirkumu uzraudzības birojam vienas darbdienas laikā pēc lēmuma administratīvā pārkāpuma lietā paziņošanas personai, kurai par pārkāpumiem publisko iepirkumu un publiskās un privātās partnerības jomā </w:t>
            </w:r>
            <w:r w:rsidR="00A87C4A" w:rsidRPr="00B42BC1">
              <w:rPr>
                <w:rFonts w:ascii="Times New Roman" w:eastAsia="Times New Roman" w:hAnsi="Times New Roman"/>
                <w:color w:val="000000" w:themeColor="text1"/>
                <w:sz w:val="24"/>
                <w:szCs w:val="24"/>
                <w:lang w:val="lv-LV" w:eastAsia="lv-LV"/>
              </w:rPr>
              <w:t>aizliegts</w:t>
            </w:r>
            <w:r w:rsidRPr="00B42BC1">
              <w:rPr>
                <w:rFonts w:ascii="Times New Roman" w:eastAsia="Times New Roman" w:hAnsi="Times New Roman"/>
                <w:color w:val="000000" w:themeColor="text1"/>
                <w:sz w:val="24"/>
                <w:szCs w:val="24"/>
                <w:lang w:val="lv-LV" w:eastAsia="lv-LV"/>
              </w:rPr>
              <w:t xml:space="preserve"> ieņemt </w:t>
            </w:r>
            <w:r w:rsidR="00A87C4A" w:rsidRPr="00B42BC1">
              <w:rPr>
                <w:rFonts w:ascii="Times New Roman" w:eastAsia="Times New Roman" w:hAnsi="Times New Roman"/>
                <w:color w:val="000000" w:themeColor="text1"/>
                <w:sz w:val="24"/>
                <w:szCs w:val="24"/>
                <w:lang w:val="lv-LV" w:eastAsia="lv-LV"/>
              </w:rPr>
              <w:t xml:space="preserve">attiecīgos </w:t>
            </w:r>
            <w:r w:rsidRPr="00B42BC1">
              <w:rPr>
                <w:rFonts w:ascii="Times New Roman" w:eastAsia="Times New Roman" w:hAnsi="Times New Roman"/>
                <w:color w:val="000000" w:themeColor="text1"/>
                <w:sz w:val="24"/>
                <w:szCs w:val="24"/>
                <w:lang w:val="lv-LV" w:eastAsia="lv-LV"/>
              </w:rPr>
              <w:t xml:space="preserve">valsts amatpersonas amatus, par pieņemto lēmumu </w:t>
            </w:r>
            <w:r w:rsidR="00A87C4A" w:rsidRPr="00B42BC1">
              <w:rPr>
                <w:rFonts w:ascii="Times New Roman" w:eastAsia="Times New Roman" w:hAnsi="Times New Roman"/>
                <w:color w:val="000000" w:themeColor="text1"/>
                <w:sz w:val="24"/>
                <w:szCs w:val="24"/>
                <w:lang w:val="lv-LV" w:eastAsia="lv-LV"/>
              </w:rPr>
              <w:t>jā</w:t>
            </w:r>
            <w:r w:rsidRPr="00B42BC1">
              <w:rPr>
                <w:rFonts w:ascii="Times New Roman" w:eastAsia="Times New Roman" w:hAnsi="Times New Roman"/>
                <w:color w:val="000000" w:themeColor="text1"/>
                <w:sz w:val="24"/>
                <w:szCs w:val="24"/>
                <w:lang w:val="lv-LV" w:eastAsia="lv-LV"/>
              </w:rPr>
              <w:t xml:space="preserve">informē visas tās institūcijas, kurās šī persona ieņem valsts amatpersonas amatus, kā arī šo institūciju augstākas institūcijas (izņemot gadījumu, kad augstākas institūcijas nav vai augstāka institūcija ir Ministru kabinets) vai, ja attiecīgā institūcija ir kapitālsabiedrība (neatkarīgi no tā, vai kapitāla daļas pieder publiskai personai), kapitāla daļu īpašniekus vai kapitāla daļu turētājus (ja tā ir valsts kapitālsabiedrība). Ņemot vērā iepirkumu un koncesijas procedūru ilgstošo norisi (iepirkuma vai koncesijas procedūras komisijas locekļu dalību komisijas darbā) un institūciju atbildīgo personu atbildību par dažādu līgumu (darījumu) un vispārīgo vienošanos noslēgšanu, paredzēts informēt attiecīgās institūcijas par pieņemto lēmumu administratīvā pārkāpuma lietā pirms tam, kad minētais lēmums kļuvis nepārsūdzams (vienlaikus iekļaujot norādi, ka lēmums vēl nav </w:t>
            </w:r>
            <w:r w:rsidR="00A87C4A" w:rsidRPr="00B42BC1">
              <w:rPr>
                <w:rFonts w:ascii="Times New Roman" w:eastAsia="Times New Roman" w:hAnsi="Times New Roman"/>
                <w:color w:val="000000" w:themeColor="text1"/>
                <w:sz w:val="24"/>
                <w:szCs w:val="24"/>
                <w:lang w:val="lv-LV" w:eastAsia="lv-LV"/>
              </w:rPr>
              <w:t>stājies spēkā (</w:t>
            </w:r>
            <w:r w:rsidRPr="00B42BC1">
              <w:rPr>
                <w:rFonts w:ascii="Times New Roman" w:eastAsia="Times New Roman" w:hAnsi="Times New Roman"/>
                <w:color w:val="000000" w:themeColor="text1"/>
                <w:sz w:val="24"/>
                <w:szCs w:val="24"/>
                <w:lang w:val="lv-LV" w:eastAsia="lv-LV"/>
              </w:rPr>
              <w:t>kļuvis nepārsūdzams</w:t>
            </w:r>
            <w:r w:rsidR="00A87C4A" w:rsidRPr="00B42BC1">
              <w:rPr>
                <w:rFonts w:ascii="Times New Roman" w:eastAsia="Times New Roman" w:hAnsi="Times New Roman"/>
                <w:color w:val="000000" w:themeColor="text1"/>
                <w:sz w:val="24"/>
                <w:szCs w:val="24"/>
                <w:lang w:val="lv-LV" w:eastAsia="lv-LV"/>
              </w:rPr>
              <w:t>)</w:t>
            </w:r>
            <w:r w:rsidRPr="00B42BC1">
              <w:rPr>
                <w:rFonts w:ascii="Times New Roman" w:eastAsia="Times New Roman" w:hAnsi="Times New Roman"/>
                <w:color w:val="000000" w:themeColor="text1"/>
                <w:sz w:val="24"/>
                <w:szCs w:val="24"/>
                <w:lang w:val="lv-LV" w:eastAsia="lv-LV"/>
              </w:rPr>
              <w:t xml:space="preserve">), lai dotu iespēju institūcijām savlaicīgi sagatavoties iespējamai soda izpildei, kas var būt saistīta ar </w:t>
            </w:r>
            <w:r w:rsidRPr="00B42BC1">
              <w:rPr>
                <w:rFonts w:ascii="Times New Roman" w:eastAsia="Times New Roman" w:hAnsi="Times New Roman"/>
                <w:color w:val="000000" w:themeColor="text1"/>
                <w:sz w:val="24"/>
                <w:szCs w:val="24"/>
                <w:lang w:val="lv-LV" w:eastAsia="lv-LV"/>
              </w:rPr>
              <w:lastRenderedPageBreak/>
              <w:t>amata pienākumu maiņu (tajā skaitā personas aizstāšanu iepirkuma vai koncesijas procedūras komisijās un neiekļaušanu citās), ja tas iespējams, vai pat pārcelšanu citā amatā, ja līdzšinējā amata pienākumu maiņa nav iespējama</w:t>
            </w:r>
            <w:r w:rsidR="007F72C0" w:rsidRPr="00B42BC1">
              <w:rPr>
                <w:rFonts w:ascii="Times New Roman" w:eastAsia="Times New Roman" w:hAnsi="Times New Roman"/>
                <w:color w:val="000000" w:themeColor="text1"/>
                <w:sz w:val="24"/>
                <w:szCs w:val="24"/>
                <w:lang w:val="lv-LV" w:eastAsia="lv-LV"/>
              </w:rPr>
              <w:t>.</w:t>
            </w:r>
          </w:p>
          <w:p w14:paraId="376B7DE8" w14:textId="1F8EA988" w:rsidR="00B813D9" w:rsidRPr="00B42BC1" w:rsidRDefault="00172917" w:rsidP="0017291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w:t>
            </w:r>
            <w:r w:rsidRPr="00B42BC1">
              <w:rPr>
                <w:rFonts w:ascii="Times New Roman" w:eastAsia="Times New Roman" w:hAnsi="Times New Roman"/>
                <w:b/>
                <w:color w:val="000000" w:themeColor="text1"/>
                <w:sz w:val="24"/>
                <w:szCs w:val="24"/>
                <w:u w:val="single"/>
                <w:lang w:val="lv-LV" w:eastAsia="lv-LV"/>
              </w:rPr>
              <w:t>groza un papildina paziņojumu veidlapas</w:t>
            </w:r>
            <w:r w:rsidRPr="00B42BC1">
              <w:rPr>
                <w:rFonts w:ascii="Times New Roman" w:eastAsia="Times New Roman" w:hAnsi="Times New Roman"/>
                <w:color w:val="000000" w:themeColor="text1"/>
                <w:sz w:val="24"/>
                <w:szCs w:val="24"/>
                <w:lang w:val="lv-LV" w:eastAsia="lv-LV"/>
              </w:rPr>
              <w:t>. Klāt nāk</w:t>
            </w:r>
            <w:r w:rsidR="00B737EB" w:rsidRPr="00B42BC1">
              <w:rPr>
                <w:rFonts w:ascii="Times New Roman" w:eastAsia="Times New Roman" w:hAnsi="Times New Roman"/>
                <w:color w:val="000000" w:themeColor="text1"/>
                <w:sz w:val="24"/>
                <w:szCs w:val="24"/>
                <w:lang w:val="lv-LV" w:eastAsia="lv-LV"/>
              </w:rPr>
              <w:t>, piemēram,</w:t>
            </w:r>
            <w:r w:rsidRPr="00B42BC1">
              <w:rPr>
                <w:rFonts w:ascii="Times New Roman" w:eastAsia="Times New Roman" w:hAnsi="Times New Roman"/>
                <w:color w:val="000000" w:themeColor="text1"/>
                <w:sz w:val="24"/>
                <w:szCs w:val="24"/>
                <w:lang w:val="lv-LV" w:eastAsia="lv-LV"/>
              </w:rPr>
              <w:t xml:space="preserve"> paziņojuma veidlapa, kura jāpublicē, ja pasūtītājs ir veicis likumprojekta 61.panta trešās daļas 2. (iepirkti papildu būvdarbi, pakalpojumi vai piegādes, kas sākotnēji nebija iekļautas iepirkumā) un 3. (veikti grozījumi iepirkuma līgumā no pasūtītāja rīcības neatkarīgu iemeslu dēļ) punktā minētos grozījumus. </w:t>
            </w:r>
            <w:r w:rsidR="00F85B82" w:rsidRPr="00B42BC1">
              <w:rPr>
                <w:rFonts w:ascii="Times New Roman" w:eastAsia="Times New Roman" w:hAnsi="Times New Roman"/>
                <w:color w:val="000000" w:themeColor="text1"/>
                <w:sz w:val="24"/>
                <w:szCs w:val="24"/>
                <w:lang w:val="lv-LV" w:eastAsia="lv-LV"/>
              </w:rPr>
              <w:t xml:space="preserve">Paziņojuma veidlapā būtu jānorāda arī pamatojums šādu grozījumu veikšanai. </w:t>
            </w:r>
          </w:p>
          <w:p w14:paraId="31CA09F8" w14:textId="22E18B53" w:rsidR="00172917" w:rsidRPr="00B42BC1" w:rsidRDefault="00172917" w:rsidP="0017291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Tiek precizēta informācijas apmaiņas kārtība</w:t>
            </w:r>
            <w:r w:rsidRPr="00B42BC1">
              <w:rPr>
                <w:rFonts w:ascii="Times New Roman" w:eastAsia="Times New Roman" w:hAnsi="Times New Roman"/>
                <w:color w:val="000000" w:themeColor="text1"/>
                <w:sz w:val="24"/>
                <w:szCs w:val="24"/>
                <w:lang w:val="lv-LV" w:eastAsia="lv-LV"/>
              </w:rPr>
              <w:t xml:space="preserve"> saskaņā ar Direktīvā 2014/24/ES paredzēto, paredzo</w:t>
            </w:r>
            <w:r w:rsidR="00A726DC" w:rsidRPr="00B42BC1">
              <w:rPr>
                <w:rFonts w:ascii="Times New Roman" w:eastAsia="Times New Roman" w:hAnsi="Times New Roman"/>
                <w:color w:val="000000" w:themeColor="text1"/>
                <w:sz w:val="24"/>
                <w:szCs w:val="24"/>
                <w:lang w:val="lv-LV" w:eastAsia="lv-LV"/>
              </w:rPr>
              <w:t>t precīzākus elektroniskās saziņa</w:t>
            </w:r>
            <w:r w:rsidRPr="00B42BC1">
              <w:rPr>
                <w:rFonts w:ascii="Times New Roman" w:eastAsia="Times New Roman" w:hAnsi="Times New Roman"/>
                <w:color w:val="000000" w:themeColor="text1"/>
                <w:sz w:val="24"/>
                <w:szCs w:val="24"/>
                <w:lang w:val="lv-LV" w:eastAsia="lv-LV"/>
              </w:rPr>
              <w:t>s noteikumus. Tiek noteiktas prasības elektronisko pieteikum</w:t>
            </w:r>
            <w:r w:rsidR="00A726DC" w:rsidRPr="00B42BC1">
              <w:rPr>
                <w:rFonts w:ascii="Times New Roman" w:eastAsia="Times New Roman" w:hAnsi="Times New Roman"/>
                <w:color w:val="000000" w:themeColor="text1"/>
                <w:sz w:val="24"/>
                <w:szCs w:val="24"/>
                <w:lang w:val="lv-LV" w:eastAsia="lv-LV"/>
              </w:rPr>
              <w:t>u</w:t>
            </w:r>
            <w:r w:rsidRPr="00B42BC1">
              <w:rPr>
                <w:rFonts w:ascii="Times New Roman" w:eastAsia="Times New Roman" w:hAnsi="Times New Roman"/>
                <w:color w:val="000000" w:themeColor="text1"/>
                <w:sz w:val="24"/>
                <w:szCs w:val="24"/>
                <w:lang w:val="lv-LV" w:eastAsia="lv-LV"/>
              </w:rPr>
              <w:t xml:space="preserve"> un piedāvājumu saņemšanai, kā arī tiek dots deleģējums Ministru kabinetam noteikt prasības un standartus sistēmām, kas tiek izmantotas piedāvājumu un pieteikumu iesniegšanai.</w:t>
            </w:r>
            <w:r w:rsidR="0014757E" w:rsidRPr="00B42BC1">
              <w:rPr>
                <w:rFonts w:ascii="Times New Roman" w:eastAsia="Times New Roman" w:hAnsi="Times New Roman"/>
                <w:color w:val="000000" w:themeColor="text1"/>
                <w:sz w:val="24"/>
                <w:szCs w:val="24"/>
                <w:lang w:val="lv-LV" w:eastAsia="lv-LV"/>
              </w:rPr>
              <w:t xml:space="preserve"> Likumprojektā sniegta atsauce uz ele</w:t>
            </w:r>
            <w:r w:rsidR="00835569" w:rsidRPr="00B42BC1">
              <w:rPr>
                <w:rFonts w:ascii="Times New Roman" w:eastAsia="Times New Roman" w:hAnsi="Times New Roman"/>
                <w:color w:val="000000" w:themeColor="text1"/>
                <w:sz w:val="24"/>
                <w:szCs w:val="24"/>
                <w:lang w:val="lv-LV" w:eastAsia="lv-LV"/>
              </w:rPr>
              <w:t>ktroniskās informācijas sistēmu, kura domāta piedāvājumu un pieteikumu elektroniskai saņemšanai. Šādu sistēmu ir izstrādājusi Valsts reģionālās attīstības aģentūra. Ņemot vērā, ka Direktīva 2014/24/ES paredz faktiski pilnīgu pāreju uz elektronisku piedāvājumu un pieteikumu saņemšanu</w:t>
            </w:r>
            <w:r w:rsidR="00D321AB" w:rsidRPr="00B42BC1">
              <w:rPr>
                <w:rFonts w:ascii="Times New Roman" w:eastAsia="Times New Roman" w:hAnsi="Times New Roman"/>
                <w:color w:val="000000" w:themeColor="text1"/>
                <w:sz w:val="24"/>
                <w:szCs w:val="24"/>
                <w:lang w:val="lv-LV" w:eastAsia="lv-LV"/>
              </w:rPr>
              <w:t xml:space="preserve"> ar 2018.gada 18.okto</w:t>
            </w:r>
            <w:r w:rsidR="000973CA" w:rsidRPr="00B42BC1">
              <w:rPr>
                <w:rFonts w:ascii="Times New Roman" w:eastAsia="Times New Roman" w:hAnsi="Times New Roman"/>
                <w:color w:val="000000" w:themeColor="text1"/>
                <w:sz w:val="24"/>
                <w:szCs w:val="24"/>
                <w:lang w:val="lv-LV" w:eastAsia="lv-LV"/>
              </w:rPr>
              <w:t xml:space="preserve">bri, šobrīd nav plānota obligāta piedāvājumu un pieteikumu </w:t>
            </w:r>
            <w:r w:rsidR="005E574E" w:rsidRPr="00B42BC1">
              <w:rPr>
                <w:rFonts w:ascii="Times New Roman" w:eastAsia="Times New Roman" w:hAnsi="Times New Roman"/>
                <w:color w:val="000000" w:themeColor="text1"/>
                <w:sz w:val="24"/>
                <w:szCs w:val="24"/>
                <w:lang w:val="lv-LV" w:eastAsia="lv-LV"/>
              </w:rPr>
              <w:t xml:space="preserve">elektroniska </w:t>
            </w:r>
            <w:r w:rsidR="000973CA" w:rsidRPr="00B42BC1">
              <w:rPr>
                <w:rFonts w:ascii="Times New Roman" w:eastAsia="Times New Roman" w:hAnsi="Times New Roman"/>
                <w:color w:val="000000" w:themeColor="text1"/>
                <w:sz w:val="24"/>
                <w:szCs w:val="24"/>
                <w:lang w:val="lv-LV" w:eastAsia="lv-LV"/>
              </w:rPr>
              <w:t>iesniegšana</w:t>
            </w:r>
            <w:r w:rsidR="00B737EB" w:rsidRPr="00B42BC1">
              <w:rPr>
                <w:rFonts w:ascii="Times New Roman" w:eastAsia="Times New Roman" w:hAnsi="Times New Roman"/>
                <w:color w:val="000000" w:themeColor="text1"/>
                <w:sz w:val="24"/>
                <w:szCs w:val="24"/>
                <w:lang w:val="lv-LV" w:eastAsia="lv-LV"/>
              </w:rPr>
              <w:t xml:space="preserve"> (pārejas noteikumos ir noteikti pārejas posmi uz pieteikumu un piedāvājumu elektronisku iesniegšanu)</w:t>
            </w:r>
            <w:r w:rsidR="00F56E77" w:rsidRPr="00B42BC1">
              <w:rPr>
                <w:rFonts w:ascii="Times New Roman" w:eastAsia="Times New Roman" w:hAnsi="Times New Roman"/>
                <w:color w:val="000000" w:themeColor="text1"/>
                <w:sz w:val="24"/>
                <w:szCs w:val="24"/>
                <w:lang w:val="lv-LV" w:eastAsia="lv-LV"/>
              </w:rPr>
              <w:t xml:space="preserve">, taču pasūtītājiem ir paredzēta iespēja izmantot sistēmu, ja Valsts reģionālās attīstības aģentūra nodrošinās tās pieejamību pasūtītājiem. </w:t>
            </w:r>
            <w:r w:rsidR="000C6FA4" w:rsidRPr="00B42BC1">
              <w:rPr>
                <w:rFonts w:ascii="Times New Roman" w:eastAsia="Times New Roman" w:hAnsi="Times New Roman"/>
                <w:color w:val="000000" w:themeColor="text1"/>
                <w:sz w:val="24"/>
                <w:szCs w:val="24"/>
                <w:lang w:val="lv-LV" w:eastAsia="lv-LV"/>
              </w:rPr>
              <w:t>Piedāvājumu un pieteikumu elektroniskas pieņemšanas noteikumi</w:t>
            </w:r>
            <w:r w:rsidR="00B737EB" w:rsidRPr="00B42BC1">
              <w:rPr>
                <w:rFonts w:ascii="Times New Roman" w:eastAsia="Times New Roman" w:hAnsi="Times New Roman"/>
                <w:color w:val="000000" w:themeColor="text1"/>
                <w:sz w:val="24"/>
                <w:szCs w:val="24"/>
                <w:lang w:val="lv-LV" w:eastAsia="lv-LV"/>
              </w:rPr>
              <w:t>, kā arī izņēmumi no šīs prasības,</w:t>
            </w:r>
            <w:r w:rsidR="000C6FA4" w:rsidRPr="00B42BC1">
              <w:rPr>
                <w:rFonts w:ascii="Times New Roman" w:eastAsia="Times New Roman" w:hAnsi="Times New Roman"/>
                <w:color w:val="000000" w:themeColor="text1"/>
                <w:sz w:val="24"/>
                <w:szCs w:val="24"/>
                <w:lang w:val="lv-LV" w:eastAsia="lv-LV"/>
              </w:rPr>
              <w:t xml:space="preserve"> detalizētāk tiks noteikti Ministru kabineta noteikumos. </w:t>
            </w:r>
          </w:p>
          <w:p w14:paraId="2EED3D05" w14:textId="77777777" w:rsidR="00172917" w:rsidRPr="00B42BC1" w:rsidRDefault="00160ADA" w:rsidP="001170F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 xml:space="preserve">Tiek precizēti kandidātu un pretendentu atlases, piedāvājumu atbilstības pārbaudes un izvēles vispārējie noteikumi </w:t>
            </w:r>
            <w:r w:rsidRPr="00B42BC1">
              <w:rPr>
                <w:rFonts w:ascii="Times New Roman" w:eastAsia="Times New Roman" w:hAnsi="Times New Roman"/>
                <w:color w:val="000000" w:themeColor="text1"/>
                <w:sz w:val="24"/>
                <w:szCs w:val="24"/>
                <w:lang w:val="lv-LV" w:eastAsia="lv-LV"/>
              </w:rPr>
              <w:t>atbilstoši Direktīvas 2014/24/ES prasībām.</w:t>
            </w:r>
            <w:r w:rsidR="00F01729" w:rsidRPr="00B42BC1">
              <w:rPr>
                <w:rFonts w:ascii="Times New Roman" w:eastAsia="Times New Roman" w:hAnsi="Times New Roman"/>
                <w:color w:val="000000" w:themeColor="text1"/>
                <w:sz w:val="24"/>
                <w:szCs w:val="24"/>
                <w:lang w:val="lv-LV" w:eastAsia="lv-LV"/>
              </w:rPr>
              <w:t xml:space="preserve"> Tāpat tiek noteikts, ka izziņas un citus dokumentus</w:t>
            </w:r>
            <w:r w:rsidRPr="00B42BC1">
              <w:rPr>
                <w:rFonts w:ascii="Times New Roman" w:eastAsia="Times New Roman" w:hAnsi="Times New Roman"/>
                <w:color w:val="000000" w:themeColor="text1"/>
                <w:sz w:val="24"/>
                <w:szCs w:val="24"/>
                <w:lang w:val="lv-LV" w:eastAsia="lv-LV"/>
              </w:rPr>
              <w:t xml:space="preserve"> </w:t>
            </w:r>
            <w:r w:rsidR="00F01729" w:rsidRPr="00B42BC1">
              <w:rPr>
                <w:rFonts w:ascii="Times New Roman" w:eastAsia="Times New Roman" w:hAnsi="Times New Roman"/>
                <w:color w:val="000000" w:themeColor="text1"/>
                <w:sz w:val="24"/>
                <w:szCs w:val="24"/>
                <w:lang w:val="lv-LV" w:eastAsia="lv-LV"/>
              </w:rPr>
              <w:t>pasūtītājs pieņem un atzīst ārvalstīs reģistrētiem vai pastāvīgi dzīvojošiem kandidātiem un pretendentiem, kas izdotas ne agrāk kā sešus mēnešus pirms iesniegšanas dienas. Šāds atvieglojums paredzēts, jo praksē ārvalstu institūcijas izziņām un citiem dokumentiem bieži piešķir garāku derīguma termiņu par vienu mēnesi</w:t>
            </w:r>
            <w:r w:rsidR="001170F4" w:rsidRPr="00B42BC1">
              <w:rPr>
                <w:rFonts w:ascii="Times New Roman" w:eastAsia="Times New Roman" w:hAnsi="Times New Roman"/>
                <w:color w:val="000000" w:themeColor="text1"/>
                <w:sz w:val="24"/>
                <w:szCs w:val="24"/>
                <w:lang w:val="lv-LV" w:eastAsia="lv-LV"/>
              </w:rPr>
              <w:t>.</w:t>
            </w:r>
            <w:r w:rsidR="00682A12" w:rsidRPr="00B42BC1">
              <w:rPr>
                <w:rFonts w:ascii="Times New Roman" w:eastAsia="Times New Roman" w:hAnsi="Times New Roman"/>
                <w:color w:val="000000" w:themeColor="text1"/>
                <w:sz w:val="24"/>
                <w:szCs w:val="24"/>
                <w:lang w:val="lv-LV" w:eastAsia="lv-LV"/>
              </w:rPr>
              <w:t xml:space="preserve"> </w:t>
            </w:r>
          </w:p>
          <w:p w14:paraId="5E4ABF0F" w14:textId="77777777" w:rsidR="00682A12" w:rsidRPr="00B42BC1" w:rsidRDefault="007C1604" w:rsidP="001170F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w:t>
            </w:r>
            <w:r w:rsidR="0032653C" w:rsidRPr="00B42BC1">
              <w:rPr>
                <w:rFonts w:ascii="Times New Roman" w:eastAsia="Times New Roman" w:hAnsi="Times New Roman"/>
                <w:color w:val="000000" w:themeColor="text1"/>
                <w:sz w:val="24"/>
                <w:szCs w:val="24"/>
                <w:lang w:val="lv-LV" w:eastAsia="lv-LV"/>
              </w:rPr>
              <w:t>s preciz</w:t>
            </w:r>
            <w:r w:rsidR="009052FF" w:rsidRPr="00B42BC1">
              <w:rPr>
                <w:rFonts w:ascii="Times New Roman" w:eastAsia="Times New Roman" w:hAnsi="Times New Roman"/>
                <w:color w:val="000000" w:themeColor="text1"/>
                <w:sz w:val="24"/>
                <w:szCs w:val="24"/>
                <w:lang w:val="lv-LV" w:eastAsia="lv-LV"/>
              </w:rPr>
              <w:t xml:space="preserve">ē, kādos gadījumos ir iespējama piedāvājumā ietverto dokumentu papildināšana un kādos tikai izskaidrošana. Pretendents nav tiesīgs papildināt tehnisko un finanšu piedāvājumu, taču ir tiesīgs papildināt kvalifikācijas dokumentus, ja tas ir nepieciešams, lai izvērtētu pretendenta </w:t>
            </w:r>
            <w:r w:rsidR="009052FF" w:rsidRPr="00B42BC1">
              <w:rPr>
                <w:rFonts w:ascii="Times New Roman" w:eastAsia="Times New Roman" w:hAnsi="Times New Roman"/>
                <w:color w:val="000000" w:themeColor="text1"/>
                <w:sz w:val="24"/>
                <w:szCs w:val="24"/>
                <w:lang w:val="lv-LV" w:eastAsia="lv-LV"/>
              </w:rPr>
              <w:lastRenderedPageBreak/>
              <w:t xml:space="preserve">vai kandidāta </w:t>
            </w:r>
            <w:r w:rsidR="007D3CBB" w:rsidRPr="00B42BC1">
              <w:rPr>
                <w:rFonts w:ascii="Times New Roman" w:eastAsia="Times New Roman" w:hAnsi="Times New Roman"/>
                <w:color w:val="000000" w:themeColor="text1"/>
                <w:sz w:val="24"/>
                <w:szCs w:val="24"/>
                <w:lang w:val="lv-LV" w:eastAsia="lv-LV"/>
              </w:rPr>
              <w:t>atbilstību izvirzītajām pretendentu vai kandidātu atlases prasībām.</w:t>
            </w:r>
          </w:p>
          <w:p w14:paraId="74907EE8" w14:textId="46ED5EA4" w:rsidR="00B2029A" w:rsidRPr="00B42BC1" w:rsidRDefault="00B82800" w:rsidP="00B2029A">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Tiek papildin</w:t>
            </w:r>
            <w:r w:rsidR="00B2029A" w:rsidRPr="00B42BC1">
              <w:rPr>
                <w:rFonts w:ascii="Times New Roman" w:eastAsia="Times New Roman" w:hAnsi="Times New Roman"/>
                <w:b/>
                <w:color w:val="000000" w:themeColor="text1"/>
                <w:sz w:val="24"/>
                <w:szCs w:val="24"/>
                <w:u w:val="single"/>
                <w:lang w:val="lv-LV" w:eastAsia="lv-LV"/>
              </w:rPr>
              <w:t>āti un grozīti kandidātu un pretendentu izslēgšanas noteikumi</w:t>
            </w:r>
            <w:r w:rsidR="00B2029A" w:rsidRPr="00B42BC1">
              <w:rPr>
                <w:rFonts w:ascii="Times New Roman" w:eastAsia="Times New Roman" w:hAnsi="Times New Roman"/>
                <w:b/>
                <w:color w:val="000000" w:themeColor="text1"/>
                <w:sz w:val="24"/>
                <w:szCs w:val="24"/>
                <w:lang w:val="lv-LV" w:eastAsia="lv-LV"/>
              </w:rPr>
              <w:t xml:space="preserve"> </w:t>
            </w:r>
            <w:r w:rsidR="00B2029A" w:rsidRPr="00B42BC1">
              <w:rPr>
                <w:rFonts w:ascii="Times New Roman" w:eastAsia="Times New Roman" w:hAnsi="Times New Roman"/>
                <w:color w:val="000000" w:themeColor="text1"/>
                <w:sz w:val="24"/>
                <w:szCs w:val="24"/>
                <w:lang w:val="lv-LV" w:eastAsia="lv-LV"/>
              </w:rPr>
              <w:t xml:space="preserve">atbilstoši Direktīvas 2014/24/ES prasībām. </w:t>
            </w:r>
            <w:r w:rsidR="009D7E93" w:rsidRPr="00B42BC1">
              <w:rPr>
                <w:rFonts w:ascii="Times New Roman" w:eastAsia="Times New Roman" w:hAnsi="Times New Roman"/>
                <w:color w:val="000000" w:themeColor="text1"/>
                <w:sz w:val="24"/>
                <w:szCs w:val="24"/>
                <w:lang w:val="lv-LV" w:eastAsia="lv-LV"/>
              </w:rPr>
              <w:t xml:space="preserve">Tiek papildināts pārbaudāmo personu saraksts ar pārstāvēttiesīgajām personām, kas ir zvejnieku saimniecību, zemnieku saimniecību un individuālo uzņēmumu īpašnieku ieceltie pārstāvji, kā arī likvidatori un administratori. Administratori un likvidatori pēc būtības atbilst pārstāvēttiesīgo personu statusam, jo aizstāj līdzšinējās juridisko personu pārvaldes institūcijas. </w:t>
            </w:r>
            <w:r w:rsidR="00B2029A" w:rsidRPr="00B42BC1">
              <w:rPr>
                <w:rFonts w:ascii="Times New Roman" w:eastAsia="Times New Roman" w:hAnsi="Times New Roman"/>
                <w:color w:val="000000" w:themeColor="text1"/>
                <w:sz w:val="24"/>
                <w:szCs w:val="24"/>
                <w:lang w:val="lv-LV" w:eastAsia="lv-LV"/>
              </w:rPr>
              <w:t>Papildus esošajiem kandidātu, pretendentu vai personu, kura ir kandidāta vai pretendenta valdes vai padomes loceklis</w:t>
            </w:r>
            <w:r w:rsidR="009D7E93" w:rsidRPr="00B42BC1">
              <w:rPr>
                <w:rFonts w:ascii="Times New Roman" w:eastAsia="Times New Roman" w:hAnsi="Times New Roman"/>
                <w:color w:val="000000" w:themeColor="text1"/>
                <w:sz w:val="24"/>
                <w:szCs w:val="24"/>
                <w:lang w:val="lv-LV" w:eastAsia="lv-LV"/>
              </w:rPr>
              <w:t>, pārstāvēttiesīgā persona</w:t>
            </w:r>
            <w:r w:rsidR="00B2029A" w:rsidRPr="00B42BC1">
              <w:rPr>
                <w:rFonts w:ascii="Times New Roman" w:eastAsia="Times New Roman" w:hAnsi="Times New Roman"/>
                <w:color w:val="000000" w:themeColor="text1"/>
                <w:sz w:val="24"/>
                <w:szCs w:val="24"/>
                <w:lang w:val="lv-LV" w:eastAsia="lv-LV"/>
              </w:rPr>
              <w:t xml:space="preserve"> vai prokūristu, vai personu, kura ir pilnvarota pārstāvēt kandidātu vai pretendentu darbībās, kas saistītas ar filiāli izslēgšanas gadījumiem nāk klāt noziedzīgi nodarījumi:</w:t>
            </w:r>
          </w:p>
          <w:p w14:paraId="6923B184" w14:textId="539FFB0B" w:rsidR="009D7E93" w:rsidRPr="00B42BC1" w:rsidRDefault="009D7E93" w:rsidP="009D7E93">
            <w:pPr>
              <w:pStyle w:val="ListParagraph"/>
              <w:widowControl/>
              <w:numPr>
                <w:ilvl w:val="0"/>
                <w:numId w:val="18"/>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noziedzīgas organizācijas izveidošana, vadīšana iesaistīšanās tajā vai tās sastāvā ietilpstošā organizētā grupā vai citā noziedzīgā formējumā, vai piedalīšanās šādas organizācijas izdarītajos noziedzīgajos nodarījumos;</w:t>
            </w:r>
          </w:p>
          <w:p w14:paraId="66619007" w14:textId="2438365B" w:rsidR="00B82800" w:rsidRPr="00B42BC1" w:rsidRDefault="00371A12" w:rsidP="00B2029A">
            <w:pPr>
              <w:pStyle w:val="ListParagraph"/>
              <w:widowControl/>
              <w:numPr>
                <w:ilvl w:val="0"/>
                <w:numId w:val="18"/>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prettiesiska labuma pieprasīšana, pieņemšana un došana, tirgošanās ar ietekmi;</w:t>
            </w:r>
          </w:p>
          <w:p w14:paraId="47DF3F39" w14:textId="77777777" w:rsidR="00371A12" w:rsidRPr="00B42BC1" w:rsidRDefault="00371A12" w:rsidP="00B2029A">
            <w:pPr>
              <w:pStyle w:val="ListParagraph"/>
              <w:widowControl/>
              <w:numPr>
                <w:ilvl w:val="0"/>
                <w:numId w:val="18"/>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cilvēku tirdzniecība.</w:t>
            </w:r>
          </w:p>
          <w:p w14:paraId="5A895003" w14:textId="77777777" w:rsidR="009F2B4E" w:rsidRPr="00B42BC1" w:rsidRDefault="009F2B4E" w:rsidP="00844376">
            <w:pPr>
              <w:pStyle w:val="tv213"/>
              <w:shd w:val="clear" w:color="auto" w:fill="FFFFFF"/>
              <w:spacing w:before="0" w:beforeAutospacing="0" w:after="120" w:afterAutospacing="0"/>
              <w:jc w:val="both"/>
              <w:rPr>
                <w:color w:val="000000" w:themeColor="text1"/>
                <w:lang w:val="lv-LV" w:eastAsia="lv-LV"/>
              </w:rPr>
            </w:pPr>
            <w:r w:rsidRPr="00B42BC1">
              <w:rPr>
                <w:color w:val="000000" w:themeColor="text1"/>
                <w:lang w:val="lv-LV" w:eastAsia="lv-LV"/>
              </w:rPr>
              <w:t xml:space="preserve">Tiek paplašināts darba tiesību </w:t>
            </w:r>
            <w:r w:rsidR="00970015" w:rsidRPr="00B42BC1">
              <w:rPr>
                <w:color w:val="000000" w:themeColor="text1"/>
                <w:lang w:val="lv-LV" w:eastAsia="lv-LV"/>
              </w:rPr>
              <w:t xml:space="preserve">un darba aizsardzības </w:t>
            </w:r>
            <w:r w:rsidRPr="00B42BC1">
              <w:rPr>
                <w:color w:val="000000" w:themeColor="text1"/>
                <w:lang w:val="lv-LV" w:eastAsia="lv-LV"/>
              </w:rPr>
              <w:t>jom</w:t>
            </w:r>
            <w:r w:rsidR="00970015" w:rsidRPr="00B42BC1">
              <w:rPr>
                <w:color w:val="000000" w:themeColor="text1"/>
                <w:lang w:val="lv-LV" w:eastAsia="lv-LV"/>
              </w:rPr>
              <w:t>u</w:t>
            </w:r>
            <w:r w:rsidRPr="00B42BC1">
              <w:rPr>
                <w:color w:val="000000" w:themeColor="text1"/>
                <w:lang w:val="lv-LV" w:eastAsia="lv-LV"/>
              </w:rPr>
              <w:t xml:space="preserve"> </w:t>
            </w:r>
            <w:r w:rsidR="00970015" w:rsidRPr="00B42BC1">
              <w:rPr>
                <w:color w:val="000000" w:themeColor="text1"/>
                <w:lang w:val="lv-LV" w:eastAsia="lv-LV"/>
              </w:rPr>
              <w:t xml:space="preserve">regulējošo normatīvo aktu </w:t>
            </w:r>
            <w:r w:rsidRPr="00B42BC1">
              <w:rPr>
                <w:color w:val="000000" w:themeColor="text1"/>
                <w:lang w:val="lv-LV" w:eastAsia="lv-LV"/>
              </w:rPr>
              <w:t xml:space="preserve">pārkāpumu apjoms, par kuriem paredzēta obligāta izslēgšana no iepirkuma procedūras. </w:t>
            </w:r>
          </w:p>
          <w:p w14:paraId="60CF68EA" w14:textId="03901AB5" w:rsidR="00844376" w:rsidRPr="00B42BC1" w:rsidRDefault="00844376" w:rsidP="00844376">
            <w:pPr>
              <w:pStyle w:val="tv213"/>
              <w:shd w:val="clear" w:color="auto" w:fill="FFFFFF"/>
              <w:spacing w:before="0" w:beforeAutospacing="0" w:after="120" w:afterAutospacing="0"/>
              <w:jc w:val="both"/>
              <w:rPr>
                <w:color w:val="000000" w:themeColor="text1"/>
                <w:lang w:val="lv-LV" w:eastAsia="lv-LV"/>
              </w:rPr>
            </w:pPr>
            <w:r w:rsidRPr="00B42BC1">
              <w:rPr>
                <w:color w:val="000000" w:themeColor="text1"/>
                <w:lang w:val="lv-LV" w:eastAsia="lv-LV"/>
              </w:rPr>
              <w:t>Mainīta tiek nodokļu nomaksas pārbaude paredzot, ka pasūtītājs neizskata kandidāta pieteikumu vai pretendenta piedāvājumu un nepiešķir pretendentam iepirkuma līguma slēgšanas tiesības, ja, ievērojot Valsts ieņēmumu dienesta publiskās nodokļu parādnieku datubāzes un Nekustamo īpašumu nodokļu administrēšanas sistēmas pēdējās datu aktualizācijas datumā ievietoto informāciju, ir konstatēts, ka kandidātam pieteikuma vai pretendentam piedāvājuma iesniegšanas termiņa pēdējā dienā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r w:rsidRPr="00B42BC1">
              <w:rPr>
                <w:i/>
                <w:color w:val="000000" w:themeColor="text1"/>
                <w:lang w:val="lv-LV" w:eastAsia="lv-LV"/>
              </w:rPr>
              <w:t>euro</w:t>
            </w:r>
            <w:r w:rsidRPr="00B42BC1">
              <w:rPr>
                <w:color w:val="000000" w:themeColor="text1"/>
                <w:lang w:val="lv-LV" w:eastAsia="lv-LV"/>
              </w:rPr>
              <w:t xml:space="preserve">. Šāda kārtība ir labvēlīgāka par esošo, kur nodokļu nomaksas pārbaudes diena ir iepirkuma izsludināšanas vai lēmuma par iepirkuma procedūras uzsākšanu diena, praksē ir konstatētas problēmas ar to, ka piegādātājs ir samaksājis nodokļus, bet joprojām tiek uzrādīts, ka tam ir nodokļu parāds. Līdz ar to pretendents zinās nodokļu pārbaudes dienu un varēs laikus </w:t>
            </w:r>
            <w:r w:rsidR="005909D6" w:rsidRPr="00B42BC1">
              <w:rPr>
                <w:color w:val="000000" w:themeColor="text1"/>
                <w:lang w:val="lv-LV" w:eastAsia="lv-LV"/>
              </w:rPr>
              <w:t>pārliecinātie, ka tā maksājums ir pieņemts un nodokļu parāda nav.</w:t>
            </w:r>
            <w:r w:rsidR="00B34058" w:rsidRPr="00B42BC1">
              <w:rPr>
                <w:color w:val="000000" w:themeColor="text1"/>
                <w:lang w:val="lv-LV" w:eastAsia="lv-LV"/>
              </w:rPr>
              <w:t xml:space="preserve"> Pasūtītāji nepieprasa izziņu </w:t>
            </w:r>
            <w:r w:rsidR="00B34058" w:rsidRPr="00B42BC1">
              <w:rPr>
                <w:color w:val="000000" w:themeColor="text1"/>
                <w:lang w:val="lv-LV" w:eastAsia="lv-LV"/>
              </w:rPr>
              <w:lastRenderedPageBreak/>
              <w:t xml:space="preserve">par nodokļu parādu neesamību, ja šāds parāds netiek konstatēts, veicot pārbaudi Valsts ieņēmumu dienesta publiskās nodokļu parādnieku datubāzē un Nekustamo īpašumu nodokļu administrēšanas sistēmā. </w:t>
            </w:r>
          </w:p>
          <w:p w14:paraId="0FF8D372" w14:textId="77777777" w:rsidR="005909D6" w:rsidRPr="00B42BC1" w:rsidRDefault="005909D6" w:rsidP="00844376">
            <w:pPr>
              <w:pStyle w:val="tv213"/>
              <w:shd w:val="clear" w:color="auto" w:fill="FFFFFF"/>
              <w:spacing w:before="0" w:beforeAutospacing="0" w:after="120" w:afterAutospacing="0"/>
              <w:jc w:val="both"/>
              <w:rPr>
                <w:color w:val="000000" w:themeColor="text1"/>
                <w:lang w:val="lv-LV" w:eastAsia="lv-LV"/>
              </w:rPr>
            </w:pPr>
            <w:r w:rsidRPr="00B42BC1">
              <w:rPr>
                <w:color w:val="000000" w:themeColor="text1"/>
                <w:lang w:val="lv-LV" w:eastAsia="lv-LV"/>
              </w:rPr>
              <w:t>Likumprojektā tiek dota iespēja pasūtītājam izvēlēties, vai tas vēlas izslēgt kandidātus un pretendentus no dalības iepirkumā, ja:</w:t>
            </w:r>
          </w:p>
          <w:p w14:paraId="57D4683F" w14:textId="77777777" w:rsidR="005909D6" w:rsidRPr="00B42BC1" w:rsidRDefault="005909D6" w:rsidP="005909D6">
            <w:pPr>
              <w:pStyle w:val="tv213"/>
              <w:numPr>
                <w:ilvl w:val="1"/>
                <w:numId w:val="15"/>
              </w:numPr>
              <w:shd w:val="clear" w:color="auto" w:fill="FFFFFF"/>
              <w:spacing w:before="0" w:beforeAutospacing="0" w:after="120" w:afterAutospacing="0"/>
              <w:ind w:left="396" w:hanging="284"/>
              <w:jc w:val="both"/>
              <w:rPr>
                <w:color w:val="000000" w:themeColor="text1"/>
                <w:lang w:val="lv-LV" w:eastAsia="lv-LV"/>
              </w:rPr>
            </w:pPr>
            <w:r w:rsidRPr="00B42BC1">
              <w:rPr>
                <w:color w:val="000000" w:themeColor="text1"/>
                <w:lang w:val="lv-LV" w:eastAsia="lv-LV"/>
              </w:rPr>
              <w:t>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0AB01CB2" w14:textId="77777777" w:rsidR="005909D6" w:rsidRPr="00B42BC1" w:rsidRDefault="005909D6" w:rsidP="005909D6">
            <w:pPr>
              <w:pStyle w:val="tv213"/>
              <w:numPr>
                <w:ilvl w:val="1"/>
                <w:numId w:val="15"/>
              </w:numPr>
              <w:shd w:val="clear" w:color="auto" w:fill="FFFFFF"/>
              <w:spacing w:before="0" w:beforeAutospacing="0" w:after="120" w:afterAutospacing="0"/>
              <w:ind w:left="396" w:hanging="284"/>
              <w:jc w:val="both"/>
              <w:rPr>
                <w:color w:val="000000" w:themeColor="text1"/>
                <w:lang w:val="lv-LV" w:eastAsia="lv-LV"/>
              </w:rPr>
            </w:pPr>
            <w:r w:rsidRPr="00B42BC1">
              <w:rPr>
                <w:color w:val="000000" w:themeColor="text1"/>
                <w:lang w:val="lv-LV" w:eastAsia="lv-LV"/>
              </w:rPr>
              <w:t>kandidāts vai pretendents ir izdarījis smagu pr</w:t>
            </w:r>
            <w:r w:rsidR="00BA0851" w:rsidRPr="00B42BC1">
              <w:rPr>
                <w:color w:val="000000" w:themeColor="text1"/>
                <w:lang w:val="lv-LV" w:eastAsia="lv-LV"/>
              </w:rPr>
              <w:t>ofesionālās darbības pārkāpumu</w:t>
            </w:r>
            <w:r w:rsidRPr="00B42BC1">
              <w:rPr>
                <w:color w:val="000000" w:themeColor="text1"/>
                <w:lang w:val="lv-LV" w:eastAsia="lv-LV"/>
              </w:rPr>
              <w:t xml:space="preserve">, kas liek apšaubīt tā godīgumu, </w:t>
            </w:r>
            <w:r w:rsidR="008C51F1" w:rsidRPr="00B42BC1">
              <w:rPr>
                <w:color w:val="000000" w:themeColor="text1"/>
                <w:lang w:val="lv-LV" w:eastAsia="lv-LV"/>
              </w:rPr>
              <w:t xml:space="preserve">vai nav pildījis ar pasūtītāju vai publisko partneri noslēgtu iepirkuma līgumu, vispārīgo vienošanos vai koncesijas līgumu, </w:t>
            </w:r>
            <w:r w:rsidRPr="00B42BC1">
              <w:rPr>
                <w:color w:val="000000" w:themeColor="text1"/>
                <w:lang w:val="lv-LV" w:eastAsia="lv-LV"/>
              </w:rPr>
              <w:t>un tas ir atzīts ar tādu kompetentas institūcijas lēmumu vai tiesas spriedumu, kas stājies spēkā un kļuvis neapstrīdams un nepārsūdzams;</w:t>
            </w:r>
          </w:p>
          <w:p w14:paraId="21498A0B" w14:textId="77777777" w:rsidR="00BA0851" w:rsidRPr="00B42BC1" w:rsidRDefault="00BA0851" w:rsidP="00BA0851">
            <w:pPr>
              <w:pStyle w:val="tv213"/>
              <w:shd w:val="clear" w:color="auto" w:fill="FFFFFF"/>
              <w:spacing w:before="0" w:beforeAutospacing="0" w:after="120" w:afterAutospacing="0"/>
              <w:ind w:left="112"/>
              <w:jc w:val="both"/>
              <w:rPr>
                <w:color w:val="000000" w:themeColor="text1"/>
                <w:lang w:val="lv-LV" w:eastAsia="lv-LV"/>
              </w:rPr>
            </w:pPr>
            <w:r w:rsidRPr="00B42BC1">
              <w:rPr>
                <w:color w:val="000000" w:themeColor="text1"/>
                <w:lang w:val="lv-LV" w:eastAsia="lv-LV"/>
              </w:rPr>
              <w:t xml:space="preserve">Pārkāpumu sarakstu noteiks Ministru kabinets, taču pasūtītājam būs jāvērtē šī pārkāpuma ietekme uz potenciālā iepirkuma līguma neizpildes vai nepienācīgas izpildes apdraudējumu. </w:t>
            </w:r>
          </w:p>
          <w:p w14:paraId="1D419660" w14:textId="77777777" w:rsidR="005909D6" w:rsidRPr="00B42BC1" w:rsidRDefault="006E1610" w:rsidP="00844376">
            <w:pPr>
              <w:pStyle w:val="tv213"/>
              <w:shd w:val="clear" w:color="auto" w:fill="FFFFFF"/>
              <w:spacing w:before="0" w:beforeAutospacing="0" w:after="120" w:afterAutospacing="0"/>
              <w:jc w:val="both"/>
              <w:rPr>
                <w:color w:val="000000" w:themeColor="text1"/>
                <w:lang w:val="lv-LV" w:eastAsia="lv-LV"/>
              </w:rPr>
            </w:pPr>
            <w:r w:rsidRPr="00B42BC1">
              <w:rPr>
                <w:color w:val="000000" w:themeColor="text1"/>
                <w:lang w:val="lv-LV" w:eastAsia="lv-LV"/>
              </w:rPr>
              <w:t>Minētos izslēgšanas gadījumus piemēro arī, ja tie attiecas uz: personālsabiedrības biedru, ja kandidāts vai pretendents ir personālsabiedrība; pretendenta norādīto apakšuzņēmēju, kura veicamo būvdarbu vai sniedzamo</w:t>
            </w:r>
            <w:r w:rsidR="00344968" w:rsidRPr="00B42BC1">
              <w:rPr>
                <w:color w:val="000000" w:themeColor="text1"/>
                <w:lang w:val="lv-LV" w:eastAsia="lv-LV"/>
              </w:rPr>
              <w:t xml:space="preserve"> pakalpojumu vērtība ir vismaz 1</w:t>
            </w:r>
            <w:r w:rsidRPr="00B42BC1">
              <w:rPr>
                <w:color w:val="000000" w:themeColor="text1"/>
                <w:lang w:val="lv-LV" w:eastAsia="lv-LV"/>
              </w:rPr>
              <w:t>0 procenti no kopējās publiska būvdarbu, pakalpojumu vai piegādes līguma vērtības; kandidāta vai pretendenta norādīto personu, uz kuras iespējām kandidāts vai pretendents balstās, lai apliecinātu, ka tā kvalifikācija atbilst paziņojumā par līgumu vai iepirkumu procedūras dokumentos noteiktajām prasībām.</w:t>
            </w:r>
          </w:p>
          <w:p w14:paraId="78329433" w14:textId="77777777" w:rsidR="00371A12" w:rsidRPr="00B42BC1" w:rsidRDefault="00E458E1" w:rsidP="00844376">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Izslēgšanas gadījumu pārbaudes kārtība paliek tāda pati kā šobrīd Publisko iepirkumu likumā. </w:t>
            </w:r>
          </w:p>
          <w:p w14:paraId="476C52A0" w14:textId="71253234" w:rsidR="0095225A" w:rsidRPr="00B42BC1" w:rsidRDefault="00E458E1" w:rsidP="0095225A">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 2014/24/ES</w:t>
            </w:r>
            <w:r w:rsidR="00B9130E" w:rsidRPr="00B42BC1">
              <w:rPr>
                <w:rFonts w:ascii="Times New Roman" w:eastAsia="Times New Roman" w:hAnsi="Times New Roman"/>
                <w:color w:val="000000" w:themeColor="text1"/>
                <w:sz w:val="24"/>
                <w:szCs w:val="24"/>
                <w:lang w:val="lv-LV" w:eastAsia="lv-LV"/>
              </w:rPr>
              <w:t xml:space="preserve"> </w:t>
            </w:r>
            <w:r w:rsidR="009532D1" w:rsidRPr="00B42BC1">
              <w:rPr>
                <w:rFonts w:ascii="Times New Roman" w:eastAsia="Times New Roman" w:hAnsi="Times New Roman"/>
                <w:b/>
                <w:color w:val="000000" w:themeColor="text1"/>
                <w:sz w:val="24"/>
                <w:szCs w:val="24"/>
                <w:u w:val="single"/>
                <w:lang w:val="lv-LV" w:eastAsia="lv-LV"/>
              </w:rPr>
              <w:t>paredz b</w:t>
            </w:r>
            <w:r w:rsidR="00FB075F" w:rsidRPr="00B42BC1">
              <w:rPr>
                <w:rFonts w:ascii="Times New Roman" w:eastAsia="Times New Roman" w:hAnsi="Times New Roman"/>
                <w:b/>
                <w:color w:val="000000" w:themeColor="text1"/>
                <w:sz w:val="24"/>
                <w:szCs w:val="24"/>
                <w:u w:val="single"/>
                <w:lang w:val="lv-LV" w:eastAsia="lv-LV"/>
              </w:rPr>
              <w:t xml:space="preserve">ūtisku jauninājumu – piegādātāju </w:t>
            </w:r>
            <w:r w:rsidR="004417E1" w:rsidRPr="00B42BC1">
              <w:rPr>
                <w:rFonts w:ascii="Times New Roman" w:eastAsia="Times New Roman" w:hAnsi="Times New Roman"/>
                <w:b/>
                <w:color w:val="000000" w:themeColor="text1"/>
                <w:sz w:val="24"/>
                <w:szCs w:val="24"/>
                <w:u w:val="single"/>
                <w:lang w:val="lv-LV" w:eastAsia="lv-LV"/>
              </w:rPr>
              <w:t>uzticamības atjaunošanu</w:t>
            </w:r>
            <w:r w:rsidR="004417E1" w:rsidRPr="00B42BC1">
              <w:rPr>
                <w:rFonts w:ascii="Times New Roman" w:eastAsia="Times New Roman" w:hAnsi="Times New Roman"/>
                <w:color w:val="000000" w:themeColor="text1"/>
                <w:sz w:val="24"/>
                <w:szCs w:val="24"/>
                <w:lang w:val="lv-LV" w:eastAsia="lv-LV"/>
              </w:rPr>
              <w:t xml:space="preserve">. </w:t>
            </w:r>
            <w:r w:rsidR="005B3322" w:rsidRPr="00B42BC1">
              <w:rPr>
                <w:rFonts w:ascii="Times New Roman" w:eastAsia="Times New Roman" w:hAnsi="Times New Roman"/>
                <w:color w:val="000000" w:themeColor="text1"/>
                <w:sz w:val="24"/>
                <w:szCs w:val="24"/>
                <w:lang w:val="lv-LV" w:eastAsia="lv-LV"/>
              </w:rPr>
              <w:t xml:space="preserve">Ja kandidāts vai personālsabiedrības biedrs, ja kandidāts ir personālsabiedrība, atbilst 42.panta pirmās daļas 1., 3., 4., 5., 6., 7. </w:t>
            </w:r>
            <w:r w:rsidR="009D7E93" w:rsidRPr="00B42BC1">
              <w:rPr>
                <w:rFonts w:ascii="Times New Roman" w:eastAsia="Times New Roman" w:hAnsi="Times New Roman"/>
                <w:color w:val="000000" w:themeColor="text1"/>
                <w:sz w:val="24"/>
                <w:szCs w:val="24"/>
                <w:lang w:val="lv-LV" w:eastAsia="lv-LV"/>
              </w:rPr>
              <w:t>vai 8.punktā vai otrās daļas 1. un</w:t>
            </w:r>
            <w:r w:rsidR="005B3322" w:rsidRPr="00B42BC1">
              <w:rPr>
                <w:rFonts w:ascii="Times New Roman" w:eastAsia="Times New Roman" w:hAnsi="Times New Roman"/>
                <w:color w:val="000000" w:themeColor="text1"/>
                <w:sz w:val="24"/>
                <w:szCs w:val="24"/>
                <w:lang w:val="lv-LV" w:eastAsia="lv-LV"/>
              </w:rPr>
              <w:t xml:space="preserve"> 2.</w:t>
            </w:r>
            <w:r w:rsidR="009D7E93" w:rsidRPr="00B42BC1">
              <w:rPr>
                <w:rFonts w:ascii="Times New Roman" w:eastAsia="Times New Roman" w:hAnsi="Times New Roman"/>
                <w:color w:val="000000" w:themeColor="text1"/>
                <w:sz w:val="24"/>
                <w:szCs w:val="24"/>
                <w:lang w:val="lv-LV" w:eastAsia="lv-LV"/>
              </w:rPr>
              <w:t xml:space="preserve"> </w:t>
            </w:r>
            <w:r w:rsidR="005B3322" w:rsidRPr="00B42BC1">
              <w:rPr>
                <w:rFonts w:ascii="Times New Roman" w:eastAsia="Times New Roman" w:hAnsi="Times New Roman"/>
                <w:color w:val="000000" w:themeColor="text1"/>
                <w:sz w:val="24"/>
                <w:szCs w:val="24"/>
                <w:lang w:val="lv-LV" w:eastAsia="lv-LV"/>
              </w:rPr>
              <w:t>punktā minētajam izslēgšanas gadījumam, tam ir iespēja pierādīt, ka tas nav izsl</w:t>
            </w:r>
            <w:r w:rsidR="00E760C8" w:rsidRPr="00B42BC1">
              <w:rPr>
                <w:rFonts w:ascii="Times New Roman" w:eastAsia="Times New Roman" w:hAnsi="Times New Roman"/>
                <w:color w:val="000000" w:themeColor="text1"/>
                <w:sz w:val="24"/>
                <w:szCs w:val="24"/>
                <w:lang w:val="lv-LV" w:eastAsia="lv-LV"/>
              </w:rPr>
              <w:t xml:space="preserve">ēdzams no iepirkuma </w:t>
            </w:r>
            <w:r w:rsidR="00E760C8" w:rsidRPr="00B42BC1">
              <w:rPr>
                <w:rFonts w:ascii="Times New Roman" w:eastAsia="Times New Roman" w:hAnsi="Times New Roman"/>
                <w:color w:val="000000" w:themeColor="text1"/>
                <w:sz w:val="24"/>
                <w:szCs w:val="24"/>
                <w:lang w:val="lv-LV" w:eastAsia="lv-LV"/>
              </w:rPr>
              <w:lastRenderedPageBreak/>
              <w:t>atbilstoši noteiktajiem izslēgšanas gadījumiem, bet pierādīt pasūtītājam, ka tas ir veicis pasākumus, lai atjaunotu savu uzticamību un novērstu nākotnē tādu pašu un līdzīgu gadījumu atkārtošanos.</w:t>
            </w:r>
            <w:r w:rsidR="0095225A" w:rsidRPr="00B42BC1">
              <w:rPr>
                <w:rFonts w:ascii="Times New Roman" w:eastAsia="Times New Roman" w:hAnsi="Times New Roman"/>
                <w:color w:val="000000" w:themeColor="text1"/>
                <w:sz w:val="24"/>
                <w:szCs w:val="24"/>
                <w:lang w:val="lv-LV" w:eastAsia="lv-LV"/>
              </w:rPr>
              <w:t xml:space="preserve"> Pasūtītājam ir jāizvērtē kandidāta, pretendenta vai personālsabiedrības biedra, ja kandidāts vai pretendents ir personālsabiedrība, veiktos pasākumus un to pierādījumus, ņemot vērā noziedzīga nodarījuma vai pārkāpuma smagumu un konkrētos apstākļus.</w:t>
            </w:r>
            <w:r w:rsidR="005C5846" w:rsidRPr="00B42BC1">
              <w:rPr>
                <w:rFonts w:ascii="Times New Roman" w:eastAsia="Times New Roman" w:hAnsi="Times New Roman"/>
                <w:color w:val="000000" w:themeColor="text1"/>
                <w:sz w:val="24"/>
                <w:szCs w:val="24"/>
                <w:lang w:val="lv-LV" w:eastAsia="lv-LV"/>
              </w:rPr>
              <w:t xml:space="preserve"> </w:t>
            </w:r>
            <w:r w:rsidR="0095225A" w:rsidRPr="00B42BC1">
              <w:rPr>
                <w:rFonts w:ascii="Times New Roman" w:eastAsia="Times New Roman" w:hAnsi="Times New Roman"/>
                <w:color w:val="000000" w:themeColor="text1"/>
                <w:sz w:val="24"/>
                <w:szCs w:val="24"/>
                <w:lang w:val="lv-LV" w:eastAsia="lv-LV"/>
              </w:rPr>
              <w:t xml:space="preserve">Ja pasūtītājs veiktos pasākumus uzskata par pietiekamiem, tas pieņem lēmumu neizslēgt attiecīgo kandidātu vai pretendentu no dalības iepirkuma procedūrā. Ja veiktie pasākumi ir nepietiekami, pasūtītājs pieņem </w:t>
            </w:r>
            <w:r w:rsidR="00374B8E" w:rsidRPr="00B42BC1">
              <w:rPr>
                <w:rFonts w:ascii="Times New Roman" w:eastAsia="Times New Roman" w:hAnsi="Times New Roman"/>
                <w:color w:val="000000" w:themeColor="text1"/>
                <w:sz w:val="24"/>
                <w:szCs w:val="24"/>
                <w:lang w:val="lv-LV" w:eastAsia="lv-LV"/>
              </w:rPr>
              <w:t xml:space="preserve">motivētu </w:t>
            </w:r>
            <w:r w:rsidR="0095225A" w:rsidRPr="00B42BC1">
              <w:rPr>
                <w:rFonts w:ascii="Times New Roman" w:eastAsia="Times New Roman" w:hAnsi="Times New Roman"/>
                <w:color w:val="000000" w:themeColor="text1"/>
                <w:sz w:val="24"/>
                <w:szCs w:val="24"/>
                <w:lang w:val="lv-LV" w:eastAsia="lv-LV"/>
              </w:rPr>
              <w:t>lēmumu izslēgt kandidātu vai pretendentu no tālākas dalības iepirkuma procedūrā.</w:t>
            </w:r>
            <w:r w:rsidR="00EA3C5D" w:rsidRPr="00B42BC1">
              <w:rPr>
                <w:rFonts w:ascii="Times New Roman" w:eastAsia="Times New Roman" w:hAnsi="Times New Roman"/>
                <w:color w:val="000000" w:themeColor="text1"/>
                <w:sz w:val="24"/>
                <w:szCs w:val="24"/>
                <w:lang w:val="lv-LV" w:eastAsia="lv-LV"/>
              </w:rPr>
              <w:t xml:space="preserve"> </w:t>
            </w:r>
          </w:p>
          <w:p w14:paraId="21AAA5C2" w14:textId="77777777" w:rsidR="00D0507E" w:rsidRPr="00B42BC1" w:rsidRDefault="00D0507E" w:rsidP="0095225A">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Likumprojekts paredz </w:t>
            </w:r>
            <w:r w:rsidR="00F52280" w:rsidRPr="00B42BC1">
              <w:rPr>
                <w:rFonts w:ascii="Times New Roman" w:eastAsia="Times New Roman" w:hAnsi="Times New Roman"/>
                <w:color w:val="000000" w:themeColor="text1"/>
                <w:sz w:val="24"/>
                <w:szCs w:val="24"/>
                <w:lang w:val="lv-LV" w:eastAsia="lv-LV"/>
              </w:rPr>
              <w:t>pasūtītāja tiesības prasīt attiecīgā noziedzīgā nodarījuma vai pārkāpuma jomas kompetentām institūcijām atzinumus par kandidāta vai pretendenta veikto pasākumu pietiekamību uzticamības atjaunošanai un tādu pašu un līdzīgu gadījumu novēršanai nākotnē</w:t>
            </w:r>
            <w:r w:rsidR="001B2B99" w:rsidRPr="00B42BC1">
              <w:rPr>
                <w:rFonts w:ascii="Times New Roman" w:eastAsia="Times New Roman" w:hAnsi="Times New Roman"/>
                <w:color w:val="000000" w:themeColor="text1"/>
                <w:sz w:val="24"/>
                <w:szCs w:val="24"/>
                <w:lang w:val="lv-LV" w:eastAsia="lv-LV"/>
              </w:rPr>
              <w:t>. Šādiem atzinumiem ir rekomendējošs raksturs. Piemēram, attiecībā uz konkurences tiesību pārkāpumiem šāda institūcija ir Konkurences padome,</w:t>
            </w:r>
            <w:r w:rsidR="002464FD" w:rsidRPr="00B42BC1">
              <w:rPr>
                <w:rFonts w:ascii="Times New Roman" w:eastAsia="Times New Roman" w:hAnsi="Times New Roman"/>
                <w:color w:val="000000" w:themeColor="text1"/>
                <w:sz w:val="24"/>
                <w:szCs w:val="24"/>
                <w:lang w:val="lv-LV" w:eastAsia="lv-LV"/>
              </w:rPr>
              <w:t xml:space="preserve"> attiecībā uz darba tiesību un darba aizsardzības noteikumu pārkāpumiem – Valsts darba inspekcija.</w:t>
            </w:r>
            <w:r w:rsidR="001B2B99" w:rsidRPr="00B42BC1">
              <w:rPr>
                <w:rFonts w:ascii="Times New Roman" w:eastAsia="Times New Roman" w:hAnsi="Times New Roman"/>
                <w:color w:val="000000" w:themeColor="text1"/>
                <w:sz w:val="24"/>
                <w:szCs w:val="24"/>
                <w:lang w:val="lv-LV" w:eastAsia="lv-LV"/>
              </w:rPr>
              <w:t xml:space="preserve"> </w:t>
            </w:r>
            <w:r w:rsidR="002464FD" w:rsidRPr="00B42BC1">
              <w:rPr>
                <w:rFonts w:ascii="Times New Roman" w:eastAsia="Times New Roman" w:hAnsi="Times New Roman"/>
                <w:color w:val="000000" w:themeColor="text1"/>
                <w:sz w:val="24"/>
                <w:szCs w:val="24"/>
                <w:lang w:val="lv-LV" w:eastAsia="lv-LV"/>
              </w:rPr>
              <w:t>A</w:t>
            </w:r>
            <w:r w:rsidR="00872B7A" w:rsidRPr="00B42BC1">
              <w:rPr>
                <w:rFonts w:ascii="Times New Roman" w:eastAsia="Times New Roman" w:hAnsi="Times New Roman"/>
                <w:color w:val="000000" w:themeColor="text1"/>
                <w:sz w:val="24"/>
                <w:szCs w:val="24"/>
                <w:lang w:val="lv-LV" w:eastAsia="lv-LV"/>
              </w:rPr>
              <w:t xml:space="preserve">tzinumu </w:t>
            </w:r>
            <w:r w:rsidR="00D31B81" w:rsidRPr="00B42BC1">
              <w:rPr>
                <w:rFonts w:ascii="Times New Roman" w:eastAsia="Times New Roman" w:hAnsi="Times New Roman"/>
                <w:color w:val="000000" w:themeColor="text1"/>
                <w:sz w:val="24"/>
                <w:szCs w:val="24"/>
                <w:lang w:val="lv-LV" w:eastAsia="lv-LV"/>
              </w:rPr>
              <w:t xml:space="preserve">Latvijas kompetentajām iestādēm </w:t>
            </w:r>
            <w:r w:rsidR="00872B7A" w:rsidRPr="00B42BC1">
              <w:rPr>
                <w:rFonts w:ascii="Times New Roman" w:eastAsia="Times New Roman" w:hAnsi="Times New Roman"/>
                <w:color w:val="000000" w:themeColor="text1"/>
                <w:sz w:val="24"/>
                <w:szCs w:val="24"/>
                <w:lang w:val="lv-LV" w:eastAsia="lv-LV"/>
              </w:rPr>
              <w:t xml:space="preserve">var lūgt arī par ārvalstu piegādātāju. </w:t>
            </w:r>
          </w:p>
          <w:p w14:paraId="2AA5D0F4" w14:textId="77777777" w:rsidR="00E458E1" w:rsidRPr="00B42BC1" w:rsidRDefault="00206330" w:rsidP="00844376">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w:t>
            </w:r>
            <w:r w:rsidRPr="00B42BC1">
              <w:rPr>
                <w:rFonts w:ascii="Times New Roman" w:eastAsia="Times New Roman" w:hAnsi="Times New Roman"/>
                <w:b/>
                <w:color w:val="000000" w:themeColor="text1"/>
                <w:sz w:val="24"/>
                <w:szCs w:val="24"/>
                <w:u w:val="single"/>
                <w:lang w:val="lv-LV" w:eastAsia="lv-LV"/>
              </w:rPr>
              <w:t>precizē prasības, kādas var noteikt kandidātu un pretendentu saimnieciskajam un finansiālajam stāvoklim</w:t>
            </w:r>
            <w:r w:rsidRPr="00B42BC1">
              <w:rPr>
                <w:rFonts w:ascii="Times New Roman" w:eastAsia="Times New Roman" w:hAnsi="Times New Roman"/>
                <w:color w:val="000000" w:themeColor="text1"/>
                <w:sz w:val="24"/>
                <w:szCs w:val="24"/>
                <w:lang w:val="lv-LV" w:eastAsia="lv-LV"/>
              </w:rPr>
              <w:t xml:space="preserve">. </w:t>
            </w:r>
          </w:p>
          <w:p w14:paraId="364DF370" w14:textId="77777777" w:rsidR="00D017E8" w:rsidRPr="00B42BC1" w:rsidRDefault="00A95D5A" w:rsidP="00B564ED">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w:t>
            </w:r>
            <w:r w:rsidRPr="00B42BC1">
              <w:rPr>
                <w:rFonts w:ascii="Times New Roman" w:eastAsia="Times New Roman" w:hAnsi="Times New Roman"/>
                <w:b/>
                <w:color w:val="000000" w:themeColor="text1"/>
                <w:sz w:val="24"/>
                <w:szCs w:val="24"/>
                <w:u w:val="single"/>
                <w:lang w:val="lv-LV" w:eastAsia="lv-LV"/>
              </w:rPr>
              <w:t xml:space="preserve">ievieš </w:t>
            </w:r>
            <w:r w:rsidR="00E54FF7" w:rsidRPr="00B42BC1">
              <w:rPr>
                <w:rFonts w:ascii="Times New Roman" w:eastAsia="Times New Roman" w:hAnsi="Times New Roman"/>
                <w:b/>
                <w:color w:val="000000" w:themeColor="text1"/>
                <w:sz w:val="24"/>
                <w:szCs w:val="24"/>
                <w:u w:val="single"/>
                <w:lang w:val="lv-LV" w:eastAsia="lv-LV"/>
              </w:rPr>
              <w:t>Eiropas vienoto iepirkuma procedūras dokumentu</w:t>
            </w:r>
            <w:r w:rsidR="00E54FF7" w:rsidRPr="00B42BC1">
              <w:rPr>
                <w:rFonts w:ascii="Times New Roman" w:eastAsia="Times New Roman" w:hAnsi="Times New Roman"/>
                <w:color w:val="000000" w:themeColor="text1"/>
                <w:sz w:val="24"/>
                <w:szCs w:val="24"/>
                <w:lang w:val="lv-LV" w:eastAsia="lv-LV"/>
              </w:rPr>
              <w:t>, kas kalpos kā sākotnējais pierādījums atbilstībai paziņojumā par līgumu vai iepirkumu procedūras dokumentos noteiktajām pretendentu un kandidātu atlases prasībām.</w:t>
            </w:r>
            <w:r w:rsidR="008336C0" w:rsidRPr="00B42BC1">
              <w:rPr>
                <w:rFonts w:ascii="Times New Roman" w:eastAsia="Times New Roman" w:hAnsi="Times New Roman"/>
                <w:color w:val="000000" w:themeColor="text1"/>
                <w:sz w:val="24"/>
                <w:szCs w:val="24"/>
                <w:lang w:val="lv-LV" w:eastAsia="lv-LV"/>
              </w:rPr>
              <w:t xml:space="preserve"> Pasūtītājs atbilstību paziņojumā par līgumu vai iepirkuma procedūras dokumentos pierādošos dokumentus pieprasīs tikai pretendentam, kam būtu potenciāli piešķiramas iepirkuma līguma slēgšanas tiesības</w:t>
            </w:r>
            <w:r w:rsidR="00B564ED" w:rsidRPr="00B42BC1">
              <w:rPr>
                <w:rFonts w:ascii="Times New Roman" w:eastAsia="Times New Roman" w:hAnsi="Times New Roman"/>
                <w:color w:val="000000" w:themeColor="text1"/>
                <w:sz w:val="24"/>
                <w:szCs w:val="24"/>
                <w:lang w:val="lv-LV" w:eastAsia="lv-LV"/>
              </w:rPr>
              <w:t xml:space="preserve">, taču tam tomēr ir tiesības jebkurā iepirkuma procedūras stadijā prasīt, lai pretendents un kandidāts iesniedz visus vai daļu no dokumentiem, kas apliecina atbilstību paziņojumā par līgumu vai iepirkumu procedūras dokumentos noteiktajām pretendentu un kandidātu atlases prasībām. </w:t>
            </w:r>
            <w:r w:rsidR="00D9306E" w:rsidRPr="00B42BC1">
              <w:rPr>
                <w:rFonts w:ascii="Times New Roman" w:eastAsia="Times New Roman" w:hAnsi="Times New Roman"/>
                <w:color w:val="000000" w:themeColor="text1"/>
                <w:sz w:val="24"/>
                <w:szCs w:val="24"/>
                <w:lang w:val="lv-LV" w:eastAsia="lv-LV"/>
              </w:rPr>
              <w:t xml:space="preserve">Kopumā minētais dokuments samazinās administratīvo slogu piegādātājiem. </w:t>
            </w:r>
            <w:r w:rsidR="00B564ED" w:rsidRPr="00B42BC1">
              <w:rPr>
                <w:color w:val="000000" w:themeColor="text1"/>
                <w:sz w:val="28"/>
                <w:szCs w:val="28"/>
                <w:lang w:val="lv-LV" w:eastAsia="lv-LV"/>
              </w:rPr>
              <w:t xml:space="preserve"> </w:t>
            </w:r>
            <w:r w:rsidR="00B564ED" w:rsidRPr="00B42BC1">
              <w:rPr>
                <w:rFonts w:ascii="Times New Roman" w:eastAsia="Times New Roman" w:hAnsi="Times New Roman"/>
                <w:color w:val="000000" w:themeColor="text1"/>
                <w:sz w:val="24"/>
                <w:szCs w:val="24"/>
                <w:lang w:val="lv-LV" w:eastAsia="lv-LV"/>
              </w:rPr>
              <w:t xml:space="preserve"> </w:t>
            </w:r>
          </w:p>
          <w:p w14:paraId="6780DE83" w14:textId="77777777" w:rsidR="00A95D5A" w:rsidRPr="00B42BC1" w:rsidRDefault="00D017E8" w:rsidP="00B564ED">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Likumprojektā precizēts saistību izpildes nodrošinājuma regulējums</w:t>
            </w:r>
            <w:r w:rsidRPr="00B42BC1">
              <w:rPr>
                <w:rFonts w:ascii="Times New Roman" w:eastAsia="Times New Roman" w:hAnsi="Times New Roman"/>
                <w:color w:val="000000" w:themeColor="text1"/>
                <w:sz w:val="24"/>
                <w:szCs w:val="24"/>
                <w:lang w:val="lv-LV" w:eastAsia="lv-LV"/>
              </w:rPr>
              <w:t xml:space="preserve">, paredzot analogus nodrošinājuma formātus kā piedāvājuma nodrošinājumam. </w:t>
            </w:r>
            <w:r w:rsidR="004534AD" w:rsidRPr="00B42BC1">
              <w:rPr>
                <w:rFonts w:ascii="Times New Roman" w:eastAsia="Times New Roman" w:hAnsi="Times New Roman"/>
                <w:color w:val="000000" w:themeColor="text1"/>
                <w:sz w:val="24"/>
                <w:szCs w:val="24"/>
                <w:lang w:val="lv-LV" w:eastAsia="lv-LV"/>
              </w:rPr>
              <w:t xml:space="preserve">Saistību izpildes nodrošinājuma apmērs ir jānosaka samērīgi, ņemot vērā Iepirkumu uzraudzības biroja praksi </w:t>
            </w:r>
            <w:r w:rsidR="00C10E34" w:rsidRPr="00B42BC1">
              <w:rPr>
                <w:rFonts w:ascii="Times New Roman" w:eastAsia="Times New Roman" w:hAnsi="Times New Roman"/>
                <w:color w:val="000000" w:themeColor="text1"/>
                <w:sz w:val="24"/>
                <w:szCs w:val="24"/>
                <w:lang w:val="lv-LV" w:eastAsia="lv-LV"/>
              </w:rPr>
              <w:t xml:space="preserve">iesniegumu izskatīšanā par šo jautājumu. </w:t>
            </w:r>
            <w:r w:rsidR="00E54FF7" w:rsidRPr="00B42BC1">
              <w:rPr>
                <w:rFonts w:ascii="Times New Roman" w:eastAsia="Times New Roman" w:hAnsi="Times New Roman"/>
                <w:color w:val="000000" w:themeColor="text1"/>
                <w:sz w:val="24"/>
                <w:szCs w:val="24"/>
                <w:lang w:val="lv-LV" w:eastAsia="lv-LV"/>
              </w:rPr>
              <w:t xml:space="preserve"> </w:t>
            </w:r>
          </w:p>
          <w:p w14:paraId="55E524BA" w14:textId="580CBDDA" w:rsidR="00D9306E" w:rsidRPr="00B42BC1" w:rsidRDefault="00D9306E" w:rsidP="0033625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paredz, ka </w:t>
            </w:r>
            <w:r w:rsidRPr="00B42BC1">
              <w:rPr>
                <w:rFonts w:ascii="Times New Roman" w:eastAsia="Times New Roman" w:hAnsi="Times New Roman"/>
                <w:b/>
                <w:color w:val="000000" w:themeColor="text1"/>
                <w:sz w:val="24"/>
                <w:szCs w:val="24"/>
                <w:u w:val="single"/>
                <w:lang w:val="lv-LV" w:eastAsia="lv-LV"/>
              </w:rPr>
              <w:t>pasūtītājiem primāri jāpiešķir iepirkuma līguma slēgšanas tiesības saimnieciski visizdevīgākajam piedāvājumam</w:t>
            </w:r>
            <w:r w:rsidRPr="00B42BC1">
              <w:rPr>
                <w:rFonts w:ascii="Times New Roman" w:eastAsia="Times New Roman" w:hAnsi="Times New Roman"/>
                <w:color w:val="000000" w:themeColor="text1"/>
                <w:sz w:val="24"/>
                <w:szCs w:val="24"/>
                <w:lang w:val="lv-LV" w:eastAsia="lv-LV"/>
              </w:rPr>
              <w:t xml:space="preserve">, kuru nosaka ņemot vērā </w:t>
            </w:r>
            <w:r w:rsidR="00007926" w:rsidRPr="00B42BC1">
              <w:rPr>
                <w:rFonts w:ascii="Times New Roman" w:eastAsia="Times New Roman" w:hAnsi="Times New Roman"/>
                <w:color w:val="000000" w:themeColor="text1"/>
                <w:sz w:val="24"/>
                <w:szCs w:val="24"/>
                <w:lang w:val="lv-LV" w:eastAsia="lv-LV"/>
              </w:rPr>
              <w:lastRenderedPageBreak/>
              <w:t>izmaksas vai cenu vai izmaksas un kvalitātes kritērijus, vai tikai cenu</w:t>
            </w:r>
            <w:r w:rsidRPr="00B42BC1">
              <w:rPr>
                <w:rFonts w:ascii="Times New Roman" w:eastAsia="Times New Roman" w:hAnsi="Times New Roman"/>
                <w:color w:val="000000" w:themeColor="text1"/>
                <w:sz w:val="24"/>
                <w:szCs w:val="24"/>
                <w:lang w:val="lv-LV" w:eastAsia="lv-LV"/>
              </w:rPr>
              <w:t xml:space="preserve">. </w:t>
            </w:r>
            <w:r w:rsidR="00336258" w:rsidRPr="00B42BC1">
              <w:rPr>
                <w:rFonts w:ascii="Times New Roman" w:eastAsia="Times New Roman" w:hAnsi="Times New Roman"/>
                <w:color w:val="000000" w:themeColor="text1"/>
                <w:sz w:val="24"/>
                <w:szCs w:val="24"/>
                <w:lang w:val="lv-LV" w:eastAsia="lv-LV"/>
              </w:rPr>
              <w:t xml:space="preserve">Direktīva 2014/24/ES pieļauj, ka dalībvalstis </w:t>
            </w:r>
            <w:r w:rsidR="00F3172A" w:rsidRPr="00B42BC1">
              <w:rPr>
                <w:rFonts w:ascii="Times New Roman" w:eastAsia="Times New Roman" w:hAnsi="Times New Roman"/>
                <w:color w:val="000000" w:themeColor="text1"/>
                <w:sz w:val="24"/>
                <w:szCs w:val="24"/>
                <w:lang w:val="lv-LV" w:eastAsia="lv-LV"/>
              </w:rPr>
              <w:t>noteiktos</w:t>
            </w:r>
            <w:r w:rsidR="00336258" w:rsidRPr="00B42BC1">
              <w:rPr>
                <w:rFonts w:ascii="Times New Roman" w:eastAsia="Times New Roman" w:hAnsi="Times New Roman"/>
                <w:color w:val="000000" w:themeColor="text1"/>
                <w:sz w:val="24"/>
                <w:szCs w:val="24"/>
                <w:lang w:val="lv-LV" w:eastAsia="lv-LV"/>
              </w:rPr>
              <w:t xml:space="preserve"> gadījumos tomēr izmanto arī cen</w:t>
            </w:r>
            <w:r w:rsidR="00007926" w:rsidRPr="00B42BC1">
              <w:rPr>
                <w:rFonts w:ascii="Times New Roman" w:eastAsia="Times New Roman" w:hAnsi="Times New Roman"/>
                <w:color w:val="000000" w:themeColor="text1"/>
                <w:sz w:val="24"/>
                <w:szCs w:val="24"/>
                <w:lang w:val="lv-LV" w:eastAsia="lv-LV"/>
              </w:rPr>
              <w:t>u kā vienīgo piedāvājumu izvērtēšanas kritēriju</w:t>
            </w:r>
            <w:r w:rsidR="00336258" w:rsidRPr="00B42BC1">
              <w:rPr>
                <w:rFonts w:ascii="Times New Roman" w:eastAsia="Times New Roman" w:hAnsi="Times New Roman"/>
                <w:color w:val="000000" w:themeColor="text1"/>
                <w:sz w:val="24"/>
                <w:szCs w:val="24"/>
                <w:lang w:val="lv-LV" w:eastAsia="lv-LV"/>
              </w:rPr>
              <w:t xml:space="preserve">. Darba grupā </w:t>
            </w:r>
            <w:r w:rsidR="00F3172A" w:rsidRPr="00B42BC1">
              <w:rPr>
                <w:rFonts w:ascii="Times New Roman" w:eastAsia="Times New Roman" w:hAnsi="Times New Roman"/>
                <w:color w:val="000000" w:themeColor="text1"/>
                <w:sz w:val="24"/>
                <w:szCs w:val="24"/>
                <w:lang w:val="lv-LV" w:eastAsia="lv-LV"/>
              </w:rPr>
              <w:t>no</w:t>
            </w:r>
            <w:r w:rsidR="00336258" w:rsidRPr="00B42BC1">
              <w:rPr>
                <w:rFonts w:ascii="Times New Roman" w:eastAsia="Times New Roman" w:hAnsi="Times New Roman"/>
                <w:color w:val="000000" w:themeColor="text1"/>
                <w:sz w:val="24"/>
                <w:szCs w:val="24"/>
                <w:lang w:val="lv-LV" w:eastAsia="lv-LV"/>
              </w:rPr>
              <w:t xml:space="preserve">tika </w:t>
            </w:r>
            <w:r w:rsidR="00F3172A" w:rsidRPr="00B42BC1">
              <w:rPr>
                <w:rFonts w:ascii="Times New Roman" w:eastAsia="Times New Roman" w:hAnsi="Times New Roman"/>
                <w:color w:val="000000" w:themeColor="text1"/>
                <w:sz w:val="24"/>
                <w:szCs w:val="24"/>
                <w:lang w:val="lv-LV" w:eastAsia="lv-LV"/>
              </w:rPr>
              <w:t>diskusijas un sākotnēji tika panākta</w:t>
            </w:r>
            <w:r w:rsidR="00336258" w:rsidRPr="00B42BC1">
              <w:rPr>
                <w:rFonts w:ascii="Times New Roman" w:eastAsia="Times New Roman" w:hAnsi="Times New Roman"/>
                <w:color w:val="000000" w:themeColor="text1"/>
                <w:sz w:val="24"/>
                <w:szCs w:val="24"/>
                <w:lang w:val="lv-LV" w:eastAsia="lv-LV"/>
              </w:rPr>
              <w:t xml:space="preserve"> vienošanā, ka cenas kritērijs ir piemērojams tikai publiska piegādes līguma gadījumā</w:t>
            </w:r>
            <w:r w:rsidR="00701A21" w:rsidRPr="00B42BC1">
              <w:rPr>
                <w:rFonts w:ascii="Times New Roman" w:eastAsia="Times New Roman" w:hAnsi="Times New Roman"/>
                <w:color w:val="000000" w:themeColor="text1"/>
                <w:sz w:val="24"/>
                <w:szCs w:val="24"/>
                <w:lang w:val="lv-LV" w:eastAsia="lv-LV"/>
              </w:rPr>
              <w:t xml:space="preserve">, ja citi faktori (piemēram, apkalpošana, ekspluatācijas izmaksas, garantijas nosacījumi, piegādes veids utt.) nav būtiski piegādes izvēlē. Līdz ar to faktiski cenas kritēriju vajadzētu piemērot tikai vienkāršotu preču iepirkumiem. </w:t>
            </w:r>
            <w:r w:rsidR="00974AA3" w:rsidRPr="00B42BC1">
              <w:rPr>
                <w:rFonts w:ascii="Times New Roman" w:eastAsia="Times New Roman" w:hAnsi="Times New Roman"/>
                <w:color w:val="000000" w:themeColor="text1"/>
                <w:sz w:val="24"/>
                <w:szCs w:val="24"/>
                <w:lang w:val="lv-LV" w:eastAsia="lv-LV"/>
              </w:rPr>
              <w:t>Likumprojekta saskaņošanas ietvaros tika izteikti priekšlikumi, ka cenas kritērijs būtu piemērojams arī atsevišķiem būvdarbiem un pakalpojumiem, līdz ar to likumprojekts paredz, ka cenas kritēriju var izmantot tādos gadījumos, ja tehniskā specifikācija ir i</w:t>
            </w:r>
            <w:r w:rsidR="008C0C11" w:rsidRPr="00B42BC1">
              <w:rPr>
                <w:rFonts w:ascii="Times New Roman" w:eastAsia="Times New Roman" w:hAnsi="Times New Roman"/>
                <w:color w:val="000000" w:themeColor="text1"/>
                <w:sz w:val="24"/>
                <w:szCs w:val="24"/>
                <w:lang w:val="lv-LV" w:eastAsia="lv-LV"/>
              </w:rPr>
              <w:t xml:space="preserve">zstrādāta pietiekami detalizēta un citiem ir nebūtiska nozīme piedāvājumu izvēlē. </w:t>
            </w:r>
            <w:r w:rsidR="00974AA3" w:rsidRPr="00B42BC1">
              <w:rPr>
                <w:rFonts w:ascii="Times New Roman" w:eastAsia="Times New Roman" w:hAnsi="Times New Roman"/>
                <w:color w:val="000000" w:themeColor="text1"/>
                <w:sz w:val="24"/>
                <w:szCs w:val="24"/>
                <w:lang w:val="lv-LV" w:eastAsia="lv-LV"/>
              </w:rPr>
              <w:t xml:space="preserve"> Detalizācijas pakāpei jābūt tādai, lai piegādātājs spēj pietiekami precīzi noteikt būvdarbu, pakalpojuma vai preces cenu un pasūtītājs salīdzināt piedāvājumus. </w:t>
            </w:r>
            <w:r w:rsidR="008C0C11" w:rsidRPr="00B42BC1">
              <w:rPr>
                <w:rFonts w:ascii="Times New Roman" w:eastAsia="Times New Roman" w:hAnsi="Times New Roman"/>
                <w:color w:val="000000" w:themeColor="text1"/>
                <w:sz w:val="24"/>
                <w:szCs w:val="24"/>
                <w:lang w:val="lv-LV" w:eastAsia="lv-LV"/>
              </w:rPr>
              <w:t xml:space="preserve">Tāpat tikai cenas kritērijs ir piemērojams iepirkumiem likumprojekta 9. un 10.panta kārtībā. </w:t>
            </w:r>
          </w:p>
          <w:p w14:paraId="52BEC4F1" w14:textId="77777777" w:rsidR="00701A21" w:rsidRPr="00B42BC1" w:rsidRDefault="0099511F" w:rsidP="0033625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 2014/24/ES</w:t>
            </w:r>
            <w:r w:rsidR="009C779B" w:rsidRPr="00B42BC1">
              <w:rPr>
                <w:rFonts w:ascii="Times New Roman" w:eastAsia="Times New Roman" w:hAnsi="Times New Roman"/>
                <w:color w:val="000000" w:themeColor="text1"/>
                <w:sz w:val="24"/>
                <w:szCs w:val="24"/>
                <w:lang w:val="lv-LV" w:eastAsia="lv-LV"/>
              </w:rPr>
              <w:t xml:space="preserve"> paredz iespēju kvalitātes kritēriju ietvaros vērtēt arī iepirkuma līguma izpildē iesaistītā personāla kvalifikāciju (līdz šim šāds vērtēšanas kritērijs nebija atļauts). </w:t>
            </w:r>
          </w:p>
          <w:p w14:paraId="7B96356D" w14:textId="77777777" w:rsidR="009C779B" w:rsidRPr="00B42BC1" w:rsidRDefault="009C779B" w:rsidP="0033625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paredz saimnieciski visizdevīgākā piedāvājuma noteikšanā izmantot aprites cikla izmaksas. </w:t>
            </w:r>
            <w:r w:rsidR="00EF55E1" w:rsidRPr="00B42BC1">
              <w:rPr>
                <w:rFonts w:ascii="Times New Roman" w:eastAsia="Times New Roman" w:hAnsi="Times New Roman"/>
                <w:color w:val="000000" w:themeColor="text1"/>
                <w:sz w:val="24"/>
                <w:szCs w:val="24"/>
                <w:lang w:val="lv-LV" w:eastAsia="lv-LV"/>
              </w:rPr>
              <w:t xml:space="preserve">Šāda pieeja ir izmantojama piedāvājumu vērtēšanā arī šobrīd, taču netiek bieži pielietota. Direktīva 2014/24/ES nosaka faktorus, kas ir vērtējami aprites cikla izmaksu ietvaros. </w:t>
            </w:r>
          </w:p>
          <w:p w14:paraId="4C8C9BAB" w14:textId="77777777" w:rsidR="00514338" w:rsidRPr="00B42BC1" w:rsidRDefault="00EF55E1" w:rsidP="00514338">
            <w:pPr>
              <w:spacing w:after="120" w:line="240" w:lineRule="auto"/>
              <w:jc w:val="both"/>
              <w:rPr>
                <w:rFonts w:ascii="Times New Roman" w:eastAsia="Times New Roman" w:hAnsi="Times New Roman"/>
                <w:color w:val="000000" w:themeColor="text1"/>
                <w:sz w:val="28"/>
                <w:szCs w:val="28"/>
                <w:lang w:val="lv-LV" w:eastAsia="lv-LV"/>
              </w:rPr>
            </w:pPr>
            <w:r w:rsidRPr="00B42BC1">
              <w:rPr>
                <w:rFonts w:ascii="Times New Roman" w:eastAsia="Times New Roman" w:hAnsi="Times New Roman"/>
                <w:b/>
                <w:color w:val="000000" w:themeColor="text1"/>
                <w:sz w:val="24"/>
                <w:szCs w:val="24"/>
                <w:u w:val="single"/>
                <w:lang w:val="lv-LV" w:eastAsia="lv-LV"/>
              </w:rPr>
              <w:t>Nepamatoti lēta piedāvājuma izvērtēšanas kārtība un gadījumi paliek kā spēkā esošajā Publisko iepirkumu likumā</w:t>
            </w:r>
            <w:r w:rsidR="00F458A7" w:rsidRPr="00B42BC1">
              <w:rPr>
                <w:rFonts w:ascii="Times New Roman" w:eastAsia="Times New Roman" w:hAnsi="Times New Roman"/>
                <w:color w:val="000000" w:themeColor="text1"/>
                <w:sz w:val="24"/>
                <w:szCs w:val="24"/>
                <w:lang w:val="lv-LV" w:eastAsia="lv-LV"/>
              </w:rPr>
              <w:t xml:space="preserve">, taču </w:t>
            </w:r>
            <w:r w:rsidR="00EF0EDA" w:rsidRPr="00B42BC1">
              <w:rPr>
                <w:rFonts w:ascii="Times New Roman" w:eastAsia="Times New Roman" w:hAnsi="Times New Roman"/>
                <w:color w:val="000000" w:themeColor="text1"/>
                <w:sz w:val="24"/>
                <w:szCs w:val="24"/>
                <w:lang w:val="lv-LV" w:eastAsia="lv-LV"/>
              </w:rPr>
              <w:t xml:space="preserve">izvērtējumā </w:t>
            </w:r>
            <w:r w:rsidR="00F458A7" w:rsidRPr="00B42BC1">
              <w:rPr>
                <w:rFonts w:ascii="Times New Roman" w:eastAsia="Times New Roman" w:hAnsi="Times New Roman"/>
                <w:color w:val="000000" w:themeColor="text1"/>
                <w:sz w:val="24"/>
                <w:szCs w:val="24"/>
                <w:lang w:val="lv-LV" w:eastAsia="lv-LV"/>
              </w:rPr>
              <w:t xml:space="preserve">vairāk nav nepieciešams Valsts ieņēmumu dienesta atzinums. Tā vietā pasūtītājs nosūta </w:t>
            </w:r>
            <w:r w:rsidR="00BC69DB" w:rsidRPr="00B42BC1">
              <w:rPr>
                <w:rFonts w:ascii="Times New Roman" w:eastAsia="Times New Roman" w:hAnsi="Times New Roman"/>
                <w:color w:val="000000" w:themeColor="text1"/>
                <w:sz w:val="24"/>
                <w:szCs w:val="24"/>
                <w:lang w:val="lv-LV" w:eastAsia="lv-LV"/>
              </w:rPr>
              <w:t>Valsts ieņēmumu dienestam</w:t>
            </w:r>
            <w:r w:rsidR="00F458A7" w:rsidRPr="00B42BC1">
              <w:rPr>
                <w:rFonts w:ascii="Times New Roman" w:eastAsia="Times New Roman" w:hAnsi="Times New Roman"/>
                <w:color w:val="000000" w:themeColor="text1"/>
                <w:sz w:val="24"/>
                <w:szCs w:val="24"/>
                <w:lang w:val="lv-LV" w:eastAsia="lv-LV"/>
              </w:rPr>
              <w:t xml:space="preserve"> </w:t>
            </w:r>
            <w:r w:rsidR="00514338" w:rsidRPr="00B42BC1">
              <w:rPr>
                <w:rFonts w:ascii="Times New Roman" w:eastAsia="Times New Roman" w:hAnsi="Times New Roman"/>
                <w:color w:val="000000" w:themeColor="text1"/>
                <w:sz w:val="24"/>
                <w:szCs w:val="24"/>
                <w:lang w:val="lv-LV" w:eastAsia="lv-LV"/>
              </w:rPr>
              <w:t xml:space="preserve">pretendenta skaidrojumus par </w:t>
            </w:r>
            <w:r w:rsidR="00884988" w:rsidRPr="00B42BC1">
              <w:rPr>
                <w:rFonts w:ascii="Times New Roman" w:eastAsia="Times New Roman" w:hAnsi="Times New Roman"/>
                <w:color w:val="000000" w:themeColor="text1"/>
                <w:sz w:val="24"/>
                <w:szCs w:val="24"/>
                <w:lang w:val="lv-LV" w:eastAsia="lv-LV"/>
              </w:rPr>
              <w:t>atšķirību starp pretendenta un tā piedāvājumā norādīto apakšuzņēmēju, kura veicamo būvdarbu vai sniedzamo pakalpojumu vērtība ir vismaz 10 procenti no iepirkuma līguma vērtības, darbinieku vidējām stundas tarifa likmēm profesiju grupās un Valsts ieņēmumu dienesta apkopotajiem datiem par darbinieku vidējām stundas tarifa likmēm profesiju grupās</w:t>
            </w:r>
            <w:r w:rsidR="00BC69DB" w:rsidRPr="00B42BC1">
              <w:rPr>
                <w:rFonts w:ascii="Times New Roman" w:eastAsia="Times New Roman" w:hAnsi="Times New Roman"/>
                <w:color w:val="000000" w:themeColor="text1"/>
                <w:sz w:val="24"/>
                <w:szCs w:val="24"/>
                <w:lang w:val="lv-LV" w:eastAsia="lv-LV"/>
              </w:rPr>
              <w:t xml:space="preserve">. </w:t>
            </w:r>
            <w:r w:rsidR="00514338" w:rsidRPr="00B42BC1">
              <w:rPr>
                <w:rFonts w:ascii="Times New Roman" w:eastAsia="Times New Roman" w:hAnsi="Times New Roman"/>
                <w:color w:val="000000" w:themeColor="text1"/>
                <w:sz w:val="24"/>
                <w:szCs w:val="24"/>
                <w:lang w:val="lv-LV" w:eastAsia="lv-LV"/>
              </w:rPr>
              <w:t>Ja pretendents nav iesniedzis izdrukas no Valsts ieņēmumu dienesta elektroniskās deklarēšanas sistēmas par pretendenta un tā piedāvājumā norādīto apakšuzņēmēju darbinieku vidējām stundas tarifa likmēm profesiju grupās</w:t>
            </w:r>
            <w:r w:rsidR="00BC69DB" w:rsidRPr="00B42BC1">
              <w:rPr>
                <w:rFonts w:ascii="Times New Roman" w:eastAsia="Times New Roman" w:hAnsi="Times New Roman"/>
                <w:color w:val="000000" w:themeColor="text1"/>
                <w:sz w:val="24"/>
                <w:szCs w:val="24"/>
                <w:lang w:val="lv-LV" w:eastAsia="lv-LV"/>
              </w:rPr>
              <w:t>,</w:t>
            </w:r>
            <w:r w:rsidR="00514338" w:rsidRPr="00B42BC1">
              <w:rPr>
                <w:rFonts w:ascii="Times New Roman" w:eastAsia="Times New Roman" w:hAnsi="Times New Roman"/>
                <w:color w:val="000000" w:themeColor="text1"/>
                <w:sz w:val="24"/>
                <w:szCs w:val="24"/>
                <w:lang w:val="lv-LV" w:eastAsia="lv-LV"/>
              </w:rPr>
              <w:t xml:space="preserve"> ja šādus datus apkopo Valsts ieņēmumu dienests</w:t>
            </w:r>
            <w:r w:rsidR="00BC69DB" w:rsidRPr="00B42BC1">
              <w:rPr>
                <w:rFonts w:ascii="Times New Roman" w:eastAsia="Times New Roman" w:hAnsi="Times New Roman"/>
                <w:color w:val="000000" w:themeColor="text1"/>
                <w:sz w:val="24"/>
                <w:szCs w:val="24"/>
                <w:lang w:val="lv-LV" w:eastAsia="lv-LV"/>
              </w:rPr>
              <w:t xml:space="preserve"> (neapkopo, piemēram, par mikrouzņēmuma nodokļa maksātājiem, pašnodarbinātām personām)</w:t>
            </w:r>
            <w:r w:rsidR="00514338" w:rsidRPr="00B42BC1">
              <w:rPr>
                <w:rFonts w:ascii="Times New Roman" w:eastAsia="Times New Roman" w:hAnsi="Times New Roman"/>
                <w:color w:val="000000" w:themeColor="text1"/>
                <w:sz w:val="24"/>
                <w:szCs w:val="24"/>
                <w:lang w:val="lv-LV" w:eastAsia="lv-LV"/>
              </w:rPr>
              <w:t>, vai nav sniedzis skaidrojumus, pasūtītājs par to informē Valsts ieņēmumu dienestu.</w:t>
            </w:r>
            <w:r w:rsidR="00B464B0" w:rsidRPr="00B42BC1">
              <w:rPr>
                <w:rFonts w:ascii="Times New Roman" w:eastAsia="Times New Roman" w:hAnsi="Times New Roman"/>
                <w:color w:val="000000" w:themeColor="text1"/>
                <w:sz w:val="24"/>
                <w:szCs w:val="24"/>
                <w:lang w:val="lv-LV" w:eastAsia="lv-LV"/>
              </w:rPr>
              <w:t xml:space="preserve"> </w:t>
            </w:r>
            <w:r w:rsidR="00A32C96" w:rsidRPr="00B42BC1">
              <w:rPr>
                <w:rFonts w:ascii="Times New Roman" w:eastAsia="Times New Roman" w:hAnsi="Times New Roman"/>
                <w:color w:val="000000" w:themeColor="text1"/>
                <w:sz w:val="24"/>
                <w:szCs w:val="24"/>
                <w:lang w:val="lv-LV" w:eastAsia="lv-LV"/>
              </w:rPr>
              <w:t xml:space="preserve">Minētā kārtība ļaus Valsts ieņēmumu dienestam izvērtēt piegādātāja skaidrojumus un attiecīgi šo informāciju izmantot nodokļu administrēšanas </w:t>
            </w:r>
            <w:r w:rsidR="00A32C96" w:rsidRPr="00B42BC1">
              <w:rPr>
                <w:rFonts w:ascii="Times New Roman" w:eastAsia="Times New Roman" w:hAnsi="Times New Roman"/>
                <w:color w:val="000000" w:themeColor="text1"/>
                <w:sz w:val="24"/>
                <w:szCs w:val="24"/>
                <w:lang w:val="lv-LV" w:eastAsia="lv-LV"/>
              </w:rPr>
              <w:lastRenderedPageBreak/>
              <w:t xml:space="preserve">pasākumos, nepaildzinot piedāvājumu izvērtēšanas laiku un nenoslogojot piegādātājus ar pārbaudēm gadījumos, kad pēc Valsts ieņēmumu dienesta ieskatiem tas nebūtu nepieciešams.  </w:t>
            </w:r>
          </w:p>
          <w:p w14:paraId="493CDFBD" w14:textId="44981F4B" w:rsidR="00EF55E1" w:rsidRPr="00B42BC1" w:rsidRDefault="00C42E48"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Likumprojektā ir ietverti arī Ekonomikas ministrijas virzītie </w:t>
            </w:r>
            <w:r w:rsidRPr="00B42BC1">
              <w:rPr>
                <w:rFonts w:ascii="Times New Roman" w:eastAsia="Times New Roman" w:hAnsi="Times New Roman"/>
                <w:b/>
                <w:color w:val="000000" w:themeColor="text1"/>
                <w:sz w:val="24"/>
                <w:szCs w:val="24"/>
                <w:u w:val="single"/>
                <w:lang w:val="lv-LV" w:eastAsia="lv-LV"/>
              </w:rPr>
              <w:t>grozījumi attiecībā uz īpašiem noteikumiem attiecībā uz energoefektivitāti</w:t>
            </w:r>
            <w:r w:rsidR="00B62871" w:rsidRPr="00B42BC1">
              <w:rPr>
                <w:rFonts w:ascii="Times New Roman" w:eastAsia="Times New Roman" w:hAnsi="Times New Roman"/>
                <w:b/>
                <w:color w:val="000000" w:themeColor="text1"/>
                <w:sz w:val="24"/>
                <w:szCs w:val="24"/>
                <w:u w:val="single"/>
                <w:lang w:val="lv-LV" w:eastAsia="lv-LV"/>
              </w:rPr>
              <w:t xml:space="preserve"> (šobrīd jau ir ietverti spēkā esošajā Publisko iepirkumu likumā)</w:t>
            </w:r>
            <w:r w:rsidR="00B90CB3" w:rsidRPr="00B42BC1">
              <w:rPr>
                <w:rFonts w:ascii="Times New Roman" w:eastAsia="Times New Roman" w:hAnsi="Times New Roman"/>
                <w:color w:val="000000" w:themeColor="text1"/>
                <w:sz w:val="24"/>
                <w:szCs w:val="24"/>
                <w:lang w:val="lv-LV" w:eastAsia="lv-LV"/>
              </w:rPr>
              <w:t>.</w:t>
            </w:r>
            <w:r w:rsidRPr="00B42BC1">
              <w:rPr>
                <w:rFonts w:ascii="Times New Roman" w:eastAsia="Times New Roman" w:hAnsi="Times New Roman"/>
                <w:color w:val="000000" w:themeColor="text1"/>
                <w:sz w:val="24"/>
                <w:szCs w:val="24"/>
                <w:lang w:val="lv-LV" w:eastAsia="lv-LV"/>
              </w:rPr>
              <w:t xml:space="preserve"> Skaidrojums par šī regulējuma būtību pieejams attiecīgo grozījumu anotācijā. </w:t>
            </w:r>
          </w:p>
          <w:p w14:paraId="3F602FB9" w14:textId="77777777" w:rsidR="00C42E48" w:rsidRPr="00B42BC1" w:rsidRDefault="00D80402"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w:t>
            </w:r>
            <w:r w:rsidRPr="00B42BC1">
              <w:rPr>
                <w:rFonts w:ascii="Times New Roman" w:eastAsia="Times New Roman" w:hAnsi="Times New Roman"/>
                <w:b/>
                <w:color w:val="000000" w:themeColor="text1"/>
                <w:sz w:val="24"/>
                <w:szCs w:val="24"/>
                <w:u w:val="single"/>
                <w:lang w:val="lv-LV" w:eastAsia="lv-LV"/>
              </w:rPr>
              <w:t xml:space="preserve">precizē </w:t>
            </w:r>
            <w:r w:rsidR="00D704BB" w:rsidRPr="00B42BC1">
              <w:rPr>
                <w:rFonts w:ascii="Times New Roman" w:eastAsia="Times New Roman" w:hAnsi="Times New Roman"/>
                <w:b/>
                <w:color w:val="000000" w:themeColor="text1"/>
                <w:sz w:val="24"/>
                <w:szCs w:val="24"/>
                <w:u w:val="single"/>
                <w:lang w:val="lv-LV" w:eastAsia="lv-LV"/>
              </w:rPr>
              <w:t xml:space="preserve">vispārīgās vienošanās slēgšanas kārtību un detalizētāk nosaka elektronisko izsoļu </w:t>
            </w:r>
            <w:r w:rsidR="00891AFB" w:rsidRPr="00B42BC1">
              <w:rPr>
                <w:rFonts w:ascii="Times New Roman" w:eastAsia="Times New Roman" w:hAnsi="Times New Roman"/>
                <w:b/>
                <w:color w:val="000000" w:themeColor="text1"/>
                <w:sz w:val="24"/>
                <w:szCs w:val="24"/>
                <w:u w:val="single"/>
                <w:lang w:val="lv-LV" w:eastAsia="lv-LV"/>
              </w:rPr>
              <w:t xml:space="preserve">un elektronisko katalogu </w:t>
            </w:r>
            <w:r w:rsidR="00D704BB" w:rsidRPr="00B42BC1">
              <w:rPr>
                <w:rFonts w:ascii="Times New Roman" w:eastAsia="Times New Roman" w:hAnsi="Times New Roman"/>
                <w:b/>
                <w:color w:val="000000" w:themeColor="text1"/>
                <w:sz w:val="24"/>
                <w:szCs w:val="24"/>
                <w:u w:val="single"/>
                <w:lang w:val="lv-LV" w:eastAsia="lv-LV"/>
              </w:rPr>
              <w:t>piemērošanas kārtību</w:t>
            </w:r>
            <w:r w:rsidR="00D704BB" w:rsidRPr="00B42BC1">
              <w:rPr>
                <w:rFonts w:ascii="Times New Roman" w:eastAsia="Times New Roman" w:hAnsi="Times New Roman"/>
                <w:color w:val="000000" w:themeColor="text1"/>
                <w:sz w:val="24"/>
                <w:szCs w:val="24"/>
                <w:lang w:val="lv-LV" w:eastAsia="lv-LV"/>
              </w:rPr>
              <w:t xml:space="preserve"> un nosaka, ka dinamiskā </w:t>
            </w:r>
            <w:r w:rsidR="001037C4" w:rsidRPr="00B42BC1">
              <w:rPr>
                <w:rFonts w:ascii="Times New Roman" w:eastAsia="Times New Roman" w:hAnsi="Times New Roman"/>
                <w:color w:val="000000" w:themeColor="text1"/>
                <w:sz w:val="24"/>
                <w:szCs w:val="24"/>
                <w:lang w:val="lv-LV" w:eastAsia="lv-LV"/>
              </w:rPr>
              <w:t>iepirkumu</w:t>
            </w:r>
            <w:r w:rsidR="00D704BB" w:rsidRPr="00B42BC1">
              <w:rPr>
                <w:rFonts w:ascii="Times New Roman" w:eastAsia="Times New Roman" w:hAnsi="Times New Roman"/>
                <w:color w:val="000000" w:themeColor="text1"/>
                <w:sz w:val="24"/>
                <w:szCs w:val="24"/>
                <w:lang w:val="lv-LV" w:eastAsia="lv-LV"/>
              </w:rPr>
              <w:t xml:space="preserve"> </w:t>
            </w:r>
            <w:r w:rsidR="001037C4" w:rsidRPr="00B42BC1">
              <w:rPr>
                <w:rFonts w:ascii="Times New Roman" w:eastAsia="Times New Roman" w:hAnsi="Times New Roman"/>
                <w:color w:val="000000" w:themeColor="text1"/>
                <w:sz w:val="24"/>
                <w:szCs w:val="24"/>
                <w:lang w:val="lv-LV" w:eastAsia="lv-LV"/>
              </w:rPr>
              <w:t>sistēma</w:t>
            </w:r>
            <w:r w:rsidR="00D704BB" w:rsidRPr="00B42BC1">
              <w:rPr>
                <w:rFonts w:ascii="Times New Roman" w:eastAsia="Times New Roman" w:hAnsi="Times New Roman"/>
                <w:color w:val="000000" w:themeColor="text1"/>
                <w:sz w:val="24"/>
                <w:szCs w:val="24"/>
                <w:lang w:val="lv-LV" w:eastAsia="lv-LV"/>
              </w:rPr>
              <w:t xml:space="preserve"> ir piemērojama vienīgi slēgta konkursa gadījumā.</w:t>
            </w:r>
            <w:r w:rsidR="00891AFB" w:rsidRPr="00B42BC1">
              <w:rPr>
                <w:rFonts w:ascii="Times New Roman" w:eastAsia="Times New Roman" w:hAnsi="Times New Roman"/>
                <w:color w:val="000000" w:themeColor="text1"/>
                <w:sz w:val="24"/>
                <w:szCs w:val="24"/>
                <w:lang w:val="lv-LV" w:eastAsia="lv-LV"/>
              </w:rPr>
              <w:t xml:space="preserve"> Likumprojektā ir paredzēts deleģējums Ministru kabinetam noteikt dinamiskās iepirkumu sistēmas piemērošanas noteikumus un kārtību. </w:t>
            </w:r>
            <w:r w:rsidR="00D704BB" w:rsidRPr="00B42BC1">
              <w:rPr>
                <w:rFonts w:ascii="Times New Roman" w:eastAsia="Times New Roman" w:hAnsi="Times New Roman"/>
                <w:color w:val="000000" w:themeColor="text1"/>
                <w:sz w:val="24"/>
                <w:szCs w:val="24"/>
                <w:lang w:val="lv-LV" w:eastAsia="lv-LV"/>
              </w:rPr>
              <w:t xml:space="preserve"> </w:t>
            </w:r>
          </w:p>
          <w:p w14:paraId="6813B2C8" w14:textId="77777777" w:rsidR="00BF70A6" w:rsidRPr="00B42BC1" w:rsidRDefault="00AD23A9"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Likumprojektā ir noteikts, ka </w:t>
            </w:r>
            <w:r w:rsidRPr="00B42BC1">
              <w:rPr>
                <w:rFonts w:ascii="Times New Roman" w:eastAsia="Times New Roman" w:hAnsi="Times New Roman"/>
                <w:b/>
                <w:color w:val="000000" w:themeColor="text1"/>
                <w:sz w:val="24"/>
                <w:szCs w:val="24"/>
                <w:u w:val="single"/>
                <w:lang w:val="lv-LV" w:eastAsia="lv-LV"/>
              </w:rPr>
              <w:t>iepirkuma līgums var noteikt tiesiskās attiecības ne</w:t>
            </w:r>
            <w:r w:rsidR="00BF70A6" w:rsidRPr="00B42BC1">
              <w:rPr>
                <w:rFonts w:ascii="Times New Roman" w:eastAsia="Times New Roman" w:hAnsi="Times New Roman"/>
                <w:b/>
                <w:color w:val="000000" w:themeColor="text1"/>
                <w:sz w:val="24"/>
                <w:szCs w:val="24"/>
                <w:u w:val="single"/>
                <w:lang w:val="lv-LV" w:eastAsia="lv-LV"/>
              </w:rPr>
              <w:t xml:space="preserve"> </w:t>
            </w:r>
            <w:r w:rsidRPr="00B42BC1">
              <w:rPr>
                <w:rFonts w:ascii="Times New Roman" w:eastAsia="Times New Roman" w:hAnsi="Times New Roman"/>
                <w:b/>
                <w:color w:val="000000" w:themeColor="text1"/>
                <w:sz w:val="24"/>
                <w:szCs w:val="24"/>
                <w:u w:val="single"/>
                <w:lang w:val="lv-LV" w:eastAsia="lv-LV"/>
              </w:rPr>
              <w:t>vien starp piegādātāju un pasūtītāju, bet arī starp pasūtītāju un piegādātāju apakšuzņēmējiem</w:t>
            </w:r>
            <w:r w:rsidRPr="00B42BC1">
              <w:rPr>
                <w:rFonts w:ascii="Times New Roman" w:eastAsia="Times New Roman" w:hAnsi="Times New Roman"/>
                <w:color w:val="000000" w:themeColor="text1"/>
                <w:sz w:val="24"/>
                <w:szCs w:val="24"/>
                <w:lang w:val="lv-LV" w:eastAsia="lv-LV"/>
              </w:rPr>
              <w:t>.</w:t>
            </w:r>
            <w:r w:rsidR="00BF70A6" w:rsidRPr="00B42BC1">
              <w:rPr>
                <w:rFonts w:ascii="Times New Roman" w:eastAsia="Times New Roman" w:hAnsi="Times New Roman"/>
                <w:color w:val="000000" w:themeColor="text1"/>
                <w:sz w:val="24"/>
                <w:szCs w:val="24"/>
                <w:lang w:val="lv-LV" w:eastAsia="lv-LV"/>
              </w:rPr>
              <w:t xml:space="preserve"> Tiek atbilstoši Direktīvai 2014/24/ES precizēts, ka pasūtītājs ir tiesīgs paredzēt speciālus iepirkuma līguma izpildes noteikumus galvenokārt saistībā ar ekonomiskiem, sociāliem apstākļiem, inovācijām vai vides aizsardzības prasībām. </w:t>
            </w:r>
          </w:p>
          <w:p w14:paraId="56BE960B" w14:textId="77777777" w:rsidR="00BF70A6" w:rsidRPr="00B42BC1" w:rsidRDefault="00BF70A6" w:rsidP="00EF55E1">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Ņemot vērā, ka iepirkuma līguma vai vispārīgās vienošanās grozīšanas kārtība atbilstoši Direktīvai 2014/24/ES ir jau pārņemta spēkā esošajā Publisko iepirkumu likumā, likumprojektā nosacījumi un kārtība netiek mainīta. </w:t>
            </w:r>
          </w:p>
          <w:p w14:paraId="76A1546B" w14:textId="77777777" w:rsidR="009246EB" w:rsidRPr="00B42BC1" w:rsidRDefault="00BF70A6" w:rsidP="00D020A9">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w:t>
            </w:r>
            <w:r w:rsidRPr="00B42BC1">
              <w:rPr>
                <w:rFonts w:ascii="Times New Roman" w:eastAsia="Times New Roman" w:hAnsi="Times New Roman"/>
                <w:b/>
                <w:color w:val="000000" w:themeColor="text1"/>
                <w:sz w:val="24"/>
                <w:szCs w:val="24"/>
                <w:u w:val="single"/>
                <w:lang w:val="lv-LV" w:eastAsia="lv-LV"/>
              </w:rPr>
              <w:t>paredz stingrākas prasības attiecībā uz apakšuzņēmēju kontroli</w:t>
            </w:r>
            <w:r w:rsidRPr="00B42BC1">
              <w:rPr>
                <w:rFonts w:ascii="Times New Roman" w:eastAsia="Times New Roman" w:hAnsi="Times New Roman"/>
                <w:color w:val="000000" w:themeColor="text1"/>
                <w:sz w:val="24"/>
                <w:szCs w:val="24"/>
                <w:u w:val="single"/>
                <w:lang w:val="lv-LV" w:eastAsia="lv-LV"/>
              </w:rPr>
              <w:t>.</w:t>
            </w:r>
            <w:r w:rsidRPr="00B42BC1">
              <w:rPr>
                <w:rFonts w:ascii="Times New Roman" w:eastAsia="Times New Roman" w:hAnsi="Times New Roman"/>
                <w:color w:val="000000" w:themeColor="text1"/>
                <w:sz w:val="24"/>
                <w:szCs w:val="24"/>
                <w:lang w:val="lv-LV" w:eastAsia="lv-LV"/>
              </w:rPr>
              <w:t xml:space="preserve"> </w:t>
            </w:r>
            <w:r w:rsidR="00284BEC" w:rsidRPr="00B42BC1">
              <w:rPr>
                <w:rFonts w:ascii="Times New Roman" w:eastAsia="Times New Roman" w:hAnsi="Times New Roman"/>
                <w:color w:val="000000" w:themeColor="text1"/>
                <w:sz w:val="24"/>
                <w:szCs w:val="24"/>
                <w:lang w:val="lv-LV" w:eastAsia="lv-LV"/>
              </w:rPr>
              <w:t>Publisku pakalpojuma līgumu, ja pakalpojumi tiek sniegti pasūtītājā objektā, un publisku būvdarbu līgumu gadījumā pasūtītāj</w:t>
            </w:r>
            <w:r w:rsidR="00D020A9" w:rsidRPr="00B42BC1">
              <w:rPr>
                <w:rFonts w:ascii="Times New Roman" w:eastAsia="Times New Roman" w:hAnsi="Times New Roman"/>
                <w:color w:val="000000" w:themeColor="text1"/>
                <w:sz w:val="24"/>
                <w:szCs w:val="24"/>
                <w:lang w:val="lv-LV" w:eastAsia="lv-LV"/>
              </w:rPr>
              <w:t>am</w:t>
            </w:r>
            <w:r w:rsidR="00284BEC" w:rsidRPr="00B42BC1">
              <w:rPr>
                <w:rFonts w:ascii="Times New Roman" w:eastAsia="Times New Roman" w:hAnsi="Times New Roman"/>
                <w:color w:val="000000" w:themeColor="text1"/>
                <w:sz w:val="24"/>
                <w:szCs w:val="24"/>
                <w:lang w:val="lv-LV" w:eastAsia="lv-LV"/>
              </w:rPr>
              <w:t xml:space="preserve"> </w:t>
            </w:r>
            <w:r w:rsidR="00D020A9" w:rsidRPr="00B42BC1">
              <w:rPr>
                <w:rFonts w:ascii="Times New Roman" w:eastAsia="Times New Roman" w:hAnsi="Times New Roman"/>
                <w:color w:val="000000" w:themeColor="text1"/>
                <w:sz w:val="24"/>
                <w:szCs w:val="24"/>
                <w:lang w:val="lv-LV" w:eastAsia="lv-LV"/>
              </w:rPr>
              <w:t>jā</w:t>
            </w:r>
            <w:r w:rsidR="00284BEC" w:rsidRPr="00B42BC1">
              <w:rPr>
                <w:rFonts w:ascii="Times New Roman" w:eastAsia="Times New Roman" w:hAnsi="Times New Roman"/>
                <w:color w:val="000000" w:themeColor="text1"/>
                <w:sz w:val="24"/>
                <w:szCs w:val="24"/>
                <w:lang w:val="lv-LV" w:eastAsia="lv-LV"/>
              </w:rPr>
              <w:t xml:space="preserve">pieprasa, lai pēc iepirkuma līguma slēgšanas tiesību piešķiršanas un ne vēlāk kā uzsākot iepirkuma līguma izpildi, pretendents iesniedz būvdarbos vai pakalpojuma sniegšanā iesaistīto apakšuzņēmēju, ja tādus ir plānots iesaistīt, sarakstu, kurā norāda apakšuzņēmēja nosaukumu, kontaktinformāciju un to pārstāvēt tiesīgo personu, ciktāl minētā informācija ir zināma. Sarakstā </w:t>
            </w:r>
            <w:r w:rsidR="00D020A9" w:rsidRPr="00B42BC1">
              <w:rPr>
                <w:rFonts w:ascii="Times New Roman" w:eastAsia="Times New Roman" w:hAnsi="Times New Roman"/>
                <w:color w:val="000000" w:themeColor="text1"/>
                <w:sz w:val="24"/>
                <w:szCs w:val="24"/>
                <w:lang w:val="lv-LV" w:eastAsia="lv-LV"/>
              </w:rPr>
              <w:t>jā</w:t>
            </w:r>
            <w:r w:rsidR="00284BEC" w:rsidRPr="00B42BC1">
              <w:rPr>
                <w:rFonts w:ascii="Times New Roman" w:eastAsia="Times New Roman" w:hAnsi="Times New Roman"/>
                <w:color w:val="000000" w:themeColor="text1"/>
                <w:sz w:val="24"/>
                <w:szCs w:val="24"/>
                <w:lang w:val="lv-LV" w:eastAsia="lv-LV"/>
              </w:rPr>
              <w:t xml:space="preserve">norāda arī piegādātāja apakšuzņēmēju apakšuzņēmējus. </w:t>
            </w:r>
            <w:r w:rsidR="00D020A9" w:rsidRPr="00B42BC1">
              <w:rPr>
                <w:rFonts w:ascii="Times New Roman" w:eastAsia="Times New Roman" w:hAnsi="Times New Roman"/>
                <w:color w:val="000000" w:themeColor="text1"/>
                <w:sz w:val="24"/>
                <w:szCs w:val="24"/>
                <w:lang w:val="lv-LV" w:eastAsia="lv-LV"/>
              </w:rPr>
              <w:t>Pasūtītājam</w:t>
            </w:r>
            <w:r w:rsidR="00284BEC" w:rsidRPr="00B42BC1">
              <w:rPr>
                <w:rFonts w:ascii="Times New Roman" w:eastAsia="Times New Roman" w:hAnsi="Times New Roman"/>
                <w:color w:val="000000" w:themeColor="text1"/>
                <w:sz w:val="24"/>
                <w:szCs w:val="24"/>
                <w:lang w:val="lv-LV" w:eastAsia="lv-LV"/>
              </w:rPr>
              <w:t xml:space="preserve"> </w:t>
            </w:r>
            <w:r w:rsidR="00D020A9" w:rsidRPr="00B42BC1">
              <w:rPr>
                <w:rFonts w:ascii="Times New Roman" w:eastAsia="Times New Roman" w:hAnsi="Times New Roman"/>
                <w:color w:val="000000" w:themeColor="text1"/>
                <w:sz w:val="24"/>
                <w:szCs w:val="24"/>
                <w:lang w:val="lv-LV" w:eastAsia="lv-LV"/>
              </w:rPr>
              <w:t>jā</w:t>
            </w:r>
            <w:r w:rsidR="00284BEC" w:rsidRPr="00B42BC1">
              <w:rPr>
                <w:rFonts w:ascii="Times New Roman" w:eastAsia="Times New Roman" w:hAnsi="Times New Roman"/>
                <w:color w:val="000000" w:themeColor="text1"/>
                <w:sz w:val="24"/>
                <w:szCs w:val="24"/>
                <w:lang w:val="lv-LV" w:eastAsia="lv-LV"/>
              </w:rPr>
              <w:t>pieprasa, lai iepirkuma līguma izpildes laikā, piegādātājs paziņo pasūtītājam par jebkurām minētās informācijas izmaiņām, kā arī papildina sarakstu ar informāciju par apakšuzņēmēju, kas tiek vēlāk iesaistīts būvdarbu veikšanā vai pakalpojumu sniegšanā</w:t>
            </w:r>
            <w:r w:rsidR="00BD2D5A" w:rsidRPr="00B42BC1">
              <w:rPr>
                <w:rFonts w:ascii="Times New Roman" w:eastAsia="Times New Roman" w:hAnsi="Times New Roman"/>
                <w:color w:val="000000" w:themeColor="text1"/>
                <w:sz w:val="24"/>
                <w:szCs w:val="24"/>
                <w:lang w:val="lv-LV" w:eastAsia="lv-LV"/>
              </w:rPr>
              <w:t xml:space="preserve">. Likumprojektā atbilstoši Direktīvā 2014/24/ES paredzētajai iespējai </w:t>
            </w:r>
            <w:r w:rsidR="002A3C3D" w:rsidRPr="00B42BC1">
              <w:rPr>
                <w:rFonts w:ascii="Times New Roman" w:eastAsia="Times New Roman" w:hAnsi="Times New Roman"/>
                <w:color w:val="000000" w:themeColor="text1"/>
                <w:sz w:val="24"/>
                <w:szCs w:val="24"/>
                <w:lang w:val="lv-LV" w:eastAsia="lv-LV"/>
              </w:rPr>
              <w:t>ir noteikts, ka p</w:t>
            </w:r>
            <w:r w:rsidR="00BD2D5A" w:rsidRPr="00B42BC1">
              <w:rPr>
                <w:rFonts w:ascii="Times New Roman" w:eastAsia="Times New Roman" w:hAnsi="Times New Roman"/>
                <w:color w:val="000000" w:themeColor="text1"/>
                <w:sz w:val="24"/>
                <w:szCs w:val="24"/>
                <w:lang w:val="lv-LV" w:eastAsia="lv-LV"/>
              </w:rPr>
              <w:t xml:space="preserve">asūtītājs var paredzēt iepirkuma procedūras dokumentos, ka publisku būvdarbu līguma gadījumā pēc apakšuzņēmēja pieprasījuma maksājumus par apakšuzņēmēja sniegtajiem pakalpojumiem, piegādēm vai būvdarbiem piegādātājam, kurus tas ir pieņēmis un kuru apmaksas termiņš tiek kavēts, ja pasūtītājs nav izmaksājis visu piegādātājam </w:t>
            </w:r>
            <w:r w:rsidR="00BD2D5A" w:rsidRPr="00B42BC1">
              <w:rPr>
                <w:rFonts w:ascii="Times New Roman" w:eastAsia="Times New Roman" w:hAnsi="Times New Roman"/>
                <w:color w:val="000000" w:themeColor="text1"/>
                <w:sz w:val="24"/>
                <w:szCs w:val="24"/>
                <w:lang w:val="lv-LV" w:eastAsia="lv-LV"/>
              </w:rPr>
              <w:lastRenderedPageBreak/>
              <w:t xml:space="preserve">pienākošos līgumcenu,  pasūtītājs uz apakšuzņēmēja piestādīta rēķina pamata tieši pārskaita apakšuzņēmējam un par attiecīgo summu samazina nākamo maksājumu piegādātājam. </w:t>
            </w:r>
            <w:r w:rsidR="009C00D0" w:rsidRPr="00B42BC1">
              <w:rPr>
                <w:rFonts w:ascii="Times New Roman" w:eastAsia="Times New Roman" w:hAnsi="Times New Roman"/>
                <w:color w:val="000000" w:themeColor="text1"/>
                <w:sz w:val="24"/>
                <w:szCs w:val="24"/>
                <w:lang w:val="lv-LV" w:eastAsia="lv-LV"/>
              </w:rPr>
              <w:t xml:space="preserve">Likumprojektā ir noteikts, ka pasūtītājam ir jāinformē par šādu apakšuzņēmēja pieprasījumu arī ģenerāluzņēmējs, un jāuzklausa ģenerāluzņēmēja </w:t>
            </w:r>
            <w:r w:rsidR="00C233BC" w:rsidRPr="00B42BC1">
              <w:rPr>
                <w:rFonts w:ascii="Times New Roman" w:eastAsia="Times New Roman" w:hAnsi="Times New Roman"/>
                <w:color w:val="000000" w:themeColor="text1"/>
                <w:sz w:val="24"/>
                <w:szCs w:val="24"/>
                <w:lang w:val="lv-LV" w:eastAsia="lv-LV"/>
              </w:rPr>
              <w:t xml:space="preserve">viedoklis par maksājuma pamatotību. Katrā ziņā pasūtītājam būtu jāpārliecinās, ka apakšuzņēmēja piestādītā rēķina pamatā ir reāli objektā veikti darbi, ka tie ir pieņemti no ģenerāluzņēmēja puses un par to kvalitāti un apjomu nav strīds starp ģenerāluzņēmēju un apakšuzņēmēju. Tāpat pasūtītājam ir jāvērtē, vai līgumā starp ģenerāluzņēmēju un apakšuzņēmēju nav paredzēti atliekoši rēķinu apmaksas nosacījumi vai citi īpaši maksāšanas noteikumi. </w:t>
            </w:r>
            <w:r w:rsidR="00A960CF" w:rsidRPr="00B42BC1">
              <w:rPr>
                <w:rFonts w:ascii="Times New Roman" w:eastAsia="Times New Roman" w:hAnsi="Times New Roman"/>
                <w:color w:val="000000" w:themeColor="text1"/>
                <w:sz w:val="24"/>
                <w:szCs w:val="24"/>
                <w:lang w:val="lv-LV" w:eastAsia="lv-LV"/>
              </w:rPr>
              <w:t>Darba grupā bija atšķirīgi viedokļi par šo regul</w:t>
            </w:r>
            <w:r w:rsidR="004F017D" w:rsidRPr="00B42BC1">
              <w:rPr>
                <w:rFonts w:ascii="Times New Roman" w:eastAsia="Times New Roman" w:hAnsi="Times New Roman"/>
                <w:color w:val="000000" w:themeColor="text1"/>
                <w:sz w:val="24"/>
                <w:szCs w:val="24"/>
                <w:lang w:val="lv-LV" w:eastAsia="lv-LV"/>
              </w:rPr>
              <w:t>ējumu, jo daļa no darba grupas dalībniekiem uzskatīja, ka pasūtītājam nav jāiejaucas ģenerāluzņēmēja un apakšuzņēmēja attiecībās</w:t>
            </w:r>
            <w:r w:rsidR="004A3315" w:rsidRPr="00B42BC1">
              <w:rPr>
                <w:rFonts w:ascii="Times New Roman" w:eastAsia="Times New Roman" w:hAnsi="Times New Roman"/>
                <w:color w:val="000000" w:themeColor="text1"/>
                <w:sz w:val="24"/>
                <w:szCs w:val="24"/>
                <w:lang w:val="lv-LV" w:eastAsia="lv-LV"/>
              </w:rPr>
              <w:t>, taču bija arī viedokļi, ka ir nepieciešams paredzēt solidāru atbildību visā ģenerāluzņēmēja un apakšuzņēmēja ķēdē.</w:t>
            </w:r>
            <w:r w:rsidR="009C00D0" w:rsidRPr="00B42BC1">
              <w:rPr>
                <w:rFonts w:ascii="Times New Roman" w:eastAsia="Times New Roman" w:hAnsi="Times New Roman"/>
                <w:color w:val="000000" w:themeColor="text1"/>
                <w:sz w:val="24"/>
                <w:szCs w:val="24"/>
                <w:lang w:val="lv-LV" w:eastAsia="lv-LV"/>
              </w:rPr>
              <w:t xml:space="preserve"> Ņemot vērā, ka solidāras atbildības noteikšanai ir nepieciešama detalizētāka izpēte, kā arī vienošanās par tās izpratni, likumprojektā nav paredzēts detalizētāks regulējums.</w:t>
            </w:r>
          </w:p>
          <w:p w14:paraId="688F19B5" w14:textId="4F3F8C64" w:rsidR="00891AFB" w:rsidRPr="00B42BC1" w:rsidRDefault="009246EB" w:rsidP="00D020A9">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Ņemot vērā Direktīvas 2014/24/ES uzsvaru uz lielāku apakšuzņēmēju kontroli, likumprojektā ir paredzēts kontroles un izvērtēšanas mehānisms apakšuzņēmējiem, kuriem nodota vismaz 10% no iepirkuma līguma izpildes (spēkā esošajā Publisko iepirkumu likumā 20%). </w:t>
            </w:r>
            <w:r w:rsidR="00756EE0" w:rsidRPr="00B42BC1">
              <w:rPr>
                <w:rFonts w:ascii="Times New Roman" w:eastAsia="Times New Roman" w:hAnsi="Times New Roman"/>
                <w:color w:val="000000" w:themeColor="text1"/>
                <w:sz w:val="24"/>
                <w:szCs w:val="24"/>
                <w:lang w:val="lv-LV" w:eastAsia="lv-LV"/>
              </w:rPr>
              <w:t xml:space="preserve">Likumprojekta izstrādes un virzības gaitā tika izteikti krasi atšķirīgi viedokļi par apjomu, no kura būtu nepieciešams kontrolēt un pārbaudīt apakšuzņēmējus, līdz ar to 10% faktiski ir kompromisa piedāvājums. Jāatzīmē, ka arī par procentuālā apjoma pazemināšanu pastāv atšķirīgi viedokļi. </w:t>
            </w:r>
            <w:r w:rsidRPr="00B42BC1">
              <w:rPr>
                <w:rFonts w:ascii="Times New Roman" w:eastAsia="Times New Roman" w:hAnsi="Times New Roman"/>
                <w:color w:val="000000" w:themeColor="text1"/>
                <w:sz w:val="24"/>
                <w:szCs w:val="24"/>
                <w:lang w:val="lv-LV" w:eastAsia="lv-LV"/>
              </w:rPr>
              <w:t xml:space="preserve"> </w:t>
            </w:r>
            <w:r w:rsidR="009C00D0" w:rsidRPr="00B42BC1">
              <w:rPr>
                <w:rFonts w:ascii="Times New Roman" w:eastAsia="Times New Roman" w:hAnsi="Times New Roman"/>
                <w:color w:val="000000" w:themeColor="text1"/>
                <w:sz w:val="24"/>
                <w:szCs w:val="24"/>
                <w:lang w:val="lv-LV" w:eastAsia="lv-LV"/>
              </w:rPr>
              <w:t xml:space="preserve">  </w:t>
            </w:r>
          </w:p>
          <w:p w14:paraId="54DA1C4E" w14:textId="77777777" w:rsidR="00333A62" w:rsidRPr="00B42BC1"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 2014/24/ES paredz </w:t>
            </w:r>
            <w:r w:rsidRPr="00B42BC1">
              <w:rPr>
                <w:rFonts w:ascii="Times New Roman" w:eastAsia="Times New Roman" w:hAnsi="Times New Roman"/>
                <w:b/>
                <w:color w:val="000000" w:themeColor="text1"/>
                <w:sz w:val="24"/>
                <w:szCs w:val="24"/>
                <w:u w:val="single"/>
                <w:lang w:val="lv-LV" w:eastAsia="lv-LV"/>
              </w:rPr>
              <w:t>pasūtītājam tiesības vienpusēji atkāpties no iepirkuma līguma pirms termiņa</w:t>
            </w:r>
            <w:r w:rsidRPr="00B42BC1">
              <w:rPr>
                <w:rFonts w:ascii="Times New Roman" w:eastAsia="Times New Roman" w:hAnsi="Times New Roman"/>
                <w:color w:val="000000" w:themeColor="text1"/>
                <w:sz w:val="24"/>
                <w:szCs w:val="24"/>
                <w:lang w:val="lv-LV" w:eastAsia="lv-LV"/>
              </w:rPr>
              <w:t xml:space="preserve">, ja: </w:t>
            </w:r>
          </w:p>
          <w:p w14:paraId="4E7CB739" w14:textId="77777777" w:rsidR="00333A62" w:rsidRPr="00B42BC1"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 iepirkuma līgumā ir veiktas tādas būtiskas izmaiņas, kuru veikšanai atbilstoši likumprojekta 61.pantam būtu jārīko jauna iepirkuma procedūra;</w:t>
            </w:r>
          </w:p>
          <w:p w14:paraId="218DEC36" w14:textId="77777777" w:rsidR="00333A62" w:rsidRPr="00B42BC1"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2) iepirkuma līgums nav noslēgts atbilstoši iepirkuma procedūras dokumentos paredzētajiem noteikumiem vai ir mainīti iepirkuma procedūras dokumentācijai pievienotā iepirkuma līguma projekta būtiski noteikumi (piemēram, mainīta maksāšanas kārtība, iepirkuma līguma izpildes termiņi, garantijas nosacījumi); </w:t>
            </w:r>
          </w:p>
          <w:p w14:paraId="5CAB99AC" w14:textId="77777777" w:rsidR="00333A62" w:rsidRPr="00B42BC1"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 iepirkuma līguma slēgšanas tiesību piešķiršanas brīdī piegādātājs bija atbilstošs kādam no likumprojekta 42.panta pirmajā daļā minētajiem gadījumiem un bija izslēdzams no iepirkuma procedūras;</w:t>
            </w:r>
          </w:p>
          <w:p w14:paraId="3E335551" w14:textId="7EC66DDC" w:rsidR="00333A62" w:rsidRPr="00B42BC1" w:rsidRDefault="00333A62" w:rsidP="00333A62">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4) </w:t>
            </w:r>
            <w:r w:rsidR="00F53754" w:rsidRPr="00B42BC1">
              <w:rPr>
                <w:rFonts w:ascii="Times New Roman" w:eastAsia="Times New Roman" w:hAnsi="Times New Roman"/>
                <w:color w:val="000000" w:themeColor="text1"/>
                <w:sz w:val="24"/>
                <w:szCs w:val="24"/>
                <w:lang w:val="lv-LV" w:eastAsia="lv-LV"/>
              </w:rPr>
              <w:t xml:space="preserve">iepirkuma līguma slēgšanas tiesībām piegādātājam nevajadzēja tikt piešķirtām Līgumā par Eiropas Savienību un Līgumā par Eiropas Savienības darbību, un šajā likumā </w:t>
            </w:r>
            <w:r w:rsidR="00F53754" w:rsidRPr="00B42BC1">
              <w:rPr>
                <w:rFonts w:ascii="Times New Roman" w:eastAsia="Times New Roman" w:hAnsi="Times New Roman"/>
                <w:color w:val="000000" w:themeColor="text1"/>
                <w:sz w:val="24"/>
                <w:szCs w:val="24"/>
                <w:lang w:val="lv-LV" w:eastAsia="lv-LV"/>
              </w:rPr>
              <w:lastRenderedPageBreak/>
              <w:t>paredzēto pienākumu būtiska pārkāpuma dēļ, kuru Līgumā par Eiropas Savienības darbību 258.pantā noteiktajā procedūrā konstatējusi Eiropas Savienības Tiesa.</w:t>
            </w:r>
          </w:p>
          <w:p w14:paraId="525CEB9A" w14:textId="77777777" w:rsidR="00333A62" w:rsidRPr="00B42BC1" w:rsidRDefault="00435EED" w:rsidP="00333A62">
            <w:pPr>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Minētais regulējums ir domāts, lai pasūtītājam būtu iespēja pārtraukt pārkāpumu, t.i., pārtraukt iepirkuma līgumu, kas noslēgts pretēji Direktīvas 2014/24/ES prasībām. </w:t>
            </w:r>
          </w:p>
          <w:p w14:paraId="51C7515B" w14:textId="10BC7C5D" w:rsidR="000E49E2" w:rsidRPr="00B42BC1" w:rsidRDefault="00BE2CC1" w:rsidP="009E3F6E">
            <w:pPr>
              <w:spacing w:after="120" w:line="240" w:lineRule="auto"/>
              <w:jc w:val="both"/>
              <w:rPr>
                <w:rFonts w:ascii="Times New Roman" w:hAnsi="Times New Roman"/>
                <w:color w:val="000000" w:themeColor="text1"/>
                <w:sz w:val="24"/>
                <w:szCs w:val="24"/>
                <w:lang w:val="lv-LV"/>
              </w:rPr>
            </w:pPr>
            <w:r w:rsidRPr="00B42BC1">
              <w:rPr>
                <w:rFonts w:ascii="Times New Roman" w:eastAsia="Times New Roman" w:hAnsi="Times New Roman"/>
                <w:color w:val="000000" w:themeColor="text1"/>
                <w:sz w:val="24"/>
                <w:szCs w:val="24"/>
                <w:lang w:val="lv-LV" w:eastAsia="lv-LV"/>
              </w:rPr>
              <w:t xml:space="preserve">Likumprojektā saskaņā ar </w:t>
            </w:r>
            <w:r w:rsidR="003D63DF" w:rsidRPr="00B42BC1">
              <w:rPr>
                <w:rFonts w:ascii="Times New Roman" w:eastAsia="Times New Roman" w:hAnsi="Times New Roman"/>
                <w:color w:val="000000" w:themeColor="text1"/>
                <w:sz w:val="24"/>
                <w:szCs w:val="24"/>
                <w:lang w:val="lv-LV" w:eastAsia="lv-LV"/>
              </w:rPr>
              <w:t xml:space="preserve">Ministru kabineta 2014.gada 22.aprīļa sēdē lemto (prot. Nr.24 26.§ 2.punkts) ir </w:t>
            </w:r>
            <w:r w:rsidR="003D63DF" w:rsidRPr="00B42BC1">
              <w:rPr>
                <w:rFonts w:ascii="Times New Roman" w:eastAsia="Times New Roman" w:hAnsi="Times New Roman"/>
                <w:b/>
                <w:color w:val="000000" w:themeColor="text1"/>
                <w:sz w:val="24"/>
                <w:szCs w:val="24"/>
                <w:u w:val="single"/>
                <w:lang w:val="lv-LV" w:eastAsia="lv-LV"/>
              </w:rPr>
              <w:t>iekļauti administratīvie sodi par pārkāpumiem publisko iepirkumu jomā</w:t>
            </w:r>
            <w:r w:rsidR="003D63DF" w:rsidRPr="00B42BC1">
              <w:rPr>
                <w:rFonts w:ascii="Times New Roman" w:eastAsia="Times New Roman" w:hAnsi="Times New Roman"/>
                <w:color w:val="000000" w:themeColor="text1"/>
                <w:sz w:val="24"/>
                <w:szCs w:val="24"/>
                <w:lang w:val="lv-LV" w:eastAsia="lv-LV"/>
              </w:rPr>
              <w:t xml:space="preserve">. </w:t>
            </w:r>
            <w:r w:rsidR="000E49E2" w:rsidRPr="00B42BC1">
              <w:rPr>
                <w:rFonts w:ascii="Times New Roman" w:hAnsi="Times New Roman"/>
                <w:iCs/>
                <w:color w:val="000000" w:themeColor="text1"/>
                <w:sz w:val="24"/>
                <w:szCs w:val="24"/>
                <w:lang w:val="lv-LV"/>
              </w:rPr>
              <w:t>Pārskatot</w:t>
            </w:r>
            <w:r w:rsidR="000E49E2" w:rsidRPr="00B42BC1">
              <w:rPr>
                <w:rFonts w:ascii="Times New Roman" w:hAnsi="Times New Roman"/>
                <w:color w:val="000000" w:themeColor="text1"/>
                <w:sz w:val="24"/>
                <w:szCs w:val="24"/>
                <w:lang w:val="lv-LV"/>
              </w:rPr>
              <w:t xml:space="preserve"> Latvijas Administratīvo pārkāpumu kodeksa 166.</w:t>
            </w:r>
            <w:r w:rsidR="000E49E2" w:rsidRPr="00B42BC1">
              <w:rPr>
                <w:rFonts w:ascii="Times New Roman" w:hAnsi="Times New Roman"/>
                <w:color w:val="000000" w:themeColor="text1"/>
                <w:sz w:val="24"/>
                <w:szCs w:val="24"/>
                <w:vertAlign w:val="superscript"/>
                <w:lang w:val="lv-LV"/>
              </w:rPr>
              <w:t>21</w:t>
            </w:r>
            <w:r w:rsidR="000E49E2" w:rsidRPr="00B42BC1">
              <w:rPr>
                <w:rFonts w:ascii="Times New Roman" w:hAnsi="Times New Roman"/>
                <w:color w:val="000000" w:themeColor="text1"/>
                <w:sz w:val="24"/>
                <w:szCs w:val="24"/>
                <w:lang w:val="lv-LV"/>
              </w:rPr>
              <w:t>–166.</w:t>
            </w:r>
            <w:r w:rsidR="000E49E2" w:rsidRPr="00B42BC1">
              <w:rPr>
                <w:rFonts w:ascii="Times New Roman" w:hAnsi="Times New Roman"/>
                <w:color w:val="000000" w:themeColor="text1"/>
                <w:sz w:val="24"/>
                <w:szCs w:val="24"/>
                <w:vertAlign w:val="superscript"/>
                <w:lang w:val="lv-LV"/>
              </w:rPr>
              <w:t>25</w:t>
            </w:r>
            <w:r w:rsidR="000E49E2" w:rsidRPr="00B42BC1">
              <w:rPr>
                <w:rFonts w:ascii="Times New Roman" w:hAnsi="Times New Roman"/>
                <w:color w:val="000000" w:themeColor="text1"/>
                <w:sz w:val="24"/>
                <w:szCs w:val="24"/>
                <w:lang w:val="lv-LV"/>
              </w:rPr>
              <w:t xml:space="preserve"> pantā minētos administratīvos pārkāpumus, veikti grozījumi pēc būtības:</w:t>
            </w:r>
          </w:p>
          <w:p w14:paraId="6688E4CD" w14:textId="77777777" w:rsidR="000E49E2" w:rsidRPr="00B42BC1" w:rsidRDefault="000E49E2" w:rsidP="009E3F6E">
            <w:pPr>
              <w:pStyle w:val="ListParagraph"/>
              <w:widowControl/>
              <w:numPr>
                <w:ilvl w:val="0"/>
                <w:numId w:val="21"/>
              </w:numPr>
              <w:spacing w:after="120" w:line="240" w:lineRule="auto"/>
              <w:ind w:right="140"/>
              <w:contextualSpacing w:val="0"/>
              <w:jc w:val="both"/>
              <w:rPr>
                <w:rFonts w:ascii="Times New Roman" w:hAnsi="Times New Roman"/>
                <w:iCs/>
                <w:color w:val="000000" w:themeColor="text1"/>
                <w:sz w:val="24"/>
                <w:szCs w:val="24"/>
                <w:lang w:val="lv-LV"/>
              </w:rPr>
            </w:pPr>
            <w:r w:rsidRPr="00B42BC1">
              <w:rPr>
                <w:rFonts w:ascii="Times New Roman" w:hAnsi="Times New Roman"/>
                <w:iCs/>
                <w:color w:val="000000" w:themeColor="text1"/>
                <w:sz w:val="24"/>
                <w:szCs w:val="24"/>
                <w:lang w:val="lv-LV"/>
              </w:rPr>
              <w:t xml:space="preserve">mainīta līgumcenas robežvērtība lielāka naudas soda apmēra un papildsoda piemērošanai par būtiskākiem pārkāpumiem no 145 000 </w:t>
            </w:r>
            <w:r w:rsidRPr="00B42BC1">
              <w:rPr>
                <w:rFonts w:ascii="Times New Roman" w:hAnsi="Times New Roman"/>
                <w:i/>
                <w:iCs/>
                <w:color w:val="000000" w:themeColor="text1"/>
                <w:sz w:val="24"/>
                <w:szCs w:val="24"/>
                <w:lang w:val="lv-LV"/>
              </w:rPr>
              <w:t>euro</w:t>
            </w:r>
            <w:r w:rsidRPr="00B42BC1">
              <w:rPr>
                <w:rFonts w:ascii="Times New Roman" w:hAnsi="Times New Roman"/>
                <w:iCs/>
                <w:color w:val="000000" w:themeColor="text1"/>
                <w:sz w:val="24"/>
                <w:szCs w:val="24"/>
                <w:lang w:val="lv-LV"/>
              </w:rPr>
              <w:t xml:space="preserve"> uz 500 000 </w:t>
            </w:r>
            <w:r w:rsidRPr="00B42BC1">
              <w:rPr>
                <w:rFonts w:ascii="Times New Roman" w:hAnsi="Times New Roman"/>
                <w:i/>
                <w:iCs/>
                <w:color w:val="000000" w:themeColor="text1"/>
                <w:sz w:val="24"/>
                <w:szCs w:val="24"/>
                <w:lang w:val="lv-LV"/>
              </w:rPr>
              <w:t>euro</w:t>
            </w:r>
            <w:r w:rsidRPr="00B42BC1">
              <w:rPr>
                <w:rFonts w:ascii="Times New Roman" w:hAnsi="Times New Roman"/>
                <w:iCs/>
                <w:color w:val="000000" w:themeColor="text1"/>
                <w:sz w:val="24"/>
                <w:szCs w:val="24"/>
                <w:lang w:val="lv-LV"/>
              </w:rPr>
              <w:t>, ņemot vērā to, ka iepriekš noteiktā robežvērtība bija diezgan zema, lai piemērotu obligātu aizliegumu ieņemt noteiktus valsts amatpersonas amatus (attiecībā uz būvdarbu līgumiem tas varēja būt pat t.s. “mazo iepirkumu” gadījums);</w:t>
            </w:r>
          </w:p>
          <w:p w14:paraId="2CBE7706" w14:textId="77777777" w:rsidR="000E49E2" w:rsidRPr="00B42BC1" w:rsidRDefault="000E49E2" w:rsidP="009E3F6E">
            <w:pPr>
              <w:pStyle w:val="ListParagraph"/>
              <w:widowControl/>
              <w:numPr>
                <w:ilvl w:val="0"/>
                <w:numId w:val="21"/>
              </w:numPr>
              <w:spacing w:after="120" w:line="240" w:lineRule="auto"/>
              <w:ind w:right="140"/>
              <w:contextualSpacing w:val="0"/>
              <w:jc w:val="both"/>
              <w:rPr>
                <w:rFonts w:ascii="Times New Roman" w:hAnsi="Times New Roman"/>
                <w:iCs/>
                <w:color w:val="000000" w:themeColor="text1"/>
                <w:sz w:val="24"/>
                <w:szCs w:val="24"/>
                <w:lang w:val="lv-LV"/>
              </w:rPr>
            </w:pPr>
            <w:r w:rsidRPr="00B42BC1">
              <w:rPr>
                <w:rFonts w:ascii="Times New Roman" w:hAnsi="Times New Roman"/>
                <w:iCs/>
                <w:color w:val="000000" w:themeColor="text1"/>
                <w:sz w:val="24"/>
                <w:szCs w:val="24"/>
                <w:lang w:val="lv-LV"/>
              </w:rPr>
              <w:t>ņemot vērā administratīvo pārkāpumu jomā uzsākto atteikšanos normatīvajos aktos noteikt atsevišķus administratīvo pārkāpumu sastāvus par atkārtotiem pārkāpumiem, arī likumprojektā tādi nav paredzēti;</w:t>
            </w:r>
          </w:p>
          <w:p w14:paraId="21E8DFE6" w14:textId="77777777" w:rsidR="000E49E2" w:rsidRPr="00B42BC1" w:rsidRDefault="000E49E2" w:rsidP="009E3F6E">
            <w:pPr>
              <w:pStyle w:val="ListParagraph"/>
              <w:widowControl/>
              <w:numPr>
                <w:ilvl w:val="0"/>
                <w:numId w:val="21"/>
              </w:numPr>
              <w:spacing w:after="120" w:line="240" w:lineRule="auto"/>
              <w:ind w:right="140"/>
              <w:contextualSpacing w:val="0"/>
              <w:jc w:val="both"/>
              <w:rPr>
                <w:rFonts w:ascii="Times New Roman" w:hAnsi="Times New Roman"/>
                <w:iCs/>
                <w:color w:val="000000" w:themeColor="text1"/>
                <w:sz w:val="24"/>
                <w:szCs w:val="24"/>
                <w:lang w:val="lv-LV"/>
              </w:rPr>
            </w:pPr>
            <w:r w:rsidRPr="00B42BC1">
              <w:rPr>
                <w:rFonts w:ascii="Times New Roman" w:eastAsiaTheme="minorHAnsi" w:hAnsi="Times New Roman"/>
                <w:iCs/>
                <w:color w:val="000000" w:themeColor="text1"/>
                <w:sz w:val="24"/>
                <w:szCs w:val="24"/>
                <w:lang w:val="lv-LV"/>
              </w:rPr>
              <w:t>administratīvā atbildība par kandidātu un pretendentu izslēgšanas noteikumu neievērošanu, atlases prasību neievērošanu un tehnisko specifikāciju prasību neievērošanu aprobežota ar gadījumiem, kad pieņemtais lēmums ir ietekmējis iepirkuma tiesību piešķiršanu. Likumā arī paredzēts, ka gadījumā, ja pieņemtais lēmums atcelts (piemēram, to atcēlusi Iepirkumu uzraudzības biroja iesniegumu izskatīšanas komisija vai pati iepirkuma komisija, konstatējot pārkāpumus), administratīvā atbildība nav piemērojama.</w:t>
            </w:r>
          </w:p>
          <w:p w14:paraId="693D9861" w14:textId="77777777" w:rsidR="000E49E2" w:rsidRPr="00B42BC1" w:rsidRDefault="000E49E2" w:rsidP="009E3F6E">
            <w:pPr>
              <w:spacing w:after="120" w:line="240" w:lineRule="auto"/>
              <w:ind w:right="142"/>
              <w:jc w:val="both"/>
              <w:rPr>
                <w:rFonts w:ascii="Times New Roman" w:hAnsi="Times New Roman"/>
                <w:color w:val="000000" w:themeColor="text1"/>
                <w:sz w:val="24"/>
                <w:szCs w:val="24"/>
                <w:lang w:val="lv-LV"/>
              </w:rPr>
            </w:pPr>
            <w:r w:rsidRPr="00B42BC1">
              <w:rPr>
                <w:rFonts w:ascii="Times New Roman" w:hAnsi="Times New Roman"/>
                <w:iCs/>
                <w:color w:val="000000" w:themeColor="text1"/>
                <w:sz w:val="24"/>
                <w:szCs w:val="24"/>
                <w:lang w:val="lv-LV"/>
              </w:rPr>
              <w:t xml:space="preserve">Ņemot vērā </w:t>
            </w:r>
            <w:r w:rsidRPr="00B42BC1">
              <w:rPr>
                <w:rFonts w:ascii="Times New Roman" w:hAnsi="Times New Roman"/>
                <w:color w:val="000000" w:themeColor="text1"/>
                <w:sz w:val="24"/>
                <w:szCs w:val="24"/>
                <w:lang w:val="lv-LV"/>
              </w:rPr>
              <w:t>Latvijas Administratīvo pārkāpumu kodeksa 166.</w:t>
            </w:r>
            <w:r w:rsidRPr="00B42BC1">
              <w:rPr>
                <w:rFonts w:ascii="Times New Roman" w:hAnsi="Times New Roman"/>
                <w:color w:val="000000" w:themeColor="text1"/>
                <w:sz w:val="24"/>
                <w:szCs w:val="24"/>
                <w:vertAlign w:val="superscript"/>
                <w:lang w:val="lv-LV"/>
              </w:rPr>
              <w:t>21</w:t>
            </w:r>
            <w:r w:rsidRPr="00B42BC1">
              <w:rPr>
                <w:rFonts w:ascii="Times New Roman" w:hAnsi="Times New Roman"/>
                <w:color w:val="000000" w:themeColor="text1"/>
                <w:sz w:val="24"/>
                <w:szCs w:val="24"/>
                <w:lang w:val="lv-LV"/>
              </w:rPr>
              <w:t>–166.</w:t>
            </w:r>
            <w:r w:rsidRPr="00B42BC1">
              <w:rPr>
                <w:rFonts w:ascii="Times New Roman" w:hAnsi="Times New Roman"/>
                <w:color w:val="000000" w:themeColor="text1"/>
                <w:sz w:val="24"/>
                <w:szCs w:val="24"/>
                <w:vertAlign w:val="superscript"/>
                <w:lang w:val="lv-LV"/>
              </w:rPr>
              <w:t>25</w:t>
            </w:r>
            <w:r w:rsidRPr="00B42BC1">
              <w:rPr>
                <w:rFonts w:ascii="Times New Roman" w:hAnsi="Times New Roman"/>
                <w:color w:val="000000" w:themeColor="text1"/>
                <w:sz w:val="24"/>
                <w:szCs w:val="24"/>
                <w:lang w:val="lv-LV"/>
              </w:rPr>
              <w:t xml:space="preserve"> panta piemērošanas praksi, attiecībā uz jauno regulējumu paskaidrojams, ka:</w:t>
            </w:r>
          </w:p>
          <w:p w14:paraId="7B0BA15E" w14:textId="77777777" w:rsidR="000E49E2" w:rsidRPr="00B42BC1" w:rsidRDefault="000E49E2" w:rsidP="009E3F6E">
            <w:pPr>
              <w:pStyle w:val="ListParagraph"/>
              <w:widowControl/>
              <w:numPr>
                <w:ilvl w:val="0"/>
                <w:numId w:val="22"/>
              </w:numPr>
              <w:spacing w:after="120" w:line="240" w:lineRule="auto"/>
              <w:ind w:right="142"/>
              <w:contextualSpacing w:val="0"/>
              <w:jc w:val="both"/>
              <w:rPr>
                <w:rFonts w:ascii="Times New Roman" w:hAnsi="Times New Roman"/>
                <w:iCs/>
                <w:color w:val="000000" w:themeColor="text1"/>
                <w:sz w:val="24"/>
                <w:szCs w:val="24"/>
                <w:lang w:val="lv-LV"/>
              </w:rPr>
            </w:pPr>
            <w:r w:rsidRPr="00B42BC1">
              <w:rPr>
                <w:rFonts w:ascii="Times New Roman" w:hAnsi="Times New Roman"/>
                <w:iCs/>
                <w:color w:val="000000" w:themeColor="text1"/>
                <w:sz w:val="24"/>
                <w:szCs w:val="24"/>
                <w:lang w:val="lv-LV"/>
              </w:rPr>
              <w:t xml:space="preserve">likumprojekta </w:t>
            </w:r>
            <w:r w:rsidR="00941B3C" w:rsidRPr="00B42BC1">
              <w:rPr>
                <w:rFonts w:ascii="Times New Roman" w:hAnsi="Times New Roman"/>
                <w:iCs/>
                <w:color w:val="000000" w:themeColor="text1"/>
                <w:sz w:val="24"/>
                <w:szCs w:val="24"/>
                <w:lang w:val="lv-LV"/>
              </w:rPr>
              <w:t>74</w:t>
            </w:r>
            <w:r w:rsidRPr="00B42BC1">
              <w:rPr>
                <w:rFonts w:ascii="Times New Roman" w:hAnsi="Times New Roman"/>
                <w:iCs/>
                <w:color w:val="000000" w:themeColor="text1"/>
                <w:sz w:val="24"/>
                <w:szCs w:val="24"/>
                <w:lang w:val="lv-LV"/>
              </w:rPr>
              <w:t xml:space="preserve">.pantā minētajos gadījumos, kad </w:t>
            </w:r>
            <w:r w:rsidR="003246C8" w:rsidRPr="00B42BC1">
              <w:rPr>
                <w:rFonts w:ascii="Times New Roman" w:hAnsi="Times New Roman"/>
                <w:iCs/>
                <w:color w:val="000000" w:themeColor="text1"/>
                <w:sz w:val="24"/>
                <w:szCs w:val="24"/>
                <w:lang w:val="lv-LV"/>
              </w:rPr>
              <w:t>pasūtītājs</w:t>
            </w:r>
            <w:r w:rsidRPr="00B42BC1">
              <w:rPr>
                <w:rFonts w:ascii="Times New Roman" w:hAnsi="Times New Roman"/>
                <w:iCs/>
                <w:color w:val="000000" w:themeColor="text1"/>
                <w:sz w:val="24"/>
                <w:szCs w:val="24"/>
                <w:lang w:val="lv-LV"/>
              </w:rPr>
              <w:t xml:space="preserve"> ir slēdzis darījumus, kas atbilst iepirkuma līguma vai vispārīgās vienošanās būtībai, bet kas nav noformēti kā rakstveida līgumi, un to veikšanu apliecina dažādi maksājuma dokumenti, piemēram, rēķini-pavadzīmes, persona, kas būs administratīvi atbildīga par šādu darījumu veikšanu, būs tā </w:t>
            </w:r>
            <w:r w:rsidR="003246C8" w:rsidRPr="00B42BC1">
              <w:rPr>
                <w:rFonts w:ascii="Times New Roman" w:hAnsi="Times New Roman"/>
                <w:iCs/>
                <w:color w:val="000000" w:themeColor="text1"/>
                <w:sz w:val="24"/>
                <w:szCs w:val="24"/>
                <w:lang w:val="lv-LV"/>
              </w:rPr>
              <w:t>pasūtītāja</w:t>
            </w:r>
            <w:r w:rsidRPr="00B42BC1">
              <w:rPr>
                <w:rFonts w:ascii="Times New Roman" w:hAnsi="Times New Roman"/>
                <w:iCs/>
                <w:color w:val="000000" w:themeColor="text1"/>
                <w:sz w:val="24"/>
                <w:szCs w:val="24"/>
                <w:lang w:val="lv-LV"/>
              </w:rPr>
              <w:t xml:space="preserve"> atbildīgā persona, kuras kompetencē un pienākumos ir šādu darījumu (līgumu) slēgšana </w:t>
            </w:r>
            <w:r w:rsidR="003246C8" w:rsidRPr="00B42BC1">
              <w:rPr>
                <w:rFonts w:ascii="Times New Roman" w:hAnsi="Times New Roman"/>
                <w:iCs/>
                <w:color w:val="000000" w:themeColor="text1"/>
                <w:sz w:val="24"/>
                <w:szCs w:val="24"/>
                <w:lang w:val="lv-LV"/>
              </w:rPr>
              <w:t>pasūtītāja</w:t>
            </w:r>
            <w:r w:rsidRPr="00B42BC1">
              <w:rPr>
                <w:rFonts w:ascii="Times New Roman" w:hAnsi="Times New Roman"/>
                <w:iCs/>
                <w:color w:val="000000" w:themeColor="text1"/>
                <w:sz w:val="24"/>
                <w:szCs w:val="24"/>
                <w:lang w:val="lv-LV"/>
              </w:rPr>
              <w:t xml:space="preserve"> vārdā un kura ir akceptējusi  (piemēram, apstiprinot </w:t>
            </w:r>
            <w:r w:rsidRPr="00B42BC1">
              <w:rPr>
                <w:rFonts w:ascii="Times New Roman" w:hAnsi="Times New Roman"/>
                <w:iCs/>
                <w:color w:val="000000" w:themeColor="text1"/>
                <w:sz w:val="24"/>
                <w:szCs w:val="24"/>
                <w:lang w:val="lv-LV"/>
              </w:rPr>
              <w:lastRenderedPageBreak/>
              <w:t xml:space="preserve">iesniegtos rēķinus-pavadzīmes) citu darbinieku rīcību, kas faktiski pasūtījuši (piemēram, piezvanot attiecīgajam piegādātājam) preces, pakalpojumus vai būvdarbus un kuriem nav tiesību veikt darījumus </w:t>
            </w:r>
            <w:r w:rsidR="00655E9B" w:rsidRPr="00B42BC1">
              <w:rPr>
                <w:rFonts w:ascii="Times New Roman" w:hAnsi="Times New Roman"/>
                <w:iCs/>
                <w:color w:val="000000" w:themeColor="text1"/>
                <w:sz w:val="24"/>
                <w:szCs w:val="24"/>
                <w:lang w:val="lv-LV"/>
              </w:rPr>
              <w:t>pasūtītāja</w:t>
            </w:r>
            <w:r w:rsidRPr="00B42BC1">
              <w:rPr>
                <w:rFonts w:ascii="Times New Roman" w:hAnsi="Times New Roman"/>
                <w:iCs/>
                <w:color w:val="000000" w:themeColor="text1"/>
                <w:sz w:val="24"/>
                <w:szCs w:val="24"/>
                <w:lang w:val="lv-LV"/>
              </w:rPr>
              <w:t xml:space="preserve"> vārdā. Šādām personām arī pašām ir jābūt informētām par attiecīgā </w:t>
            </w:r>
            <w:r w:rsidR="003246C8" w:rsidRPr="00B42BC1">
              <w:rPr>
                <w:rFonts w:ascii="Times New Roman" w:hAnsi="Times New Roman"/>
                <w:iCs/>
                <w:color w:val="000000" w:themeColor="text1"/>
                <w:sz w:val="24"/>
                <w:szCs w:val="24"/>
                <w:lang w:val="lv-LV"/>
              </w:rPr>
              <w:t>pasūtītāja</w:t>
            </w:r>
            <w:r w:rsidRPr="00B42BC1">
              <w:rPr>
                <w:rFonts w:ascii="Times New Roman" w:hAnsi="Times New Roman"/>
                <w:iCs/>
                <w:color w:val="000000" w:themeColor="text1"/>
                <w:sz w:val="24"/>
                <w:szCs w:val="24"/>
                <w:lang w:val="lv-LV"/>
              </w:rPr>
              <w:t xml:space="preserve"> kopējo darījumu apjomu, lai konstatētu, vai ir pieļaujami attiecīgi darījumi (maksājumi), nepiemērojot likumu vai piemērojot likumam neatbilstoši izraudzītu līguma slēgšanas tiesību piešķiršanas kārtību, un tās nevar aizbildināties ar šādas informācijas neesamību (neapkopošanu) attiecīgajā </w:t>
            </w:r>
            <w:r w:rsidR="003246C8" w:rsidRPr="00B42BC1">
              <w:rPr>
                <w:rFonts w:ascii="Times New Roman" w:hAnsi="Times New Roman"/>
                <w:iCs/>
                <w:color w:val="000000" w:themeColor="text1"/>
                <w:sz w:val="24"/>
                <w:szCs w:val="24"/>
                <w:lang w:val="lv-LV"/>
              </w:rPr>
              <w:t>pasūtītājā</w:t>
            </w:r>
            <w:r w:rsidRPr="00B42BC1">
              <w:rPr>
                <w:rFonts w:ascii="Times New Roman" w:hAnsi="Times New Roman"/>
                <w:iCs/>
                <w:color w:val="000000" w:themeColor="text1"/>
                <w:sz w:val="24"/>
                <w:szCs w:val="24"/>
                <w:lang w:val="lv-LV"/>
              </w:rPr>
              <w:t>;</w:t>
            </w:r>
          </w:p>
          <w:p w14:paraId="083A9514" w14:textId="0ADA65A3" w:rsidR="000E49E2" w:rsidRPr="00B42BC1" w:rsidRDefault="003246C8" w:rsidP="009E3F6E">
            <w:pPr>
              <w:pStyle w:val="ListParagraph"/>
              <w:widowControl/>
              <w:numPr>
                <w:ilvl w:val="0"/>
                <w:numId w:val="22"/>
              </w:numPr>
              <w:spacing w:after="120" w:line="240" w:lineRule="auto"/>
              <w:ind w:right="140"/>
              <w:contextualSpacing w:val="0"/>
              <w:jc w:val="both"/>
              <w:rPr>
                <w:rFonts w:ascii="Times New Roman" w:hAnsi="Times New Roman"/>
                <w:iCs/>
                <w:color w:val="000000" w:themeColor="text1"/>
                <w:sz w:val="24"/>
                <w:szCs w:val="24"/>
                <w:lang w:val="lv-LV"/>
              </w:rPr>
            </w:pPr>
            <w:r w:rsidRPr="00B42BC1">
              <w:rPr>
                <w:rFonts w:ascii="Times New Roman" w:hAnsi="Times New Roman"/>
                <w:iCs/>
                <w:color w:val="000000" w:themeColor="text1"/>
                <w:sz w:val="24"/>
                <w:szCs w:val="24"/>
                <w:lang w:val="lv-LV"/>
              </w:rPr>
              <w:t>likumprojekta 78</w:t>
            </w:r>
            <w:r w:rsidR="000E49E2" w:rsidRPr="00B42BC1">
              <w:rPr>
                <w:rFonts w:ascii="Times New Roman" w:hAnsi="Times New Roman"/>
                <w:iCs/>
                <w:color w:val="000000" w:themeColor="text1"/>
                <w:sz w:val="24"/>
                <w:szCs w:val="24"/>
                <w:lang w:val="lv-LV"/>
              </w:rPr>
              <w:t>.panta pirmā daļa ir attiecināma uz laika posmu līdz pieteikumu, piedāvājumu vai metu iesniegšanai, lai nodrošinātu piegādātājiem nepieciešamo informāciju pieteikumu, pie</w:t>
            </w:r>
            <w:r w:rsidR="001963AC" w:rsidRPr="00B42BC1">
              <w:rPr>
                <w:rFonts w:ascii="Times New Roman" w:hAnsi="Times New Roman"/>
                <w:iCs/>
                <w:color w:val="000000" w:themeColor="text1"/>
                <w:sz w:val="24"/>
                <w:szCs w:val="24"/>
                <w:lang w:val="lv-LV"/>
              </w:rPr>
              <w:t>dāvājumu vai metu sagatavošanai;</w:t>
            </w:r>
          </w:p>
          <w:p w14:paraId="7779DEA6" w14:textId="0416A4B8" w:rsidR="001963AC" w:rsidRPr="00B42BC1" w:rsidRDefault="001963AC" w:rsidP="001963AC">
            <w:pPr>
              <w:pStyle w:val="ListParagraph"/>
              <w:widowControl/>
              <w:numPr>
                <w:ilvl w:val="0"/>
                <w:numId w:val="22"/>
              </w:numPr>
              <w:spacing w:after="120" w:line="240" w:lineRule="auto"/>
              <w:ind w:right="140"/>
              <w:contextualSpacing w:val="0"/>
              <w:jc w:val="both"/>
              <w:rPr>
                <w:rFonts w:ascii="Times New Roman" w:hAnsi="Times New Roman"/>
                <w:iCs/>
                <w:color w:val="000000" w:themeColor="text1"/>
                <w:sz w:val="24"/>
                <w:szCs w:val="24"/>
                <w:lang w:val="lv-LV"/>
              </w:rPr>
            </w:pPr>
            <w:r w:rsidRPr="00B42BC1">
              <w:rPr>
                <w:rFonts w:ascii="Times New Roman" w:hAnsi="Times New Roman"/>
                <w:iCs/>
                <w:color w:val="000000" w:themeColor="text1"/>
                <w:sz w:val="24"/>
                <w:szCs w:val="24"/>
                <w:lang w:val="lv-LV"/>
              </w:rPr>
              <w:t xml:space="preserve">likumprojekta 76.panta piektā daļa cita starpā attiecināma uz likumam neatbilstošu grozījumu izdarīšanu tāda iepirkuma līguma vai vispārīgās vienošanās tekstā (kā minēts likumprojekta 76.panta ceturtajā daļā), attiecīgi kura vai kuras līgumcena ir 500 000 </w:t>
            </w:r>
            <w:r w:rsidRPr="00B42BC1">
              <w:rPr>
                <w:rFonts w:ascii="Times New Roman" w:hAnsi="Times New Roman"/>
                <w:i/>
                <w:iCs/>
                <w:color w:val="000000" w:themeColor="text1"/>
                <w:sz w:val="24"/>
                <w:szCs w:val="24"/>
                <w:lang w:val="lv-LV"/>
              </w:rPr>
              <w:t>euro</w:t>
            </w:r>
            <w:r w:rsidRPr="00B42BC1">
              <w:rPr>
                <w:rFonts w:ascii="Times New Roman" w:hAnsi="Times New Roman"/>
                <w:iCs/>
                <w:color w:val="000000" w:themeColor="text1"/>
                <w:sz w:val="24"/>
                <w:szCs w:val="24"/>
                <w:lang w:val="lv-LV"/>
              </w:rPr>
              <w:t xml:space="preserve"> vai lielāka, neatkarīgi no grozījumu vērtības naudas izteiksmē (ja tos vispār var izteikt naudas izteiksmē).</w:t>
            </w:r>
          </w:p>
          <w:p w14:paraId="251AF3C4" w14:textId="77777777" w:rsidR="001F267E" w:rsidRPr="00B42BC1" w:rsidRDefault="00435EED" w:rsidP="00C62BD7">
            <w:pPr>
              <w:widowControl/>
              <w:spacing w:after="120" w:line="240" w:lineRule="auto"/>
              <w:jc w:val="both"/>
              <w:rPr>
                <w:rFonts w:ascii="Times New Roman" w:eastAsia="Times New Roman" w:hAnsi="Times New Roman"/>
                <w:b/>
                <w:color w:val="000000" w:themeColor="text1"/>
                <w:sz w:val="24"/>
                <w:szCs w:val="24"/>
                <w:u w:val="single"/>
                <w:lang w:val="lv-LV" w:eastAsia="lv-LV"/>
              </w:rPr>
            </w:pPr>
            <w:r w:rsidRPr="00B42BC1">
              <w:rPr>
                <w:rFonts w:ascii="Times New Roman" w:eastAsia="Times New Roman" w:hAnsi="Times New Roman"/>
                <w:b/>
                <w:color w:val="000000" w:themeColor="text1"/>
                <w:sz w:val="24"/>
                <w:szCs w:val="24"/>
                <w:u w:val="single"/>
                <w:lang w:val="lv-LV" w:eastAsia="lv-LV"/>
              </w:rPr>
              <w:t>Regulējums attiecībā uz Iepirkumu uzraudzības biroju</w:t>
            </w:r>
            <w:r w:rsidR="001F267E" w:rsidRPr="00B42BC1">
              <w:rPr>
                <w:rFonts w:ascii="Times New Roman" w:eastAsia="Times New Roman" w:hAnsi="Times New Roman"/>
                <w:b/>
                <w:color w:val="000000" w:themeColor="text1"/>
                <w:sz w:val="24"/>
                <w:szCs w:val="24"/>
                <w:u w:val="single"/>
                <w:lang w:val="lv-LV" w:eastAsia="lv-LV"/>
              </w:rPr>
              <w:t xml:space="preserve"> </w:t>
            </w:r>
            <w:r w:rsidR="001F267E" w:rsidRPr="00B42BC1">
              <w:rPr>
                <w:rFonts w:ascii="Times New Roman" w:eastAsia="Times New Roman" w:hAnsi="Times New Roman"/>
                <w:color w:val="000000" w:themeColor="text1"/>
                <w:sz w:val="24"/>
                <w:szCs w:val="24"/>
                <w:lang w:val="lv-LV" w:eastAsia="lv-LV"/>
              </w:rPr>
              <w:t>tiek vienīgi redakcionāli precizēts.</w:t>
            </w:r>
          </w:p>
          <w:p w14:paraId="160674CE" w14:textId="77777777" w:rsidR="003643C1" w:rsidRPr="00B42BC1" w:rsidRDefault="00547767" w:rsidP="00C62BD7">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I</w:t>
            </w:r>
            <w:r w:rsidR="00435EED" w:rsidRPr="00B42BC1">
              <w:rPr>
                <w:rFonts w:ascii="Times New Roman" w:eastAsia="Times New Roman" w:hAnsi="Times New Roman"/>
                <w:b/>
                <w:color w:val="000000" w:themeColor="text1"/>
                <w:sz w:val="24"/>
                <w:szCs w:val="24"/>
                <w:u w:val="single"/>
                <w:lang w:val="lv-LV" w:eastAsia="lv-LV"/>
              </w:rPr>
              <w:t>esniegumu par iepirkumu procedūras pārkāpumiem izskatīšanas kā</w:t>
            </w:r>
            <w:r w:rsidRPr="00B42BC1">
              <w:rPr>
                <w:rFonts w:ascii="Times New Roman" w:eastAsia="Times New Roman" w:hAnsi="Times New Roman"/>
                <w:b/>
                <w:color w:val="000000" w:themeColor="text1"/>
                <w:sz w:val="24"/>
                <w:szCs w:val="24"/>
                <w:u w:val="single"/>
                <w:lang w:val="lv-LV" w:eastAsia="lv-LV"/>
              </w:rPr>
              <w:t>rtība būtiski mainīta netiek</w:t>
            </w:r>
            <w:r w:rsidRPr="00B42BC1">
              <w:rPr>
                <w:rFonts w:ascii="Times New Roman" w:eastAsia="Times New Roman" w:hAnsi="Times New Roman"/>
                <w:color w:val="000000" w:themeColor="text1"/>
                <w:sz w:val="24"/>
                <w:szCs w:val="24"/>
                <w:lang w:val="lv-LV" w:eastAsia="lv-LV"/>
              </w:rPr>
              <w:t xml:space="preserve">, izņemot tiek </w:t>
            </w:r>
            <w:r w:rsidR="00C77064" w:rsidRPr="00B42BC1">
              <w:rPr>
                <w:rFonts w:ascii="Times New Roman" w:eastAsia="Times New Roman" w:hAnsi="Times New Roman"/>
                <w:color w:val="000000" w:themeColor="text1"/>
                <w:sz w:val="24"/>
                <w:szCs w:val="24"/>
                <w:lang w:val="lv-LV" w:eastAsia="lv-LV"/>
              </w:rPr>
              <w:t>paredzēts, ka iesniegumu var iesniegt arī elektroniskā veidā, pievienojot elektronis</w:t>
            </w:r>
            <w:r w:rsidR="002C7905" w:rsidRPr="00B42BC1">
              <w:rPr>
                <w:rFonts w:ascii="Times New Roman" w:eastAsia="Times New Roman" w:hAnsi="Times New Roman"/>
                <w:color w:val="000000" w:themeColor="text1"/>
                <w:sz w:val="24"/>
                <w:szCs w:val="24"/>
                <w:lang w:val="lv-LV" w:eastAsia="lv-LV"/>
              </w:rPr>
              <w:t>kajam pastam skenētu iesniegumu, tādējādi paplašinot piegādātāju iespējas operatīvi iesniegt iesniegumu.</w:t>
            </w:r>
            <w:r w:rsidR="00C77064" w:rsidRPr="00B42BC1">
              <w:rPr>
                <w:rFonts w:ascii="Times New Roman" w:eastAsia="Times New Roman" w:hAnsi="Times New Roman"/>
                <w:color w:val="000000" w:themeColor="text1"/>
                <w:sz w:val="24"/>
                <w:szCs w:val="24"/>
                <w:lang w:val="lv-LV" w:eastAsia="lv-LV"/>
              </w:rPr>
              <w:t xml:space="preserve"> Tiek pagarināts termiņš, kurā var iesniegt iesniegumu par </w:t>
            </w:r>
            <w:r w:rsidR="00471915" w:rsidRPr="00B42BC1">
              <w:rPr>
                <w:rFonts w:ascii="Times New Roman" w:eastAsia="Times New Roman" w:hAnsi="Times New Roman"/>
                <w:color w:val="000000" w:themeColor="text1"/>
                <w:sz w:val="24"/>
                <w:szCs w:val="24"/>
                <w:lang w:val="lv-LV" w:eastAsia="lv-LV"/>
              </w:rPr>
              <w:t>atklāta konkursa un metu konkursa nolikumu</w:t>
            </w:r>
            <w:r w:rsidR="009038E1" w:rsidRPr="00B42BC1">
              <w:rPr>
                <w:rFonts w:ascii="Times New Roman" w:eastAsia="Times New Roman" w:hAnsi="Times New Roman"/>
                <w:color w:val="000000" w:themeColor="text1"/>
                <w:sz w:val="24"/>
                <w:szCs w:val="24"/>
                <w:lang w:val="lv-LV" w:eastAsia="lv-LV"/>
              </w:rPr>
              <w:t xml:space="preserve">, ņemot vērā, ka minimālie piedāvājumu iesniegšanas termiņi Direktīvā 2014/24/ES tiek samazināti. </w:t>
            </w:r>
          </w:p>
          <w:p w14:paraId="10BBCB12" w14:textId="77777777" w:rsidR="009038E1" w:rsidRPr="00B42BC1" w:rsidRDefault="009038E1" w:rsidP="00C62BD7">
            <w:pPr>
              <w:widowControl/>
              <w:spacing w:after="120" w:line="240" w:lineRule="auto"/>
              <w:jc w:val="both"/>
              <w:rPr>
                <w:rFonts w:ascii="Times New Roman" w:eastAsia="Times New Roman" w:hAnsi="Times New Roman"/>
                <w:b/>
                <w:color w:val="000000" w:themeColor="text1"/>
                <w:sz w:val="24"/>
                <w:szCs w:val="24"/>
                <w:u w:val="single"/>
                <w:lang w:val="lv-LV" w:eastAsia="lv-LV"/>
              </w:rPr>
            </w:pPr>
            <w:r w:rsidRPr="00B42BC1">
              <w:rPr>
                <w:rFonts w:ascii="Times New Roman" w:eastAsia="Times New Roman" w:hAnsi="Times New Roman"/>
                <w:b/>
                <w:color w:val="000000" w:themeColor="text1"/>
                <w:sz w:val="24"/>
                <w:szCs w:val="24"/>
                <w:u w:val="single"/>
                <w:lang w:val="lv-LV" w:eastAsia="lv-LV"/>
              </w:rPr>
              <w:t>Regulējums par i</w:t>
            </w:r>
            <w:r w:rsidR="00435EED" w:rsidRPr="00B42BC1">
              <w:rPr>
                <w:rFonts w:ascii="Times New Roman" w:eastAsia="Times New Roman" w:hAnsi="Times New Roman"/>
                <w:b/>
                <w:color w:val="000000" w:themeColor="text1"/>
                <w:sz w:val="24"/>
                <w:szCs w:val="24"/>
                <w:u w:val="single"/>
                <w:lang w:val="lv-LV" w:eastAsia="lv-LV"/>
              </w:rPr>
              <w:t>epirkuma līguma vai vispārīgās vienošanās atzīšanu par spēkā neesošu, to noteikumu grozīšanu vai atcelšanu vai līguma vai vispārīgās vienošanās termiņa saīsināšanu</w:t>
            </w:r>
            <w:r w:rsidR="00C62BD7" w:rsidRPr="00B42BC1">
              <w:rPr>
                <w:rFonts w:ascii="Times New Roman" w:eastAsia="Times New Roman" w:hAnsi="Times New Roman"/>
                <w:b/>
                <w:color w:val="000000" w:themeColor="text1"/>
                <w:sz w:val="24"/>
                <w:szCs w:val="24"/>
                <w:u w:val="single"/>
                <w:lang w:val="lv-LV" w:eastAsia="lv-LV"/>
              </w:rPr>
              <w:t xml:space="preserve">, </w:t>
            </w:r>
            <w:r w:rsidR="00435EED" w:rsidRPr="00B42BC1">
              <w:rPr>
                <w:rFonts w:ascii="Times New Roman" w:eastAsia="Times New Roman" w:hAnsi="Times New Roman"/>
                <w:b/>
                <w:color w:val="000000" w:themeColor="text1"/>
                <w:sz w:val="24"/>
                <w:szCs w:val="24"/>
                <w:u w:val="single"/>
                <w:lang w:val="lv-LV" w:eastAsia="lv-LV"/>
              </w:rPr>
              <w:t xml:space="preserve"> zaudējumu atlīdzināšanu</w:t>
            </w:r>
            <w:r w:rsidRPr="00B42BC1">
              <w:rPr>
                <w:rFonts w:ascii="Times New Roman" w:eastAsia="Times New Roman" w:hAnsi="Times New Roman"/>
                <w:b/>
                <w:color w:val="000000" w:themeColor="text1"/>
                <w:sz w:val="24"/>
                <w:szCs w:val="24"/>
                <w:u w:val="single"/>
                <w:lang w:val="lv-LV" w:eastAsia="lv-LV"/>
              </w:rPr>
              <w:t xml:space="preserve"> netiek mainīts. </w:t>
            </w:r>
          </w:p>
          <w:p w14:paraId="0F6A28EA" w14:textId="77777777" w:rsidR="00B712A8" w:rsidRPr="00B42BC1" w:rsidRDefault="009038E1" w:rsidP="00B712A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S</w:t>
            </w:r>
            <w:r w:rsidR="00C62BD7" w:rsidRPr="00B42BC1">
              <w:rPr>
                <w:rFonts w:ascii="Times New Roman" w:eastAsia="Times New Roman" w:hAnsi="Times New Roman"/>
                <w:b/>
                <w:color w:val="000000" w:themeColor="text1"/>
                <w:sz w:val="24"/>
                <w:szCs w:val="24"/>
                <w:u w:val="single"/>
                <w:lang w:val="lv-LV" w:eastAsia="lv-LV"/>
              </w:rPr>
              <w:t xml:space="preserve">tatistikas pārskatu </w:t>
            </w:r>
            <w:r w:rsidR="00877C3D" w:rsidRPr="00B42BC1">
              <w:rPr>
                <w:rFonts w:ascii="Times New Roman" w:eastAsia="Times New Roman" w:hAnsi="Times New Roman"/>
                <w:b/>
                <w:color w:val="000000" w:themeColor="text1"/>
                <w:sz w:val="24"/>
                <w:szCs w:val="24"/>
                <w:u w:val="single"/>
                <w:lang w:val="lv-LV" w:eastAsia="lv-LV"/>
              </w:rPr>
              <w:t xml:space="preserve">saturu un </w:t>
            </w:r>
            <w:r w:rsidR="00C62BD7" w:rsidRPr="00B42BC1">
              <w:rPr>
                <w:rFonts w:ascii="Times New Roman" w:eastAsia="Times New Roman" w:hAnsi="Times New Roman"/>
                <w:b/>
                <w:color w:val="000000" w:themeColor="text1"/>
                <w:sz w:val="24"/>
                <w:szCs w:val="24"/>
                <w:u w:val="single"/>
                <w:lang w:val="lv-LV" w:eastAsia="lv-LV"/>
              </w:rPr>
              <w:t>iesniegšan</w:t>
            </w:r>
            <w:r w:rsidR="00877C3D" w:rsidRPr="00B42BC1">
              <w:rPr>
                <w:rFonts w:ascii="Times New Roman" w:eastAsia="Times New Roman" w:hAnsi="Times New Roman"/>
                <w:b/>
                <w:color w:val="000000" w:themeColor="text1"/>
                <w:sz w:val="24"/>
                <w:szCs w:val="24"/>
                <w:u w:val="single"/>
                <w:lang w:val="lv-LV" w:eastAsia="lv-LV"/>
              </w:rPr>
              <w:t xml:space="preserve">u ir paredzēts regulēt Ministru kabineta noteikumos. </w:t>
            </w:r>
          </w:p>
          <w:p w14:paraId="76B05566" w14:textId="78AAE9CF" w:rsidR="00BD2D5A" w:rsidRPr="00B42BC1" w:rsidRDefault="0057605F" w:rsidP="00B712A8">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b/>
                <w:color w:val="000000" w:themeColor="text1"/>
                <w:sz w:val="24"/>
                <w:szCs w:val="24"/>
                <w:u w:val="single"/>
                <w:lang w:val="lv-LV" w:eastAsia="lv-LV"/>
              </w:rPr>
              <w:t>Likumprojektā tiek iekļauts depozīts par iesnieguma iesniegšanu par iepirkumu procedūras pārkāpumiem</w:t>
            </w:r>
            <w:r w:rsidRPr="00B42BC1">
              <w:rPr>
                <w:rFonts w:ascii="Times New Roman" w:eastAsia="Times New Roman" w:hAnsi="Times New Roman"/>
                <w:color w:val="000000" w:themeColor="text1"/>
                <w:sz w:val="24"/>
                <w:szCs w:val="24"/>
                <w:lang w:val="lv-LV" w:eastAsia="lv-LV"/>
              </w:rPr>
              <w:t xml:space="preserve"> atbilstoši redakcijai, kura izstrādāta Saeimas </w:t>
            </w:r>
            <w:r w:rsidR="00BD66DC" w:rsidRPr="00B42BC1">
              <w:rPr>
                <w:rFonts w:ascii="Times New Roman" w:eastAsia="Times New Roman" w:hAnsi="Times New Roman"/>
                <w:color w:val="000000" w:themeColor="text1"/>
                <w:sz w:val="24"/>
                <w:szCs w:val="24"/>
                <w:lang w:val="lv-LV" w:eastAsia="lv-LV"/>
              </w:rPr>
              <w:t xml:space="preserve">Tautsaimniecības, agrārās, vides un reģionālās politikas </w:t>
            </w:r>
            <w:r w:rsidR="00BD66DC" w:rsidRPr="00B42BC1">
              <w:rPr>
                <w:rFonts w:ascii="Times New Roman" w:eastAsia="Times New Roman" w:hAnsi="Times New Roman"/>
                <w:color w:val="000000" w:themeColor="text1"/>
                <w:sz w:val="24"/>
                <w:szCs w:val="24"/>
                <w:lang w:val="lv-LV" w:eastAsia="lv-LV"/>
              </w:rPr>
              <w:lastRenderedPageBreak/>
              <w:t>komisijas izveidotajā darba grupā</w:t>
            </w:r>
            <w:r w:rsidR="000522A6" w:rsidRPr="00B42BC1">
              <w:rPr>
                <w:rFonts w:ascii="Times New Roman" w:eastAsia="Times New Roman" w:hAnsi="Times New Roman"/>
                <w:color w:val="000000" w:themeColor="text1"/>
                <w:sz w:val="24"/>
                <w:szCs w:val="24"/>
                <w:lang w:val="lv-LV" w:eastAsia="lv-LV"/>
              </w:rPr>
              <w:t xml:space="preserve">, taču starpinstitūciju saskaņošanas ietvaros precizēta. </w:t>
            </w:r>
            <w:r w:rsidR="00353DF3" w:rsidRPr="00B42BC1">
              <w:rPr>
                <w:rFonts w:ascii="Times New Roman" w:eastAsia="Times New Roman" w:hAnsi="Times New Roman"/>
                <w:color w:val="000000" w:themeColor="text1"/>
                <w:sz w:val="24"/>
                <w:szCs w:val="24"/>
                <w:lang w:val="lv-LV" w:eastAsia="lv-LV"/>
              </w:rPr>
              <w:t xml:space="preserve"> </w:t>
            </w:r>
          </w:p>
        </w:tc>
      </w:tr>
      <w:tr w:rsidR="00B42BC1" w:rsidRPr="00B42BC1" w14:paraId="59DB3DDF" w14:textId="77777777" w:rsidTr="005533E2">
        <w:trPr>
          <w:trHeight w:val="465"/>
        </w:trPr>
        <w:tc>
          <w:tcPr>
            <w:tcW w:w="471" w:type="dxa"/>
            <w:tcBorders>
              <w:top w:val="outset" w:sz="6" w:space="0" w:color="414142"/>
              <w:left w:val="outset" w:sz="6" w:space="0" w:color="414142"/>
              <w:bottom w:val="outset" w:sz="6" w:space="0" w:color="414142"/>
              <w:right w:val="outset" w:sz="6" w:space="0" w:color="414142"/>
            </w:tcBorders>
            <w:hideMark/>
          </w:tcPr>
          <w:p w14:paraId="6DF75F4B" w14:textId="195F8E9A"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3.</w:t>
            </w:r>
          </w:p>
        </w:tc>
        <w:tc>
          <w:tcPr>
            <w:tcW w:w="2923" w:type="dxa"/>
            <w:tcBorders>
              <w:top w:val="outset" w:sz="6" w:space="0" w:color="414142"/>
              <w:left w:val="outset" w:sz="6" w:space="0" w:color="414142"/>
              <w:bottom w:val="outset" w:sz="6" w:space="0" w:color="414142"/>
              <w:right w:val="outset" w:sz="6" w:space="0" w:color="414142"/>
            </w:tcBorders>
            <w:hideMark/>
          </w:tcPr>
          <w:p w14:paraId="460FC206"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Projekta izstrādē iesaistītās institūcijas</w:t>
            </w:r>
          </w:p>
        </w:tc>
        <w:tc>
          <w:tcPr>
            <w:tcW w:w="6035" w:type="dxa"/>
            <w:tcBorders>
              <w:top w:val="outset" w:sz="6" w:space="0" w:color="414142"/>
              <w:left w:val="outset" w:sz="6" w:space="0" w:color="414142"/>
              <w:bottom w:val="outset" w:sz="6" w:space="0" w:color="414142"/>
              <w:right w:val="outset" w:sz="6" w:space="0" w:color="414142"/>
            </w:tcBorders>
            <w:hideMark/>
          </w:tcPr>
          <w:p w14:paraId="65932ABB" w14:textId="77777777" w:rsidR="006B2EB6" w:rsidRPr="00B42BC1" w:rsidRDefault="000C3F7D" w:rsidP="00244C96">
            <w:pPr>
              <w:widowControl/>
              <w:spacing w:after="0" w:line="240" w:lineRule="auto"/>
              <w:contextualSpacing/>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pārņemšanai ar finanšu ministra 2014.gada 17.marta rīkojumu Nr.131 “Par darba grupas izveidi” tika izveidota darba grupa jauna Publisko iepirkumu likuma izstrādei, vēlāk ar finanšu ministra 2015.gada 19.marta rīkojumu Nr.136 “Par darba grupas izveidi publisko iepirkumu jomā” tika aktualizēts darba grupas sastāvs un paplašināts darba grupas uzdevums. Darba grupā tika iekļauti pārstāvji no  Latvijas Pašvaldību savienības, Valsts reģionālās attīstības aģentūras, Iepirkumu uzraudzības biroja, Vides aizsardzības un reģionālās attīstības ministrijas, Ārvalstu investoru padomes, Ekonomikas ministrijas, biedrības “Latvijas Tirdzniecības un rūpniecības kamera”, Valsts kancelejas, Tieslietu ministrijas, Latvijas Darba devēju konfederācijas. Darba grupas sanāksmes bija atvērtas arī citu institūciju un organizāciju pārstāvjiem, līdz ar to likumprojekta izstrādē piedalījās </w:t>
            </w:r>
            <w:r w:rsidR="00FB5F37" w:rsidRPr="00B42BC1">
              <w:rPr>
                <w:rFonts w:ascii="Times New Roman" w:eastAsia="Times New Roman" w:hAnsi="Times New Roman"/>
                <w:color w:val="000000" w:themeColor="text1"/>
                <w:sz w:val="24"/>
                <w:szCs w:val="24"/>
                <w:lang w:val="lv-LV" w:eastAsia="lv-LV"/>
              </w:rPr>
              <w:t xml:space="preserve">pārstāvji no Latvijas Arhitektu Savienības, biedrības “Būvniecības attīstības stratēģiskā partnerība”, Valsts ugunsdzēsības un glābšanas dienesta, Pilsonības un migrācijas lietu pārvaldes, VAS “Latvijas Valsts meži”, biedrības “Latvijas celtnieku arodbiedrība”, biedrības “Latvijas Informācijas un komunikāciju tehnoloģiju asociācija”, Latvijas Zvērinātu revidentu asociācijas, Latvijas būvnieku asociācijas, Iekšlietu ministrijas, Nodrošinājuma valsts aģentūras, Latvijas Brīvo Arodbiedrību Savienības”, Valsts darba inspekcijas, Labklājības ministrijas, Valsts ieņēmumu dienesta un citām institūcijām, organizācijām un tirgus dalībniekiem. </w:t>
            </w:r>
          </w:p>
        </w:tc>
      </w:tr>
      <w:tr w:rsidR="00B42BC1" w:rsidRPr="00B42BC1" w14:paraId="082D06B9" w14:textId="77777777" w:rsidTr="005533E2">
        <w:tc>
          <w:tcPr>
            <w:tcW w:w="471" w:type="dxa"/>
            <w:tcBorders>
              <w:top w:val="outset" w:sz="6" w:space="0" w:color="414142"/>
              <w:left w:val="outset" w:sz="6" w:space="0" w:color="414142"/>
              <w:bottom w:val="outset" w:sz="6" w:space="0" w:color="414142"/>
              <w:right w:val="outset" w:sz="6" w:space="0" w:color="414142"/>
            </w:tcBorders>
            <w:hideMark/>
          </w:tcPr>
          <w:p w14:paraId="4AE16A1B"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w:t>
            </w:r>
          </w:p>
        </w:tc>
        <w:tc>
          <w:tcPr>
            <w:tcW w:w="2923" w:type="dxa"/>
            <w:tcBorders>
              <w:top w:val="outset" w:sz="6" w:space="0" w:color="414142"/>
              <w:left w:val="outset" w:sz="6" w:space="0" w:color="414142"/>
              <w:bottom w:val="outset" w:sz="6" w:space="0" w:color="414142"/>
              <w:right w:val="outset" w:sz="6" w:space="0" w:color="414142"/>
            </w:tcBorders>
            <w:hideMark/>
          </w:tcPr>
          <w:p w14:paraId="44B05C55"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Cita informācija</w:t>
            </w:r>
          </w:p>
        </w:tc>
        <w:tc>
          <w:tcPr>
            <w:tcW w:w="6035" w:type="dxa"/>
            <w:tcBorders>
              <w:top w:val="outset" w:sz="6" w:space="0" w:color="414142"/>
              <w:left w:val="outset" w:sz="6" w:space="0" w:color="414142"/>
              <w:bottom w:val="outset" w:sz="6" w:space="0" w:color="414142"/>
              <w:right w:val="outset" w:sz="6" w:space="0" w:color="414142"/>
            </w:tcBorders>
            <w:hideMark/>
          </w:tcPr>
          <w:p w14:paraId="3CD31081" w14:textId="77777777" w:rsidR="006B2EB6" w:rsidRPr="00B42BC1" w:rsidRDefault="000C3F7D" w:rsidP="00244C96">
            <w:pPr>
              <w:widowControl/>
              <w:spacing w:after="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w:t>
            </w:r>
          </w:p>
        </w:tc>
      </w:tr>
      <w:tr w:rsidR="00B42BC1" w:rsidRPr="00B42BC1" w14:paraId="1CEDAE81" w14:textId="77777777" w:rsidTr="005533E2">
        <w:trPr>
          <w:trHeight w:val="128"/>
        </w:trPr>
        <w:tc>
          <w:tcPr>
            <w:tcW w:w="9429" w:type="dxa"/>
            <w:gridSpan w:val="3"/>
            <w:tcBorders>
              <w:top w:val="outset" w:sz="6" w:space="0" w:color="414142"/>
              <w:left w:val="nil"/>
              <w:bottom w:val="outset" w:sz="6" w:space="0" w:color="414142"/>
              <w:right w:val="nil"/>
            </w:tcBorders>
          </w:tcPr>
          <w:p w14:paraId="4267A33A" w14:textId="77777777" w:rsidR="006B2EB6" w:rsidRPr="00B42BC1" w:rsidRDefault="006B2EB6" w:rsidP="00244C96">
            <w:pPr>
              <w:widowControl/>
              <w:tabs>
                <w:tab w:val="left" w:pos="990"/>
              </w:tabs>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b/>
            </w:r>
          </w:p>
        </w:tc>
      </w:tr>
      <w:tr w:rsidR="00B42BC1" w:rsidRPr="00B42BC1" w14:paraId="3D44B022" w14:textId="77777777" w:rsidTr="005533E2">
        <w:trPr>
          <w:trHeight w:val="555"/>
        </w:trPr>
        <w:tc>
          <w:tcPr>
            <w:tcW w:w="9429" w:type="dxa"/>
            <w:gridSpan w:val="3"/>
            <w:tcBorders>
              <w:top w:val="nil"/>
              <w:left w:val="outset" w:sz="6" w:space="0" w:color="414142"/>
              <w:bottom w:val="outset" w:sz="6" w:space="0" w:color="414142"/>
              <w:right w:val="outset" w:sz="6" w:space="0" w:color="414142"/>
            </w:tcBorders>
            <w:hideMark/>
          </w:tcPr>
          <w:p w14:paraId="654C5ACF" w14:textId="77777777" w:rsidR="006B2EB6" w:rsidRPr="00B42BC1"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b/>
                <w:bCs/>
                <w:color w:val="000000" w:themeColor="text1"/>
                <w:sz w:val="24"/>
                <w:szCs w:val="24"/>
                <w:lang w:val="lv-LV" w:eastAsia="lv-LV"/>
              </w:rPr>
              <w:t>II. Tiesību akta projekta ietekme uz sabiedrību, tautsaimniecības attīstību un administratīvo slogu</w:t>
            </w:r>
          </w:p>
        </w:tc>
      </w:tr>
      <w:tr w:rsidR="00B42BC1" w:rsidRPr="00B42BC1" w14:paraId="36389210" w14:textId="77777777" w:rsidTr="005533E2">
        <w:trPr>
          <w:trHeight w:val="465"/>
        </w:trPr>
        <w:tc>
          <w:tcPr>
            <w:tcW w:w="471" w:type="dxa"/>
            <w:tcBorders>
              <w:top w:val="outset" w:sz="6" w:space="0" w:color="414142"/>
              <w:left w:val="outset" w:sz="6" w:space="0" w:color="414142"/>
              <w:bottom w:val="outset" w:sz="6" w:space="0" w:color="414142"/>
              <w:right w:val="outset" w:sz="6" w:space="0" w:color="414142"/>
            </w:tcBorders>
            <w:hideMark/>
          </w:tcPr>
          <w:p w14:paraId="0F25E8A3"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w:t>
            </w:r>
          </w:p>
        </w:tc>
        <w:tc>
          <w:tcPr>
            <w:tcW w:w="2923" w:type="dxa"/>
            <w:tcBorders>
              <w:top w:val="outset" w:sz="6" w:space="0" w:color="414142"/>
              <w:left w:val="outset" w:sz="6" w:space="0" w:color="414142"/>
              <w:bottom w:val="outset" w:sz="6" w:space="0" w:color="414142"/>
              <w:right w:val="outset" w:sz="6" w:space="0" w:color="414142"/>
            </w:tcBorders>
            <w:hideMark/>
          </w:tcPr>
          <w:p w14:paraId="3C5A785A"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Sabiedrības mērķgrupas, kuras tiesiskais regulējums ietekmē vai varētu ietekmēt</w:t>
            </w:r>
          </w:p>
        </w:tc>
        <w:tc>
          <w:tcPr>
            <w:tcW w:w="6035" w:type="dxa"/>
            <w:tcBorders>
              <w:top w:val="outset" w:sz="6" w:space="0" w:color="414142"/>
              <w:left w:val="outset" w:sz="6" w:space="0" w:color="414142"/>
              <w:bottom w:val="outset" w:sz="6" w:space="0" w:color="414142"/>
              <w:right w:val="outset" w:sz="6" w:space="0" w:color="414142"/>
            </w:tcBorders>
            <w:hideMark/>
          </w:tcPr>
          <w:p w14:paraId="75C7E4F1" w14:textId="77777777" w:rsidR="00B170C9" w:rsidRPr="00B42BC1" w:rsidRDefault="00B170C9" w:rsidP="00B53EC4">
            <w:pPr>
              <w:pStyle w:val="naiskr"/>
              <w:numPr>
                <w:ilvl w:val="0"/>
                <w:numId w:val="5"/>
              </w:numPr>
              <w:spacing w:before="0" w:after="60"/>
              <w:ind w:left="396" w:hanging="284"/>
              <w:jc w:val="both"/>
              <w:rPr>
                <w:rFonts w:eastAsia="EUAlbertina_Bold"/>
                <w:color w:val="000000" w:themeColor="text1"/>
              </w:rPr>
            </w:pPr>
            <w:r w:rsidRPr="00B42BC1">
              <w:rPr>
                <w:iCs/>
                <w:color w:val="000000" w:themeColor="text1"/>
              </w:rPr>
              <w:t xml:space="preserve">Pasūtītāji. </w:t>
            </w:r>
            <w:r w:rsidRPr="00B42BC1">
              <w:rPr>
                <w:rFonts w:eastAsia="EUAlbertina_Bold"/>
                <w:color w:val="000000" w:themeColor="text1"/>
              </w:rPr>
              <w:t>Atbilstoši Iepirkumu uzraudzības biroja uzturētajā publikāciju vadības sistēmā esošajai informācijai par 2014.gadu Latvijā ir aptuveni 2335 pasūtītāji.</w:t>
            </w:r>
          </w:p>
          <w:p w14:paraId="10A6E000" w14:textId="77777777" w:rsidR="00B170C9" w:rsidRPr="00B42BC1" w:rsidRDefault="00D75D0D" w:rsidP="00B53EC4">
            <w:pPr>
              <w:pStyle w:val="naiskr"/>
              <w:numPr>
                <w:ilvl w:val="0"/>
                <w:numId w:val="5"/>
              </w:numPr>
              <w:spacing w:before="0" w:after="60"/>
              <w:ind w:left="396" w:hanging="284"/>
              <w:jc w:val="both"/>
              <w:rPr>
                <w:rFonts w:eastAsia="EUAlbertina_Bold"/>
                <w:color w:val="000000" w:themeColor="text1"/>
              </w:rPr>
            </w:pPr>
            <w:r w:rsidRPr="00B42BC1">
              <w:rPr>
                <w:iCs/>
                <w:color w:val="000000" w:themeColor="text1"/>
              </w:rPr>
              <w:t xml:space="preserve">Juridiskas un fiziskas personas, kas piedāvā tirgū pakalpojumus, preces un būvdarbus un kas </w:t>
            </w:r>
            <w:r w:rsidR="00726A35" w:rsidRPr="00B42BC1">
              <w:rPr>
                <w:iCs/>
                <w:color w:val="000000" w:themeColor="text1"/>
              </w:rPr>
              <w:t>piedalās publiskajos iepirkumos.</w:t>
            </w:r>
          </w:p>
          <w:p w14:paraId="6CEC0995" w14:textId="366C4420" w:rsidR="006B2EB6" w:rsidRPr="00B42BC1" w:rsidRDefault="00B170C9" w:rsidP="00B53EC4">
            <w:pPr>
              <w:pStyle w:val="ListParagraph"/>
              <w:widowControl/>
              <w:numPr>
                <w:ilvl w:val="0"/>
                <w:numId w:val="5"/>
              </w:numPr>
              <w:spacing w:after="0" w:line="240" w:lineRule="auto"/>
              <w:ind w:left="396" w:hanging="284"/>
              <w:jc w:val="both"/>
              <w:rPr>
                <w:rFonts w:ascii="Times New Roman" w:eastAsia="Times New Roman" w:hAnsi="Times New Roman"/>
                <w:color w:val="000000" w:themeColor="text1"/>
                <w:sz w:val="24"/>
                <w:szCs w:val="24"/>
                <w:lang w:val="lv-LV" w:eastAsia="lv-LV"/>
              </w:rPr>
            </w:pPr>
            <w:r w:rsidRPr="00B42BC1">
              <w:rPr>
                <w:rFonts w:ascii="Times New Roman" w:eastAsia="EUAlbertina_Bold" w:hAnsi="Times New Roman"/>
                <w:color w:val="000000" w:themeColor="text1"/>
                <w:sz w:val="24"/>
                <w:szCs w:val="24"/>
                <w:lang w:val="lv-LV" w:eastAsia="lv-LV"/>
              </w:rPr>
              <w:t>Pasūtītāju, sabiedrisko pakalpojumu sniedzēju, publisko partneru un to pārstāvju atbildīgās personas (iestādes vadītājs, izpilddirektors, valdes locekļi</w:t>
            </w:r>
            <w:r w:rsidR="00B867E6" w:rsidRPr="00B42BC1">
              <w:rPr>
                <w:rFonts w:ascii="Times New Roman" w:eastAsia="EUAlbertina_Bold" w:hAnsi="Times New Roman"/>
                <w:color w:val="000000" w:themeColor="text1"/>
                <w:sz w:val="24"/>
                <w:szCs w:val="24"/>
                <w:lang w:val="lv-LV" w:eastAsia="lv-LV"/>
              </w:rPr>
              <w:t>, iepirkuma komisijas locekļi</w:t>
            </w:r>
            <w:r w:rsidRPr="00B42BC1">
              <w:rPr>
                <w:rFonts w:ascii="Times New Roman" w:eastAsia="EUAlbertina_Bold" w:hAnsi="Times New Roman"/>
                <w:color w:val="000000" w:themeColor="text1"/>
                <w:sz w:val="24"/>
                <w:szCs w:val="24"/>
                <w:lang w:val="lv-LV" w:eastAsia="lv-LV"/>
              </w:rPr>
              <w:t xml:space="preserve"> u.c.), kam var tikt piemērota administratīvā atbildība; to aptuvenais skaits nav zināms.</w:t>
            </w:r>
          </w:p>
        </w:tc>
      </w:tr>
      <w:tr w:rsidR="00B42BC1" w:rsidRPr="00B42BC1" w14:paraId="441D09B5" w14:textId="77777777" w:rsidTr="005533E2">
        <w:trPr>
          <w:trHeight w:val="510"/>
        </w:trPr>
        <w:tc>
          <w:tcPr>
            <w:tcW w:w="471" w:type="dxa"/>
            <w:tcBorders>
              <w:top w:val="outset" w:sz="6" w:space="0" w:color="414142"/>
              <w:left w:val="outset" w:sz="6" w:space="0" w:color="414142"/>
              <w:bottom w:val="outset" w:sz="6" w:space="0" w:color="414142"/>
              <w:right w:val="outset" w:sz="6" w:space="0" w:color="414142"/>
            </w:tcBorders>
            <w:hideMark/>
          </w:tcPr>
          <w:p w14:paraId="3348503F"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w:t>
            </w:r>
          </w:p>
        </w:tc>
        <w:tc>
          <w:tcPr>
            <w:tcW w:w="2923" w:type="dxa"/>
            <w:tcBorders>
              <w:top w:val="outset" w:sz="6" w:space="0" w:color="414142"/>
              <w:left w:val="outset" w:sz="6" w:space="0" w:color="414142"/>
              <w:bottom w:val="outset" w:sz="6" w:space="0" w:color="414142"/>
              <w:right w:val="outset" w:sz="6" w:space="0" w:color="414142"/>
            </w:tcBorders>
            <w:hideMark/>
          </w:tcPr>
          <w:p w14:paraId="783B51F5"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Tiesiskā regulējuma ietekme uz tautsaimniecību un administratīvo slogu</w:t>
            </w:r>
          </w:p>
        </w:tc>
        <w:tc>
          <w:tcPr>
            <w:tcW w:w="6035" w:type="dxa"/>
            <w:tcBorders>
              <w:top w:val="outset" w:sz="6" w:space="0" w:color="414142"/>
              <w:left w:val="outset" w:sz="6" w:space="0" w:color="414142"/>
              <w:bottom w:val="outset" w:sz="6" w:space="0" w:color="414142"/>
              <w:right w:val="outset" w:sz="6" w:space="0" w:color="414142"/>
            </w:tcBorders>
            <w:hideMark/>
          </w:tcPr>
          <w:p w14:paraId="16C41260" w14:textId="77777777" w:rsidR="009562FB" w:rsidRPr="00B42BC1" w:rsidRDefault="009562FB" w:rsidP="00507243">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Administratīvais slogs </w:t>
            </w:r>
            <w:r w:rsidR="00507243" w:rsidRPr="00B42BC1">
              <w:rPr>
                <w:rFonts w:ascii="Times New Roman" w:eastAsia="Times New Roman" w:hAnsi="Times New Roman"/>
                <w:color w:val="000000" w:themeColor="text1"/>
                <w:sz w:val="24"/>
                <w:szCs w:val="24"/>
                <w:lang w:val="lv-LV" w:eastAsia="lv-LV"/>
              </w:rPr>
              <w:t xml:space="preserve">lielākajā daļā no likumprojektā paredzētā regulējuma paliek nemainīgs, jo iepirkumu norises kārtību Direktīva 2014/24/ES nemaina. </w:t>
            </w:r>
            <w:r w:rsidR="008E7D80" w:rsidRPr="00B42BC1">
              <w:rPr>
                <w:rFonts w:ascii="Times New Roman" w:eastAsia="Times New Roman" w:hAnsi="Times New Roman"/>
                <w:color w:val="000000" w:themeColor="text1"/>
                <w:sz w:val="24"/>
                <w:szCs w:val="24"/>
                <w:lang w:val="lv-LV" w:eastAsia="lv-LV"/>
              </w:rPr>
              <w:t>Pasūtītāji</w:t>
            </w:r>
            <w:r w:rsidR="00C94620" w:rsidRPr="00B42BC1">
              <w:rPr>
                <w:rFonts w:ascii="Times New Roman" w:eastAsia="Times New Roman" w:hAnsi="Times New Roman"/>
                <w:color w:val="000000" w:themeColor="text1"/>
                <w:sz w:val="24"/>
                <w:szCs w:val="24"/>
                <w:lang w:val="lv-LV" w:eastAsia="lv-LV"/>
              </w:rPr>
              <w:t>, piegādātāji</w:t>
            </w:r>
            <w:r w:rsidR="008E7D80" w:rsidRPr="00B42BC1">
              <w:rPr>
                <w:rFonts w:ascii="Times New Roman" w:eastAsia="Times New Roman" w:hAnsi="Times New Roman"/>
                <w:color w:val="000000" w:themeColor="text1"/>
                <w:sz w:val="24"/>
                <w:szCs w:val="24"/>
                <w:lang w:val="lv-LV" w:eastAsia="lv-LV"/>
              </w:rPr>
              <w:t xml:space="preserve"> </w:t>
            </w:r>
            <w:r w:rsidR="008E7D80" w:rsidRPr="00B42BC1">
              <w:rPr>
                <w:rFonts w:ascii="Times New Roman" w:eastAsia="Times New Roman" w:hAnsi="Times New Roman"/>
                <w:color w:val="000000" w:themeColor="text1"/>
                <w:sz w:val="24"/>
                <w:szCs w:val="24"/>
                <w:lang w:val="lv-LV" w:eastAsia="lv-LV"/>
              </w:rPr>
              <w:lastRenderedPageBreak/>
              <w:t>un kompetentās institūcijas likumprojektā paredzētos pienākumus veiks esošo resursu ietvaros.</w:t>
            </w:r>
          </w:p>
          <w:p w14:paraId="7B01B5C7" w14:textId="2378528B" w:rsidR="009562FB" w:rsidRPr="00B42BC1" w:rsidRDefault="009562FB" w:rsidP="00507243">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w:t>
            </w:r>
            <w:r w:rsidR="00507243" w:rsidRPr="00B42BC1">
              <w:rPr>
                <w:rFonts w:ascii="Times New Roman" w:eastAsia="Times New Roman" w:hAnsi="Times New Roman"/>
                <w:color w:val="000000" w:themeColor="text1"/>
                <w:sz w:val="24"/>
                <w:szCs w:val="24"/>
                <w:lang w:val="lv-LV" w:eastAsia="lv-LV"/>
              </w:rPr>
              <w:t>dministratīvais sl</w:t>
            </w:r>
            <w:r w:rsidR="00B7399B" w:rsidRPr="00B42BC1">
              <w:rPr>
                <w:rFonts w:ascii="Times New Roman" w:eastAsia="Times New Roman" w:hAnsi="Times New Roman"/>
                <w:color w:val="000000" w:themeColor="text1"/>
                <w:sz w:val="24"/>
                <w:szCs w:val="24"/>
                <w:lang w:val="lv-LV" w:eastAsia="lv-LV"/>
              </w:rPr>
              <w:t>ogs samazinās ieviešot Eiropas v</w:t>
            </w:r>
            <w:r w:rsidR="00507243" w:rsidRPr="00B42BC1">
              <w:rPr>
                <w:rFonts w:ascii="Times New Roman" w:eastAsia="Times New Roman" w:hAnsi="Times New Roman"/>
                <w:color w:val="000000" w:themeColor="text1"/>
                <w:sz w:val="24"/>
                <w:szCs w:val="24"/>
                <w:lang w:val="lv-LV" w:eastAsia="lv-LV"/>
              </w:rPr>
              <w:t>ienot</w:t>
            </w:r>
            <w:r w:rsidR="000C2DD0" w:rsidRPr="00B42BC1">
              <w:rPr>
                <w:rFonts w:ascii="Times New Roman" w:eastAsia="Times New Roman" w:hAnsi="Times New Roman"/>
                <w:color w:val="000000" w:themeColor="text1"/>
                <w:sz w:val="24"/>
                <w:szCs w:val="24"/>
                <w:lang w:val="lv-LV" w:eastAsia="lv-LV"/>
              </w:rPr>
              <w:t>o iepirkuma</w:t>
            </w:r>
            <w:r w:rsidR="00507243" w:rsidRPr="00B42BC1">
              <w:rPr>
                <w:rFonts w:ascii="Times New Roman" w:eastAsia="Times New Roman" w:hAnsi="Times New Roman"/>
                <w:color w:val="000000" w:themeColor="text1"/>
                <w:sz w:val="24"/>
                <w:szCs w:val="24"/>
                <w:lang w:val="lv-LV" w:eastAsia="lv-LV"/>
              </w:rPr>
              <w:t xml:space="preserve"> dokumentu, jo pretendentiem nevajadzēs katrā iepirkumā uzreiz iesniegt visus kvalifikāciju un pieredzi  apliecinošos dokumentus. Tādus vajadzēs iesniegt tikai pretendentam, kuram būtu piešķiramas iepirkuma līguma slēgšanas tiesības. </w:t>
            </w:r>
          </w:p>
          <w:p w14:paraId="0BA78962" w14:textId="77777777" w:rsidR="00D12098" w:rsidRPr="00B42BC1" w:rsidRDefault="009562FB" w:rsidP="00D259D3">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Administratīvais slogs</w:t>
            </w:r>
            <w:r w:rsidR="00400F1C" w:rsidRPr="00B42BC1">
              <w:rPr>
                <w:rFonts w:ascii="Times New Roman" w:eastAsia="Times New Roman" w:hAnsi="Times New Roman"/>
                <w:color w:val="000000" w:themeColor="text1"/>
                <w:sz w:val="24"/>
                <w:szCs w:val="24"/>
                <w:lang w:val="lv-LV" w:eastAsia="lv-LV"/>
              </w:rPr>
              <w:t xml:space="preserve"> palielinās pasūtītājam attiecībā uz piegādātāju uzticamības atjaunošanas kārtību, taču šobrīd nav zināms, cik daudz varētu būt šādu gadījumu un kādi būs noziedzīga nodarījuma vai pārkāpuma apstākļi un kādus pierādījums piegādātājs </w:t>
            </w:r>
            <w:r w:rsidR="002005B5" w:rsidRPr="00B42BC1">
              <w:rPr>
                <w:rFonts w:ascii="Times New Roman" w:eastAsia="Times New Roman" w:hAnsi="Times New Roman"/>
                <w:color w:val="000000" w:themeColor="text1"/>
                <w:sz w:val="24"/>
                <w:szCs w:val="24"/>
                <w:lang w:val="lv-LV" w:eastAsia="lv-LV"/>
              </w:rPr>
              <w:t>iesniegs pasūtītājam.</w:t>
            </w:r>
            <w:r w:rsidR="00D259D3" w:rsidRPr="00B42BC1">
              <w:rPr>
                <w:rFonts w:ascii="Times New Roman" w:eastAsia="Times New Roman" w:hAnsi="Times New Roman"/>
                <w:color w:val="000000" w:themeColor="text1"/>
                <w:sz w:val="24"/>
                <w:szCs w:val="24"/>
                <w:lang w:val="lv-LV" w:eastAsia="lv-LV"/>
              </w:rPr>
              <w:t xml:space="preserve"> Piegādātājiem šī ir iespēja iegūt iepirkuma līguma slēgšanas tiesības, pastāvot izslēgšanas gadījumam, līdz ar to šis regulējums paredz piegādātājiem labvēlīgāku regulējumu. </w:t>
            </w:r>
          </w:p>
          <w:p w14:paraId="354E3245" w14:textId="77777777" w:rsidR="00D12098" w:rsidRPr="00B42BC1" w:rsidRDefault="00181F8B" w:rsidP="00D259D3">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Kopumā administratīvais slogs varētu palielināties arī piedāvājumus izvērtējot pēc saimnieciski visizdevīgākā piedāvājuma vērtēšanas kritērija, taču jau šobrīd ir iespējams izmantot šo kritēriju, līdz ar to administratīvā sloga palielinājums nav objektīvi novērt</w:t>
            </w:r>
            <w:r w:rsidR="00044D5E" w:rsidRPr="00B42BC1">
              <w:rPr>
                <w:rFonts w:ascii="Times New Roman" w:eastAsia="Times New Roman" w:hAnsi="Times New Roman"/>
                <w:color w:val="000000" w:themeColor="text1"/>
                <w:sz w:val="24"/>
                <w:szCs w:val="24"/>
                <w:lang w:val="lv-LV" w:eastAsia="lv-LV"/>
              </w:rPr>
              <w:t xml:space="preserve">ējams. </w:t>
            </w:r>
          </w:p>
          <w:p w14:paraId="13EB475A" w14:textId="77777777" w:rsidR="009562FB" w:rsidRPr="00B42BC1" w:rsidRDefault="00044D5E" w:rsidP="00D259D3">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Administratīvais slogs varētu palielināties piegādātājiem, ņemot vērā pasūtītāja pienākumu prasīt apakšuzņēmēju sarakstus pirms iepirkuma līguma darbības uzsākšanas, taču šādu prasību pasūtītāji var izvirzīt arī šobrīd un tas ir cieši saistāms ar </w:t>
            </w:r>
            <w:r w:rsidR="00D90A6D" w:rsidRPr="00B42BC1">
              <w:rPr>
                <w:rFonts w:ascii="Times New Roman" w:eastAsia="Times New Roman" w:hAnsi="Times New Roman"/>
                <w:color w:val="000000" w:themeColor="text1"/>
                <w:sz w:val="24"/>
                <w:szCs w:val="24"/>
                <w:lang w:val="lv-LV" w:eastAsia="lv-LV"/>
              </w:rPr>
              <w:t xml:space="preserve">saprātīgu iepirkuma līguma izpildes kontroli, līdz ar to arī šī regulējuma gadījumā ir tirgū pastāvoša prakse. </w:t>
            </w:r>
            <w:r w:rsidR="00F31C4B" w:rsidRPr="00B42BC1">
              <w:rPr>
                <w:rFonts w:ascii="Times New Roman" w:eastAsia="Times New Roman" w:hAnsi="Times New Roman"/>
                <w:color w:val="000000" w:themeColor="text1"/>
                <w:sz w:val="24"/>
                <w:szCs w:val="24"/>
                <w:lang w:val="lv-LV" w:eastAsia="lv-LV"/>
              </w:rPr>
              <w:t>Tāpat administratīvais slogs nav objektīvi novērtējams, jo būs piegādātāji, kuriem nebūs apakšuzņēmēju vai būs tikai neliels skaits, kā arī tādi, kuriem būs garas apakšuzņēmēju ķēdes.</w:t>
            </w:r>
            <w:r w:rsidR="0091389B" w:rsidRPr="00B42BC1">
              <w:rPr>
                <w:rFonts w:ascii="Times New Roman" w:eastAsia="Times New Roman" w:hAnsi="Times New Roman"/>
                <w:color w:val="000000" w:themeColor="text1"/>
                <w:sz w:val="24"/>
                <w:szCs w:val="24"/>
                <w:lang w:val="lv-LV" w:eastAsia="lv-LV"/>
              </w:rPr>
              <w:t xml:space="preserve"> Līdz ar to nav prognozējams, cik resursus prasīs šāda saraksta sagatavošana un iesniegšana pasūtītāja, tāpat šis saraksts var jau būt iesniegts piedāvājumā un palikt nemainīgs, līdz ar to atkārota informācija nebūtu jāsniedz.  </w:t>
            </w:r>
            <w:r w:rsidRPr="00B42BC1">
              <w:rPr>
                <w:rFonts w:ascii="Times New Roman" w:eastAsia="Times New Roman" w:hAnsi="Times New Roman"/>
                <w:color w:val="000000" w:themeColor="text1"/>
                <w:sz w:val="24"/>
                <w:szCs w:val="24"/>
                <w:lang w:val="lv-LV" w:eastAsia="lv-LV"/>
              </w:rPr>
              <w:t xml:space="preserve"> </w:t>
            </w:r>
          </w:p>
        </w:tc>
      </w:tr>
      <w:tr w:rsidR="00B42BC1" w:rsidRPr="00B42BC1" w14:paraId="760B8096" w14:textId="77777777" w:rsidTr="005533E2">
        <w:trPr>
          <w:trHeight w:val="510"/>
        </w:trPr>
        <w:tc>
          <w:tcPr>
            <w:tcW w:w="471" w:type="dxa"/>
            <w:tcBorders>
              <w:top w:val="outset" w:sz="6" w:space="0" w:color="414142"/>
              <w:left w:val="outset" w:sz="6" w:space="0" w:color="414142"/>
              <w:bottom w:val="outset" w:sz="6" w:space="0" w:color="414142"/>
              <w:right w:val="outset" w:sz="6" w:space="0" w:color="414142"/>
            </w:tcBorders>
            <w:hideMark/>
          </w:tcPr>
          <w:p w14:paraId="290A3F92"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3.</w:t>
            </w:r>
          </w:p>
        </w:tc>
        <w:tc>
          <w:tcPr>
            <w:tcW w:w="2923" w:type="dxa"/>
            <w:tcBorders>
              <w:top w:val="outset" w:sz="6" w:space="0" w:color="414142"/>
              <w:left w:val="outset" w:sz="6" w:space="0" w:color="414142"/>
              <w:bottom w:val="outset" w:sz="6" w:space="0" w:color="414142"/>
              <w:right w:val="outset" w:sz="6" w:space="0" w:color="414142"/>
            </w:tcBorders>
            <w:hideMark/>
          </w:tcPr>
          <w:p w14:paraId="09357D37"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Administratīvo izmaksu monetārs novērtējums</w:t>
            </w:r>
          </w:p>
        </w:tc>
        <w:tc>
          <w:tcPr>
            <w:tcW w:w="6035" w:type="dxa"/>
            <w:tcBorders>
              <w:top w:val="outset" w:sz="6" w:space="0" w:color="414142"/>
              <w:left w:val="outset" w:sz="6" w:space="0" w:color="414142"/>
              <w:bottom w:val="outset" w:sz="6" w:space="0" w:color="414142"/>
              <w:right w:val="outset" w:sz="6" w:space="0" w:color="414142"/>
            </w:tcBorders>
            <w:hideMark/>
          </w:tcPr>
          <w:p w14:paraId="64114ACB" w14:textId="77777777" w:rsidR="006B2EB6" w:rsidRPr="00B42BC1" w:rsidRDefault="00215548" w:rsidP="00EB3F20">
            <w:pPr>
              <w:widowControl/>
              <w:spacing w:after="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Nav </w:t>
            </w:r>
            <w:r w:rsidR="00EB3F20" w:rsidRPr="00B42BC1">
              <w:rPr>
                <w:rFonts w:ascii="Times New Roman" w:eastAsia="Times New Roman" w:hAnsi="Times New Roman"/>
                <w:color w:val="000000" w:themeColor="text1"/>
                <w:sz w:val="24"/>
                <w:szCs w:val="24"/>
                <w:lang w:val="lv-LV" w:eastAsia="lv-LV"/>
              </w:rPr>
              <w:t xml:space="preserve">novērtējams </w:t>
            </w:r>
            <w:r w:rsidR="00181F8B" w:rsidRPr="00B42BC1">
              <w:rPr>
                <w:rFonts w:ascii="Times New Roman" w:eastAsia="Times New Roman" w:hAnsi="Times New Roman"/>
                <w:color w:val="000000" w:themeColor="text1"/>
                <w:sz w:val="24"/>
                <w:szCs w:val="24"/>
                <w:lang w:val="lv-LV" w:eastAsia="lv-LV"/>
              </w:rPr>
              <w:t xml:space="preserve">ņemot vērā, ka tas lielā mērā ir atkarīgs no pasūtītāju pieejas iepirkumu procedūras vadībā, iepirkuma procedūras dokumentu sagatavošanā un prasību piegādātājiem izvirzīšanā. </w:t>
            </w:r>
          </w:p>
          <w:p w14:paraId="066F4735" w14:textId="77777777" w:rsidR="008E7D80" w:rsidRPr="00B42BC1" w:rsidRDefault="008E7D80" w:rsidP="00EB3F20">
            <w:pPr>
              <w:widowControl/>
              <w:spacing w:after="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Pasūtītāji un kompetentās institūcijas likumprojektā paredzētos pienākumus veiks esošo resursu ietvaros. </w:t>
            </w:r>
          </w:p>
        </w:tc>
      </w:tr>
      <w:tr w:rsidR="00B42BC1" w:rsidRPr="00B42BC1" w14:paraId="38227748" w14:textId="77777777" w:rsidTr="005533E2">
        <w:trPr>
          <w:trHeight w:val="345"/>
        </w:trPr>
        <w:tc>
          <w:tcPr>
            <w:tcW w:w="471" w:type="dxa"/>
            <w:tcBorders>
              <w:top w:val="outset" w:sz="6" w:space="0" w:color="414142"/>
              <w:left w:val="outset" w:sz="6" w:space="0" w:color="414142"/>
              <w:bottom w:val="outset" w:sz="6" w:space="0" w:color="414142"/>
              <w:right w:val="outset" w:sz="6" w:space="0" w:color="414142"/>
            </w:tcBorders>
            <w:hideMark/>
          </w:tcPr>
          <w:p w14:paraId="3250ED82"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w:t>
            </w:r>
          </w:p>
        </w:tc>
        <w:tc>
          <w:tcPr>
            <w:tcW w:w="2923" w:type="dxa"/>
            <w:tcBorders>
              <w:top w:val="outset" w:sz="6" w:space="0" w:color="414142"/>
              <w:left w:val="outset" w:sz="6" w:space="0" w:color="414142"/>
              <w:bottom w:val="outset" w:sz="6" w:space="0" w:color="414142"/>
              <w:right w:val="outset" w:sz="6" w:space="0" w:color="414142"/>
            </w:tcBorders>
            <w:hideMark/>
          </w:tcPr>
          <w:p w14:paraId="65B4672C"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Cita informācija</w:t>
            </w:r>
          </w:p>
        </w:tc>
        <w:tc>
          <w:tcPr>
            <w:tcW w:w="6035" w:type="dxa"/>
            <w:tcBorders>
              <w:top w:val="outset" w:sz="6" w:space="0" w:color="414142"/>
              <w:left w:val="outset" w:sz="6" w:space="0" w:color="414142"/>
              <w:bottom w:val="outset" w:sz="6" w:space="0" w:color="414142"/>
              <w:right w:val="outset" w:sz="6" w:space="0" w:color="414142"/>
            </w:tcBorders>
            <w:hideMark/>
          </w:tcPr>
          <w:p w14:paraId="54E6DFBF"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w:t>
            </w:r>
          </w:p>
        </w:tc>
      </w:tr>
      <w:tr w:rsidR="00806003" w:rsidRPr="00B42BC1" w14:paraId="03D1C98B" w14:textId="77777777" w:rsidTr="005533E2">
        <w:trPr>
          <w:trHeight w:val="345"/>
        </w:trPr>
        <w:tc>
          <w:tcPr>
            <w:tcW w:w="9429" w:type="dxa"/>
            <w:gridSpan w:val="3"/>
            <w:tcBorders>
              <w:top w:val="outset" w:sz="6" w:space="0" w:color="414142"/>
              <w:left w:val="nil"/>
              <w:bottom w:val="single" w:sz="6" w:space="0" w:color="auto"/>
              <w:right w:val="nil"/>
            </w:tcBorders>
          </w:tcPr>
          <w:p w14:paraId="1D46D748" w14:textId="77777777" w:rsidR="006B2EB6" w:rsidRDefault="006B2EB6" w:rsidP="00244C96">
            <w:pPr>
              <w:widowControl/>
              <w:spacing w:after="0" w:line="240" w:lineRule="auto"/>
              <w:rPr>
                <w:rFonts w:ascii="Times New Roman" w:eastAsia="Times New Roman" w:hAnsi="Times New Roman"/>
                <w:color w:val="000000" w:themeColor="text1"/>
                <w:sz w:val="24"/>
                <w:szCs w:val="24"/>
                <w:lang w:val="lv-LV" w:eastAsia="lv-LV"/>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1209"/>
              <w:gridCol w:w="1216"/>
              <w:gridCol w:w="1312"/>
              <w:gridCol w:w="1603"/>
              <w:gridCol w:w="1678"/>
            </w:tblGrid>
            <w:tr w:rsidR="00F83BCF" w:rsidRPr="003F7652" w14:paraId="582D0DD5" w14:textId="77777777" w:rsidTr="009D75D4">
              <w:trPr>
                <w:trHeight w:val="652"/>
                <w:jc w:val="center"/>
              </w:trPr>
              <w:tc>
                <w:tcPr>
                  <w:tcW w:w="9313" w:type="dxa"/>
                  <w:gridSpan w:val="6"/>
                  <w:tcBorders>
                    <w:top w:val="single" w:sz="4" w:space="0" w:color="auto"/>
                    <w:left w:val="single" w:sz="4" w:space="0" w:color="auto"/>
                    <w:bottom w:val="single" w:sz="4" w:space="0" w:color="auto"/>
                    <w:right w:val="single" w:sz="4" w:space="0" w:color="auto"/>
                  </w:tcBorders>
                </w:tcPr>
                <w:p w14:paraId="27969DB6" w14:textId="77777777" w:rsidR="00F83BCF" w:rsidRPr="00B328BB" w:rsidRDefault="00F83BCF" w:rsidP="00F83BCF">
                  <w:pPr>
                    <w:pStyle w:val="NormalWeb"/>
                    <w:spacing w:before="0" w:beforeAutospacing="0" w:after="0" w:afterAutospacing="0"/>
                    <w:jc w:val="center"/>
                    <w:rPr>
                      <w:b/>
                      <w:color w:val="000000" w:themeColor="text1"/>
                    </w:rPr>
                  </w:pPr>
                  <w:r w:rsidRPr="00B328BB">
                    <w:rPr>
                      <w:b/>
                      <w:color w:val="000000" w:themeColor="text1"/>
                    </w:rPr>
                    <w:t>III. Tiesību akta projekta ietekme uz valsts budžetu un pašvaldību budžetiem</w:t>
                  </w:r>
                </w:p>
              </w:tc>
            </w:tr>
            <w:tr w:rsidR="00F83BCF" w:rsidRPr="00B328BB" w14:paraId="7A5CC623" w14:textId="77777777" w:rsidTr="009D75D4">
              <w:trPr>
                <w:jc w:val="center"/>
              </w:trPr>
              <w:tc>
                <w:tcPr>
                  <w:tcW w:w="2295" w:type="dxa"/>
                  <w:vMerge w:val="restart"/>
                  <w:vAlign w:val="center"/>
                </w:tcPr>
                <w:p w14:paraId="53787F7E"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Rādītāji</w:t>
                  </w:r>
                </w:p>
              </w:tc>
              <w:tc>
                <w:tcPr>
                  <w:tcW w:w="2425" w:type="dxa"/>
                  <w:gridSpan w:val="2"/>
                  <w:vMerge w:val="restart"/>
                  <w:vAlign w:val="center"/>
                </w:tcPr>
                <w:p w14:paraId="50BFD9D1"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2016</w:t>
                  </w:r>
                </w:p>
              </w:tc>
              <w:tc>
                <w:tcPr>
                  <w:tcW w:w="4593" w:type="dxa"/>
                  <w:gridSpan w:val="3"/>
                  <w:vAlign w:val="center"/>
                </w:tcPr>
                <w:p w14:paraId="6B1406FB" w14:textId="77777777" w:rsidR="00F83BCF" w:rsidRPr="00B328BB" w:rsidRDefault="00F83BCF" w:rsidP="00F83BCF">
                  <w:pPr>
                    <w:pStyle w:val="naisf"/>
                    <w:spacing w:before="0" w:beforeAutospacing="0" w:after="0" w:afterAutospacing="0"/>
                    <w:jc w:val="center"/>
                    <w:rPr>
                      <w:b/>
                      <w:i/>
                      <w:color w:val="000000" w:themeColor="text1"/>
                    </w:rPr>
                  </w:pPr>
                  <w:r w:rsidRPr="00B328BB">
                    <w:rPr>
                      <w:color w:val="000000" w:themeColor="text1"/>
                    </w:rPr>
                    <w:t>Turpmākie trīs gadi (</w:t>
                  </w:r>
                  <w:r w:rsidRPr="00B328BB">
                    <w:rPr>
                      <w:i/>
                      <w:color w:val="000000" w:themeColor="text1"/>
                    </w:rPr>
                    <w:t>euro</w:t>
                  </w:r>
                  <w:r w:rsidRPr="00B328BB">
                    <w:rPr>
                      <w:color w:val="000000" w:themeColor="text1"/>
                    </w:rPr>
                    <w:t>)</w:t>
                  </w:r>
                </w:p>
              </w:tc>
            </w:tr>
            <w:tr w:rsidR="00F83BCF" w:rsidRPr="00B328BB" w14:paraId="39ECE461" w14:textId="77777777" w:rsidTr="009D75D4">
              <w:trPr>
                <w:jc w:val="center"/>
              </w:trPr>
              <w:tc>
                <w:tcPr>
                  <w:tcW w:w="2295" w:type="dxa"/>
                  <w:vMerge/>
                  <w:vAlign w:val="center"/>
                </w:tcPr>
                <w:p w14:paraId="542A2FC3" w14:textId="77777777" w:rsidR="00F83BCF" w:rsidRPr="00B328BB" w:rsidRDefault="00F83BCF" w:rsidP="00F83BCF">
                  <w:pPr>
                    <w:pStyle w:val="naisf"/>
                    <w:spacing w:before="0" w:beforeAutospacing="0" w:after="0" w:afterAutospacing="0"/>
                    <w:jc w:val="center"/>
                    <w:rPr>
                      <w:b/>
                      <w:i/>
                      <w:color w:val="000000" w:themeColor="text1"/>
                    </w:rPr>
                  </w:pPr>
                </w:p>
              </w:tc>
              <w:tc>
                <w:tcPr>
                  <w:tcW w:w="2425" w:type="dxa"/>
                  <w:gridSpan w:val="2"/>
                  <w:vMerge/>
                  <w:vAlign w:val="center"/>
                </w:tcPr>
                <w:p w14:paraId="71774033" w14:textId="77777777" w:rsidR="00F83BCF" w:rsidRPr="00B328BB" w:rsidRDefault="00F83BCF" w:rsidP="00F83BCF">
                  <w:pPr>
                    <w:pStyle w:val="naisf"/>
                    <w:spacing w:before="0" w:beforeAutospacing="0" w:after="0" w:afterAutospacing="0"/>
                    <w:jc w:val="center"/>
                    <w:rPr>
                      <w:b/>
                      <w:i/>
                      <w:color w:val="000000" w:themeColor="text1"/>
                    </w:rPr>
                  </w:pPr>
                </w:p>
              </w:tc>
              <w:tc>
                <w:tcPr>
                  <w:tcW w:w="1312" w:type="dxa"/>
                  <w:vAlign w:val="center"/>
                </w:tcPr>
                <w:p w14:paraId="06E6E81B" w14:textId="77777777" w:rsidR="00F83BCF" w:rsidRPr="00B328BB" w:rsidRDefault="00F83BCF" w:rsidP="00F83BCF">
                  <w:pPr>
                    <w:pStyle w:val="naisf"/>
                    <w:spacing w:before="0" w:beforeAutospacing="0" w:after="0" w:afterAutospacing="0"/>
                    <w:jc w:val="center"/>
                    <w:rPr>
                      <w:b/>
                      <w:i/>
                      <w:color w:val="000000" w:themeColor="text1"/>
                    </w:rPr>
                  </w:pPr>
                  <w:r w:rsidRPr="00B328BB">
                    <w:rPr>
                      <w:b/>
                      <w:bCs/>
                      <w:color w:val="000000" w:themeColor="text1"/>
                    </w:rPr>
                    <w:t>2017</w:t>
                  </w:r>
                </w:p>
              </w:tc>
              <w:tc>
                <w:tcPr>
                  <w:tcW w:w="1603" w:type="dxa"/>
                  <w:vAlign w:val="center"/>
                </w:tcPr>
                <w:p w14:paraId="636305C9" w14:textId="77777777" w:rsidR="00F83BCF" w:rsidRPr="00B328BB" w:rsidRDefault="00F83BCF" w:rsidP="00F83BCF">
                  <w:pPr>
                    <w:pStyle w:val="naisf"/>
                    <w:spacing w:before="0" w:beforeAutospacing="0" w:after="0" w:afterAutospacing="0"/>
                    <w:jc w:val="center"/>
                    <w:rPr>
                      <w:b/>
                      <w:i/>
                      <w:color w:val="000000" w:themeColor="text1"/>
                    </w:rPr>
                  </w:pPr>
                  <w:r w:rsidRPr="00B328BB">
                    <w:rPr>
                      <w:b/>
                      <w:bCs/>
                      <w:color w:val="000000" w:themeColor="text1"/>
                    </w:rPr>
                    <w:t>2018</w:t>
                  </w:r>
                </w:p>
              </w:tc>
              <w:tc>
                <w:tcPr>
                  <w:tcW w:w="1678" w:type="dxa"/>
                  <w:vAlign w:val="center"/>
                </w:tcPr>
                <w:p w14:paraId="68E1CFC7" w14:textId="77777777" w:rsidR="00F83BCF" w:rsidRPr="00B328BB" w:rsidRDefault="00F83BCF" w:rsidP="00F83BCF">
                  <w:pPr>
                    <w:pStyle w:val="naisf"/>
                    <w:spacing w:before="0" w:beforeAutospacing="0" w:after="0" w:afterAutospacing="0"/>
                    <w:jc w:val="center"/>
                    <w:rPr>
                      <w:b/>
                      <w:i/>
                      <w:color w:val="000000" w:themeColor="text1"/>
                    </w:rPr>
                  </w:pPr>
                  <w:r w:rsidRPr="00B328BB">
                    <w:rPr>
                      <w:b/>
                      <w:bCs/>
                      <w:color w:val="000000" w:themeColor="text1"/>
                    </w:rPr>
                    <w:t>2019</w:t>
                  </w:r>
                </w:p>
              </w:tc>
            </w:tr>
            <w:tr w:rsidR="00F83BCF" w:rsidRPr="00B328BB" w14:paraId="31624C1C" w14:textId="77777777" w:rsidTr="009D75D4">
              <w:trPr>
                <w:jc w:val="center"/>
              </w:trPr>
              <w:tc>
                <w:tcPr>
                  <w:tcW w:w="2295" w:type="dxa"/>
                  <w:vMerge/>
                  <w:vAlign w:val="center"/>
                </w:tcPr>
                <w:p w14:paraId="500223F8" w14:textId="77777777" w:rsidR="00F83BCF" w:rsidRPr="00B328BB" w:rsidRDefault="00F83BCF" w:rsidP="00F83BCF">
                  <w:pPr>
                    <w:pStyle w:val="naisf"/>
                    <w:spacing w:before="0" w:beforeAutospacing="0" w:after="0" w:afterAutospacing="0"/>
                    <w:jc w:val="center"/>
                    <w:rPr>
                      <w:b/>
                      <w:i/>
                      <w:color w:val="000000" w:themeColor="text1"/>
                    </w:rPr>
                  </w:pPr>
                </w:p>
              </w:tc>
              <w:tc>
                <w:tcPr>
                  <w:tcW w:w="1209" w:type="dxa"/>
                  <w:vAlign w:val="center"/>
                </w:tcPr>
                <w:p w14:paraId="7D2ACCEA" w14:textId="77777777" w:rsidR="00F83BCF" w:rsidRPr="00B328BB" w:rsidRDefault="00F83BCF" w:rsidP="00F83BCF">
                  <w:pPr>
                    <w:pStyle w:val="naisf"/>
                    <w:spacing w:before="0" w:beforeAutospacing="0" w:after="0" w:afterAutospacing="0"/>
                    <w:jc w:val="center"/>
                    <w:rPr>
                      <w:b/>
                      <w:i/>
                      <w:color w:val="000000" w:themeColor="text1"/>
                    </w:rPr>
                  </w:pPr>
                  <w:r w:rsidRPr="00B328BB">
                    <w:rPr>
                      <w:color w:val="000000" w:themeColor="text1"/>
                    </w:rPr>
                    <w:t xml:space="preserve">Saskaņā ar valsts </w:t>
                  </w:r>
                  <w:r w:rsidRPr="00B328BB">
                    <w:rPr>
                      <w:color w:val="000000" w:themeColor="text1"/>
                    </w:rPr>
                    <w:lastRenderedPageBreak/>
                    <w:t>budžetu kārtējam gadam</w:t>
                  </w:r>
                </w:p>
              </w:tc>
              <w:tc>
                <w:tcPr>
                  <w:tcW w:w="1216" w:type="dxa"/>
                  <w:vAlign w:val="center"/>
                </w:tcPr>
                <w:p w14:paraId="6E041575" w14:textId="77777777" w:rsidR="00F83BCF" w:rsidRPr="00B328BB" w:rsidRDefault="00F83BCF" w:rsidP="00F83BCF">
                  <w:pPr>
                    <w:pStyle w:val="naisf"/>
                    <w:spacing w:before="0" w:beforeAutospacing="0" w:after="0" w:afterAutospacing="0"/>
                    <w:jc w:val="center"/>
                    <w:rPr>
                      <w:b/>
                      <w:i/>
                      <w:color w:val="000000" w:themeColor="text1"/>
                    </w:rPr>
                  </w:pPr>
                  <w:r w:rsidRPr="00B328BB">
                    <w:rPr>
                      <w:color w:val="000000" w:themeColor="text1"/>
                    </w:rPr>
                    <w:lastRenderedPageBreak/>
                    <w:t xml:space="preserve">Izmaiņas kārtējā </w:t>
                  </w:r>
                  <w:r w:rsidRPr="00B328BB">
                    <w:rPr>
                      <w:color w:val="000000" w:themeColor="text1"/>
                    </w:rPr>
                    <w:lastRenderedPageBreak/>
                    <w:t>gadā, salīdzinot ar budžetu kārtējam gadam</w:t>
                  </w:r>
                </w:p>
              </w:tc>
              <w:tc>
                <w:tcPr>
                  <w:tcW w:w="1312" w:type="dxa"/>
                  <w:vAlign w:val="center"/>
                </w:tcPr>
                <w:p w14:paraId="2DB80B70" w14:textId="77777777" w:rsidR="00F83BCF" w:rsidRPr="00A146D7" w:rsidRDefault="00F83BCF" w:rsidP="00F83BCF">
                  <w:pPr>
                    <w:pStyle w:val="naisf"/>
                    <w:spacing w:before="0" w:beforeAutospacing="0" w:after="0" w:afterAutospacing="0"/>
                    <w:jc w:val="center"/>
                    <w:rPr>
                      <w:b/>
                      <w:i/>
                      <w:color w:val="000000" w:themeColor="text1"/>
                    </w:rPr>
                  </w:pPr>
                  <w:r w:rsidRPr="00A146D7">
                    <w:rPr>
                      <w:color w:val="000000" w:themeColor="text1"/>
                    </w:rPr>
                    <w:lastRenderedPageBreak/>
                    <w:t xml:space="preserve">Izmaiņas, salīdzinot </w:t>
                  </w:r>
                  <w:r w:rsidRPr="00A146D7">
                    <w:rPr>
                      <w:color w:val="000000" w:themeColor="text1"/>
                    </w:rPr>
                    <w:lastRenderedPageBreak/>
                    <w:t>ar kārtējo 2016.gadu</w:t>
                  </w:r>
                </w:p>
              </w:tc>
              <w:tc>
                <w:tcPr>
                  <w:tcW w:w="1603" w:type="dxa"/>
                  <w:vAlign w:val="center"/>
                </w:tcPr>
                <w:p w14:paraId="089B8AC1" w14:textId="77777777" w:rsidR="00F83BCF" w:rsidRPr="00A146D7" w:rsidRDefault="00F83BCF" w:rsidP="00F83BCF">
                  <w:pPr>
                    <w:pStyle w:val="naisf"/>
                    <w:spacing w:before="0" w:beforeAutospacing="0" w:after="0" w:afterAutospacing="0"/>
                    <w:jc w:val="center"/>
                    <w:rPr>
                      <w:b/>
                      <w:i/>
                      <w:color w:val="000000" w:themeColor="text1"/>
                    </w:rPr>
                  </w:pPr>
                  <w:r w:rsidRPr="00A146D7">
                    <w:rPr>
                      <w:color w:val="000000" w:themeColor="text1"/>
                    </w:rPr>
                    <w:lastRenderedPageBreak/>
                    <w:t xml:space="preserve">Izmaiņas, salīdzinot ar </w:t>
                  </w:r>
                  <w:r w:rsidRPr="00A146D7">
                    <w:rPr>
                      <w:color w:val="000000" w:themeColor="text1"/>
                    </w:rPr>
                    <w:lastRenderedPageBreak/>
                    <w:t>kārtējo 2016.gadu</w:t>
                  </w:r>
                </w:p>
              </w:tc>
              <w:tc>
                <w:tcPr>
                  <w:tcW w:w="1678" w:type="dxa"/>
                  <w:vAlign w:val="center"/>
                </w:tcPr>
                <w:p w14:paraId="5226B107" w14:textId="77777777" w:rsidR="00F83BCF" w:rsidRPr="00A146D7" w:rsidRDefault="00F83BCF" w:rsidP="00F83BCF">
                  <w:pPr>
                    <w:pStyle w:val="naisf"/>
                    <w:spacing w:before="0" w:beforeAutospacing="0" w:after="0" w:afterAutospacing="0"/>
                    <w:jc w:val="center"/>
                    <w:rPr>
                      <w:b/>
                      <w:i/>
                      <w:color w:val="000000" w:themeColor="text1"/>
                    </w:rPr>
                  </w:pPr>
                  <w:r w:rsidRPr="00A146D7">
                    <w:rPr>
                      <w:color w:val="000000" w:themeColor="text1"/>
                    </w:rPr>
                    <w:lastRenderedPageBreak/>
                    <w:t xml:space="preserve">Izmaiņas, salīdzinot ar </w:t>
                  </w:r>
                  <w:r w:rsidRPr="00A146D7">
                    <w:rPr>
                      <w:color w:val="000000" w:themeColor="text1"/>
                    </w:rPr>
                    <w:lastRenderedPageBreak/>
                    <w:t>kārtējo 2016.gadu</w:t>
                  </w:r>
                </w:p>
              </w:tc>
            </w:tr>
            <w:tr w:rsidR="00F83BCF" w:rsidRPr="00B328BB" w14:paraId="187F8781" w14:textId="77777777" w:rsidTr="009D75D4">
              <w:trPr>
                <w:jc w:val="center"/>
              </w:trPr>
              <w:tc>
                <w:tcPr>
                  <w:tcW w:w="2295" w:type="dxa"/>
                  <w:tcBorders>
                    <w:bottom w:val="single" w:sz="4" w:space="0" w:color="auto"/>
                  </w:tcBorders>
                  <w:vAlign w:val="center"/>
                </w:tcPr>
                <w:p w14:paraId="230E9D99" w14:textId="77777777" w:rsidR="00F83BCF" w:rsidRPr="00B328BB" w:rsidRDefault="00F83BCF" w:rsidP="00F83BCF">
                  <w:pPr>
                    <w:pStyle w:val="naisf"/>
                    <w:spacing w:before="0" w:beforeAutospacing="0" w:after="0" w:afterAutospacing="0"/>
                    <w:jc w:val="center"/>
                    <w:rPr>
                      <w:bCs/>
                      <w:color w:val="000000" w:themeColor="text1"/>
                    </w:rPr>
                  </w:pPr>
                  <w:r w:rsidRPr="00B328BB">
                    <w:rPr>
                      <w:bCs/>
                      <w:color w:val="000000" w:themeColor="text1"/>
                    </w:rPr>
                    <w:lastRenderedPageBreak/>
                    <w:t>1</w:t>
                  </w:r>
                </w:p>
              </w:tc>
              <w:tc>
                <w:tcPr>
                  <w:tcW w:w="1209" w:type="dxa"/>
                  <w:tcBorders>
                    <w:bottom w:val="single" w:sz="4" w:space="0" w:color="auto"/>
                  </w:tcBorders>
                  <w:vAlign w:val="center"/>
                </w:tcPr>
                <w:p w14:paraId="02C0BEBE" w14:textId="77777777" w:rsidR="00F83BCF" w:rsidRPr="00B328BB" w:rsidRDefault="00F83BCF" w:rsidP="00F83BCF">
                  <w:pPr>
                    <w:pStyle w:val="naisf"/>
                    <w:spacing w:before="0" w:beforeAutospacing="0" w:after="0" w:afterAutospacing="0"/>
                    <w:jc w:val="center"/>
                    <w:rPr>
                      <w:bCs/>
                      <w:color w:val="000000" w:themeColor="text1"/>
                    </w:rPr>
                  </w:pPr>
                  <w:r w:rsidRPr="00B328BB">
                    <w:rPr>
                      <w:bCs/>
                      <w:color w:val="000000" w:themeColor="text1"/>
                    </w:rPr>
                    <w:t>2</w:t>
                  </w:r>
                </w:p>
              </w:tc>
              <w:tc>
                <w:tcPr>
                  <w:tcW w:w="1216" w:type="dxa"/>
                  <w:tcBorders>
                    <w:bottom w:val="single" w:sz="4" w:space="0" w:color="auto"/>
                  </w:tcBorders>
                  <w:vAlign w:val="center"/>
                </w:tcPr>
                <w:p w14:paraId="37622F6E" w14:textId="77777777" w:rsidR="00F83BCF" w:rsidRPr="00B328BB" w:rsidRDefault="00F83BCF" w:rsidP="00F83BCF">
                  <w:pPr>
                    <w:pStyle w:val="naisf"/>
                    <w:spacing w:before="0" w:beforeAutospacing="0" w:after="0" w:afterAutospacing="0"/>
                    <w:jc w:val="center"/>
                    <w:rPr>
                      <w:bCs/>
                      <w:color w:val="000000" w:themeColor="text1"/>
                    </w:rPr>
                  </w:pPr>
                  <w:r w:rsidRPr="00B328BB">
                    <w:rPr>
                      <w:bCs/>
                      <w:color w:val="000000" w:themeColor="text1"/>
                    </w:rPr>
                    <w:t>3</w:t>
                  </w:r>
                </w:p>
              </w:tc>
              <w:tc>
                <w:tcPr>
                  <w:tcW w:w="1312" w:type="dxa"/>
                  <w:tcBorders>
                    <w:bottom w:val="single" w:sz="4" w:space="0" w:color="auto"/>
                  </w:tcBorders>
                  <w:vAlign w:val="center"/>
                </w:tcPr>
                <w:p w14:paraId="4CC24F7A" w14:textId="77777777" w:rsidR="00F83BCF" w:rsidRPr="00B328BB" w:rsidRDefault="00F83BCF" w:rsidP="00F83BCF">
                  <w:pPr>
                    <w:pStyle w:val="naisf"/>
                    <w:spacing w:before="0" w:beforeAutospacing="0" w:after="0" w:afterAutospacing="0"/>
                    <w:jc w:val="center"/>
                    <w:rPr>
                      <w:bCs/>
                      <w:color w:val="000000" w:themeColor="text1"/>
                    </w:rPr>
                  </w:pPr>
                  <w:r w:rsidRPr="00B328BB">
                    <w:rPr>
                      <w:bCs/>
                      <w:color w:val="000000" w:themeColor="text1"/>
                    </w:rPr>
                    <w:t>4</w:t>
                  </w:r>
                </w:p>
              </w:tc>
              <w:tc>
                <w:tcPr>
                  <w:tcW w:w="1603" w:type="dxa"/>
                  <w:tcBorders>
                    <w:bottom w:val="single" w:sz="4" w:space="0" w:color="auto"/>
                  </w:tcBorders>
                  <w:vAlign w:val="center"/>
                </w:tcPr>
                <w:p w14:paraId="556FD4DC" w14:textId="77777777" w:rsidR="00F83BCF" w:rsidRPr="00B328BB" w:rsidRDefault="00F83BCF" w:rsidP="00F83BCF">
                  <w:pPr>
                    <w:pStyle w:val="naisf"/>
                    <w:spacing w:before="0" w:beforeAutospacing="0" w:after="0" w:afterAutospacing="0"/>
                    <w:jc w:val="center"/>
                    <w:rPr>
                      <w:bCs/>
                      <w:color w:val="000000" w:themeColor="text1"/>
                    </w:rPr>
                  </w:pPr>
                  <w:r w:rsidRPr="00B328BB">
                    <w:rPr>
                      <w:bCs/>
                      <w:color w:val="000000" w:themeColor="text1"/>
                    </w:rPr>
                    <w:t>5</w:t>
                  </w:r>
                </w:p>
              </w:tc>
              <w:tc>
                <w:tcPr>
                  <w:tcW w:w="1678" w:type="dxa"/>
                  <w:tcBorders>
                    <w:bottom w:val="single" w:sz="4" w:space="0" w:color="auto"/>
                  </w:tcBorders>
                  <w:vAlign w:val="center"/>
                </w:tcPr>
                <w:p w14:paraId="3E45D816" w14:textId="77777777" w:rsidR="00F83BCF" w:rsidRPr="00B328BB" w:rsidRDefault="00F83BCF" w:rsidP="00F83BCF">
                  <w:pPr>
                    <w:pStyle w:val="naisf"/>
                    <w:spacing w:before="0" w:beforeAutospacing="0" w:after="0" w:afterAutospacing="0"/>
                    <w:jc w:val="center"/>
                    <w:rPr>
                      <w:bCs/>
                      <w:color w:val="000000" w:themeColor="text1"/>
                    </w:rPr>
                  </w:pPr>
                  <w:r w:rsidRPr="00B328BB">
                    <w:rPr>
                      <w:bCs/>
                      <w:color w:val="000000" w:themeColor="text1"/>
                    </w:rPr>
                    <w:t>6</w:t>
                  </w:r>
                </w:p>
              </w:tc>
            </w:tr>
            <w:tr w:rsidR="00F83BCF" w:rsidRPr="00B328BB" w14:paraId="6BFE6729" w14:textId="77777777" w:rsidTr="009D75D4">
              <w:trPr>
                <w:jc w:val="center"/>
              </w:trPr>
              <w:tc>
                <w:tcPr>
                  <w:tcW w:w="2295" w:type="dxa"/>
                  <w:tcBorders>
                    <w:bottom w:val="single" w:sz="4" w:space="0" w:color="auto"/>
                  </w:tcBorders>
                  <w:shd w:val="clear" w:color="auto" w:fill="E6E6E6"/>
                </w:tcPr>
                <w:p w14:paraId="6F7E2C96" w14:textId="77777777" w:rsidR="00F83BCF" w:rsidRPr="00B328BB" w:rsidRDefault="00F83BCF" w:rsidP="00F83BCF">
                  <w:pPr>
                    <w:pStyle w:val="naisf"/>
                    <w:spacing w:before="0" w:beforeAutospacing="0" w:after="0" w:afterAutospacing="0"/>
                    <w:rPr>
                      <w:i/>
                      <w:color w:val="000000" w:themeColor="text1"/>
                    </w:rPr>
                  </w:pPr>
                  <w:r w:rsidRPr="00B328BB">
                    <w:rPr>
                      <w:color w:val="000000" w:themeColor="text1"/>
                    </w:rPr>
                    <w:t>1. Budžeta ieņēmumi:</w:t>
                  </w:r>
                </w:p>
              </w:tc>
              <w:tc>
                <w:tcPr>
                  <w:tcW w:w="1209" w:type="dxa"/>
                  <w:tcBorders>
                    <w:bottom w:val="single" w:sz="4" w:space="0" w:color="auto"/>
                  </w:tcBorders>
                  <w:shd w:val="clear" w:color="auto" w:fill="E6E6E6"/>
                  <w:vAlign w:val="center"/>
                </w:tcPr>
                <w:p w14:paraId="568176B2"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c>
                <w:tcPr>
                  <w:tcW w:w="1216" w:type="dxa"/>
                  <w:tcBorders>
                    <w:bottom w:val="single" w:sz="4" w:space="0" w:color="auto"/>
                  </w:tcBorders>
                  <w:shd w:val="clear" w:color="auto" w:fill="E6E6E6"/>
                  <w:vAlign w:val="center"/>
                </w:tcPr>
                <w:p w14:paraId="3FB35C69"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c>
                <w:tcPr>
                  <w:tcW w:w="1312" w:type="dxa"/>
                  <w:tcBorders>
                    <w:bottom w:val="single" w:sz="4" w:space="0" w:color="auto"/>
                  </w:tcBorders>
                  <w:shd w:val="clear" w:color="auto" w:fill="E6E6E6"/>
                  <w:vAlign w:val="center"/>
                </w:tcPr>
                <w:p w14:paraId="5EED0880"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c>
                <w:tcPr>
                  <w:tcW w:w="1603" w:type="dxa"/>
                  <w:tcBorders>
                    <w:bottom w:val="single" w:sz="4" w:space="0" w:color="auto"/>
                  </w:tcBorders>
                  <w:shd w:val="clear" w:color="auto" w:fill="E6E6E6"/>
                  <w:vAlign w:val="center"/>
                </w:tcPr>
                <w:p w14:paraId="466C06F8"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c>
                <w:tcPr>
                  <w:tcW w:w="1678" w:type="dxa"/>
                  <w:tcBorders>
                    <w:bottom w:val="single" w:sz="4" w:space="0" w:color="auto"/>
                  </w:tcBorders>
                  <w:shd w:val="clear" w:color="auto" w:fill="E6E6E6"/>
                  <w:vAlign w:val="center"/>
                </w:tcPr>
                <w:p w14:paraId="39542439"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r>
            <w:tr w:rsidR="00F83BCF" w:rsidRPr="00B328BB" w14:paraId="799B148A" w14:textId="77777777" w:rsidTr="009D75D4">
              <w:trPr>
                <w:jc w:val="center"/>
              </w:trPr>
              <w:tc>
                <w:tcPr>
                  <w:tcW w:w="2295" w:type="dxa"/>
                  <w:shd w:val="clear" w:color="auto" w:fill="auto"/>
                </w:tcPr>
                <w:p w14:paraId="19C8828A" w14:textId="77777777" w:rsidR="00F83BCF" w:rsidRPr="00B328BB" w:rsidRDefault="00F83BCF" w:rsidP="00F83BCF">
                  <w:pPr>
                    <w:pStyle w:val="naisf"/>
                    <w:spacing w:before="0" w:beforeAutospacing="0" w:after="0" w:afterAutospacing="0"/>
                    <w:rPr>
                      <w:color w:val="000000" w:themeColor="text1"/>
                    </w:rPr>
                  </w:pPr>
                  <w:r w:rsidRPr="00B328BB">
                    <w:rPr>
                      <w:color w:val="000000" w:themeColor="text1"/>
                    </w:rPr>
                    <w:t>1.1. valsts pamatbudžets, tai skaitā ieņēmumi no maksas pakalpojumiem un citi pašu ieņēmumi</w:t>
                  </w:r>
                </w:p>
              </w:tc>
              <w:tc>
                <w:tcPr>
                  <w:tcW w:w="1209" w:type="dxa"/>
                  <w:shd w:val="clear" w:color="auto" w:fill="auto"/>
                  <w:vAlign w:val="center"/>
                </w:tcPr>
                <w:p w14:paraId="3C449850" w14:textId="77777777" w:rsidR="00F83BCF" w:rsidRPr="00B328BB" w:rsidRDefault="00F83BCF" w:rsidP="00F83BCF">
                  <w:pPr>
                    <w:pStyle w:val="naisf"/>
                    <w:spacing w:before="0" w:beforeAutospacing="0" w:after="0" w:afterAutospacing="0"/>
                    <w:jc w:val="center"/>
                    <w:rPr>
                      <w:iCs/>
                      <w:color w:val="000000" w:themeColor="text1"/>
                    </w:rPr>
                  </w:pPr>
                  <w:r w:rsidRPr="00B328BB">
                    <w:rPr>
                      <w:iCs/>
                      <w:color w:val="000000" w:themeColor="text1"/>
                    </w:rPr>
                    <w:t>0</w:t>
                  </w:r>
                </w:p>
              </w:tc>
              <w:tc>
                <w:tcPr>
                  <w:tcW w:w="1216" w:type="dxa"/>
                  <w:shd w:val="clear" w:color="auto" w:fill="auto"/>
                  <w:vAlign w:val="center"/>
                </w:tcPr>
                <w:p w14:paraId="2E940709"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312" w:type="dxa"/>
                  <w:shd w:val="clear" w:color="auto" w:fill="auto"/>
                  <w:vAlign w:val="center"/>
                </w:tcPr>
                <w:p w14:paraId="7FDEB32A" w14:textId="77777777" w:rsidR="00F83BCF" w:rsidRPr="00B328BB" w:rsidRDefault="00F83BCF" w:rsidP="00F83BCF">
                  <w:pPr>
                    <w:pStyle w:val="naisf"/>
                    <w:spacing w:before="0" w:beforeAutospacing="0" w:after="0" w:afterAutospacing="0"/>
                    <w:jc w:val="center"/>
                    <w:rPr>
                      <w:iCs/>
                      <w:color w:val="000000" w:themeColor="text1"/>
                    </w:rPr>
                  </w:pPr>
                  <w:r w:rsidRPr="00B328BB">
                    <w:rPr>
                      <w:iCs/>
                      <w:color w:val="000000" w:themeColor="text1"/>
                    </w:rPr>
                    <w:t>0</w:t>
                  </w:r>
                </w:p>
              </w:tc>
              <w:tc>
                <w:tcPr>
                  <w:tcW w:w="1603" w:type="dxa"/>
                  <w:shd w:val="clear" w:color="auto" w:fill="auto"/>
                  <w:vAlign w:val="center"/>
                </w:tcPr>
                <w:p w14:paraId="1D8C5CBA"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shd w:val="clear" w:color="auto" w:fill="auto"/>
                  <w:vAlign w:val="center"/>
                </w:tcPr>
                <w:p w14:paraId="2CCE18D3"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0F315855" w14:textId="77777777" w:rsidTr="009D75D4">
              <w:trPr>
                <w:jc w:val="center"/>
              </w:trPr>
              <w:tc>
                <w:tcPr>
                  <w:tcW w:w="2295" w:type="dxa"/>
                </w:tcPr>
                <w:p w14:paraId="4D6FF3AF" w14:textId="77777777" w:rsidR="00F83BCF" w:rsidRPr="00B328BB" w:rsidRDefault="00F83BCF" w:rsidP="00F83BCF">
                  <w:pPr>
                    <w:pStyle w:val="naisf"/>
                    <w:spacing w:before="0" w:beforeAutospacing="0" w:after="0" w:afterAutospacing="0"/>
                    <w:rPr>
                      <w:i/>
                      <w:color w:val="000000" w:themeColor="text1"/>
                    </w:rPr>
                  </w:pPr>
                  <w:r w:rsidRPr="00B328BB">
                    <w:rPr>
                      <w:color w:val="000000" w:themeColor="text1"/>
                    </w:rPr>
                    <w:t>1.2. valsts speciālais budžets</w:t>
                  </w:r>
                </w:p>
              </w:tc>
              <w:tc>
                <w:tcPr>
                  <w:tcW w:w="1209" w:type="dxa"/>
                  <w:vAlign w:val="center"/>
                </w:tcPr>
                <w:p w14:paraId="5AE45CA9"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14:paraId="05C3A24E"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312" w:type="dxa"/>
                  <w:vAlign w:val="center"/>
                </w:tcPr>
                <w:p w14:paraId="3D3634D2"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639535C0"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6E3C024E"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053F0B27" w14:textId="77777777" w:rsidTr="009D75D4">
              <w:trPr>
                <w:jc w:val="center"/>
              </w:trPr>
              <w:tc>
                <w:tcPr>
                  <w:tcW w:w="2295" w:type="dxa"/>
                  <w:tcBorders>
                    <w:bottom w:val="single" w:sz="4" w:space="0" w:color="auto"/>
                  </w:tcBorders>
                </w:tcPr>
                <w:p w14:paraId="7316813A" w14:textId="77777777" w:rsidR="00F83BCF" w:rsidRPr="00B328BB" w:rsidRDefault="00F83BCF" w:rsidP="00F83BCF">
                  <w:pPr>
                    <w:pStyle w:val="naisf"/>
                    <w:spacing w:before="0" w:beforeAutospacing="0" w:after="0" w:afterAutospacing="0"/>
                    <w:rPr>
                      <w:i/>
                      <w:color w:val="000000" w:themeColor="text1"/>
                    </w:rPr>
                  </w:pPr>
                  <w:r w:rsidRPr="00B328BB">
                    <w:rPr>
                      <w:color w:val="000000" w:themeColor="text1"/>
                    </w:rPr>
                    <w:t>1.3. pašvaldību budžets</w:t>
                  </w:r>
                </w:p>
              </w:tc>
              <w:tc>
                <w:tcPr>
                  <w:tcW w:w="1209" w:type="dxa"/>
                  <w:tcBorders>
                    <w:bottom w:val="single" w:sz="4" w:space="0" w:color="auto"/>
                  </w:tcBorders>
                  <w:vAlign w:val="center"/>
                </w:tcPr>
                <w:p w14:paraId="416891CB"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216" w:type="dxa"/>
                  <w:tcBorders>
                    <w:bottom w:val="single" w:sz="4" w:space="0" w:color="auto"/>
                  </w:tcBorders>
                  <w:vAlign w:val="center"/>
                </w:tcPr>
                <w:p w14:paraId="63ADFF2C"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312" w:type="dxa"/>
                  <w:tcBorders>
                    <w:bottom w:val="single" w:sz="4" w:space="0" w:color="auto"/>
                  </w:tcBorders>
                  <w:vAlign w:val="center"/>
                </w:tcPr>
                <w:p w14:paraId="25232070"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tcBorders>
                    <w:bottom w:val="single" w:sz="4" w:space="0" w:color="auto"/>
                  </w:tcBorders>
                  <w:vAlign w:val="center"/>
                </w:tcPr>
                <w:p w14:paraId="4FA04047"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tcBorders>
                    <w:bottom w:val="single" w:sz="4" w:space="0" w:color="auto"/>
                  </w:tcBorders>
                  <w:vAlign w:val="center"/>
                </w:tcPr>
                <w:p w14:paraId="51CECA98"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315703" w:rsidRPr="00B328BB" w14:paraId="532A0268" w14:textId="77777777" w:rsidTr="009D75D4">
              <w:trPr>
                <w:jc w:val="center"/>
              </w:trPr>
              <w:tc>
                <w:tcPr>
                  <w:tcW w:w="2295" w:type="dxa"/>
                  <w:shd w:val="clear" w:color="auto" w:fill="E6E6E6"/>
                </w:tcPr>
                <w:p w14:paraId="5E9B9A27"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2. Budžeta izdevumi:</w:t>
                  </w:r>
                </w:p>
              </w:tc>
              <w:tc>
                <w:tcPr>
                  <w:tcW w:w="1209" w:type="dxa"/>
                  <w:shd w:val="clear" w:color="auto" w:fill="E6E6E6"/>
                  <w:vAlign w:val="center"/>
                </w:tcPr>
                <w:p w14:paraId="1275B2D9" w14:textId="77777777" w:rsidR="00315703" w:rsidRPr="001861BD" w:rsidRDefault="00315703" w:rsidP="00315703">
                  <w:pPr>
                    <w:pStyle w:val="naisf"/>
                    <w:spacing w:before="0" w:beforeAutospacing="0" w:after="0" w:afterAutospacing="0"/>
                    <w:jc w:val="center"/>
                    <w:rPr>
                      <w:b/>
                      <w:color w:val="000000" w:themeColor="text1"/>
                    </w:rPr>
                  </w:pPr>
                  <w:r w:rsidRPr="001861BD">
                    <w:rPr>
                      <w:b/>
                      <w:color w:val="000000" w:themeColor="text1"/>
                    </w:rPr>
                    <w:t>0</w:t>
                  </w:r>
                </w:p>
              </w:tc>
              <w:tc>
                <w:tcPr>
                  <w:tcW w:w="1216" w:type="dxa"/>
                  <w:shd w:val="clear" w:color="auto" w:fill="E6E6E6"/>
                  <w:vAlign w:val="center"/>
                </w:tcPr>
                <w:p w14:paraId="485AD8CB" w14:textId="77777777" w:rsidR="00315703" w:rsidRPr="001861BD" w:rsidRDefault="00315703" w:rsidP="00315703">
                  <w:pPr>
                    <w:pStyle w:val="naisf"/>
                    <w:spacing w:before="0" w:beforeAutospacing="0" w:after="0" w:afterAutospacing="0"/>
                    <w:jc w:val="center"/>
                    <w:rPr>
                      <w:b/>
                    </w:rPr>
                  </w:pPr>
                  <w:r>
                    <w:rPr>
                      <w:b/>
                    </w:rPr>
                    <w:t>0</w:t>
                  </w:r>
                </w:p>
              </w:tc>
              <w:tc>
                <w:tcPr>
                  <w:tcW w:w="1312" w:type="dxa"/>
                  <w:shd w:val="clear" w:color="auto" w:fill="E6E6E6"/>
                  <w:vAlign w:val="center"/>
                </w:tcPr>
                <w:p w14:paraId="603BB2CB" w14:textId="3FE7CB46" w:rsidR="00315703" w:rsidRPr="00A146D7" w:rsidRDefault="00315703" w:rsidP="00315703">
                  <w:pPr>
                    <w:pStyle w:val="naisf"/>
                    <w:spacing w:before="0" w:beforeAutospacing="0" w:after="0" w:afterAutospacing="0"/>
                    <w:jc w:val="center"/>
                    <w:rPr>
                      <w:b/>
                      <w:color w:val="000000" w:themeColor="text1"/>
                    </w:rPr>
                  </w:pPr>
                  <w:r>
                    <w:rPr>
                      <w:b/>
                      <w:bCs/>
                      <w:color w:val="000000" w:themeColor="text1"/>
                    </w:rPr>
                    <w:t>133 494</w:t>
                  </w:r>
                </w:p>
              </w:tc>
              <w:tc>
                <w:tcPr>
                  <w:tcW w:w="1603" w:type="dxa"/>
                  <w:shd w:val="clear" w:color="auto" w:fill="E6E6E6"/>
                  <w:vAlign w:val="center"/>
                </w:tcPr>
                <w:p w14:paraId="6D4707C9" w14:textId="3A6E1A3E" w:rsidR="00315703" w:rsidRPr="00A146D7" w:rsidRDefault="00315703" w:rsidP="00315703">
                  <w:pPr>
                    <w:pStyle w:val="naisf"/>
                    <w:spacing w:before="0" w:beforeAutospacing="0" w:after="0" w:afterAutospacing="0"/>
                    <w:jc w:val="center"/>
                    <w:rPr>
                      <w:b/>
                      <w:color w:val="000000" w:themeColor="text1"/>
                    </w:rPr>
                  </w:pPr>
                  <w:r>
                    <w:rPr>
                      <w:b/>
                      <w:bCs/>
                      <w:color w:val="000000" w:themeColor="text1"/>
                    </w:rPr>
                    <w:t>147 733</w:t>
                  </w:r>
                </w:p>
              </w:tc>
              <w:tc>
                <w:tcPr>
                  <w:tcW w:w="1678" w:type="dxa"/>
                  <w:shd w:val="clear" w:color="auto" w:fill="E6E6E6"/>
                  <w:vAlign w:val="center"/>
                </w:tcPr>
                <w:p w14:paraId="59029564" w14:textId="2CF17FE3" w:rsidR="00315703" w:rsidRPr="00A146D7" w:rsidRDefault="00315703" w:rsidP="00315703">
                  <w:pPr>
                    <w:pStyle w:val="naisf"/>
                    <w:spacing w:before="0" w:beforeAutospacing="0" w:after="0" w:afterAutospacing="0"/>
                    <w:jc w:val="center"/>
                    <w:rPr>
                      <w:b/>
                      <w:color w:val="000000" w:themeColor="text1"/>
                    </w:rPr>
                  </w:pPr>
                  <w:r>
                    <w:rPr>
                      <w:b/>
                      <w:bCs/>
                      <w:color w:val="000000" w:themeColor="text1"/>
                    </w:rPr>
                    <w:t>147 733</w:t>
                  </w:r>
                </w:p>
              </w:tc>
            </w:tr>
            <w:tr w:rsidR="00315703" w:rsidRPr="00B328BB" w14:paraId="19EFABCF" w14:textId="77777777" w:rsidTr="009D75D4">
              <w:trPr>
                <w:jc w:val="center"/>
              </w:trPr>
              <w:tc>
                <w:tcPr>
                  <w:tcW w:w="2295" w:type="dxa"/>
                </w:tcPr>
                <w:p w14:paraId="0DAB2AE6"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2.1. valsts pamatbudžets</w:t>
                  </w:r>
                </w:p>
              </w:tc>
              <w:tc>
                <w:tcPr>
                  <w:tcW w:w="1209" w:type="dxa"/>
                  <w:vAlign w:val="center"/>
                </w:tcPr>
                <w:p w14:paraId="7A99683B"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6A40A5DA" w14:textId="77777777" w:rsidR="00315703" w:rsidRPr="001861BD" w:rsidRDefault="00315703" w:rsidP="00315703">
                  <w:pPr>
                    <w:pStyle w:val="naisf"/>
                    <w:spacing w:before="0" w:beforeAutospacing="0" w:after="0" w:afterAutospacing="0"/>
                    <w:jc w:val="center"/>
                  </w:pPr>
                  <w:r>
                    <w:t>0</w:t>
                  </w:r>
                </w:p>
              </w:tc>
              <w:tc>
                <w:tcPr>
                  <w:tcW w:w="1312" w:type="dxa"/>
                  <w:vAlign w:val="center"/>
                </w:tcPr>
                <w:p w14:paraId="4D27974D" w14:textId="47C3E641" w:rsidR="00315703" w:rsidRPr="00A146D7" w:rsidRDefault="00315703" w:rsidP="00315703">
                  <w:pPr>
                    <w:pStyle w:val="naisf"/>
                    <w:spacing w:before="0" w:beforeAutospacing="0" w:after="0" w:afterAutospacing="0"/>
                    <w:jc w:val="center"/>
                    <w:rPr>
                      <w:color w:val="000000" w:themeColor="text1"/>
                    </w:rPr>
                  </w:pPr>
                  <w:r>
                    <w:rPr>
                      <w:color w:val="000000" w:themeColor="text1"/>
                    </w:rPr>
                    <w:t>133 494</w:t>
                  </w:r>
                </w:p>
              </w:tc>
              <w:tc>
                <w:tcPr>
                  <w:tcW w:w="1603" w:type="dxa"/>
                  <w:vAlign w:val="center"/>
                </w:tcPr>
                <w:p w14:paraId="02E44F86" w14:textId="41652DB2" w:rsidR="00315703" w:rsidRPr="00A146D7" w:rsidRDefault="00315703" w:rsidP="00315703">
                  <w:pPr>
                    <w:pStyle w:val="naisf"/>
                    <w:spacing w:before="0" w:beforeAutospacing="0" w:after="0" w:afterAutospacing="0"/>
                    <w:jc w:val="center"/>
                    <w:rPr>
                      <w:color w:val="000000" w:themeColor="text1"/>
                    </w:rPr>
                  </w:pPr>
                  <w:r>
                    <w:rPr>
                      <w:color w:val="000000" w:themeColor="text1"/>
                    </w:rPr>
                    <w:t>147 733</w:t>
                  </w:r>
                </w:p>
              </w:tc>
              <w:tc>
                <w:tcPr>
                  <w:tcW w:w="1678" w:type="dxa"/>
                  <w:vAlign w:val="center"/>
                </w:tcPr>
                <w:p w14:paraId="0BCB8666" w14:textId="6196D696" w:rsidR="00315703" w:rsidRPr="00A146D7" w:rsidRDefault="00315703" w:rsidP="00315703">
                  <w:pPr>
                    <w:pStyle w:val="naisf"/>
                    <w:spacing w:before="0" w:beforeAutospacing="0" w:after="0" w:afterAutospacing="0"/>
                    <w:jc w:val="center"/>
                    <w:rPr>
                      <w:color w:val="000000" w:themeColor="text1"/>
                    </w:rPr>
                  </w:pPr>
                  <w:r>
                    <w:rPr>
                      <w:color w:val="000000" w:themeColor="text1"/>
                    </w:rPr>
                    <w:t>147 733</w:t>
                  </w:r>
                </w:p>
              </w:tc>
            </w:tr>
            <w:tr w:rsidR="00F83BCF" w:rsidRPr="00B328BB" w14:paraId="2D76661F" w14:textId="77777777" w:rsidTr="009D75D4">
              <w:trPr>
                <w:jc w:val="center"/>
              </w:trPr>
              <w:tc>
                <w:tcPr>
                  <w:tcW w:w="2295" w:type="dxa"/>
                </w:tcPr>
                <w:p w14:paraId="1A9EE9E0"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2.2. valsts speciālais budžets</w:t>
                  </w:r>
                </w:p>
              </w:tc>
              <w:tc>
                <w:tcPr>
                  <w:tcW w:w="1209" w:type="dxa"/>
                  <w:vAlign w:val="center"/>
                </w:tcPr>
                <w:p w14:paraId="5D7EFE1E"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6BE7AEE2"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322CFE80"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032C4BA5"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555EB5EF"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163AEB76" w14:textId="77777777" w:rsidTr="009D75D4">
              <w:trPr>
                <w:jc w:val="center"/>
              </w:trPr>
              <w:tc>
                <w:tcPr>
                  <w:tcW w:w="2295" w:type="dxa"/>
                  <w:tcBorders>
                    <w:bottom w:val="single" w:sz="4" w:space="0" w:color="auto"/>
                  </w:tcBorders>
                </w:tcPr>
                <w:p w14:paraId="32388B01"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2.3. pašvaldību budžets </w:t>
                  </w:r>
                </w:p>
              </w:tc>
              <w:tc>
                <w:tcPr>
                  <w:tcW w:w="1209" w:type="dxa"/>
                  <w:tcBorders>
                    <w:bottom w:val="single" w:sz="4" w:space="0" w:color="auto"/>
                  </w:tcBorders>
                  <w:vAlign w:val="center"/>
                </w:tcPr>
                <w:p w14:paraId="3E3973BD"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216" w:type="dxa"/>
                  <w:tcBorders>
                    <w:bottom w:val="single" w:sz="4" w:space="0" w:color="auto"/>
                  </w:tcBorders>
                  <w:vAlign w:val="center"/>
                </w:tcPr>
                <w:p w14:paraId="3D19F35A"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tcBorders>
                    <w:bottom w:val="single" w:sz="4" w:space="0" w:color="auto"/>
                  </w:tcBorders>
                  <w:vAlign w:val="center"/>
                </w:tcPr>
                <w:p w14:paraId="2799876F"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tcBorders>
                    <w:bottom w:val="single" w:sz="4" w:space="0" w:color="auto"/>
                  </w:tcBorders>
                  <w:vAlign w:val="center"/>
                </w:tcPr>
                <w:p w14:paraId="47ED6898"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tcBorders>
                    <w:bottom w:val="single" w:sz="4" w:space="0" w:color="auto"/>
                  </w:tcBorders>
                  <w:vAlign w:val="center"/>
                </w:tcPr>
                <w:p w14:paraId="79D25CB1"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315703" w:rsidRPr="00B328BB" w14:paraId="0EFBF628" w14:textId="77777777" w:rsidTr="009D75D4">
              <w:trPr>
                <w:jc w:val="center"/>
              </w:trPr>
              <w:tc>
                <w:tcPr>
                  <w:tcW w:w="2295" w:type="dxa"/>
                  <w:shd w:val="clear" w:color="auto" w:fill="E6E6E6"/>
                </w:tcPr>
                <w:p w14:paraId="6D67DCC4"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3. Finansiālā ietekme:</w:t>
                  </w:r>
                </w:p>
              </w:tc>
              <w:tc>
                <w:tcPr>
                  <w:tcW w:w="1209" w:type="dxa"/>
                  <w:shd w:val="clear" w:color="auto" w:fill="E6E6E6"/>
                  <w:vAlign w:val="center"/>
                </w:tcPr>
                <w:p w14:paraId="448D2F4F" w14:textId="77777777" w:rsidR="00315703" w:rsidRPr="001861BD" w:rsidRDefault="00315703" w:rsidP="00315703">
                  <w:pPr>
                    <w:pStyle w:val="naisf"/>
                    <w:spacing w:before="0" w:beforeAutospacing="0" w:after="0" w:afterAutospacing="0"/>
                    <w:jc w:val="center"/>
                    <w:rPr>
                      <w:b/>
                      <w:color w:val="000000" w:themeColor="text1"/>
                    </w:rPr>
                  </w:pPr>
                  <w:r w:rsidRPr="001861BD">
                    <w:rPr>
                      <w:b/>
                      <w:color w:val="000000" w:themeColor="text1"/>
                    </w:rPr>
                    <w:t>0</w:t>
                  </w:r>
                </w:p>
              </w:tc>
              <w:tc>
                <w:tcPr>
                  <w:tcW w:w="1216" w:type="dxa"/>
                  <w:shd w:val="clear" w:color="auto" w:fill="E6E6E6"/>
                  <w:vAlign w:val="center"/>
                </w:tcPr>
                <w:p w14:paraId="775CB6F2" w14:textId="77777777" w:rsidR="00315703" w:rsidRPr="001861BD" w:rsidRDefault="00315703" w:rsidP="00315703">
                  <w:pPr>
                    <w:pStyle w:val="naisf"/>
                    <w:spacing w:before="0" w:beforeAutospacing="0" w:after="0" w:afterAutospacing="0"/>
                    <w:jc w:val="center"/>
                    <w:rPr>
                      <w:b/>
                      <w:color w:val="000000" w:themeColor="text1"/>
                    </w:rPr>
                  </w:pPr>
                  <w:r>
                    <w:rPr>
                      <w:b/>
                      <w:color w:val="000000" w:themeColor="text1"/>
                    </w:rPr>
                    <w:t>0</w:t>
                  </w:r>
                </w:p>
              </w:tc>
              <w:tc>
                <w:tcPr>
                  <w:tcW w:w="1312" w:type="dxa"/>
                  <w:shd w:val="clear" w:color="auto" w:fill="E6E6E6"/>
                  <w:vAlign w:val="center"/>
                </w:tcPr>
                <w:p w14:paraId="3AE36C88" w14:textId="5BD00D2B" w:rsidR="00315703" w:rsidRPr="0084328B" w:rsidRDefault="00315703" w:rsidP="00315703">
                  <w:pPr>
                    <w:pStyle w:val="naisf"/>
                    <w:spacing w:before="0" w:beforeAutospacing="0" w:after="0" w:afterAutospacing="0"/>
                    <w:jc w:val="center"/>
                    <w:rPr>
                      <w:b/>
                      <w:color w:val="000000" w:themeColor="text1"/>
                    </w:rPr>
                  </w:pPr>
                  <w:r>
                    <w:rPr>
                      <w:b/>
                      <w:bCs/>
                      <w:color w:val="000000" w:themeColor="text1"/>
                    </w:rPr>
                    <w:t>-133 494</w:t>
                  </w:r>
                </w:p>
              </w:tc>
              <w:tc>
                <w:tcPr>
                  <w:tcW w:w="1603" w:type="dxa"/>
                  <w:shd w:val="clear" w:color="auto" w:fill="E6E6E6"/>
                  <w:vAlign w:val="center"/>
                </w:tcPr>
                <w:p w14:paraId="41C778BE" w14:textId="344F50D9" w:rsidR="00315703" w:rsidRPr="00A146D7" w:rsidRDefault="00315703" w:rsidP="00315703">
                  <w:pPr>
                    <w:pStyle w:val="naisf"/>
                    <w:spacing w:before="0" w:beforeAutospacing="0" w:after="0" w:afterAutospacing="0"/>
                    <w:jc w:val="center"/>
                    <w:rPr>
                      <w:b/>
                      <w:color w:val="000000" w:themeColor="text1"/>
                    </w:rPr>
                  </w:pPr>
                  <w:r>
                    <w:rPr>
                      <w:b/>
                      <w:bCs/>
                      <w:color w:val="000000" w:themeColor="text1"/>
                    </w:rPr>
                    <w:t>-147 733</w:t>
                  </w:r>
                </w:p>
              </w:tc>
              <w:tc>
                <w:tcPr>
                  <w:tcW w:w="1678" w:type="dxa"/>
                  <w:shd w:val="clear" w:color="auto" w:fill="E6E6E6"/>
                  <w:vAlign w:val="center"/>
                </w:tcPr>
                <w:p w14:paraId="1C6FFAF9" w14:textId="7CC19EE0" w:rsidR="00315703" w:rsidRPr="00A146D7" w:rsidRDefault="00315703" w:rsidP="00315703">
                  <w:pPr>
                    <w:pStyle w:val="naisf"/>
                    <w:spacing w:before="0" w:beforeAutospacing="0" w:after="0" w:afterAutospacing="0"/>
                    <w:jc w:val="center"/>
                    <w:rPr>
                      <w:b/>
                      <w:color w:val="000000" w:themeColor="text1"/>
                    </w:rPr>
                  </w:pPr>
                  <w:r>
                    <w:rPr>
                      <w:b/>
                      <w:bCs/>
                      <w:color w:val="000000" w:themeColor="text1"/>
                    </w:rPr>
                    <w:t>-147 733</w:t>
                  </w:r>
                </w:p>
              </w:tc>
            </w:tr>
            <w:tr w:rsidR="00315703" w:rsidRPr="00B328BB" w14:paraId="01A27AF9" w14:textId="77777777" w:rsidTr="009D75D4">
              <w:trPr>
                <w:jc w:val="center"/>
              </w:trPr>
              <w:tc>
                <w:tcPr>
                  <w:tcW w:w="2295" w:type="dxa"/>
                </w:tcPr>
                <w:p w14:paraId="731F0BE2"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3.1. valsts pamatbudžets</w:t>
                  </w:r>
                </w:p>
              </w:tc>
              <w:tc>
                <w:tcPr>
                  <w:tcW w:w="1209" w:type="dxa"/>
                  <w:shd w:val="clear" w:color="auto" w:fill="auto"/>
                  <w:vAlign w:val="center"/>
                </w:tcPr>
                <w:p w14:paraId="0917D584"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7266D888" w14:textId="77777777" w:rsidR="00315703" w:rsidRPr="001861BD" w:rsidRDefault="00315703" w:rsidP="00315703">
                  <w:pPr>
                    <w:pStyle w:val="naisf"/>
                    <w:spacing w:before="0" w:beforeAutospacing="0" w:after="0" w:afterAutospacing="0"/>
                    <w:jc w:val="center"/>
                    <w:rPr>
                      <w:color w:val="000000" w:themeColor="text1"/>
                    </w:rPr>
                  </w:pPr>
                  <w:r>
                    <w:rPr>
                      <w:color w:val="000000" w:themeColor="text1"/>
                    </w:rPr>
                    <w:t>0</w:t>
                  </w:r>
                </w:p>
              </w:tc>
              <w:tc>
                <w:tcPr>
                  <w:tcW w:w="1312" w:type="dxa"/>
                  <w:vAlign w:val="center"/>
                </w:tcPr>
                <w:p w14:paraId="6E8DC05B" w14:textId="28C6997B" w:rsidR="00315703" w:rsidRPr="00A146D7" w:rsidRDefault="00315703" w:rsidP="00315703">
                  <w:pPr>
                    <w:pStyle w:val="naisf"/>
                    <w:spacing w:before="0" w:beforeAutospacing="0" w:after="0" w:afterAutospacing="0"/>
                    <w:jc w:val="center"/>
                    <w:rPr>
                      <w:color w:val="000000" w:themeColor="text1"/>
                    </w:rPr>
                  </w:pPr>
                  <w:r>
                    <w:rPr>
                      <w:color w:val="000000" w:themeColor="text1"/>
                    </w:rPr>
                    <w:t>-133 494</w:t>
                  </w:r>
                </w:p>
              </w:tc>
              <w:tc>
                <w:tcPr>
                  <w:tcW w:w="1603" w:type="dxa"/>
                  <w:vAlign w:val="center"/>
                </w:tcPr>
                <w:p w14:paraId="4F195313" w14:textId="5F0C4929" w:rsidR="00315703" w:rsidRPr="00A146D7" w:rsidRDefault="00315703" w:rsidP="00315703">
                  <w:pPr>
                    <w:pStyle w:val="naisf"/>
                    <w:spacing w:before="0" w:beforeAutospacing="0" w:after="0" w:afterAutospacing="0"/>
                    <w:jc w:val="center"/>
                    <w:rPr>
                      <w:color w:val="000000" w:themeColor="text1"/>
                    </w:rPr>
                  </w:pPr>
                  <w:r>
                    <w:rPr>
                      <w:color w:val="000000" w:themeColor="text1"/>
                    </w:rPr>
                    <w:t>-147 733</w:t>
                  </w:r>
                </w:p>
              </w:tc>
              <w:tc>
                <w:tcPr>
                  <w:tcW w:w="1678" w:type="dxa"/>
                  <w:vAlign w:val="center"/>
                </w:tcPr>
                <w:p w14:paraId="1994EF06" w14:textId="6C563494" w:rsidR="00315703" w:rsidRPr="00A146D7" w:rsidRDefault="00315703" w:rsidP="00315703">
                  <w:pPr>
                    <w:pStyle w:val="naisf"/>
                    <w:spacing w:before="0" w:beforeAutospacing="0" w:after="0" w:afterAutospacing="0"/>
                    <w:jc w:val="center"/>
                    <w:rPr>
                      <w:color w:val="000000" w:themeColor="text1"/>
                    </w:rPr>
                  </w:pPr>
                  <w:r>
                    <w:rPr>
                      <w:color w:val="000000" w:themeColor="text1"/>
                    </w:rPr>
                    <w:t>-147 733</w:t>
                  </w:r>
                </w:p>
              </w:tc>
            </w:tr>
            <w:tr w:rsidR="00F83BCF" w:rsidRPr="00B328BB" w14:paraId="4EA36AB2" w14:textId="77777777" w:rsidTr="009D75D4">
              <w:trPr>
                <w:jc w:val="center"/>
              </w:trPr>
              <w:tc>
                <w:tcPr>
                  <w:tcW w:w="2295" w:type="dxa"/>
                </w:tcPr>
                <w:p w14:paraId="51544200"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3.2. speciālais budžets</w:t>
                  </w:r>
                </w:p>
              </w:tc>
              <w:tc>
                <w:tcPr>
                  <w:tcW w:w="1209" w:type="dxa"/>
                  <w:shd w:val="clear" w:color="auto" w:fill="auto"/>
                  <w:vAlign w:val="center"/>
                </w:tcPr>
                <w:p w14:paraId="2874E5E6"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27A47D13"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6C5F178B"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171720F1"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6D577153"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02B48812" w14:textId="77777777" w:rsidTr="009D75D4">
              <w:trPr>
                <w:jc w:val="center"/>
              </w:trPr>
              <w:tc>
                <w:tcPr>
                  <w:tcW w:w="2295" w:type="dxa"/>
                </w:tcPr>
                <w:p w14:paraId="6E411E14"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3.3. pašvaldību budžets </w:t>
                  </w:r>
                </w:p>
              </w:tc>
              <w:tc>
                <w:tcPr>
                  <w:tcW w:w="1209" w:type="dxa"/>
                  <w:shd w:val="clear" w:color="auto" w:fill="auto"/>
                  <w:vAlign w:val="center"/>
                </w:tcPr>
                <w:p w14:paraId="532BE94A"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56A197D2"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104A2843"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07F74512"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342175E4"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5556CD41" w14:textId="77777777" w:rsidTr="009D75D4">
              <w:trPr>
                <w:trHeight w:val="637"/>
                <w:jc w:val="center"/>
              </w:trPr>
              <w:tc>
                <w:tcPr>
                  <w:tcW w:w="2295" w:type="dxa"/>
                  <w:vMerge w:val="restart"/>
                </w:tcPr>
                <w:p w14:paraId="62D4BEA7"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4. Finanšu līdzekļi papildu izde</w:t>
                  </w:r>
                  <w:r w:rsidRPr="00B328BB">
                    <w:rPr>
                      <w:rFonts w:ascii="Times New Roman" w:hAnsi="Times New Roman"/>
                      <w:color w:val="000000" w:themeColor="text1"/>
                      <w:sz w:val="24"/>
                      <w:szCs w:val="24"/>
                      <w:lang w:val="lv-LV"/>
                    </w:rPr>
                    <w:softHyphen/>
                    <w:t>vumu finansēšanai (kompensējošu izdevumu samazinājumu norāda ar „+” zīmi)</w:t>
                  </w:r>
                </w:p>
              </w:tc>
              <w:tc>
                <w:tcPr>
                  <w:tcW w:w="1209" w:type="dxa"/>
                  <w:vMerge w:val="restart"/>
                  <w:shd w:val="clear" w:color="auto" w:fill="auto"/>
                </w:tcPr>
                <w:p w14:paraId="16A2FBA4"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X</w:t>
                  </w:r>
                </w:p>
              </w:tc>
              <w:tc>
                <w:tcPr>
                  <w:tcW w:w="1216" w:type="dxa"/>
                  <w:vAlign w:val="center"/>
                </w:tcPr>
                <w:p w14:paraId="059C8D6F"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61EAA068"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0118A1C2"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29023923"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018A128E" w14:textId="77777777" w:rsidTr="009D75D4">
              <w:trPr>
                <w:trHeight w:val="637"/>
                <w:jc w:val="center"/>
              </w:trPr>
              <w:tc>
                <w:tcPr>
                  <w:tcW w:w="2295" w:type="dxa"/>
                  <w:vMerge/>
                </w:tcPr>
                <w:p w14:paraId="7E0D1E46" w14:textId="77777777" w:rsidR="00F83BCF" w:rsidRPr="00B328BB" w:rsidRDefault="00F83BCF" w:rsidP="00F83BCF">
                  <w:pPr>
                    <w:spacing w:after="0" w:line="240" w:lineRule="auto"/>
                    <w:rPr>
                      <w:rFonts w:ascii="Times New Roman" w:hAnsi="Times New Roman"/>
                      <w:color w:val="000000" w:themeColor="text1"/>
                      <w:sz w:val="24"/>
                      <w:szCs w:val="24"/>
                      <w:lang w:val="lv-LV"/>
                    </w:rPr>
                  </w:pPr>
                </w:p>
              </w:tc>
              <w:tc>
                <w:tcPr>
                  <w:tcW w:w="1209" w:type="dxa"/>
                  <w:vMerge/>
                  <w:shd w:val="clear" w:color="auto" w:fill="auto"/>
                  <w:vAlign w:val="center"/>
                </w:tcPr>
                <w:p w14:paraId="584F5BEA" w14:textId="77777777" w:rsidR="00F83BCF" w:rsidRPr="001861BD" w:rsidRDefault="00F83BCF" w:rsidP="00F83BCF">
                  <w:pPr>
                    <w:pStyle w:val="naisf"/>
                    <w:spacing w:before="0" w:beforeAutospacing="0" w:after="0" w:afterAutospacing="0"/>
                    <w:jc w:val="center"/>
                    <w:rPr>
                      <w:color w:val="000000" w:themeColor="text1"/>
                    </w:rPr>
                  </w:pPr>
                </w:p>
              </w:tc>
              <w:tc>
                <w:tcPr>
                  <w:tcW w:w="1216" w:type="dxa"/>
                  <w:vAlign w:val="center"/>
                </w:tcPr>
                <w:p w14:paraId="7785FCD7"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6A41C654"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78627907"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74C9ECB0"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12C63A72" w14:textId="77777777" w:rsidTr="009D75D4">
              <w:trPr>
                <w:trHeight w:val="638"/>
                <w:jc w:val="center"/>
              </w:trPr>
              <w:tc>
                <w:tcPr>
                  <w:tcW w:w="2295" w:type="dxa"/>
                  <w:vMerge/>
                  <w:tcBorders>
                    <w:bottom w:val="single" w:sz="4" w:space="0" w:color="auto"/>
                  </w:tcBorders>
                </w:tcPr>
                <w:p w14:paraId="28F67361" w14:textId="77777777" w:rsidR="00F83BCF" w:rsidRPr="00B328BB" w:rsidRDefault="00F83BCF" w:rsidP="00F83BCF">
                  <w:pPr>
                    <w:spacing w:after="0" w:line="240" w:lineRule="auto"/>
                    <w:rPr>
                      <w:rFonts w:ascii="Times New Roman" w:hAnsi="Times New Roman"/>
                      <w:color w:val="000000" w:themeColor="text1"/>
                      <w:sz w:val="24"/>
                      <w:szCs w:val="24"/>
                      <w:lang w:val="lv-LV"/>
                    </w:rPr>
                  </w:pPr>
                </w:p>
              </w:tc>
              <w:tc>
                <w:tcPr>
                  <w:tcW w:w="1209" w:type="dxa"/>
                  <w:vMerge/>
                  <w:tcBorders>
                    <w:bottom w:val="single" w:sz="4" w:space="0" w:color="auto"/>
                  </w:tcBorders>
                  <w:shd w:val="clear" w:color="auto" w:fill="auto"/>
                  <w:vAlign w:val="center"/>
                </w:tcPr>
                <w:p w14:paraId="11B52702" w14:textId="77777777" w:rsidR="00F83BCF" w:rsidRPr="001861BD" w:rsidRDefault="00F83BCF" w:rsidP="00F83BCF">
                  <w:pPr>
                    <w:pStyle w:val="naisf"/>
                    <w:spacing w:before="0" w:beforeAutospacing="0" w:after="0" w:afterAutospacing="0"/>
                    <w:jc w:val="center"/>
                    <w:rPr>
                      <w:color w:val="000000" w:themeColor="text1"/>
                    </w:rPr>
                  </w:pPr>
                </w:p>
              </w:tc>
              <w:tc>
                <w:tcPr>
                  <w:tcW w:w="1216" w:type="dxa"/>
                  <w:tcBorders>
                    <w:bottom w:val="single" w:sz="4" w:space="0" w:color="auto"/>
                  </w:tcBorders>
                  <w:vAlign w:val="center"/>
                </w:tcPr>
                <w:p w14:paraId="6DA643BD"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tcBorders>
                    <w:bottom w:val="single" w:sz="4" w:space="0" w:color="auto"/>
                  </w:tcBorders>
                  <w:vAlign w:val="center"/>
                </w:tcPr>
                <w:p w14:paraId="1E81A136"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tcBorders>
                    <w:bottom w:val="single" w:sz="4" w:space="0" w:color="auto"/>
                  </w:tcBorders>
                  <w:vAlign w:val="center"/>
                </w:tcPr>
                <w:p w14:paraId="6E1253EE"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tcBorders>
                    <w:bottom w:val="single" w:sz="4" w:space="0" w:color="auto"/>
                  </w:tcBorders>
                  <w:vAlign w:val="center"/>
                </w:tcPr>
                <w:p w14:paraId="502ABDF5"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315703" w:rsidRPr="00B328BB" w14:paraId="5AD06566" w14:textId="77777777" w:rsidTr="009D75D4">
              <w:trPr>
                <w:jc w:val="center"/>
              </w:trPr>
              <w:tc>
                <w:tcPr>
                  <w:tcW w:w="2295" w:type="dxa"/>
                  <w:shd w:val="clear" w:color="auto" w:fill="E6E6E6"/>
                </w:tcPr>
                <w:p w14:paraId="59BCE41B"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5. Precizēta finansiālā ietekme:</w:t>
                  </w:r>
                </w:p>
              </w:tc>
              <w:tc>
                <w:tcPr>
                  <w:tcW w:w="1209" w:type="dxa"/>
                  <w:vMerge w:val="restart"/>
                  <w:shd w:val="clear" w:color="auto" w:fill="auto"/>
                </w:tcPr>
                <w:p w14:paraId="3E87BE98"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X</w:t>
                  </w:r>
                </w:p>
              </w:tc>
              <w:tc>
                <w:tcPr>
                  <w:tcW w:w="1216" w:type="dxa"/>
                  <w:shd w:val="clear" w:color="auto" w:fill="E6E6E6"/>
                  <w:vAlign w:val="center"/>
                </w:tcPr>
                <w:p w14:paraId="78A79E70" w14:textId="77777777" w:rsidR="00315703" w:rsidRPr="001861BD" w:rsidRDefault="00315703" w:rsidP="00315703">
                  <w:pPr>
                    <w:pStyle w:val="naisf"/>
                    <w:spacing w:before="0" w:beforeAutospacing="0" w:after="0" w:afterAutospacing="0"/>
                    <w:jc w:val="center"/>
                    <w:rPr>
                      <w:b/>
                      <w:color w:val="000000" w:themeColor="text1"/>
                    </w:rPr>
                  </w:pPr>
                  <w:r>
                    <w:rPr>
                      <w:b/>
                      <w:color w:val="000000" w:themeColor="text1"/>
                    </w:rPr>
                    <w:t>0</w:t>
                  </w:r>
                </w:p>
              </w:tc>
              <w:tc>
                <w:tcPr>
                  <w:tcW w:w="1312" w:type="dxa"/>
                  <w:shd w:val="clear" w:color="auto" w:fill="E6E6E6"/>
                  <w:vAlign w:val="center"/>
                </w:tcPr>
                <w:p w14:paraId="51762AFE" w14:textId="2DD17ED4"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-133 494</w:t>
                  </w:r>
                </w:p>
              </w:tc>
              <w:tc>
                <w:tcPr>
                  <w:tcW w:w="1603" w:type="dxa"/>
                  <w:shd w:val="clear" w:color="auto" w:fill="E6E6E6"/>
                  <w:vAlign w:val="center"/>
                </w:tcPr>
                <w:p w14:paraId="3D5C394D" w14:textId="3C147CDD"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-147 733</w:t>
                  </w:r>
                </w:p>
              </w:tc>
              <w:tc>
                <w:tcPr>
                  <w:tcW w:w="1678" w:type="dxa"/>
                  <w:shd w:val="clear" w:color="auto" w:fill="E6E6E6"/>
                  <w:vAlign w:val="center"/>
                </w:tcPr>
                <w:p w14:paraId="160F0F73" w14:textId="1EA320E0"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-147 733</w:t>
                  </w:r>
                </w:p>
              </w:tc>
            </w:tr>
            <w:tr w:rsidR="00315703" w:rsidRPr="00B328BB" w14:paraId="63B31466" w14:textId="77777777" w:rsidTr="009D75D4">
              <w:trPr>
                <w:jc w:val="center"/>
              </w:trPr>
              <w:tc>
                <w:tcPr>
                  <w:tcW w:w="2295" w:type="dxa"/>
                </w:tcPr>
                <w:p w14:paraId="07CEE3DB"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5.1. valsts pamatbudžets</w:t>
                  </w:r>
                </w:p>
              </w:tc>
              <w:tc>
                <w:tcPr>
                  <w:tcW w:w="1209" w:type="dxa"/>
                  <w:vMerge/>
                  <w:shd w:val="clear" w:color="auto" w:fill="auto"/>
                  <w:vAlign w:val="center"/>
                </w:tcPr>
                <w:p w14:paraId="27080E52" w14:textId="77777777" w:rsidR="00315703" w:rsidRPr="001861BD" w:rsidRDefault="00315703" w:rsidP="00315703">
                  <w:pPr>
                    <w:pStyle w:val="naisf"/>
                    <w:spacing w:before="0" w:beforeAutospacing="0" w:after="0" w:afterAutospacing="0"/>
                    <w:jc w:val="center"/>
                    <w:rPr>
                      <w:color w:val="000000" w:themeColor="text1"/>
                    </w:rPr>
                  </w:pPr>
                </w:p>
              </w:tc>
              <w:tc>
                <w:tcPr>
                  <w:tcW w:w="1216" w:type="dxa"/>
                  <w:vAlign w:val="center"/>
                </w:tcPr>
                <w:p w14:paraId="7B1A1762" w14:textId="77777777" w:rsidR="00315703" w:rsidRPr="001861BD" w:rsidRDefault="00315703" w:rsidP="00315703">
                  <w:pPr>
                    <w:pStyle w:val="naisf"/>
                    <w:spacing w:before="0" w:beforeAutospacing="0" w:after="0" w:afterAutospacing="0"/>
                    <w:jc w:val="center"/>
                    <w:rPr>
                      <w:color w:val="000000" w:themeColor="text1"/>
                    </w:rPr>
                  </w:pPr>
                  <w:r>
                    <w:rPr>
                      <w:color w:val="000000" w:themeColor="text1"/>
                    </w:rPr>
                    <w:t>0</w:t>
                  </w:r>
                </w:p>
              </w:tc>
              <w:tc>
                <w:tcPr>
                  <w:tcW w:w="1312" w:type="dxa"/>
                  <w:vAlign w:val="center"/>
                </w:tcPr>
                <w:p w14:paraId="33000243" w14:textId="37C7F9D9" w:rsidR="00315703" w:rsidRPr="0084328B" w:rsidRDefault="00315703" w:rsidP="00315703">
                  <w:pPr>
                    <w:pStyle w:val="naisf"/>
                    <w:spacing w:before="0" w:beforeAutospacing="0" w:after="0" w:afterAutospacing="0"/>
                    <w:jc w:val="center"/>
                    <w:rPr>
                      <w:color w:val="000000" w:themeColor="text1"/>
                    </w:rPr>
                  </w:pPr>
                  <w:r>
                    <w:rPr>
                      <w:color w:val="000000" w:themeColor="text1"/>
                    </w:rPr>
                    <w:t>-133 494</w:t>
                  </w:r>
                </w:p>
              </w:tc>
              <w:tc>
                <w:tcPr>
                  <w:tcW w:w="1603" w:type="dxa"/>
                  <w:vAlign w:val="center"/>
                </w:tcPr>
                <w:p w14:paraId="2263A154" w14:textId="6BA9C7F3" w:rsidR="00315703" w:rsidRPr="0084328B" w:rsidRDefault="00315703" w:rsidP="00315703">
                  <w:pPr>
                    <w:pStyle w:val="naisf"/>
                    <w:spacing w:before="0" w:beforeAutospacing="0" w:after="0" w:afterAutospacing="0"/>
                    <w:jc w:val="center"/>
                    <w:rPr>
                      <w:color w:val="000000" w:themeColor="text1"/>
                    </w:rPr>
                  </w:pPr>
                  <w:r>
                    <w:rPr>
                      <w:color w:val="000000" w:themeColor="text1"/>
                    </w:rPr>
                    <w:t>-147 733</w:t>
                  </w:r>
                </w:p>
              </w:tc>
              <w:tc>
                <w:tcPr>
                  <w:tcW w:w="1678" w:type="dxa"/>
                  <w:vAlign w:val="center"/>
                </w:tcPr>
                <w:p w14:paraId="6330D6F3" w14:textId="26F67040" w:rsidR="00315703" w:rsidRPr="0084328B" w:rsidRDefault="00315703" w:rsidP="00315703">
                  <w:pPr>
                    <w:pStyle w:val="naisf"/>
                    <w:spacing w:before="0" w:beforeAutospacing="0" w:after="0" w:afterAutospacing="0"/>
                    <w:jc w:val="center"/>
                    <w:rPr>
                      <w:color w:val="000000" w:themeColor="text1"/>
                    </w:rPr>
                  </w:pPr>
                  <w:r>
                    <w:rPr>
                      <w:color w:val="000000" w:themeColor="text1"/>
                    </w:rPr>
                    <w:t>-147 733</w:t>
                  </w:r>
                </w:p>
              </w:tc>
            </w:tr>
            <w:tr w:rsidR="00F83BCF" w:rsidRPr="00B328BB" w14:paraId="1B80B6DE" w14:textId="77777777" w:rsidTr="009D75D4">
              <w:trPr>
                <w:jc w:val="center"/>
              </w:trPr>
              <w:tc>
                <w:tcPr>
                  <w:tcW w:w="2295" w:type="dxa"/>
                </w:tcPr>
                <w:p w14:paraId="68226B03"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5.2. speciālais budžets</w:t>
                  </w:r>
                </w:p>
              </w:tc>
              <w:tc>
                <w:tcPr>
                  <w:tcW w:w="1209" w:type="dxa"/>
                  <w:vMerge/>
                  <w:shd w:val="clear" w:color="auto" w:fill="auto"/>
                  <w:vAlign w:val="center"/>
                </w:tcPr>
                <w:p w14:paraId="0B7049C1" w14:textId="77777777" w:rsidR="00F83BCF" w:rsidRPr="001861BD" w:rsidRDefault="00F83BCF" w:rsidP="00F83BCF">
                  <w:pPr>
                    <w:pStyle w:val="naisf"/>
                    <w:spacing w:before="0" w:beforeAutospacing="0" w:after="0" w:afterAutospacing="0"/>
                    <w:jc w:val="center"/>
                    <w:rPr>
                      <w:color w:val="000000" w:themeColor="text1"/>
                    </w:rPr>
                  </w:pPr>
                </w:p>
              </w:tc>
              <w:tc>
                <w:tcPr>
                  <w:tcW w:w="1216" w:type="dxa"/>
                  <w:vAlign w:val="center"/>
                </w:tcPr>
                <w:p w14:paraId="6DCA27A9"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7F606139"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2F7EB807"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2B66A2CF"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72D2DA74" w14:textId="77777777" w:rsidTr="009D75D4">
              <w:trPr>
                <w:jc w:val="center"/>
              </w:trPr>
              <w:tc>
                <w:tcPr>
                  <w:tcW w:w="2295" w:type="dxa"/>
                </w:tcPr>
                <w:p w14:paraId="33F42A0E"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5.3. pašvaldību budžets </w:t>
                  </w:r>
                </w:p>
              </w:tc>
              <w:tc>
                <w:tcPr>
                  <w:tcW w:w="1209" w:type="dxa"/>
                  <w:vMerge/>
                  <w:shd w:val="clear" w:color="auto" w:fill="auto"/>
                  <w:vAlign w:val="center"/>
                </w:tcPr>
                <w:p w14:paraId="38FE38E6" w14:textId="77777777" w:rsidR="00F83BCF" w:rsidRPr="001861BD" w:rsidRDefault="00F83BCF" w:rsidP="00F83BCF">
                  <w:pPr>
                    <w:pStyle w:val="naisf"/>
                    <w:spacing w:before="0" w:beforeAutospacing="0" w:after="0" w:afterAutospacing="0"/>
                    <w:jc w:val="center"/>
                    <w:rPr>
                      <w:color w:val="000000" w:themeColor="text1"/>
                    </w:rPr>
                  </w:pPr>
                </w:p>
              </w:tc>
              <w:tc>
                <w:tcPr>
                  <w:tcW w:w="1216" w:type="dxa"/>
                  <w:vAlign w:val="center"/>
                </w:tcPr>
                <w:p w14:paraId="0BD992EB" w14:textId="77777777" w:rsidR="00F83BCF" w:rsidRPr="001861BD" w:rsidRDefault="00F83BCF" w:rsidP="00F83BCF">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34E60029"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03" w:type="dxa"/>
                  <w:vAlign w:val="center"/>
                </w:tcPr>
                <w:p w14:paraId="76A106F9"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1A9575BF"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67385880" w14:textId="77777777" w:rsidTr="009D75D4">
              <w:trPr>
                <w:jc w:val="center"/>
              </w:trPr>
              <w:tc>
                <w:tcPr>
                  <w:tcW w:w="2295" w:type="dxa"/>
                </w:tcPr>
                <w:p w14:paraId="1E138B94"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6. Detalizēts ieņēmumu un </w:t>
                  </w:r>
                  <w:r w:rsidRPr="00B328BB">
                    <w:rPr>
                      <w:rFonts w:ascii="Times New Roman" w:hAnsi="Times New Roman"/>
                      <w:color w:val="000000" w:themeColor="text1"/>
                      <w:sz w:val="24"/>
                      <w:szCs w:val="24"/>
                      <w:lang w:val="lv-LV"/>
                    </w:rPr>
                    <w:lastRenderedPageBreak/>
                    <w:t>izdevu</w:t>
                  </w:r>
                  <w:r w:rsidRPr="00B328BB">
                    <w:rPr>
                      <w:rFonts w:ascii="Times New Roman" w:hAnsi="Times New Roman"/>
                      <w:color w:val="000000" w:themeColor="text1"/>
                      <w:sz w:val="24"/>
                      <w:szCs w:val="24"/>
                      <w:lang w:val="lv-LV"/>
                    </w:rPr>
                    <w:softHyphen/>
                    <w:t>mu aprēķins (ja nepieciešams, detalizētu ieņēmumu un izdevumu aprēķinu var pievienot anotācijas pielikumā):</w:t>
                  </w:r>
                </w:p>
              </w:tc>
              <w:tc>
                <w:tcPr>
                  <w:tcW w:w="7018" w:type="dxa"/>
                  <w:gridSpan w:val="5"/>
                  <w:vAlign w:val="center"/>
                </w:tcPr>
                <w:p w14:paraId="6EDE74EB" w14:textId="77777777" w:rsidR="00F83BCF" w:rsidRPr="001861BD" w:rsidRDefault="00F83BCF" w:rsidP="00F83BCF">
                  <w:pPr>
                    <w:pStyle w:val="naisf"/>
                    <w:spacing w:before="0" w:beforeAutospacing="0" w:after="0" w:afterAutospacing="0"/>
                    <w:jc w:val="center"/>
                    <w:rPr>
                      <w:color w:val="000000" w:themeColor="text1"/>
                    </w:rPr>
                  </w:pPr>
                </w:p>
              </w:tc>
            </w:tr>
            <w:tr w:rsidR="00F83BCF" w:rsidRPr="00B328BB" w14:paraId="154ED918" w14:textId="77777777" w:rsidTr="009D75D4">
              <w:trPr>
                <w:jc w:val="center"/>
              </w:trPr>
              <w:tc>
                <w:tcPr>
                  <w:tcW w:w="2295" w:type="dxa"/>
                </w:tcPr>
                <w:p w14:paraId="77A80D86"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lastRenderedPageBreak/>
                    <w:t>6.1. detalizēts ieņēmumu aprēķins</w:t>
                  </w:r>
                </w:p>
              </w:tc>
              <w:tc>
                <w:tcPr>
                  <w:tcW w:w="7018" w:type="dxa"/>
                  <w:gridSpan w:val="5"/>
                  <w:vAlign w:val="center"/>
                </w:tcPr>
                <w:p w14:paraId="051BC485" w14:textId="77777777" w:rsidR="00F83BCF" w:rsidRPr="001861BD" w:rsidRDefault="00F83BCF" w:rsidP="00F83BCF">
                  <w:pPr>
                    <w:pStyle w:val="naisf"/>
                    <w:spacing w:before="0" w:beforeAutospacing="0" w:after="0" w:afterAutospacing="0"/>
                    <w:rPr>
                      <w:color w:val="000000" w:themeColor="text1"/>
                    </w:rPr>
                  </w:pPr>
                </w:p>
              </w:tc>
            </w:tr>
            <w:tr w:rsidR="00F83BCF" w:rsidRPr="00B328BB" w14:paraId="232CC97D" w14:textId="77777777" w:rsidTr="009D75D4">
              <w:trPr>
                <w:trHeight w:val="727"/>
                <w:jc w:val="center"/>
              </w:trPr>
              <w:tc>
                <w:tcPr>
                  <w:tcW w:w="2295" w:type="dxa"/>
                </w:tcPr>
                <w:p w14:paraId="0CEB18BB"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6.2. detalizēts izdevumu aprēķins</w:t>
                  </w:r>
                </w:p>
              </w:tc>
              <w:tc>
                <w:tcPr>
                  <w:tcW w:w="7018" w:type="dxa"/>
                  <w:gridSpan w:val="5"/>
                  <w:vAlign w:val="center"/>
                </w:tcPr>
                <w:p w14:paraId="32207B73" w14:textId="77777777" w:rsidR="00F83BCF" w:rsidRPr="001861BD" w:rsidRDefault="00F83BCF" w:rsidP="00F83BCF">
                  <w:pPr>
                    <w:pStyle w:val="naisf"/>
                    <w:spacing w:before="0" w:beforeAutospacing="0" w:after="0" w:afterAutospacing="0"/>
                    <w:jc w:val="center"/>
                    <w:rPr>
                      <w:b/>
                      <w:color w:val="000000" w:themeColor="text1"/>
                    </w:rPr>
                  </w:pPr>
                </w:p>
              </w:tc>
            </w:tr>
            <w:tr w:rsidR="00315703" w:rsidRPr="00B328BB" w14:paraId="3943F885" w14:textId="77777777" w:rsidTr="009D75D4">
              <w:trPr>
                <w:jc w:val="center"/>
              </w:trPr>
              <w:tc>
                <w:tcPr>
                  <w:tcW w:w="2295" w:type="dxa"/>
                </w:tcPr>
                <w:p w14:paraId="083A8AAB" w14:textId="77777777" w:rsidR="00315703" w:rsidRPr="00B328BB" w:rsidRDefault="00315703" w:rsidP="00315703">
                  <w:pPr>
                    <w:spacing w:after="0" w:line="240" w:lineRule="auto"/>
                    <w:jc w:val="both"/>
                    <w:rPr>
                      <w:rFonts w:ascii="Times New Roman" w:hAnsi="Times New Roman"/>
                      <w:color w:val="000000" w:themeColor="text1"/>
                      <w:sz w:val="24"/>
                      <w:szCs w:val="24"/>
                      <w:lang w:val="lv-LV"/>
                    </w:rPr>
                  </w:pPr>
                  <w:r w:rsidRPr="00B328BB">
                    <w:rPr>
                      <w:rFonts w:ascii="Times New Roman" w:hAnsi="Times New Roman"/>
                      <w:b/>
                      <w:color w:val="000000" w:themeColor="text1"/>
                      <w:sz w:val="24"/>
                      <w:szCs w:val="24"/>
                      <w:lang w:val="lv-LV"/>
                    </w:rPr>
                    <w:t>KOPĀ izdevumi</w:t>
                  </w:r>
                  <w:r w:rsidRPr="00B328BB">
                    <w:rPr>
                      <w:rFonts w:ascii="Times New Roman" w:hAnsi="Times New Roman"/>
                      <w:color w:val="000000" w:themeColor="text1"/>
                      <w:sz w:val="24"/>
                      <w:szCs w:val="24"/>
                      <w:lang w:val="lv-LV"/>
                    </w:rPr>
                    <w:t>, t.sk.:</w:t>
                  </w:r>
                </w:p>
              </w:tc>
              <w:tc>
                <w:tcPr>
                  <w:tcW w:w="1209" w:type="dxa"/>
                  <w:vAlign w:val="center"/>
                </w:tcPr>
                <w:p w14:paraId="48E675D2" w14:textId="77777777" w:rsidR="00315703" w:rsidRPr="001861BD" w:rsidRDefault="00315703" w:rsidP="00315703">
                  <w:pPr>
                    <w:pStyle w:val="naisf"/>
                    <w:spacing w:before="0" w:beforeAutospacing="0" w:after="0" w:afterAutospacing="0"/>
                    <w:jc w:val="center"/>
                    <w:rPr>
                      <w:b/>
                      <w:color w:val="000000" w:themeColor="text1"/>
                    </w:rPr>
                  </w:pPr>
                  <w:r w:rsidRPr="001861BD">
                    <w:rPr>
                      <w:b/>
                      <w:color w:val="000000" w:themeColor="text1"/>
                    </w:rPr>
                    <w:t>0</w:t>
                  </w:r>
                </w:p>
              </w:tc>
              <w:tc>
                <w:tcPr>
                  <w:tcW w:w="1216" w:type="dxa"/>
                  <w:vAlign w:val="center"/>
                </w:tcPr>
                <w:p w14:paraId="4C42DFDE" w14:textId="77777777" w:rsidR="00315703" w:rsidRPr="001861BD" w:rsidRDefault="00315703" w:rsidP="00315703">
                  <w:pPr>
                    <w:pStyle w:val="naisf"/>
                    <w:spacing w:before="0" w:beforeAutospacing="0" w:after="0" w:afterAutospacing="0"/>
                    <w:jc w:val="center"/>
                    <w:rPr>
                      <w:b/>
                      <w:color w:val="000000" w:themeColor="text1"/>
                    </w:rPr>
                  </w:pPr>
                  <w:r>
                    <w:rPr>
                      <w:b/>
                      <w:color w:val="000000" w:themeColor="text1"/>
                    </w:rPr>
                    <w:t>0</w:t>
                  </w:r>
                </w:p>
              </w:tc>
              <w:tc>
                <w:tcPr>
                  <w:tcW w:w="1312" w:type="dxa"/>
                  <w:vAlign w:val="center"/>
                </w:tcPr>
                <w:p w14:paraId="3C9314AD" w14:textId="573CFCF9"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133 494</w:t>
                  </w:r>
                </w:p>
              </w:tc>
              <w:tc>
                <w:tcPr>
                  <w:tcW w:w="1603" w:type="dxa"/>
                  <w:vAlign w:val="center"/>
                </w:tcPr>
                <w:p w14:paraId="718D0032" w14:textId="59C1BF5C"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147 733</w:t>
                  </w:r>
                </w:p>
              </w:tc>
              <w:tc>
                <w:tcPr>
                  <w:tcW w:w="1678" w:type="dxa"/>
                  <w:vAlign w:val="center"/>
                </w:tcPr>
                <w:p w14:paraId="494D65B7" w14:textId="78D723A1"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147 733</w:t>
                  </w:r>
                </w:p>
              </w:tc>
            </w:tr>
            <w:tr w:rsidR="00315703" w:rsidRPr="00B328BB" w14:paraId="7A04255C" w14:textId="77777777" w:rsidTr="009D75D4">
              <w:trPr>
                <w:jc w:val="center"/>
              </w:trPr>
              <w:tc>
                <w:tcPr>
                  <w:tcW w:w="2295" w:type="dxa"/>
                </w:tcPr>
                <w:p w14:paraId="7FA1D463" w14:textId="77777777" w:rsidR="00315703" w:rsidRPr="00850D15" w:rsidRDefault="00315703" w:rsidP="00315703">
                  <w:pPr>
                    <w:spacing w:after="0" w:line="240" w:lineRule="auto"/>
                    <w:rPr>
                      <w:rFonts w:ascii="Times New Roman" w:hAnsi="Times New Roman"/>
                      <w:b/>
                      <w:color w:val="000000" w:themeColor="text1"/>
                      <w:sz w:val="24"/>
                      <w:szCs w:val="24"/>
                      <w:lang w:val="lv-LV"/>
                    </w:rPr>
                  </w:pPr>
                  <w:r w:rsidRPr="00850D15">
                    <w:rPr>
                      <w:rFonts w:ascii="Times New Roman" w:hAnsi="Times New Roman"/>
                      <w:b/>
                      <w:color w:val="000000" w:themeColor="text1"/>
                      <w:sz w:val="24"/>
                      <w:szCs w:val="24"/>
                      <w:lang w:val="lv-LV"/>
                    </w:rPr>
                    <w:t xml:space="preserve">EKK 1000 </w:t>
                  </w:r>
                  <w:r w:rsidRPr="00850D15">
                    <w:rPr>
                      <w:rFonts w:ascii="Times New Roman" w:hAnsi="Times New Roman"/>
                      <w:color w:val="000000" w:themeColor="text1"/>
                      <w:sz w:val="24"/>
                      <w:szCs w:val="24"/>
                      <w:lang w:val="lv-LV"/>
                    </w:rPr>
                    <w:t>Atlīdzība</w:t>
                  </w:r>
                </w:p>
              </w:tc>
              <w:tc>
                <w:tcPr>
                  <w:tcW w:w="1209" w:type="dxa"/>
                  <w:vAlign w:val="center"/>
                </w:tcPr>
                <w:p w14:paraId="7E5DE481" w14:textId="77777777" w:rsidR="00315703" w:rsidRPr="001861BD" w:rsidRDefault="00315703" w:rsidP="00315703">
                  <w:pPr>
                    <w:pStyle w:val="naisf"/>
                    <w:spacing w:before="0" w:beforeAutospacing="0" w:after="0" w:afterAutospacing="0"/>
                    <w:jc w:val="center"/>
                    <w:rPr>
                      <w:b/>
                      <w:color w:val="000000" w:themeColor="text1"/>
                    </w:rPr>
                  </w:pPr>
                  <w:r w:rsidRPr="001861BD">
                    <w:rPr>
                      <w:b/>
                      <w:color w:val="000000" w:themeColor="text1"/>
                    </w:rPr>
                    <w:t>0</w:t>
                  </w:r>
                </w:p>
              </w:tc>
              <w:tc>
                <w:tcPr>
                  <w:tcW w:w="1216" w:type="dxa"/>
                  <w:vAlign w:val="center"/>
                </w:tcPr>
                <w:p w14:paraId="73142385" w14:textId="77777777" w:rsidR="00315703" w:rsidRPr="001861BD" w:rsidRDefault="00315703" w:rsidP="00315703">
                  <w:pPr>
                    <w:pStyle w:val="naisf"/>
                    <w:spacing w:before="0" w:beforeAutospacing="0" w:after="0" w:afterAutospacing="0"/>
                    <w:jc w:val="center"/>
                    <w:rPr>
                      <w:b/>
                      <w:color w:val="000000" w:themeColor="text1"/>
                    </w:rPr>
                  </w:pPr>
                  <w:r w:rsidRPr="001861BD">
                    <w:rPr>
                      <w:b/>
                      <w:color w:val="000000" w:themeColor="text1"/>
                    </w:rPr>
                    <w:t>0</w:t>
                  </w:r>
                </w:p>
              </w:tc>
              <w:tc>
                <w:tcPr>
                  <w:tcW w:w="1312" w:type="dxa"/>
                  <w:vAlign w:val="center"/>
                </w:tcPr>
                <w:p w14:paraId="66A38C7E" w14:textId="707ED750" w:rsidR="00315703" w:rsidRPr="00850D15" w:rsidRDefault="00315703" w:rsidP="00315703">
                  <w:pPr>
                    <w:pStyle w:val="naisf"/>
                    <w:spacing w:before="0" w:beforeAutospacing="0" w:after="0" w:afterAutospacing="0"/>
                    <w:jc w:val="center"/>
                    <w:rPr>
                      <w:b/>
                      <w:color w:val="000000" w:themeColor="text1"/>
                    </w:rPr>
                  </w:pPr>
                  <w:r>
                    <w:rPr>
                      <w:b/>
                      <w:bCs/>
                      <w:color w:val="000000" w:themeColor="text1"/>
                    </w:rPr>
                    <w:t>114 688</w:t>
                  </w:r>
                </w:p>
              </w:tc>
              <w:tc>
                <w:tcPr>
                  <w:tcW w:w="1603" w:type="dxa"/>
                  <w:vAlign w:val="center"/>
                </w:tcPr>
                <w:p w14:paraId="2B519C42" w14:textId="4D1713C5" w:rsidR="00315703" w:rsidRPr="00850D15" w:rsidRDefault="00315703" w:rsidP="00315703">
                  <w:pPr>
                    <w:pStyle w:val="naisf"/>
                    <w:spacing w:before="0" w:beforeAutospacing="0" w:after="0" w:afterAutospacing="0"/>
                    <w:jc w:val="center"/>
                    <w:rPr>
                      <w:b/>
                      <w:color w:val="000000" w:themeColor="text1"/>
                    </w:rPr>
                  </w:pPr>
                  <w:r>
                    <w:rPr>
                      <w:b/>
                      <w:bCs/>
                      <w:color w:val="000000" w:themeColor="text1"/>
                    </w:rPr>
                    <w:t>127 730</w:t>
                  </w:r>
                </w:p>
              </w:tc>
              <w:tc>
                <w:tcPr>
                  <w:tcW w:w="1678" w:type="dxa"/>
                  <w:vAlign w:val="center"/>
                </w:tcPr>
                <w:p w14:paraId="74E46BB0" w14:textId="095E4237" w:rsidR="00315703" w:rsidRPr="00850D15" w:rsidRDefault="00315703" w:rsidP="00315703">
                  <w:pPr>
                    <w:pStyle w:val="naisf"/>
                    <w:spacing w:before="0" w:beforeAutospacing="0" w:after="0" w:afterAutospacing="0"/>
                    <w:jc w:val="center"/>
                    <w:rPr>
                      <w:b/>
                      <w:color w:val="000000" w:themeColor="text1"/>
                    </w:rPr>
                  </w:pPr>
                  <w:r>
                    <w:rPr>
                      <w:b/>
                      <w:bCs/>
                      <w:color w:val="000000" w:themeColor="text1"/>
                    </w:rPr>
                    <w:t>127 730</w:t>
                  </w:r>
                </w:p>
              </w:tc>
            </w:tr>
            <w:tr w:rsidR="00315703" w:rsidRPr="00B328BB" w14:paraId="68301CDF" w14:textId="77777777" w:rsidTr="009D75D4">
              <w:trPr>
                <w:jc w:val="center"/>
              </w:trPr>
              <w:tc>
                <w:tcPr>
                  <w:tcW w:w="2295" w:type="dxa"/>
                </w:tcPr>
                <w:p w14:paraId="0C1A4651"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b/>
                      <w:color w:val="000000" w:themeColor="text1"/>
                      <w:sz w:val="24"/>
                      <w:szCs w:val="24"/>
                      <w:lang w:val="lv-LV"/>
                    </w:rPr>
                    <w:t xml:space="preserve">EKK 2000 </w:t>
                  </w:r>
                  <w:r w:rsidRPr="00B328BB">
                    <w:rPr>
                      <w:rFonts w:ascii="Times New Roman" w:hAnsi="Times New Roman"/>
                      <w:color w:val="000000" w:themeColor="text1"/>
                      <w:sz w:val="24"/>
                      <w:szCs w:val="24"/>
                      <w:lang w:val="lv-LV"/>
                    </w:rPr>
                    <w:t>Preces un pakalpojumi, t.sk:</w:t>
                  </w:r>
                </w:p>
              </w:tc>
              <w:tc>
                <w:tcPr>
                  <w:tcW w:w="1209" w:type="dxa"/>
                  <w:vAlign w:val="center"/>
                </w:tcPr>
                <w:p w14:paraId="670849B2" w14:textId="77777777" w:rsidR="00315703" w:rsidRPr="001861BD" w:rsidRDefault="00315703" w:rsidP="00315703">
                  <w:pPr>
                    <w:pStyle w:val="naisf"/>
                    <w:spacing w:before="0" w:beforeAutospacing="0" w:after="0" w:afterAutospacing="0"/>
                    <w:jc w:val="center"/>
                    <w:rPr>
                      <w:b/>
                      <w:color w:val="000000" w:themeColor="text1"/>
                    </w:rPr>
                  </w:pPr>
                  <w:r w:rsidRPr="001861BD">
                    <w:rPr>
                      <w:b/>
                      <w:color w:val="000000" w:themeColor="text1"/>
                    </w:rPr>
                    <w:t>0</w:t>
                  </w:r>
                </w:p>
              </w:tc>
              <w:tc>
                <w:tcPr>
                  <w:tcW w:w="1216" w:type="dxa"/>
                  <w:vAlign w:val="center"/>
                </w:tcPr>
                <w:p w14:paraId="44001B50" w14:textId="77777777" w:rsidR="00315703" w:rsidRPr="001861BD" w:rsidRDefault="00315703" w:rsidP="00315703">
                  <w:pPr>
                    <w:pStyle w:val="naisf"/>
                    <w:spacing w:before="0" w:beforeAutospacing="0" w:after="0" w:afterAutospacing="0"/>
                    <w:jc w:val="center"/>
                    <w:rPr>
                      <w:b/>
                      <w:color w:val="000000" w:themeColor="text1"/>
                    </w:rPr>
                  </w:pPr>
                  <w:r w:rsidRPr="001861BD">
                    <w:rPr>
                      <w:b/>
                      <w:color w:val="000000" w:themeColor="text1"/>
                    </w:rPr>
                    <w:t>0</w:t>
                  </w:r>
                </w:p>
              </w:tc>
              <w:tc>
                <w:tcPr>
                  <w:tcW w:w="1312" w:type="dxa"/>
                  <w:vAlign w:val="center"/>
                </w:tcPr>
                <w:p w14:paraId="5324AA3F" w14:textId="001EDCB3"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10 806</w:t>
                  </w:r>
                </w:p>
              </w:tc>
              <w:tc>
                <w:tcPr>
                  <w:tcW w:w="1603" w:type="dxa"/>
                  <w:vAlign w:val="center"/>
                </w:tcPr>
                <w:p w14:paraId="40A41917" w14:textId="3B0572A7"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20 003</w:t>
                  </w:r>
                </w:p>
              </w:tc>
              <w:tc>
                <w:tcPr>
                  <w:tcW w:w="1678" w:type="dxa"/>
                  <w:vAlign w:val="center"/>
                </w:tcPr>
                <w:p w14:paraId="726357E7" w14:textId="5B0C5047" w:rsidR="00315703" w:rsidRPr="00B328BB" w:rsidRDefault="00315703" w:rsidP="00315703">
                  <w:pPr>
                    <w:pStyle w:val="naisf"/>
                    <w:spacing w:before="0" w:beforeAutospacing="0" w:after="0" w:afterAutospacing="0"/>
                    <w:jc w:val="center"/>
                    <w:rPr>
                      <w:b/>
                      <w:color w:val="000000" w:themeColor="text1"/>
                    </w:rPr>
                  </w:pPr>
                  <w:r>
                    <w:rPr>
                      <w:b/>
                      <w:bCs/>
                      <w:color w:val="000000" w:themeColor="text1"/>
                    </w:rPr>
                    <w:t>20 003</w:t>
                  </w:r>
                </w:p>
              </w:tc>
            </w:tr>
            <w:tr w:rsidR="00315703" w:rsidRPr="00B328BB" w14:paraId="64EF32E0" w14:textId="77777777" w:rsidTr="009D75D4">
              <w:trPr>
                <w:jc w:val="center"/>
              </w:trPr>
              <w:tc>
                <w:tcPr>
                  <w:tcW w:w="2295" w:type="dxa"/>
                </w:tcPr>
                <w:p w14:paraId="18D07CD8" w14:textId="77777777" w:rsidR="00315703" w:rsidRPr="00B328BB" w:rsidRDefault="00315703" w:rsidP="00315703">
                  <w:pPr>
                    <w:spacing w:after="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EKK 2110 vietējie komandējumi</w:t>
                  </w:r>
                </w:p>
              </w:tc>
              <w:tc>
                <w:tcPr>
                  <w:tcW w:w="1209" w:type="dxa"/>
                  <w:vAlign w:val="center"/>
                </w:tcPr>
                <w:p w14:paraId="1152182E"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1576488C"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p w14:paraId="75C9E04C" w14:textId="77777777" w:rsidR="00315703" w:rsidRPr="001861BD" w:rsidRDefault="00315703" w:rsidP="00315703">
                  <w:pPr>
                    <w:pStyle w:val="naisf"/>
                    <w:spacing w:before="0" w:beforeAutospacing="0" w:after="0" w:afterAutospacing="0"/>
                    <w:rPr>
                      <w:color w:val="000000" w:themeColor="text1"/>
                    </w:rPr>
                  </w:pPr>
                </w:p>
              </w:tc>
              <w:tc>
                <w:tcPr>
                  <w:tcW w:w="1312" w:type="dxa"/>
                  <w:vAlign w:val="center"/>
                </w:tcPr>
                <w:p w14:paraId="5CAEC1B6" w14:textId="02709355" w:rsidR="00315703" w:rsidRPr="00B328BB" w:rsidRDefault="00315703" w:rsidP="00315703">
                  <w:pPr>
                    <w:pStyle w:val="naisf"/>
                    <w:spacing w:before="0" w:beforeAutospacing="0" w:after="0" w:afterAutospacing="0"/>
                    <w:jc w:val="center"/>
                    <w:rPr>
                      <w:color w:val="000000" w:themeColor="text1"/>
                    </w:rPr>
                  </w:pPr>
                  <w:r>
                    <w:rPr>
                      <w:color w:val="000000"/>
                    </w:rPr>
                    <w:t>1 215</w:t>
                  </w:r>
                </w:p>
              </w:tc>
              <w:tc>
                <w:tcPr>
                  <w:tcW w:w="1603" w:type="dxa"/>
                  <w:vAlign w:val="center"/>
                </w:tcPr>
                <w:p w14:paraId="374A57EE" w14:textId="33D0C7B2" w:rsidR="00315703" w:rsidRPr="00B328BB" w:rsidRDefault="00315703" w:rsidP="00315703">
                  <w:pPr>
                    <w:pStyle w:val="naisf"/>
                    <w:spacing w:before="0" w:beforeAutospacing="0" w:after="0" w:afterAutospacing="0"/>
                    <w:jc w:val="center"/>
                    <w:rPr>
                      <w:color w:val="000000" w:themeColor="text1"/>
                    </w:rPr>
                  </w:pPr>
                  <w:r>
                    <w:rPr>
                      <w:color w:val="000000" w:themeColor="text1"/>
                    </w:rPr>
                    <w:t>1 350</w:t>
                  </w:r>
                </w:p>
              </w:tc>
              <w:tc>
                <w:tcPr>
                  <w:tcW w:w="1678" w:type="dxa"/>
                  <w:vAlign w:val="center"/>
                </w:tcPr>
                <w:p w14:paraId="3A1C261E" w14:textId="6B89CAC2" w:rsidR="00315703" w:rsidRPr="00B328BB" w:rsidRDefault="00315703" w:rsidP="00315703">
                  <w:pPr>
                    <w:pStyle w:val="naisf"/>
                    <w:spacing w:before="0" w:beforeAutospacing="0" w:after="0" w:afterAutospacing="0"/>
                    <w:jc w:val="center"/>
                    <w:rPr>
                      <w:color w:val="000000" w:themeColor="text1"/>
                    </w:rPr>
                  </w:pPr>
                  <w:r>
                    <w:rPr>
                      <w:color w:val="000000" w:themeColor="text1"/>
                    </w:rPr>
                    <w:t>1 350</w:t>
                  </w:r>
                </w:p>
              </w:tc>
            </w:tr>
            <w:tr w:rsidR="00315703" w:rsidRPr="00B328BB" w14:paraId="11EE1B75" w14:textId="77777777" w:rsidTr="009D75D4">
              <w:trPr>
                <w:jc w:val="center"/>
              </w:trPr>
              <w:tc>
                <w:tcPr>
                  <w:tcW w:w="2295" w:type="dxa"/>
                </w:tcPr>
                <w:p w14:paraId="477F9D62" w14:textId="77777777" w:rsidR="00315703" w:rsidRPr="00B328BB" w:rsidRDefault="00315703" w:rsidP="00315703">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EKK 2200 Pakalpojumi</w:t>
                  </w:r>
                </w:p>
              </w:tc>
              <w:tc>
                <w:tcPr>
                  <w:tcW w:w="1209" w:type="dxa"/>
                  <w:vAlign w:val="center"/>
                </w:tcPr>
                <w:p w14:paraId="05C5828F"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052E6625"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601143C6" w14:textId="77777777" w:rsidR="00315703" w:rsidRPr="00B328BB" w:rsidRDefault="00315703" w:rsidP="00315703">
                  <w:pPr>
                    <w:pStyle w:val="naisf"/>
                    <w:spacing w:before="0" w:beforeAutospacing="0" w:after="0" w:afterAutospacing="0"/>
                    <w:jc w:val="center"/>
                    <w:rPr>
                      <w:color w:val="000000" w:themeColor="text1"/>
                    </w:rPr>
                  </w:pPr>
                  <w:r>
                    <w:rPr>
                      <w:color w:val="000000" w:themeColor="text1"/>
                    </w:rPr>
                    <w:t>12 223</w:t>
                  </w:r>
                </w:p>
              </w:tc>
              <w:tc>
                <w:tcPr>
                  <w:tcW w:w="1603" w:type="dxa"/>
                  <w:vAlign w:val="center"/>
                </w:tcPr>
                <w:p w14:paraId="1161F4D3" w14:textId="77777777" w:rsidR="00315703" w:rsidRPr="00B328BB" w:rsidRDefault="00315703" w:rsidP="00315703">
                  <w:pPr>
                    <w:pStyle w:val="naisf"/>
                    <w:spacing w:before="0" w:beforeAutospacing="0" w:after="0" w:afterAutospacing="0"/>
                    <w:jc w:val="center"/>
                    <w:rPr>
                      <w:color w:val="000000" w:themeColor="text1"/>
                    </w:rPr>
                  </w:pPr>
                  <w:r>
                    <w:rPr>
                      <w:color w:val="000000" w:themeColor="text1"/>
                    </w:rPr>
                    <w:t>23 855</w:t>
                  </w:r>
                </w:p>
              </w:tc>
              <w:tc>
                <w:tcPr>
                  <w:tcW w:w="1678" w:type="dxa"/>
                  <w:vAlign w:val="center"/>
                </w:tcPr>
                <w:p w14:paraId="75F9F9B9" w14:textId="77777777" w:rsidR="00315703" w:rsidRPr="00B328BB" w:rsidRDefault="00315703" w:rsidP="00315703">
                  <w:pPr>
                    <w:pStyle w:val="naisf"/>
                    <w:spacing w:before="0" w:beforeAutospacing="0" w:after="0" w:afterAutospacing="0"/>
                    <w:jc w:val="center"/>
                    <w:rPr>
                      <w:color w:val="000000" w:themeColor="text1"/>
                    </w:rPr>
                  </w:pPr>
                  <w:r>
                    <w:rPr>
                      <w:color w:val="000000" w:themeColor="text1"/>
                    </w:rPr>
                    <w:t>33 764</w:t>
                  </w:r>
                </w:p>
              </w:tc>
            </w:tr>
            <w:tr w:rsidR="00315703" w:rsidRPr="00B328BB" w14:paraId="308BBC8B" w14:textId="77777777" w:rsidTr="009D75D4">
              <w:trPr>
                <w:jc w:val="center"/>
              </w:trPr>
              <w:tc>
                <w:tcPr>
                  <w:tcW w:w="2295" w:type="dxa"/>
                </w:tcPr>
                <w:p w14:paraId="76A004AF" w14:textId="77777777" w:rsidR="00315703" w:rsidRPr="00B328BB" w:rsidRDefault="00315703" w:rsidP="00315703">
                  <w:pPr>
                    <w:spacing w:after="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EKK 2219 pasts, internets, telefons</w:t>
                  </w:r>
                </w:p>
              </w:tc>
              <w:tc>
                <w:tcPr>
                  <w:tcW w:w="1209" w:type="dxa"/>
                  <w:vAlign w:val="center"/>
                </w:tcPr>
                <w:p w14:paraId="73E09BB7"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0AC2BC49"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6BBDF949" w14:textId="2034762E" w:rsidR="00315703" w:rsidRPr="00B328BB" w:rsidRDefault="00315703" w:rsidP="00315703">
                  <w:pPr>
                    <w:pStyle w:val="naisf"/>
                    <w:spacing w:before="0" w:beforeAutospacing="0" w:after="0" w:afterAutospacing="0"/>
                    <w:jc w:val="center"/>
                    <w:rPr>
                      <w:color w:val="000000" w:themeColor="text1"/>
                    </w:rPr>
                  </w:pPr>
                  <w:r>
                    <w:rPr>
                      <w:color w:val="000000" w:themeColor="text1"/>
                    </w:rPr>
                    <w:t>8 920</w:t>
                  </w:r>
                </w:p>
              </w:tc>
              <w:tc>
                <w:tcPr>
                  <w:tcW w:w="1603" w:type="dxa"/>
                  <w:vAlign w:val="center"/>
                </w:tcPr>
                <w:p w14:paraId="72114B45" w14:textId="17A68660" w:rsidR="00315703" w:rsidRPr="00B328BB" w:rsidRDefault="00315703" w:rsidP="00315703">
                  <w:pPr>
                    <w:pStyle w:val="naisf"/>
                    <w:spacing w:before="0" w:beforeAutospacing="0" w:after="0" w:afterAutospacing="0"/>
                    <w:jc w:val="center"/>
                    <w:rPr>
                      <w:color w:val="000000" w:themeColor="text1"/>
                    </w:rPr>
                  </w:pPr>
                  <w:r>
                    <w:rPr>
                      <w:color w:val="000000" w:themeColor="text1"/>
                    </w:rPr>
                    <w:t>17 908</w:t>
                  </w:r>
                </w:p>
              </w:tc>
              <w:tc>
                <w:tcPr>
                  <w:tcW w:w="1678" w:type="dxa"/>
                  <w:vAlign w:val="center"/>
                </w:tcPr>
                <w:p w14:paraId="1C8189AF" w14:textId="6A7DC52C" w:rsidR="00315703" w:rsidRPr="00B328BB" w:rsidRDefault="00315703" w:rsidP="00315703">
                  <w:pPr>
                    <w:pStyle w:val="naisf"/>
                    <w:spacing w:before="0" w:beforeAutospacing="0" w:after="0" w:afterAutospacing="0"/>
                    <w:jc w:val="center"/>
                    <w:rPr>
                      <w:color w:val="000000" w:themeColor="text1"/>
                    </w:rPr>
                  </w:pPr>
                  <w:r>
                    <w:rPr>
                      <w:color w:val="000000" w:themeColor="text1"/>
                    </w:rPr>
                    <w:t>17 908</w:t>
                  </w:r>
                </w:p>
              </w:tc>
            </w:tr>
            <w:tr w:rsidR="00315703" w:rsidRPr="00B328BB" w14:paraId="23578448" w14:textId="77777777" w:rsidTr="009D75D4">
              <w:trPr>
                <w:jc w:val="center"/>
              </w:trPr>
              <w:tc>
                <w:tcPr>
                  <w:tcW w:w="2295" w:type="dxa"/>
                </w:tcPr>
                <w:p w14:paraId="7BCCDC49" w14:textId="77777777" w:rsidR="00315703" w:rsidRPr="00B328BB" w:rsidRDefault="00315703" w:rsidP="00315703">
                  <w:pPr>
                    <w:spacing w:after="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EKK 2223 elektrība</w:t>
                  </w:r>
                </w:p>
              </w:tc>
              <w:tc>
                <w:tcPr>
                  <w:tcW w:w="1209" w:type="dxa"/>
                  <w:vAlign w:val="center"/>
                </w:tcPr>
                <w:p w14:paraId="7D2BDAC5"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1674BA52"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171C8DEB" w14:textId="760220F1" w:rsidR="00315703" w:rsidRPr="00B328BB" w:rsidRDefault="00315703" w:rsidP="00315703">
                  <w:pPr>
                    <w:pStyle w:val="naisf"/>
                    <w:spacing w:before="0" w:beforeAutospacing="0" w:after="0" w:afterAutospacing="0"/>
                    <w:jc w:val="center"/>
                    <w:rPr>
                      <w:color w:val="000000" w:themeColor="text1"/>
                    </w:rPr>
                  </w:pPr>
                  <w:r>
                    <w:rPr>
                      <w:color w:val="000000"/>
                    </w:rPr>
                    <w:t>540</w:t>
                  </w:r>
                </w:p>
              </w:tc>
              <w:tc>
                <w:tcPr>
                  <w:tcW w:w="1603" w:type="dxa"/>
                  <w:vAlign w:val="center"/>
                </w:tcPr>
                <w:p w14:paraId="3D7D37B4" w14:textId="4AB6B656" w:rsidR="00315703" w:rsidRPr="00B328BB" w:rsidRDefault="00315703" w:rsidP="00315703">
                  <w:pPr>
                    <w:pStyle w:val="naisf"/>
                    <w:spacing w:before="0" w:beforeAutospacing="0" w:after="0" w:afterAutospacing="0"/>
                    <w:jc w:val="center"/>
                    <w:rPr>
                      <w:color w:val="000000" w:themeColor="text1"/>
                    </w:rPr>
                  </w:pPr>
                  <w:r>
                    <w:rPr>
                      <w:color w:val="000000"/>
                    </w:rPr>
                    <w:t>600</w:t>
                  </w:r>
                </w:p>
              </w:tc>
              <w:tc>
                <w:tcPr>
                  <w:tcW w:w="1678" w:type="dxa"/>
                  <w:vAlign w:val="center"/>
                </w:tcPr>
                <w:p w14:paraId="07CECB3C" w14:textId="5E7DD396" w:rsidR="00315703" w:rsidRPr="00B328BB" w:rsidRDefault="00315703" w:rsidP="00315703">
                  <w:pPr>
                    <w:pStyle w:val="naisf"/>
                    <w:spacing w:before="0" w:beforeAutospacing="0" w:after="0" w:afterAutospacing="0"/>
                    <w:jc w:val="center"/>
                    <w:rPr>
                      <w:color w:val="000000" w:themeColor="text1"/>
                    </w:rPr>
                  </w:pPr>
                  <w:r>
                    <w:rPr>
                      <w:color w:val="000000"/>
                    </w:rPr>
                    <w:t>600</w:t>
                  </w:r>
                </w:p>
              </w:tc>
            </w:tr>
            <w:tr w:rsidR="00315703" w:rsidRPr="00B328BB" w14:paraId="5E1B579D" w14:textId="77777777" w:rsidTr="009D75D4">
              <w:trPr>
                <w:jc w:val="center"/>
              </w:trPr>
              <w:tc>
                <w:tcPr>
                  <w:tcW w:w="2295" w:type="dxa"/>
                </w:tcPr>
                <w:p w14:paraId="6F7A7C92" w14:textId="77777777" w:rsidR="00315703" w:rsidRPr="00B328BB" w:rsidRDefault="00315703" w:rsidP="00315703">
                  <w:pPr>
                    <w:spacing w:after="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EKK 2229 komunālie pakalpojumi</w:t>
                  </w:r>
                </w:p>
              </w:tc>
              <w:tc>
                <w:tcPr>
                  <w:tcW w:w="1209" w:type="dxa"/>
                  <w:vAlign w:val="center"/>
                </w:tcPr>
                <w:p w14:paraId="4909D2A4"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18E2C31C"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4E63C15E" w14:textId="1C2B133C" w:rsidR="00315703" w:rsidRPr="00B328BB" w:rsidRDefault="00315703" w:rsidP="00315703">
                  <w:pPr>
                    <w:pStyle w:val="naisf"/>
                    <w:spacing w:before="0" w:beforeAutospacing="0" w:after="0" w:afterAutospacing="0"/>
                    <w:jc w:val="center"/>
                    <w:rPr>
                      <w:color w:val="000000" w:themeColor="text1"/>
                    </w:rPr>
                  </w:pPr>
                  <w:r>
                    <w:rPr>
                      <w:color w:val="000000"/>
                    </w:rPr>
                    <w:t>1 143</w:t>
                  </w:r>
                </w:p>
              </w:tc>
              <w:tc>
                <w:tcPr>
                  <w:tcW w:w="1603" w:type="dxa"/>
                  <w:vAlign w:val="center"/>
                </w:tcPr>
                <w:p w14:paraId="63FE15D4" w14:textId="464A96BC" w:rsidR="00315703" w:rsidRPr="00B328BB" w:rsidRDefault="00315703" w:rsidP="00315703">
                  <w:pPr>
                    <w:pStyle w:val="naisf"/>
                    <w:spacing w:before="0" w:beforeAutospacing="0" w:after="0" w:afterAutospacing="0"/>
                    <w:jc w:val="center"/>
                    <w:rPr>
                      <w:color w:val="000000" w:themeColor="text1"/>
                    </w:rPr>
                  </w:pPr>
                  <w:r>
                    <w:rPr>
                      <w:color w:val="000000"/>
                    </w:rPr>
                    <w:t>1 270</w:t>
                  </w:r>
                </w:p>
              </w:tc>
              <w:tc>
                <w:tcPr>
                  <w:tcW w:w="1678" w:type="dxa"/>
                  <w:vAlign w:val="center"/>
                </w:tcPr>
                <w:p w14:paraId="25984853" w14:textId="36857CF2" w:rsidR="00315703" w:rsidRPr="00B328BB" w:rsidRDefault="00315703" w:rsidP="00315703">
                  <w:pPr>
                    <w:pStyle w:val="naisf"/>
                    <w:spacing w:before="0" w:beforeAutospacing="0" w:after="0" w:afterAutospacing="0"/>
                    <w:jc w:val="center"/>
                    <w:rPr>
                      <w:color w:val="000000" w:themeColor="text1"/>
                    </w:rPr>
                  </w:pPr>
                  <w:r>
                    <w:rPr>
                      <w:color w:val="000000"/>
                    </w:rPr>
                    <w:t>1 270</w:t>
                  </w:r>
                </w:p>
              </w:tc>
            </w:tr>
            <w:tr w:rsidR="00315703" w:rsidRPr="00B328BB" w14:paraId="70196E11" w14:textId="77777777" w:rsidTr="009D75D4">
              <w:trPr>
                <w:jc w:val="center"/>
              </w:trPr>
              <w:tc>
                <w:tcPr>
                  <w:tcW w:w="2295" w:type="dxa"/>
                </w:tcPr>
                <w:p w14:paraId="59FD1C77" w14:textId="77777777" w:rsidR="00315703" w:rsidRPr="00B328BB" w:rsidRDefault="00315703" w:rsidP="00315703">
                  <w:pPr>
                    <w:spacing w:after="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EKK 2230 administratīvie izdevumi</w:t>
                  </w:r>
                </w:p>
              </w:tc>
              <w:tc>
                <w:tcPr>
                  <w:tcW w:w="1209" w:type="dxa"/>
                  <w:vAlign w:val="center"/>
                </w:tcPr>
                <w:p w14:paraId="5E39F9CA"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71309E2F"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71316F2D" w14:textId="3A1710CD" w:rsidR="00315703" w:rsidRPr="00B328BB" w:rsidRDefault="00315703" w:rsidP="00315703">
                  <w:pPr>
                    <w:pStyle w:val="naisf"/>
                    <w:spacing w:before="0" w:beforeAutospacing="0" w:after="0" w:afterAutospacing="0"/>
                    <w:jc w:val="center"/>
                    <w:rPr>
                      <w:color w:val="000000" w:themeColor="text1"/>
                    </w:rPr>
                  </w:pPr>
                  <w:r>
                    <w:rPr>
                      <w:color w:val="000000"/>
                    </w:rPr>
                    <w:t>1 427</w:t>
                  </w:r>
                </w:p>
              </w:tc>
              <w:tc>
                <w:tcPr>
                  <w:tcW w:w="1603" w:type="dxa"/>
                  <w:vAlign w:val="center"/>
                </w:tcPr>
                <w:p w14:paraId="1083062A" w14:textId="21EC6DDA" w:rsidR="00315703" w:rsidRPr="00B328BB" w:rsidRDefault="00315703" w:rsidP="00315703">
                  <w:pPr>
                    <w:pStyle w:val="naisf"/>
                    <w:spacing w:before="0" w:beforeAutospacing="0" w:after="0" w:afterAutospacing="0"/>
                    <w:jc w:val="center"/>
                    <w:rPr>
                      <w:color w:val="000000" w:themeColor="text1"/>
                    </w:rPr>
                  </w:pPr>
                  <w:r>
                    <w:rPr>
                      <w:color w:val="000000"/>
                    </w:rPr>
                    <w:t>1 585</w:t>
                  </w:r>
                </w:p>
              </w:tc>
              <w:tc>
                <w:tcPr>
                  <w:tcW w:w="1678" w:type="dxa"/>
                  <w:vAlign w:val="center"/>
                </w:tcPr>
                <w:p w14:paraId="0D9033A1" w14:textId="063F14D2" w:rsidR="00315703" w:rsidRPr="00B328BB" w:rsidRDefault="00315703" w:rsidP="00315703">
                  <w:pPr>
                    <w:pStyle w:val="naisf"/>
                    <w:spacing w:before="0" w:beforeAutospacing="0" w:after="0" w:afterAutospacing="0"/>
                    <w:jc w:val="center"/>
                    <w:rPr>
                      <w:color w:val="000000" w:themeColor="text1"/>
                    </w:rPr>
                  </w:pPr>
                  <w:r>
                    <w:rPr>
                      <w:color w:val="000000"/>
                    </w:rPr>
                    <w:t>1 585</w:t>
                  </w:r>
                </w:p>
              </w:tc>
            </w:tr>
            <w:tr w:rsidR="00315703" w:rsidRPr="00B328BB" w14:paraId="769A5F0A" w14:textId="77777777" w:rsidTr="009D75D4">
              <w:trPr>
                <w:jc w:val="center"/>
              </w:trPr>
              <w:tc>
                <w:tcPr>
                  <w:tcW w:w="2295" w:type="dxa"/>
                </w:tcPr>
                <w:p w14:paraId="1AA0866D" w14:textId="77777777" w:rsidR="00315703" w:rsidRPr="00B328BB" w:rsidRDefault="00315703" w:rsidP="00315703">
                  <w:pPr>
                    <w:spacing w:after="0" w:line="240"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EKK 2240 tehnikas remonts, telpu uzturēšana</w:t>
                  </w:r>
                </w:p>
              </w:tc>
              <w:tc>
                <w:tcPr>
                  <w:tcW w:w="1209" w:type="dxa"/>
                  <w:vAlign w:val="center"/>
                </w:tcPr>
                <w:p w14:paraId="1B51CE01"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216" w:type="dxa"/>
                  <w:vAlign w:val="center"/>
                </w:tcPr>
                <w:p w14:paraId="2C58BE01" w14:textId="77777777" w:rsidR="00315703" w:rsidRPr="001861BD" w:rsidRDefault="00315703" w:rsidP="00315703">
                  <w:pPr>
                    <w:pStyle w:val="naisf"/>
                    <w:spacing w:before="0" w:beforeAutospacing="0" w:after="0" w:afterAutospacing="0"/>
                    <w:jc w:val="center"/>
                    <w:rPr>
                      <w:color w:val="000000" w:themeColor="text1"/>
                    </w:rPr>
                  </w:pPr>
                  <w:r w:rsidRPr="001861BD">
                    <w:rPr>
                      <w:color w:val="000000" w:themeColor="text1"/>
                    </w:rPr>
                    <w:t>0</w:t>
                  </w:r>
                </w:p>
              </w:tc>
              <w:tc>
                <w:tcPr>
                  <w:tcW w:w="1312" w:type="dxa"/>
                  <w:vAlign w:val="center"/>
                </w:tcPr>
                <w:p w14:paraId="637DE455" w14:textId="3D0E80D9" w:rsidR="00315703" w:rsidRPr="00B328BB" w:rsidRDefault="00315703" w:rsidP="00315703">
                  <w:pPr>
                    <w:pStyle w:val="naisf"/>
                    <w:spacing w:before="0" w:beforeAutospacing="0" w:after="0" w:afterAutospacing="0"/>
                    <w:jc w:val="center"/>
                    <w:rPr>
                      <w:color w:val="000000" w:themeColor="text1"/>
                    </w:rPr>
                  </w:pPr>
                  <w:r>
                    <w:rPr>
                      <w:color w:val="000000"/>
                    </w:rPr>
                    <w:t>405</w:t>
                  </w:r>
                </w:p>
              </w:tc>
              <w:tc>
                <w:tcPr>
                  <w:tcW w:w="1603" w:type="dxa"/>
                  <w:vAlign w:val="center"/>
                </w:tcPr>
                <w:p w14:paraId="6FAD8504" w14:textId="7071E663" w:rsidR="00315703" w:rsidRPr="00B328BB" w:rsidRDefault="00315703" w:rsidP="00315703">
                  <w:pPr>
                    <w:pStyle w:val="naisf"/>
                    <w:spacing w:before="0" w:beforeAutospacing="0" w:after="0" w:afterAutospacing="0"/>
                    <w:jc w:val="center"/>
                    <w:rPr>
                      <w:color w:val="000000" w:themeColor="text1"/>
                    </w:rPr>
                  </w:pPr>
                  <w:r>
                    <w:rPr>
                      <w:color w:val="000000"/>
                    </w:rPr>
                    <w:t>450</w:t>
                  </w:r>
                </w:p>
              </w:tc>
              <w:tc>
                <w:tcPr>
                  <w:tcW w:w="1678" w:type="dxa"/>
                  <w:vAlign w:val="center"/>
                </w:tcPr>
                <w:p w14:paraId="6ED4D91F" w14:textId="5CA050D6" w:rsidR="00315703" w:rsidRPr="00B328BB" w:rsidRDefault="00315703" w:rsidP="00315703">
                  <w:pPr>
                    <w:pStyle w:val="naisf"/>
                    <w:spacing w:before="0" w:beforeAutospacing="0" w:after="0" w:afterAutospacing="0"/>
                    <w:jc w:val="center"/>
                    <w:rPr>
                      <w:color w:val="000000" w:themeColor="text1"/>
                    </w:rPr>
                  </w:pPr>
                  <w:r>
                    <w:rPr>
                      <w:color w:val="000000"/>
                    </w:rPr>
                    <w:t>450</w:t>
                  </w:r>
                </w:p>
              </w:tc>
            </w:tr>
            <w:tr w:rsidR="00F83BCF" w:rsidRPr="00B328BB" w14:paraId="7DF8BB5F" w14:textId="77777777" w:rsidTr="009D75D4">
              <w:trPr>
                <w:jc w:val="center"/>
              </w:trPr>
              <w:tc>
                <w:tcPr>
                  <w:tcW w:w="2295" w:type="dxa"/>
                </w:tcPr>
                <w:p w14:paraId="1B3CE850"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EKK 2250 Informācijas tehnoloģijas pakalpojumi</w:t>
                  </w:r>
                </w:p>
              </w:tc>
              <w:tc>
                <w:tcPr>
                  <w:tcW w:w="1209" w:type="dxa"/>
                  <w:vAlign w:val="center"/>
                </w:tcPr>
                <w:p w14:paraId="0AA90B46"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14:paraId="1222377A" w14:textId="77777777" w:rsidR="00F83BCF" w:rsidRPr="00B328BB" w:rsidRDefault="00F83BCF" w:rsidP="00F83BCF">
                  <w:pPr>
                    <w:pStyle w:val="naisf"/>
                    <w:spacing w:before="0" w:beforeAutospacing="0" w:after="0" w:afterAutospacing="0"/>
                    <w:jc w:val="center"/>
                    <w:rPr>
                      <w:color w:val="000000" w:themeColor="text1"/>
                    </w:rPr>
                  </w:pPr>
                  <w:r>
                    <w:rPr>
                      <w:color w:val="000000" w:themeColor="text1"/>
                    </w:rPr>
                    <w:t>0</w:t>
                  </w:r>
                </w:p>
              </w:tc>
              <w:tc>
                <w:tcPr>
                  <w:tcW w:w="1312" w:type="dxa"/>
                  <w:vAlign w:val="center"/>
                </w:tcPr>
                <w:p w14:paraId="45B6FBE4" w14:textId="77777777" w:rsidR="00F83BCF" w:rsidRPr="00B328BB" w:rsidRDefault="00F83BCF" w:rsidP="00F83BCF">
                  <w:pPr>
                    <w:pStyle w:val="naisf"/>
                    <w:spacing w:before="0" w:beforeAutospacing="0" w:after="0" w:afterAutospacing="0"/>
                    <w:jc w:val="center"/>
                    <w:rPr>
                      <w:color w:val="000000" w:themeColor="text1"/>
                    </w:rPr>
                  </w:pPr>
                  <w:r>
                    <w:rPr>
                      <w:color w:val="000000" w:themeColor="text1"/>
                    </w:rPr>
                    <w:t>0</w:t>
                  </w:r>
                </w:p>
              </w:tc>
              <w:tc>
                <w:tcPr>
                  <w:tcW w:w="1603" w:type="dxa"/>
                  <w:vAlign w:val="center"/>
                </w:tcPr>
                <w:p w14:paraId="17EA38FD"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7 998</w:t>
                  </w:r>
                </w:p>
              </w:tc>
              <w:tc>
                <w:tcPr>
                  <w:tcW w:w="1678" w:type="dxa"/>
                  <w:vAlign w:val="center"/>
                </w:tcPr>
                <w:p w14:paraId="0F990F9D"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7 998</w:t>
                  </w:r>
                </w:p>
              </w:tc>
            </w:tr>
            <w:tr w:rsidR="00315703" w:rsidRPr="00B328BB" w14:paraId="301C0FD5" w14:textId="77777777" w:rsidTr="009D75D4">
              <w:trPr>
                <w:jc w:val="center"/>
              </w:trPr>
              <w:tc>
                <w:tcPr>
                  <w:tcW w:w="2295" w:type="dxa"/>
                </w:tcPr>
                <w:p w14:paraId="4A391456" w14:textId="77777777" w:rsidR="00315703" w:rsidRPr="003346E7" w:rsidRDefault="00315703" w:rsidP="00315703">
                  <w:pPr>
                    <w:spacing w:after="0" w:line="240" w:lineRule="auto"/>
                    <w:rPr>
                      <w:rFonts w:ascii="Times New Roman" w:hAnsi="Times New Roman"/>
                      <w:color w:val="000000" w:themeColor="text1"/>
                      <w:sz w:val="24"/>
                      <w:szCs w:val="24"/>
                      <w:lang w:val="lv-LV"/>
                    </w:rPr>
                  </w:pPr>
                  <w:r w:rsidRPr="003346E7">
                    <w:rPr>
                      <w:rFonts w:ascii="Times New Roman" w:hAnsi="Times New Roman"/>
                      <w:color w:val="000000" w:themeColor="text1"/>
                      <w:sz w:val="24"/>
                      <w:szCs w:val="24"/>
                      <w:lang w:val="lv-LV"/>
                    </w:rPr>
                    <w:t>EKK 2260 telpu īre</w:t>
                  </w:r>
                </w:p>
              </w:tc>
              <w:tc>
                <w:tcPr>
                  <w:tcW w:w="1209" w:type="dxa"/>
                  <w:vAlign w:val="center"/>
                </w:tcPr>
                <w:p w14:paraId="0ACE0595" w14:textId="77777777" w:rsidR="00315703" w:rsidRPr="003346E7" w:rsidRDefault="00315703" w:rsidP="00315703">
                  <w:pPr>
                    <w:pStyle w:val="naisf"/>
                    <w:spacing w:before="0" w:beforeAutospacing="0" w:after="0" w:afterAutospacing="0"/>
                    <w:jc w:val="center"/>
                    <w:rPr>
                      <w:color w:val="000000" w:themeColor="text1"/>
                    </w:rPr>
                  </w:pPr>
                  <w:r w:rsidRPr="003346E7">
                    <w:rPr>
                      <w:color w:val="000000" w:themeColor="text1"/>
                    </w:rPr>
                    <w:t>0</w:t>
                  </w:r>
                </w:p>
              </w:tc>
              <w:tc>
                <w:tcPr>
                  <w:tcW w:w="1216" w:type="dxa"/>
                  <w:vAlign w:val="center"/>
                </w:tcPr>
                <w:p w14:paraId="1CB8CC8B" w14:textId="77777777" w:rsidR="00315703" w:rsidRPr="003346E7" w:rsidRDefault="00315703" w:rsidP="00315703">
                  <w:pPr>
                    <w:pStyle w:val="naisf"/>
                    <w:spacing w:before="0" w:beforeAutospacing="0" w:after="0" w:afterAutospacing="0"/>
                    <w:jc w:val="center"/>
                    <w:rPr>
                      <w:color w:val="000000" w:themeColor="text1"/>
                    </w:rPr>
                  </w:pPr>
                  <w:r>
                    <w:rPr>
                      <w:color w:val="000000" w:themeColor="text1"/>
                    </w:rPr>
                    <w:t>0</w:t>
                  </w:r>
                </w:p>
              </w:tc>
              <w:tc>
                <w:tcPr>
                  <w:tcW w:w="1312" w:type="dxa"/>
                  <w:vAlign w:val="center"/>
                </w:tcPr>
                <w:p w14:paraId="788BB8CC" w14:textId="69D819B7" w:rsidR="00315703" w:rsidRPr="003346E7" w:rsidRDefault="00315703" w:rsidP="00315703">
                  <w:pPr>
                    <w:pStyle w:val="naisf"/>
                    <w:spacing w:before="0" w:beforeAutospacing="0" w:after="0" w:afterAutospacing="0"/>
                    <w:jc w:val="center"/>
                    <w:rPr>
                      <w:color w:val="000000" w:themeColor="text1"/>
                    </w:rPr>
                  </w:pPr>
                  <w:r>
                    <w:rPr>
                      <w:color w:val="000000"/>
                    </w:rPr>
                    <w:t>3 474</w:t>
                  </w:r>
                </w:p>
              </w:tc>
              <w:tc>
                <w:tcPr>
                  <w:tcW w:w="1603" w:type="dxa"/>
                  <w:vAlign w:val="center"/>
                </w:tcPr>
                <w:p w14:paraId="233D752E" w14:textId="225F5E05" w:rsidR="00315703" w:rsidRPr="003346E7" w:rsidRDefault="00315703" w:rsidP="00315703">
                  <w:pPr>
                    <w:pStyle w:val="naisf"/>
                    <w:spacing w:before="0" w:beforeAutospacing="0" w:after="0" w:afterAutospacing="0"/>
                    <w:jc w:val="center"/>
                    <w:rPr>
                      <w:color w:val="000000" w:themeColor="text1"/>
                    </w:rPr>
                  </w:pPr>
                  <w:r>
                    <w:rPr>
                      <w:color w:val="000000"/>
                    </w:rPr>
                    <w:t>3 860</w:t>
                  </w:r>
                </w:p>
              </w:tc>
              <w:tc>
                <w:tcPr>
                  <w:tcW w:w="1678" w:type="dxa"/>
                  <w:vAlign w:val="center"/>
                </w:tcPr>
                <w:p w14:paraId="07C51DFC" w14:textId="14B35B81" w:rsidR="00315703" w:rsidRPr="003346E7" w:rsidRDefault="00315703" w:rsidP="00315703">
                  <w:pPr>
                    <w:pStyle w:val="naisf"/>
                    <w:spacing w:before="0" w:beforeAutospacing="0" w:after="0" w:afterAutospacing="0"/>
                    <w:jc w:val="center"/>
                    <w:rPr>
                      <w:color w:val="000000" w:themeColor="text1"/>
                    </w:rPr>
                  </w:pPr>
                  <w:r>
                    <w:rPr>
                      <w:color w:val="000000"/>
                    </w:rPr>
                    <w:t>3 860</w:t>
                  </w:r>
                </w:p>
              </w:tc>
            </w:tr>
            <w:tr w:rsidR="00315703" w:rsidRPr="00B328BB" w14:paraId="47298EAC" w14:textId="77777777" w:rsidTr="009D75D4">
              <w:trPr>
                <w:jc w:val="center"/>
              </w:trPr>
              <w:tc>
                <w:tcPr>
                  <w:tcW w:w="2295" w:type="dxa"/>
                </w:tcPr>
                <w:p w14:paraId="3F983C90" w14:textId="77777777" w:rsidR="00315703" w:rsidRPr="003346E7" w:rsidRDefault="00315703" w:rsidP="00315703">
                  <w:pPr>
                    <w:spacing w:after="0" w:line="240" w:lineRule="auto"/>
                    <w:rPr>
                      <w:rFonts w:ascii="Times New Roman" w:hAnsi="Times New Roman"/>
                      <w:color w:val="000000" w:themeColor="text1"/>
                      <w:sz w:val="24"/>
                      <w:szCs w:val="24"/>
                      <w:lang w:val="lv-LV"/>
                    </w:rPr>
                  </w:pPr>
                  <w:r w:rsidRPr="003346E7">
                    <w:rPr>
                      <w:rFonts w:ascii="Times New Roman" w:hAnsi="Times New Roman"/>
                      <w:color w:val="000000" w:themeColor="text1"/>
                      <w:sz w:val="24"/>
                      <w:szCs w:val="24"/>
                      <w:lang w:val="lv-LV"/>
                    </w:rPr>
                    <w:t>EKK 2310 biroja preces un inventārs</w:t>
                  </w:r>
                </w:p>
              </w:tc>
              <w:tc>
                <w:tcPr>
                  <w:tcW w:w="1209" w:type="dxa"/>
                  <w:vAlign w:val="center"/>
                </w:tcPr>
                <w:p w14:paraId="4E584684" w14:textId="77777777" w:rsidR="00315703" w:rsidRPr="003346E7" w:rsidRDefault="00315703" w:rsidP="00315703">
                  <w:pPr>
                    <w:pStyle w:val="naisf"/>
                    <w:spacing w:before="0" w:beforeAutospacing="0" w:after="0" w:afterAutospacing="0"/>
                    <w:jc w:val="center"/>
                    <w:rPr>
                      <w:color w:val="000000" w:themeColor="text1"/>
                    </w:rPr>
                  </w:pPr>
                  <w:r w:rsidRPr="003346E7">
                    <w:rPr>
                      <w:color w:val="000000" w:themeColor="text1"/>
                    </w:rPr>
                    <w:t>0</w:t>
                  </w:r>
                </w:p>
              </w:tc>
              <w:tc>
                <w:tcPr>
                  <w:tcW w:w="1216" w:type="dxa"/>
                  <w:vAlign w:val="center"/>
                </w:tcPr>
                <w:p w14:paraId="2B960681" w14:textId="77777777" w:rsidR="00315703" w:rsidRPr="003346E7" w:rsidRDefault="00315703" w:rsidP="00315703">
                  <w:pPr>
                    <w:pStyle w:val="naisf"/>
                    <w:spacing w:before="0" w:beforeAutospacing="0" w:after="0" w:afterAutospacing="0"/>
                    <w:jc w:val="center"/>
                    <w:rPr>
                      <w:color w:val="000000" w:themeColor="text1"/>
                    </w:rPr>
                  </w:pPr>
                  <w:r>
                    <w:rPr>
                      <w:color w:val="000000" w:themeColor="text1"/>
                    </w:rPr>
                    <w:t>0</w:t>
                  </w:r>
                </w:p>
              </w:tc>
              <w:tc>
                <w:tcPr>
                  <w:tcW w:w="1312" w:type="dxa"/>
                  <w:vAlign w:val="center"/>
                </w:tcPr>
                <w:p w14:paraId="35844075" w14:textId="3FCA23ED" w:rsidR="00315703" w:rsidRPr="003346E7" w:rsidRDefault="00315703" w:rsidP="00315703">
                  <w:pPr>
                    <w:pStyle w:val="naisf"/>
                    <w:spacing w:before="0" w:beforeAutospacing="0" w:after="0" w:afterAutospacing="0"/>
                    <w:jc w:val="center"/>
                    <w:rPr>
                      <w:color w:val="000000" w:themeColor="text1"/>
                    </w:rPr>
                  </w:pPr>
                  <w:r>
                    <w:rPr>
                      <w:color w:val="000000"/>
                    </w:rPr>
                    <w:t>671</w:t>
                  </w:r>
                </w:p>
              </w:tc>
              <w:tc>
                <w:tcPr>
                  <w:tcW w:w="1603" w:type="dxa"/>
                  <w:vAlign w:val="center"/>
                </w:tcPr>
                <w:p w14:paraId="2DA987D2" w14:textId="48D1208D" w:rsidR="00315703" w:rsidRPr="003346E7" w:rsidRDefault="00315703" w:rsidP="00315703">
                  <w:pPr>
                    <w:pStyle w:val="naisf"/>
                    <w:spacing w:before="0" w:beforeAutospacing="0" w:after="0" w:afterAutospacing="0"/>
                    <w:jc w:val="center"/>
                    <w:rPr>
                      <w:color w:val="000000" w:themeColor="text1"/>
                    </w:rPr>
                  </w:pPr>
                  <w:r>
                    <w:rPr>
                      <w:color w:val="000000"/>
                    </w:rPr>
                    <w:t>745</w:t>
                  </w:r>
                </w:p>
              </w:tc>
              <w:tc>
                <w:tcPr>
                  <w:tcW w:w="1678" w:type="dxa"/>
                  <w:vAlign w:val="center"/>
                </w:tcPr>
                <w:p w14:paraId="5BCC496C" w14:textId="1BA2B3B8" w:rsidR="00315703" w:rsidRPr="003346E7" w:rsidRDefault="00315703" w:rsidP="00315703">
                  <w:pPr>
                    <w:pStyle w:val="naisf"/>
                    <w:spacing w:before="0" w:beforeAutospacing="0" w:after="0" w:afterAutospacing="0"/>
                    <w:jc w:val="center"/>
                    <w:rPr>
                      <w:color w:val="000000" w:themeColor="text1"/>
                    </w:rPr>
                  </w:pPr>
                  <w:r>
                    <w:rPr>
                      <w:color w:val="000000"/>
                    </w:rPr>
                    <w:t>745</w:t>
                  </w:r>
                </w:p>
              </w:tc>
            </w:tr>
            <w:tr w:rsidR="00F83BCF" w:rsidRPr="00B328BB" w14:paraId="702E1959" w14:textId="77777777" w:rsidTr="009D75D4">
              <w:trPr>
                <w:jc w:val="center"/>
              </w:trPr>
              <w:tc>
                <w:tcPr>
                  <w:tcW w:w="2295" w:type="dxa"/>
                </w:tcPr>
                <w:p w14:paraId="20533F8B" w14:textId="77777777" w:rsidR="00F83BCF" w:rsidRPr="00B328BB" w:rsidRDefault="00F83BCF" w:rsidP="00F83BCF">
                  <w:pPr>
                    <w:spacing w:after="0" w:line="240" w:lineRule="auto"/>
                    <w:rPr>
                      <w:rFonts w:ascii="Times New Roman" w:hAnsi="Times New Roman"/>
                      <w:color w:val="000000" w:themeColor="text1"/>
                      <w:sz w:val="24"/>
                      <w:szCs w:val="24"/>
                      <w:lang w:val="lv-LV"/>
                    </w:rPr>
                  </w:pPr>
                  <w:r w:rsidRPr="00B328BB">
                    <w:rPr>
                      <w:rFonts w:ascii="Times New Roman" w:hAnsi="Times New Roman"/>
                      <w:b/>
                      <w:color w:val="000000" w:themeColor="text1"/>
                      <w:sz w:val="24"/>
                      <w:szCs w:val="24"/>
                      <w:lang w:val="lv-LV"/>
                    </w:rPr>
                    <w:t xml:space="preserve">EKK 5000 </w:t>
                  </w:r>
                  <w:r w:rsidRPr="00B328BB">
                    <w:rPr>
                      <w:rFonts w:ascii="Times New Roman" w:hAnsi="Times New Roman"/>
                      <w:bCs/>
                      <w:color w:val="000000" w:themeColor="text1"/>
                      <w:sz w:val="24"/>
                      <w:szCs w:val="24"/>
                      <w:lang w:val="lv-LV"/>
                    </w:rPr>
                    <w:t>Pamatkapitāla veidošana</w:t>
                  </w:r>
                  <w:r w:rsidRPr="00B328BB">
                    <w:rPr>
                      <w:rFonts w:ascii="Times New Roman" w:hAnsi="Times New Roman"/>
                      <w:color w:val="000000" w:themeColor="text1"/>
                      <w:sz w:val="24"/>
                      <w:szCs w:val="24"/>
                      <w:lang w:val="lv-LV"/>
                    </w:rPr>
                    <w:t>, t.sk:</w:t>
                  </w:r>
                </w:p>
              </w:tc>
              <w:tc>
                <w:tcPr>
                  <w:tcW w:w="1209" w:type="dxa"/>
                  <w:vAlign w:val="center"/>
                </w:tcPr>
                <w:p w14:paraId="34B96FEB"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c>
                <w:tcPr>
                  <w:tcW w:w="1216" w:type="dxa"/>
                  <w:vAlign w:val="center"/>
                </w:tcPr>
                <w:p w14:paraId="49075B98" w14:textId="77777777" w:rsidR="00F83BCF" w:rsidRPr="00B328BB" w:rsidRDefault="00F83BCF" w:rsidP="00F83BCF">
                  <w:pPr>
                    <w:pStyle w:val="naisf"/>
                    <w:spacing w:before="0" w:beforeAutospacing="0" w:after="0" w:afterAutospacing="0"/>
                    <w:jc w:val="center"/>
                    <w:rPr>
                      <w:b/>
                      <w:color w:val="000000" w:themeColor="text1"/>
                    </w:rPr>
                  </w:pPr>
                  <w:r>
                    <w:rPr>
                      <w:b/>
                      <w:color w:val="000000" w:themeColor="text1"/>
                    </w:rPr>
                    <w:t>0</w:t>
                  </w:r>
                </w:p>
              </w:tc>
              <w:tc>
                <w:tcPr>
                  <w:tcW w:w="1312" w:type="dxa"/>
                  <w:vAlign w:val="center"/>
                </w:tcPr>
                <w:p w14:paraId="3A51AC2A" w14:textId="77777777" w:rsidR="00F83BCF" w:rsidRPr="00B328BB" w:rsidRDefault="00F83BCF" w:rsidP="00F83BCF">
                  <w:pPr>
                    <w:pStyle w:val="naisf"/>
                    <w:spacing w:before="0" w:beforeAutospacing="0" w:after="0" w:afterAutospacing="0"/>
                    <w:jc w:val="center"/>
                    <w:rPr>
                      <w:b/>
                      <w:color w:val="000000" w:themeColor="text1"/>
                    </w:rPr>
                  </w:pPr>
                  <w:r>
                    <w:rPr>
                      <w:b/>
                      <w:color w:val="000000" w:themeColor="text1"/>
                    </w:rPr>
                    <w:t>8 000</w:t>
                  </w:r>
                </w:p>
              </w:tc>
              <w:tc>
                <w:tcPr>
                  <w:tcW w:w="1603" w:type="dxa"/>
                  <w:vAlign w:val="center"/>
                </w:tcPr>
                <w:p w14:paraId="6A4687D8"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c>
                <w:tcPr>
                  <w:tcW w:w="1678" w:type="dxa"/>
                  <w:vAlign w:val="center"/>
                </w:tcPr>
                <w:p w14:paraId="2ED65957" w14:textId="77777777" w:rsidR="00F83BCF" w:rsidRPr="00B328BB" w:rsidRDefault="00F83BCF" w:rsidP="00F83BCF">
                  <w:pPr>
                    <w:pStyle w:val="naisf"/>
                    <w:spacing w:before="0" w:beforeAutospacing="0" w:after="0" w:afterAutospacing="0"/>
                    <w:jc w:val="center"/>
                    <w:rPr>
                      <w:b/>
                      <w:color w:val="000000" w:themeColor="text1"/>
                    </w:rPr>
                  </w:pPr>
                  <w:r w:rsidRPr="00B328BB">
                    <w:rPr>
                      <w:b/>
                      <w:color w:val="000000" w:themeColor="text1"/>
                    </w:rPr>
                    <w:t>0</w:t>
                  </w:r>
                </w:p>
              </w:tc>
            </w:tr>
            <w:tr w:rsidR="00F83BCF" w:rsidRPr="00B328BB" w14:paraId="6622EC93" w14:textId="77777777" w:rsidTr="009D75D4">
              <w:trPr>
                <w:jc w:val="center"/>
              </w:trPr>
              <w:tc>
                <w:tcPr>
                  <w:tcW w:w="2295" w:type="dxa"/>
                </w:tcPr>
                <w:p w14:paraId="338F54C2" w14:textId="77777777" w:rsidR="00F83BCF" w:rsidRPr="00B328BB" w:rsidRDefault="00F83BCF" w:rsidP="00F83BCF">
                  <w:pPr>
                    <w:pStyle w:val="tvhtmlmktable"/>
                    <w:spacing w:before="0" w:beforeAutospacing="0" w:after="0" w:afterAutospacing="0"/>
                    <w:rPr>
                      <w:color w:val="000000" w:themeColor="text1"/>
                    </w:rPr>
                  </w:pPr>
                  <w:r w:rsidRPr="00B328BB">
                    <w:rPr>
                      <w:color w:val="000000" w:themeColor="text1"/>
                    </w:rPr>
                    <w:t>EKK 5100 Nemateriālie ieguldījumi</w:t>
                  </w:r>
                </w:p>
              </w:tc>
              <w:tc>
                <w:tcPr>
                  <w:tcW w:w="1209" w:type="dxa"/>
                  <w:vAlign w:val="center"/>
                </w:tcPr>
                <w:p w14:paraId="1CB35FD5"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14:paraId="2870418D" w14:textId="77777777" w:rsidR="00F83BCF" w:rsidRPr="00B328BB" w:rsidRDefault="00F83BCF" w:rsidP="00F83BCF">
                  <w:pPr>
                    <w:pStyle w:val="naisf"/>
                    <w:spacing w:before="0" w:beforeAutospacing="0" w:after="0" w:afterAutospacing="0"/>
                    <w:jc w:val="center"/>
                    <w:rPr>
                      <w:color w:val="000000" w:themeColor="text1"/>
                    </w:rPr>
                  </w:pPr>
                  <w:r>
                    <w:rPr>
                      <w:color w:val="000000" w:themeColor="text1"/>
                    </w:rPr>
                    <w:t>0</w:t>
                  </w:r>
                </w:p>
              </w:tc>
              <w:tc>
                <w:tcPr>
                  <w:tcW w:w="1312" w:type="dxa"/>
                  <w:vAlign w:val="center"/>
                </w:tcPr>
                <w:p w14:paraId="758F8986" w14:textId="77777777" w:rsidR="00F83BCF" w:rsidRPr="00B328BB" w:rsidRDefault="00F83BCF" w:rsidP="00F83BCF">
                  <w:pPr>
                    <w:pStyle w:val="naisf"/>
                    <w:spacing w:before="0" w:beforeAutospacing="0" w:after="0" w:afterAutospacing="0"/>
                    <w:jc w:val="center"/>
                    <w:rPr>
                      <w:color w:val="000000" w:themeColor="text1"/>
                    </w:rPr>
                  </w:pPr>
                  <w:r>
                    <w:rPr>
                      <w:color w:val="000000" w:themeColor="text1"/>
                    </w:rPr>
                    <w:t>8 000</w:t>
                  </w:r>
                </w:p>
              </w:tc>
              <w:tc>
                <w:tcPr>
                  <w:tcW w:w="1603" w:type="dxa"/>
                  <w:vAlign w:val="center"/>
                </w:tcPr>
                <w:p w14:paraId="1E9BC893"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596A82A5"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B328BB" w14:paraId="66766635" w14:textId="77777777" w:rsidTr="009D75D4">
              <w:trPr>
                <w:jc w:val="center"/>
              </w:trPr>
              <w:tc>
                <w:tcPr>
                  <w:tcW w:w="2295" w:type="dxa"/>
                </w:tcPr>
                <w:p w14:paraId="64DAAE2C" w14:textId="77777777" w:rsidR="00F83BCF" w:rsidRPr="00B328BB" w:rsidRDefault="00F83BCF" w:rsidP="00F83BCF">
                  <w:pPr>
                    <w:spacing w:after="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EKK 5120 </w:t>
                  </w:r>
                  <w:r w:rsidRPr="00B328BB">
                    <w:rPr>
                      <w:rFonts w:ascii="Times New Roman" w:eastAsia="Times New Roman" w:hAnsi="Times New Roman"/>
                      <w:color w:val="000000" w:themeColor="text1"/>
                      <w:sz w:val="24"/>
                      <w:szCs w:val="24"/>
                      <w:lang w:val="lv-LV" w:eastAsia="lv-LV"/>
                    </w:rPr>
                    <w:t>Licences, koncesijas un patenti, preču zīmes un līdzīgas tiesības</w:t>
                  </w:r>
                </w:p>
              </w:tc>
              <w:tc>
                <w:tcPr>
                  <w:tcW w:w="1209" w:type="dxa"/>
                  <w:vAlign w:val="center"/>
                </w:tcPr>
                <w:p w14:paraId="3458C7F8"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216" w:type="dxa"/>
                  <w:vAlign w:val="center"/>
                </w:tcPr>
                <w:p w14:paraId="4CFC43D8" w14:textId="77777777" w:rsidR="00F83BCF" w:rsidRPr="00B328BB" w:rsidRDefault="00F83BCF" w:rsidP="00F83BCF">
                  <w:pPr>
                    <w:pStyle w:val="naisf"/>
                    <w:spacing w:before="0" w:beforeAutospacing="0" w:after="0" w:afterAutospacing="0"/>
                    <w:jc w:val="center"/>
                    <w:rPr>
                      <w:color w:val="000000" w:themeColor="text1"/>
                    </w:rPr>
                  </w:pPr>
                  <w:r>
                    <w:rPr>
                      <w:color w:val="000000" w:themeColor="text1"/>
                    </w:rPr>
                    <w:t>0</w:t>
                  </w:r>
                </w:p>
              </w:tc>
              <w:tc>
                <w:tcPr>
                  <w:tcW w:w="1312" w:type="dxa"/>
                  <w:vAlign w:val="center"/>
                </w:tcPr>
                <w:p w14:paraId="04C38BA4" w14:textId="77777777" w:rsidR="00F83BCF" w:rsidRPr="00B328BB" w:rsidRDefault="00F83BCF" w:rsidP="00F83BCF">
                  <w:pPr>
                    <w:pStyle w:val="naisf"/>
                    <w:spacing w:before="0" w:beforeAutospacing="0" w:after="0" w:afterAutospacing="0"/>
                    <w:jc w:val="center"/>
                    <w:rPr>
                      <w:color w:val="000000" w:themeColor="text1"/>
                    </w:rPr>
                  </w:pPr>
                  <w:r>
                    <w:rPr>
                      <w:color w:val="000000" w:themeColor="text1"/>
                    </w:rPr>
                    <w:t>8 000</w:t>
                  </w:r>
                </w:p>
              </w:tc>
              <w:tc>
                <w:tcPr>
                  <w:tcW w:w="1603" w:type="dxa"/>
                  <w:vAlign w:val="center"/>
                </w:tcPr>
                <w:p w14:paraId="5CD0C1B5"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c>
                <w:tcPr>
                  <w:tcW w:w="1678" w:type="dxa"/>
                  <w:vAlign w:val="center"/>
                </w:tcPr>
                <w:p w14:paraId="4FA42042" w14:textId="77777777" w:rsidR="00F83BCF" w:rsidRPr="00B328BB" w:rsidRDefault="00F83BCF" w:rsidP="00F83BCF">
                  <w:pPr>
                    <w:pStyle w:val="naisf"/>
                    <w:spacing w:before="0" w:beforeAutospacing="0" w:after="0" w:afterAutospacing="0"/>
                    <w:jc w:val="center"/>
                    <w:rPr>
                      <w:color w:val="000000" w:themeColor="text1"/>
                    </w:rPr>
                  </w:pPr>
                  <w:r w:rsidRPr="00B328BB">
                    <w:rPr>
                      <w:color w:val="000000" w:themeColor="text1"/>
                    </w:rPr>
                    <w:t>0</w:t>
                  </w:r>
                </w:p>
              </w:tc>
            </w:tr>
            <w:tr w:rsidR="00F83BCF" w:rsidRPr="003F7652" w14:paraId="58E49C98" w14:textId="77777777" w:rsidTr="009D75D4">
              <w:trPr>
                <w:jc w:val="center"/>
              </w:trPr>
              <w:tc>
                <w:tcPr>
                  <w:tcW w:w="2295" w:type="dxa"/>
                </w:tcPr>
                <w:p w14:paraId="673BDE1C" w14:textId="77777777" w:rsidR="00F83BCF" w:rsidRPr="00B328BB" w:rsidRDefault="00F83BCF" w:rsidP="00F83BCF">
                  <w:pPr>
                    <w:spacing w:after="0" w:line="240" w:lineRule="auto"/>
                    <w:jc w:val="both"/>
                    <w:rPr>
                      <w:rFonts w:ascii="Times New Roman" w:hAnsi="Times New Roman"/>
                      <w:color w:val="000000" w:themeColor="text1"/>
                      <w:sz w:val="24"/>
                      <w:szCs w:val="24"/>
                      <w:lang w:val="lv-LV"/>
                    </w:rPr>
                  </w:pPr>
                  <w:r w:rsidRPr="00B328BB">
                    <w:rPr>
                      <w:rFonts w:ascii="Times New Roman" w:hAnsi="Times New Roman"/>
                      <w:color w:val="000000" w:themeColor="text1"/>
                      <w:sz w:val="24"/>
                      <w:szCs w:val="24"/>
                      <w:lang w:val="lv-LV"/>
                    </w:rPr>
                    <w:t xml:space="preserve"> 7. Cita informācija</w:t>
                  </w:r>
                </w:p>
              </w:tc>
              <w:tc>
                <w:tcPr>
                  <w:tcW w:w="7018" w:type="dxa"/>
                  <w:gridSpan w:val="5"/>
                </w:tcPr>
                <w:p w14:paraId="7EC4D6B9" w14:textId="77777777" w:rsidR="00F83BCF" w:rsidRPr="00B328BB" w:rsidRDefault="00F83BCF" w:rsidP="00F83BCF">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1. Iepirkumu uzraudzības biroja uzturētā valsts informācijas sistēma </w:t>
                  </w:r>
                  <w:r w:rsidRPr="00B328BB">
                    <w:rPr>
                      <w:rFonts w:ascii="Times New Roman" w:eastAsia="Times New Roman" w:hAnsi="Times New Roman"/>
                      <w:color w:val="000000" w:themeColor="text1"/>
                      <w:sz w:val="24"/>
                      <w:szCs w:val="24"/>
                      <w:lang w:val="lv-LV" w:eastAsia="lv-LV"/>
                    </w:rPr>
                    <w:lastRenderedPageBreak/>
                    <w:t>„Publikāciju vadības sistēma” (PVS) nodrošina tehnoloģisko platformu iepirkumus regulējošo normatīvu kārtībā sagatavoto iepirkumu paziņojumu aizpildīšanai, nosūtīšanai publicēšanai un publicēšanai, kā arī nosūtīšanai publicēšanai Eiropas Savienības Oficiālajā Vēstnesī. Tā kā jaunās direktīvas publisko iepirkumu un koncesiju jomā (Eiropas Parlamenta un Padomes Direktīva 2014/24/ES par publisko iepirkumu un ar ko atceļ Direktīvu 2004/18/EK, Eiropas Parlamenta un Padomes Direktīva 2014/25/ES par iepirkumu, ko īsteno subjekti, kuri darbojas ūdensapgādes, enerģētikas, transporta un pasta pakalpojumu nozarēs, un ar ko atceļ Direktīvu 2004/17/EK, Eiropas Parlamenta un Padomes Direktīva 2014/23/ES par koncesijas līgumu slēgšanas tiesību piešķiršanu) dalībvalstīm normatīvajos aktos jāpārņem līdz 2016. gada 18. aprīlim vai ātrāk, tiek veikta PVS pielāgošana datu formātiem, ko nosaka Eiropas Savienības Oficiālais Vēstnesis, nodrošinot atšķirīgu paziņojumu nosūtīšanas publicēšanai formātu (nepieciešama pāreja uz XSD versiju R2.0.9.S01) un kārtību (paziņojumi jānosūta un to publicēšana Eiropas Savienības Oficiālajā Vēstnesī jāuzrauga automātiski, izmantojot tīmekļa pakalpes jeb web servisu tehnoloģiju).</w:t>
                  </w:r>
                </w:p>
                <w:p w14:paraId="606E6F64" w14:textId="77777777" w:rsidR="00F83BCF" w:rsidRPr="00B328BB" w:rsidRDefault="00F83BCF" w:rsidP="00F83BCF">
                  <w:pPr>
                    <w:tabs>
                      <w:tab w:val="left" w:pos="653"/>
                      <w:tab w:val="left" w:pos="1134"/>
                    </w:tabs>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Lai nodrošinātu pasūtītājiem, sabiedrisko pakalpojumu sniedzējiem, koncesionāriem un to partneriem nepārtrauktu paziņojumu (ar paredzamo līgumcenu, kas ir lielāka par Ministru kabineta noteikto līgumcenu robežu) publicēšanas procesu Iepirkumu uzraudzības biroja tīmekļa vietnē un Eiropas Savienības Of</w:t>
                  </w:r>
                  <w:r>
                    <w:rPr>
                      <w:rFonts w:ascii="Times New Roman" w:eastAsia="Times New Roman" w:hAnsi="Times New Roman"/>
                      <w:color w:val="000000" w:themeColor="text1"/>
                      <w:sz w:val="24"/>
                      <w:szCs w:val="24"/>
                      <w:lang w:val="lv-LV" w:eastAsia="lv-LV"/>
                    </w:rPr>
                    <w:t>iciālajā Vēstnesī, sākot no 2018</w:t>
                  </w:r>
                  <w:r w:rsidRPr="00B328BB">
                    <w:rPr>
                      <w:rFonts w:ascii="Times New Roman" w:eastAsia="Times New Roman" w:hAnsi="Times New Roman"/>
                      <w:color w:val="000000" w:themeColor="text1"/>
                      <w:sz w:val="24"/>
                      <w:szCs w:val="24"/>
                      <w:lang w:val="lv-LV" w:eastAsia="lv-LV"/>
                    </w:rPr>
                    <w:t xml:space="preserve">.gada, katru gadu ir nepieciešami atbalsta pakalpojumi, kas paredz PVS tīmekļa pakalpju, kas īsteno datu apmaiņas procesu ar Eiropas Savienības Oficiālo Vēstnesi, darbības uzraudzību, nepārtrauktības nodrošināšanu, programmatūras kļūdu labošanu un funkcionālo izmaiņu pieprasījumu izstrādi. Atbalsta pakalpojumiem ik gadu nepieciešamās izmaksas ir 7224 </w:t>
                  </w:r>
                  <w:r w:rsidRPr="00B328BB">
                    <w:rPr>
                      <w:rFonts w:ascii="Times New Roman" w:eastAsia="Times New Roman" w:hAnsi="Times New Roman"/>
                      <w:i/>
                      <w:color w:val="000000" w:themeColor="text1"/>
                      <w:sz w:val="24"/>
                      <w:szCs w:val="24"/>
                      <w:lang w:val="lv-LV" w:eastAsia="lv-LV"/>
                    </w:rPr>
                    <w:t>euro</w:t>
                  </w:r>
                  <w:r w:rsidRPr="00B328BB">
                    <w:rPr>
                      <w:rFonts w:ascii="Times New Roman" w:eastAsia="Times New Roman" w:hAnsi="Times New Roman"/>
                      <w:color w:val="000000" w:themeColor="text1"/>
                      <w:sz w:val="24"/>
                      <w:szCs w:val="24"/>
                      <w:lang w:val="lv-LV" w:eastAsia="lv-LV"/>
                    </w:rPr>
                    <w:t xml:space="preserve"> ar PVN, kas aprēķinātas, ņemot vērā IT industrijā pieņemto praksi, ka sistēmas uzturēšanas izmaksas vidēji tiek aprēķinātas 10-20% apjomā no sistēmas izstrādes izmaksām (moduļa izstrādes kopējās izmaksas 47904 </w:t>
                  </w:r>
                  <w:r w:rsidRPr="00B328BB">
                    <w:rPr>
                      <w:rFonts w:ascii="Times New Roman" w:eastAsia="Times New Roman" w:hAnsi="Times New Roman"/>
                      <w:i/>
                      <w:color w:val="000000" w:themeColor="text1"/>
                      <w:sz w:val="24"/>
                      <w:szCs w:val="24"/>
                      <w:lang w:val="lv-LV" w:eastAsia="lv-LV"/>
                    </w:rPr>
                    <w:t>euro</w:t>
                  </w:r>
                  <w:r w:rsidRPr="00B328BB">
                    <w:rPr>
                      <w:rFonts w:ascii="Times New Roman" w:eastAsia="Times New Roman" w:hAnsi="Times New Roman"/>
                      <w:color w:val="000000" w:themeColor="text1"/>
                      <w:sz w:val="24"/>
                      <w:szCs w:val="24"/>
                      <w:lang w:val="lv-LV" w:eastAsia="lv-LV"/>
                    </w:rPr>
                    <w:t xml:space="preserve"> ar PVN). Iepirkumu uzraudzības birojs aprēķinos piemēro IT industrijā vidēji pieņemto vienas darba stundas izmaksas likmi 43 </w:t>
                  </w:r>
                  <w:r w:rsidRPr="00B328BB">
                    <w:rPr>
                      <w:rFonts w:ascii="Times New Roman" w:eastAsia="Times New Roman" w:hAnsi="Times New Roman"/>
                      <w:i/>
                      <w:color w:val="000000" w:themeColor="text1"/>
                      <w:sz w:val="24"/>
                      <w:szCs w:val="24"/>
                      <w:lang w:val="lv-LV" w:eastAsia="lv-LV"/>
                    </w:rPr>
                    <w:t>euro</w:t>
                  </w:r>
                  <w:r w:rsidRPr="00B328BB">
                    <w:rPr>
                      <w:rFonts w:ascii="Times New Roman" w:eastAsia="Times New Roman" w:hAnsi="Times New Roman"/>
                      <w:color w:val="000000" w:themeColor="text1"/>
                      <w:sz w:val="24"/>
                      <w:szCs w:val="24"/>
                      <w:lang w:val="lv-LV" w:eastAsia="lv-LV"/>
                    </w:rPr>
                    <w:t>/h. Atbalsta summas ietvaros tiek plānots saņemt pakalpojumus 168 cilvēkstundu apjomā (43</w:t>
                  </w:r>
                  <w:r w:rsidRPr="00B328BB">
                    <w:rPr>
                      <w:rFonts w:ascii="Times New Roman" w:eastAsia="Times New Roman" w:hAnsi="Times New Roman"/>
                      <w:i/>
                      <w:color w:val="000000" w:themeColor="text1"/>
                      <w:sz w:val="24"/>
                      <w:szCs w:val="24"/>
                      <w:lang w:val="lv-LV" w:eastAsia="lv-LV"/>
                    </w:rPr>
                    <w:t> euro</w:t>
                  </w:r>
                  <w:r w:rsidRPr="00B328BB">
                    <w:rPr>
                      <w:rFonts w:ascii="Times New Roman" w:eastAsia="Times New Roman" w:hAnsi="Times New Roman"/>
                      <w:color w:val="000000" w:themeColor="text1"/>
                      <w:sz w:val="24"/>
                      <w:szCs w:val="24"/>
                      <w:lang w:val="lv-LV" w:eastAsia="lv-LV"/>
                    </w:rPr>
                    <w:t>/h*168 h).</w:t>
                  </w:r>
                </w:p>
                <w:p w14:paraId="07B436A8" w14:textId="77777777" w:rsidR="00F83BCF" w:rsidRPr="00B328BB" w:rsidRDefault="00F83BCF" w:rsidP="00F83BCF">
                  <w:pPr>
                    <w:spacing w:after="120" w:line="240" w:lineRule="auto"/>
                    <w:jc w:val="both"/>
                    <w:rPr>
                      <w:rFonts w:ascii="Times New Roman" w:eastAsia="Times New Roman" w:hAnsi="Times New Roman"/>
                      <w:color w:val="000000" w:themeColor="text1"/>
                      <w:sz w:val="24"/>
                      <w:szCs w:val="24"/>
                      <w:lang w:val="lv-LV" w:eastAsia="lv-LV"/>
                    </w:rPr>
                  </w:pPr>
                  <w:r w:rsidRPr="00B328BB">
                    <w:rPr>
                      <w:rFonts w:ascii="Times New Roman" w:eastAsia="Times New Roman" w:hAnsi="Times New Roman"/>
                      <w:color w:val="000000" w:themeColor="text1"/>
                      <w:sz w:val="24"/>
                      <w:szCs w:val="24"/>
                      <w:lang w:val="lv-LV" w:eastAsia="lv-LV"/>
                    </w:rPr>
                    <w:t xml:space="preserve">2. PVS papildinājumu izstrādei un testēšanai, lai nodrošinātu informācijas pieejamību PVS ietvaros par tām personām, kurām par pārkāpumiem publisko iepirkumu un publiskās un privātās partnerības jomā piemērots administratīvais sods – tiesību atņemšana ieņemt </w:t>
                  </w:r>
                  <w:r>
                    <w:rPr>
                      <w:rFonts w:ascii="Times New Roman" w:eastAsia="Times New Roman" w:hAnsi="Times New Roman"/>
                      <w:color w:val="000000" w:themeColor="text1"/>
                      <w:sz w:val="24"/>
                      <w:szCs w:val="24"/>
                      <w:lang w:val="lv-LV" w:eastAsia="lv-LV"/>
                    </w:rPr>
                    <w:t>valsts amatpersonas amatus, 2017</w:t>
                  </w:r>
                  <w:r w:rsidRPr="00B328BB">
                    <w:rPr>
                      <w:rFonts w:ascii="Times New Roman" w:eastAsia="Times New Roman" w:hAnsi="Times New Roman"/>
                      <w:color w:val="000000" w:themeColor="text1"/>
                      <w:sz w:val="24"/>
                      <w:szCs w:val="24"/>
                      <w:lang w:val="lv-LV" w:eastAsia="lv-LV"/>
                    </w:rPr>
                    <w:t xml:space="preserve">.gadā sistēmas programmatūras izmaiņu un papildinājumu izstrādei un testēšanai ir nepieciešami 8000 </w:t>
                  </w:r>
                  <w:r w:rsidRPr="00983EA0">
                    <w:rPr>
                      <w:rFonts w:ascii="Times New Roman" w:eastAsia="Times New Roman" w:hAnsi="Times New Roman"/>
                      <w:i/>
                      <w:color w:val="000000" w:themeColor="text1"/>
                      <w:sz w:val="24"/>
                      <w:szCs w:val="24"/>
                      <w:lang w:val="lv-LV" w:eastAsia="lv-LV"/>
                    </w:rPr>
                    <w:t>euro</w:t>
                  </w:r>
                  <w:r w:rsidRPr="00B328BB">
                    <w:rPr>
                      <w:rFonts w:ascii="Times New Roman" w:eastAsia="Times New Roman" w:hAnsi="Times New Roman"/>
                      <w:color w:val="000000" w:themeColor="text1"/>
                      <w:sz w:val="24"/>
                      <w:szCs w:val="24"/>
                      <w:lang w:val="lv-LV" w:eastAsia="lv-LV"/>
                    </w:rPr>
                    <w:t xml:space="preserve"> ar PVN.</w:t>
                  </w:r>
                </w:p>
                <w:p w14:paraId="27A19104" w14:textId="77777777" w:rsidR="00F83BCF" w:rsidRPr="00B328BB" w:rsidRDefault="00F83BCF" w:rsidP="00F83BCF">
                  <w:pPr>
                    <w:spacing w:after="12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Sākot no 2018</w:t>
                  </w:r>
                  <w:r w:rsidRPr="00B328BB">
                    <w:rPr>
                      <w:rFonts w:ascii="Times New Roman" w:eastAsia="Times New Roman" w:hAnsi="Times New Roman"/>
                      <w:color w:val="000000" w:themeColor="text1"/>
                      <w:sz w:val="24"/>
                      <w:szCs w:val="24"/>
                      <w:lang w:val="lv-LV" w:eastAsia="lv-LV"/>
                    </w:rPr>
                    <w:t xml:space="preserve">.gada, katru gadu šim PVS papildinājumam ir nepieciešami atbalsta pakalpojumi, kas paredz PVS Sodīto personu meklēšanas moduļa darbības uzraudzību, programmatūras kļūdu labošanu un funkcionālo izmaiņu pieprasījumu izstrādi. Atbalsta pakalpojumiem ik gadu nepieciešamās izmaksas ir 774 </w:t>
                  </w:r>
                  <w:r w:rsidRPr="00B328BB">
                    <w:rPr>
                      <w:rFonts w:ascii="Times New Roman" w:eastAsia="Times New Roman" w:hAnsi="Times New Roman"/>
                      <w:i/>
                      <w:color w:val="000000" w:themeColor="text1"/>
                      <w:sz w:val="24"/>
                      <w:szCs w:val="24"/>
                      <w:lang w:val="lv-LV" w:eastAsia="lv-LV"/>
                    </w:rPr>
                    <w:t>euro</w:t>
                  </w:r>
                  <w:r w:rsidRPr="00B328BB">
                    <w:rPr>
                      <w:rFonts w:ascii="Times New Roman" w:eastAsia="Times New Roman" w:hAnsi="Times New Roman"/>
                      <w:color w:val="000000" w:themeColor="text1"/>
                      <w:sz w:val="24"/>
                      <w:szCs w:val="24"/>
                      <w:lang w:val="lv-LV" w:eastAsia="lv-LV"/>
                    </w:rPr>
                    <w:t xml:space="preserve"> ar PVN, kas aprēķinātas, ņemot vērā IT industrijā pieņemto praksi, ka sistēmas uzturēšanas izmaksas vidēji tiek aprēķinātas 10-20% apjomā no </w:t>
                  </w:r>
                  <w:r w:rsidRPr="00B328BB">
                    <w:rPr>
                      <w:rFonts w:ascii="Times New Roman" w:eastAsia="Times New Roman" w:hAnsi="Times New Roman"/>
                      <w:color w:val="000000" w:themeColor="text1"/>
                      <w:sz w:val="24"/>
                      <w:szCs w:val="24"/>
                      <w:lang w:val="lv-LV" w:eastAsia="lv-LV"/>
                    </w:rPr>
                    <w:lastRenderedPageBreak/>
                    <w:t>sistēmas izstrādes izmaksām. Piemērojot IT industrijā vidēji pieņemto vienas darba stundas izmaksas likmi 43 </w:t>
                  </w:r>
                  <w:r w:rsidRPr="00B328BB">
                    <w:rPr>
                      <w:rFonts w:ascii="Times New Roman" w:eastAsia="Times New Roman" w:hAnsi="Times New Roman"/>
                      <w:i/>
                      <w:color w:val="000000" w:themeColor="text1"/>
                      <w:sz w:val="24"/>
                      <w:szCs w:val="24"/>
                      <w:lang w:val="lv-LV" w:eastAsia="lv-LV"/>
                    </w:rPr>
                    <w:t>euro</w:t>
                  </w:r>
                  <w:r w:rsidRPr="00B328BB">
                    <w:rPr>
                      <w:rFonts w:ascii="Times New Roman" w:eastAsia="Times New Roman" w:hAnsi="Times New Roman"/>
                      <w:color w:val="000000" w:themeColor="text1"/>
                      <w:sz w:val="24"/>
                      <w:szCs w:val="24"/>
                      <w:lang w:val="lv-LV" w:eastAsia="lv-LV"/>
                    </w:rPr>
                    <w:t>/h, atbalsta summas ietvaros ir plānots saņemt pakalpojumus 18 cilvēkstundu apjomā (43 </w:t>
                  </w:r>
                  <w:r w:rsidRPr="00B328BB">
                    <w:rPr>
                      <w:rFonts w:ascii="Times New Roman" w:eastAsia="Times New Roman" w:hAnsi="Times New Roman"/>
                      <w:i/>
                      <w:color w:val="000000" w:themeColor="text1"/>
                      <w:sz w:val="24"/>
                      <w:szCs w:val="24"/>
                      <w:lang w:val="lv-LV" w:eastAsia="lv-LV"/>
                    </w:rPr>
                    <w:t>euro</w:t>
                  </w:r>
                  <w:r w:rsidRPr="00B328BB">
                    <w:rPr>
                      <w:rFonts w:ascii="Times New Roman" w:eastAsia="Times New Roman" w:hAnsi="Times New Roman"/>
                      <w:color w:val="000000" w:themeColor="text1"/>
                      <w:sz w:val="24"/>
                      <w:szCs w:val="24"/>
                      <w:lang w:val="lv-LV" w:eastAsia="lv-LV"/>
                    </w:rPr>
                    <w:t>/h*18 h).</w:t>
                  </w:r>
                </w:p>
                <w:p w14:paraId="7C4512F4" w14:textId="77777777" w:rsidR="00F83BCF" w:rsidRDefault="00F83BCF" w:rsidP="00F83BCF">
                  <w:pPr>
                    <w:pStyle w:val="NoSpacing"/>
                    <w:spacing w:after="12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Par 2017</w:t>
                  </w:r>
                  <w:r w:rsidRPr="00B328BB">
                    <w:rPr>
                      <w:rFonts w:ascii="Times New Roman" w:eastAsia="Times New Roman" w:hAnsi="Times New Roman"/>
                      <w:color w:val="000000" w:themeColor="text1"/>
                      <w:sz w:val="24"/>
                      <w:szCs w:val="24"/>
                      <w:lang w:eastAsia="lv-LV"/>
                    </w:rPr>
                    <w:t xml:space="preserve">.gadā papildu nepieciešamais finansējums tiks nodrošināts Finanšu ministrijai piešķirtā valsts budžeta finansējuma ietvaros, lai nodrošinātu Publikāciju vadības sistēmas papildinājuma izstrādi (8000 </w:t>
                  </w:r>
                  <w:r w:rsidRPr="00B328BB">
                    <w:rPr>
                      <w:rFonts w:ascii="Times New Roman" w:eastAsia="Times New Roman" w:hAnsi="Times New Roman"/>
                      <w:i/>
                      <w:color w:val="000000" w:themeColor="text1"/>
                      <w:sz w:val="24"/>
                      <w:szCs w:val="24"/>
                      <w:lang w:eastAsia="lv-LV"/>
                    </w:rPr>
                    <w:t>euro</w:t>
                  </w:r>
                  <w:r w:rsidRPr="00B328BB">
                    <w:rPr>
                      <w:rFonts w:ascii="Times New Roman" w:eastAsia="Times New Roman" w:hAnsi="Times New Roman"/>
                      <w:color w:val="000000" w:themeColor="text1"/>
                      <w:sz w:val="24"/>
                      <w:szCs w:val="24"/>
                      <w:lang w:eastAsia="lv-LV"/>
                    </w:rPr>
                    <w:t>). Savukārt par papildu valsts budžeta lī</w:t>
                  </w:r>
                  <w:r>
                    <w:rPr>
                      <w:rFonts w:ascii="Times New Roman" w:eastAsia="Times New Roman" w:hAnsi="Times New Roman"/>
                      <w:color w:val="000000" w:themeColor="text1"/>
                      <w:sz w:val="24"/>
                      <w:szCs w:val="24"/>
                      <w:lang w:eastAsia="lv-LV"/>
                    </w:rPr>
                    <w:t>dzekļu piešķiršanu sākot ar 2018</w:t>
                  </w:r>
                  <w:r w:rsidRPr="00B328BB">
                    <w:rPr>
                      <w:rFonts w:ascii="Times New Roman" w:eastAsia="Times New Roman" w:hAnsi="Times New Roman"/>
                      <w:color w:val="000000" w:themeColor="text1"/>
                      <w:sz w:val="24"/>
                      <w:szCs w:val="24"/>
                      <w:lang w:eastAsia="lv-LV"/>
                    </w:rPr>
                    <w:t xml:space="preserve">.gadu (774 </w:t>
                  </w:r>
                  <w:r w:rsidRPr="00B328BB">
                    <w:rPr>
                      <w:rFonts w:ascii="Times New Roman" w:eastAsia="Times New Roman" w:hAnsi="Times New Roman"/>
                      <w:i/>
                      <w:color w:val="000000" w:themeColor="text1"/>
                      <w:sz w:val="24"/>
                      <w:szCs w:val="24"/>
                      <w:lang w:eastAsia="lv-LV"/>
                    </w:rPr>
                    <w:t>euro</w:t>
                  </w:r>
                  <w:r w:rsidRPr="00B328BB">
                    <w:rPr>
                      <w:rFonts w:ascii="Times New Roman" w:eastAsia="Times New Roman" w:hAnsi="Times New Roman"/>
                      <w:color w:val="000000" w:themeColor="text1"/>
                      <w:sz w:val="24"/>
                      <w:szCs w:val="24"/>
                      <w:lang w:eastAsia="lv-LV"/>
                    </w:rPr>
                    <w:t xml:space="preserve"> + 7224 </w:t>
                  </w:r>
                  <w:r w:rsidRPr="00B328BB">
                    <w:rPr>
                      <w:rFonts w:ascii="Times New Roman" w:eastAsia="Times New Roman" w:hAnsi="Times New Roman"/>
                      <w:i/>
                      <w:color w:val="000000" w:themeColor="text1"/>
                      <w:sz w:val="24"/>
                      <w:szCs w:val="24"/>
                      <w:lang w:eastAsia="lv-LV"/>
                    </w:rPr>
                    <w:t>euro</w:t>
                  </w:r>
                  <w:r w:rsidRPr="00B328BB">
                    <w:rPr>
                      <w:rFonts w:ascii="Times New Roman" w:eastAsia="Times New Roman" w:hAnsi="Times New Roman"/>
                      <w:color w:val="000000" w:themeColor="text1"/>
                      <w:sz w:val="24"/>
                      <w:szCs w:val="24"/>
                      <w:lang w:eastAsia="lv-LV"/>
                    </w:rPr>
                    <w:t>) Publikāciju vadības sistēmas uzturēšanai ir izskatāma likumprojekta par vidējā termiņa budžeta ietvaru un kārtējā gada valsts budžeta likumprojekta sagatavošanas un izskatīšanas procesā.</w:t>
                  </w:r>
                </w:p>
                <w:p w14:paraId="00F505F1" w14:textId="7382C472" w:rsidR="00F83BCF" w:rsidRDefault="00F83BCF" w:rsidP="00F83BCF">
                  <w:pPr>
                    <w:pStyle w:val="NoSpacing"/>
                    <w:spacing w:after="120"/>
                    <w:jc w:val="both"/>
                    <w:rPr>
                      <w:rFonts w:ascii="Times New Roman" w:hAnsi="Times New Roman"/>
                      <w:sz w:val="24"/>
                      <w:szCs w:val="24"/>
                    </w:rPr>
                  </w:pPr>
                  <w:r w:rsidRPr="00E70309">
                    <w:rPr>
                      <w:rFonts w:ascii="Times New Roman" w:eastAsia="Times New Roman" w:hAnsi="Times New Roman"/>
                      <w:b/>
                      <w:color w:val="000000" w:themeColor="text1"/>
                      <w:sz w:val="24"/>
                      <w:szCs w:val="24"/>
                      <w:lang w:eastAsia="lv-LV"/>
                    </w:rPr>
                    <w:t>3.</w:t>
                  </w:r>
                  <w:r w:rsidRPr="00F90553">
                    <w:rPr>
                      <w:rFonts w:ascii="Times New Roman" w:eastAsia="Times New Roman" w:hAnsi="Times New Roman"/>
                      <w:color w:val="000000" w:themeColor="text1"/>
                      <w:sz w:val="24"/>
                      <w:szCs w:val="24"/>
                      <w:lang w:eastAsia="lv-LV"/>
                    </w:rPr>
                    <w:t xml:space="preserve"> </w:t>
                  </w:r>
                  <w:r>
                    <w:rPr>
                      <w:rFonts w:ascii="Times New Roman" w:hAnsi="Times New Roman"/>
                      <w:sz w:val="24"/>
                      <w:szCs w:val="24"/>
                    </w:rPr>
                    <w:t>Saskaņā ar 2012.gada 4. septembra informatīvo ziņojumu „Par darbības programmas "Infrastruktūra un pakalpojumi" papildinājuma 3.2.2.1.1.apakšaktivitātes "Informācijas sistēmu un elektronisko pakalpojumu attīstība" projekta „Elektronisko iepirkumu sistēmas e-konkursu un e-izsoļu funkcionalitātes attīstība” elektroniskās iepirkumu sistēmas darbības koncepcijas aprakstu” pilnveidotās elektroniskās iepirkumu sistēmas veiksmīgai funkcionēšanai VARAM akceptēja 14 jaunu amata vietu (no kurām uz šo likumprojektu attiecas tikai 13) izveides nepieciešamību. 2015.gadā tika izveidotas 2 amata vietas projekta „Elektronisko iepirkumu sistēmas e-konkursu un e-izsoļu funkcionalitātes attīstība” īstenošanas laikā un tās tika finansētas no 70.05.00 programmas līdzekļiem</w:t>
                  </w:r>
                  <w:r w:rsidR="00EE3261">
                    <w:rPr>
                      <w:rFonts w:ascii="Times New Roman" w:hAnsi="Times New Roman"/>
                      <w:sz w:val="24"/>
                      <w:szCs w:val="24"/>
                    </w:rPr>
                    <w:t xml:space="preserve"> (2016.gadam finansējums nav piešķirts)</w:t>
                  </w:r>
                  <w:r>
                    <w:rPr>
                      <w:rFonts w:ascii="Times New Roman" w:hAnsi="Times New Roman"/>
                      <w:sz w:val="24"/>
                      <w:szCs w:val="24"/>
                    </w:rPr>
                    <w:t>.</w:t>
                  </w:r>
                </w:p>
                <w:p w14:paraId="52F1A639" w14:textId="4BD55CE7" w:rsidR="00F83BCF" w:rsidRDefault="00F83BCF" w:rsidP="00F83BCF">
                  <w:pPr>
                    <w:pStyle w:val="NoSpacing"/>
                    <w:spacing w:after="120"/>
                    <w:jc w:val="both"/>
                    <w:rPr>
                      <w:rFonts w:ascii="Times New Roman" w:hAnsi="Times New Roman"/>
                      <w:sz w:val="24"/>
                      <w:szCs w:val="24"/>
                    </w:rPr>
                  </w:pPr>
                  <w:r>
                    <w:rPr>
                      <w:rFonts w:ascii="Times New Roman" w:hAnsi="Times New Roman"/>
                      <w:sz w:val="24"/>
                      <w:szCs w:val="24"/>
                    </w:rPr>
                    <w:t xml:space="preserve">EIS e-konkursu un e-izsoļu apakšsistēmu lietošanai minimālajā direktīvās noteiktajā apjomā, kā arī e-izziņu funkcionalitātes nodrošināšanai nepieciešamas amata vietas (ievērojot </w:t>
                  </w:r>
                  <w:r w:rsidRPr="005B717B">
                    <w:rPr>
                      <w:rFonts w:ascii="Times New Roman" w:hAnsi="Times New Roman"/>
                      <w:sz w:val="24"/>
                      <w:szCs w:val="24"/>
                    </w:rPr>
                    <w:t>2014.gada 30.decembrī apstiprināt</w:t>
                  </w:r>
                  <w:r>
                    <w:rPr>
                      <w:rFonts w:ascii="Times New Roman" w:hAnsi="Times New Roman"/>
                      <w:sz w:val="24"/>
                      <w:szCs w:val="24"/>
                    </w:rPr>
                    <w:t xml:space="preserve">ās </w:t>
                  </w:r>
                  <w:r w:rsidRPr="005B717B">
                    <w:rPr>
                      <w:rFonts w:ascii="Times New Roman" w:hAnsi="Times New Roman"/>
                      <w:sz w:val="24"/>
                      <w:szCs w:val="24"/>
                    </w:rPr>
                    <w:t>“Valsts pārvaldes politikas attīstības pamatnostādnes 2014.-2020. gadam”</w:t>
                  </w:r>
                  <w:r>
                    <w:rPr>
                      <w:rFonts w:ascii="Times New Roman" w:hAnsi="Times New Roman"/>
                      <w:sz w:val="24"/>
                      <w:szCs w:val="24"/>
                    </w:rPr>
                    <w:t xml:space="preserve"> </w:t>
                  </w:r>
                  <w:r w:rsidRPr="005B717B">
                    <w:rPr>
                      <w:rFonts w:ascii="Times New Roman" w:hAnsi="Times New Roman"/>
                      <w:sz w:val="24"/>
                      <w:szCs w:val="24"/>
                    </w:rPr>
                    <w:t xml:space="preserve">amata vietu skaitu valsts pārvaldē </w:t>
                  </w:r>
                  <w:r>
                    <w:rPr>
                      <w:rFonts w:ascii="Times New Roman" w:hAnsi="Times New Roman"/>
                      <w:sz w:val="24"/>
                      <w:szCs w:val="24"/>
                    </w:rPr>
                    <w:t xml:space="preserve">nepalielināšanu </w:t>
                  </w:r>
                  <w:r w:rsidRPr="005B717B">
                    <w:rPr>
                      <w:rFonts w:ascii="Times New Roman" w:hAnsi="Times New Roman"/>
                      <w:sz w:val="24"/>
                      <w:szCs w:val="24"/>
                    </w:rPr>
                    <w:t>un virzoties uz mazu un efektīvu valsts pārvaldi</w:t>
                  </w:r>
                  <w:r>
                    <w:rPr>
                      <w:rFonts w:ascii="Times New Roman" w:hAnsi="Times New Roman"/>
                      <w:sz w:val="24"/>
                      <w:szCs w:val="24"/>
                    </w:rPr>
                    <w:t xml:space="preserve">, </w:t>
                  </w:r>
                  <w:r w:rsidRPr="005B717B">
                    <w:rPr>
                      <w:rFonts w:ascii="Times New Roman" w:hAnsi="Times New Roman"/>
                      <w:sz w:val="24"/>
                      <w:szCs w:val="24"/>
                    </w:rPr>
                    <w:t xml:space="preserve"> nepieciešamās amata vietas tiks nodrošinātas Vides aizsardzības un reģionālās attīstības ministrijas resora ietvaros, nepalielinot amata vietu skaitu resorā</w:t>
                  </w:r>
                  <w:r>
                    <w:rPr>
                      <w:rFonts w:ascii="Times New Roman" w:hAnsi="Times New Roman"/>
                      <w:sz w:val="24"/>
                      <w:szCs w:val="24"/>
                    </w:rPr>
                    <w:t>) un finansējums</w:t>
                  </w:r>
                  <w:r w:rsidR="00A30BBB">
                    <w:rPr>
                      <w:rFonts w:ascii="Times New Roman" w:hAnsi="Times New Roman"/>
                      <w:sz w:val="24"/>
                      <w:szCs w:val="24"/>
                    </w:rPr>
                    <w:t>:</w:t>
                  </w:r>
                </w:p>
                <w:p w14:paraId="1B82B0FA" w14:textId="2D085324" w:rsidR="00F83BCF" w:rsidRPr="0096346E" w:rsidRDefault="00A30BBB" w:rsidP="00DC380E">
                  <w:pPr>
                    <w:pStyle w:val="NoSpacing"/>
                    <w:numPr>
                      <w:ilvl w:val="0"/>
                      <w:numId w:val="24"/>
                    </w:numPr>
                    <w:spacing w:after="120"/>
                    <w:jc w:val="both"/>
                    <w:rPr>
                      <w:rFonts w:ascii="Times New Roman" w:hAnsi="Times New Roman"/>
                      <w:sz w:val="24"/>
                      <w:szCs w:val="24"/>
                    </w:rPr>
                  </w:pPr>
                  <w:r>
                    <w:rPr>
                      <w:rFonts w:ascii="Times New Roman" w:hAnsi="Times New Roman"/>
                      <w:sz w:val="24"/>
                      <w:szCs w:val="24"/>
                    </w:rPr>
                    <w:t>s</w:t>
                  </w:r>
                  <w:r w:rsidR="009D75D4">
                    <w:rPr>
                      <w:rFonts w:ascii="Times New Roman" w:hAnsi="Times New Roman"/>
                      <w:sz w:val="24"/>
                      <w:szCs w:val="24"/>
                    </w:rPr>
                    <w:t>ākot ar 2017.gadu 5</w:t>
                  </w:r>
                  <w:r w:rsidR="00F83BCF">
                    <w:rPr>
                      <w:rFonts w:ascii="Times New Roman" w:hAnsi="Times New Roman"/>
                      <w:sz w:val="24"/>
                      <w:szCs w:val="24"/>
                    </w:rPr>
                    <w:t xml:space="preserve"> amata vietas (2+</w:t>
                  </w:r>
                  <w:r w:rsidR="009D75D4">
                    <w:rPr>
                      <w:rFonts w:ascii="Times New Roman" w:hAnsi="Times New Roman"/>
                      <w:sz w:val="24"/>
                      <w:szCs w:val="24"/>
                    </w:rPr>
                    <w:t>3</w:t>
                  </w:r>
                  <w:r w:rsidR="00F83BCF">
                    <w:rPr>
                      <w:rFonts w:ascii="Times New Roman" w:hAnsi="Times New Roman"/>
                      <w:sz w:val="24"/>
                      <w:szCs w:val="24"/>
                    </w:rPr>
                    <w:t>), finansējums</w:t>
                  </w:r>
                  <w:r w:rsidR="00315703">
                    <w:rPr>
                      <w:rFonts w:ascii="Times New Roman" w:hAnsi="Times New Roman"/>
                      <w:sz w:val="24"/>
                      <w:szCs w:val="24"/>
                    </w:rPr>
                    <w:t xml:space="preserve"> (atlīdzībai un darba vieta uzturēšanai)</w:t>
                  </w:r>
                  <w:r w:rsidR="00F83BCF">
                    <w:rPr>
                      <w:rFonts w:ascii="Times New Roman" w:hAnsi="Times New Roman"/>
                      <w:sz w:val="24"/>
                      <w:szCs w:val="24"/>
                    </w:rPr>
                    <w:t xml:space="preserve"> </w:t>
                  </w:r>
                  <w:r w:rsidR="00315703" w:rsidRPr="00315703">
                    <w:rPr>
                      <w:rFonts w:ascii="Times New Roman" w:hAnsi="Times New Roman"/>
                      <w:sz w:val="24"/>
                      <w:szCs w:val="24"/>
                    </w:rPr>
                    <w:t>125 494</w:t>
                  </w:r>
                  <w:r w:rsidR="00315703">
                    <w:rPr>
                      <w:rFonts w:ascii="Times New Roman" w:hAnsi="Times New Roman"/>
                      <w:sz w:val="24"/>
                      <w:szCs w:val="24"/>
                    </w:rPr>
                    <w:t xml:space="preserve"> </w:t>
                  </w:r>
                  <w:r w:rsidR="006135FF" w:rsidRPr="00DC380E">
                    <w:rPr>
                      <w:rFonts w:ascii="Times New Roman" w:hAnsi="Times New Roman"/>
                      <w:i/>
                      <w:sz w:val="24"/>
                      <w:szCs w:val="24"/>
                    </w:rPr>
                    <w:t>euro</w:t>
                  </w:r>
                  <w:r w:rsidR="006135FF">
                    <w:rPr>
                      <w:rFonts w:ascii="Times New Roman" w:hAnsi="Times New Roman"/>
                      <w:sz w:val="24"/>
                      <w:szCs w:val="24"/>
                    </w:rPr>
                    <w:t xml:space="preserve"> </w:t>
                  </w:r>
                  <w:r w:rsidR="00315703">
                    <w:rPr>
                      <w:rFonts w:ascii="Times New Roman" w:hAnsi="Times New Roman"/>
                      <w:sz w:val="24"/>
                      <w:szCs w:val="24"/>
                    </w:rPr>
                    <w:t xml:space="preserve">2017.gadā un </w:t>
                  </w:r>
                  <w:r w:rsidR="00315703" w:rsidRPr="00315703">
                    <w:rPr>
                      <w:rFonts w:ascii="Times New Roman" w:hAnsi="Times New Roman"/>
                      <w:sz w:val="24"/>
                      <w:szCs w:val="24"/>
                    </w:rPr>
                    <w:t>139</w:t>
                  </w:r>
                  <w:r w:rsidR="00315703">
                    <w:rPr>
                      <w:rFonts w:ascii="Times New Roman" w:hAnsi="Times New Roman"/>
                      <w:sz w:val="24"/>
                      <w:szCs w:val="24"/>
                    </w:rPr>
                    <w:t> </w:t>
                  </w:r>
                  <w:r w:rsidR="00315703" w:rsidRPr="00315703">
                    <w:rPr>
                      <w:rFonts w:ascii="Times New Roman" w:hAnsi="Times New Roman"/>
                      <w:sz w:val="24"/>
                      <w:szCs w:val="24"/>
                    </w:rPr>
                    <w:t>735</w:t>
                  </w:r>
                  <w:r w:rsidR="00315703">
                    <w:rPr>
                      <w:rFonts w:ascii="Times New Roman" w:hAnsi="Times New Roman"/>
                      <w:sz w:val="24"/>
                      <w:szCs w:val="24"/>
                    </w:rPr>
                    <w:t xml:space="preserve"> </w:t>
                  </w:r>
                  <w:r w:rsidR="006135FF" w:rsidRPr="00F568AB">
                    <w:rPr>
                      <w:rFonts w:ascii="Times New Roman" w:hAnsi="Times New Roman"/>
                      <w:i/>
                      <w:sz w:val="24"/>
                      <w:szCs w:val="24"/>
                    </w:rPr>
                    <w:t>euro</w:t>
                  </w:r>
                  <w:r w:rsidR="006135FF">
                    <w:rPr>
                      <w:rFonts w:ascii="Times New Roman" w:hAnsi="Times New Roman"/>
                      <w:i/>
                      <w:sz w:val="24"/>
                      <w:szCs w:val="24"/>
                    </w:rPr>
                    <w:t xml:space="preserve"> </w:t>
                  </w:r>
                  <w:r w:rsidR="00315703">
                    <w:rPr>
                      <w:rFonts w:ascii="Times New Roman" w:hAnsi="Times New Roman"/>
                      <w:sz w:val="24"/>
                      <w:szCs w:val="24"/>
                    </w:rPr>
                    <w:t>2018.gadā un turpmākajos gados.</w:t>
                  </w:r>
                </w:p>
                <w:p w14:paraId="576ECD6C" w14:textId="7192E25D" w:rsidR="00F83BCF" w:rsidRDefault="009D75D4" w:rsidP="00983EA0">
                  <w:pPr>
                    <w:pStyle w:val="NoSpacing"/>
                    <w:spacing w:after="120"/>
                    <w:jc w:val="both"/>
                    <w:rPr>
                      <w:rFonts w:ascii="Times New Roman" w:hAnsi="Times New Roman"/>
                      <w:sz w:val="24"/>
                      <w:szCs w:val="24"/>
                    </w:rPr>
                  </w:pPr>
                  <w:r>
                    <w:rPr>
                      <w:rFonts w:ascii="Times New Roman" w:hAnsi="Times New Roman"/>
                      <w:sz w:val="24"/>
                      <w:szCs w:val="24"/>
                    </w:rPr>
                    <w:t>A</w:t>
                  </w:r>
                  <w:r w:rsidR="00F83BCF">
                    <w:rPr>
                      <w:rFonts w:ascii="Times New Roman" w:hAnsi="Times New Roman"/>
                      <w:sz w:val="24"/>
                      <w:szCs w:val="24"/>
                    </w:rPr>
                    <w:t>mata vietu atšifrējum</w:t>
                  </w:r>
                  <w:r>
                    <w:rPr>
                      <w:rFonts w:ascii="Times New Roman" w:hAnsi="Times New Roman"/>
                      <w:sz w:val="24"/>
                      <w:szCs w:val="24"/>
                    </w:rPr>
                    <w:t>s</w:t>
                  </w:r>
                  <w:r w:rsidR="00F83BCF">
                    <w:rPr>
                      <w:rFonts w:ascii="Times New Roman" w:hAnsi="Times New Roman"/>
                      <w:sz w:val="24"/>
                      <w:szCs w:val="24"/>
                    </w:rPr>
                    <w:t xml:space="preserve"> (amata algu, pienākumiem un plānoto darba uzsākšanas termiņu): </w:t>
                  </w:r>
                </w:p>
                <w:p w14:paraId="19C5FFB9" w14:textId="60A8B531" w:rsidR="009D75D4" w:rsidRDefault="00F83BCF" w:rsidP="00EE3261">
                  <w:pPr>
                    <w:spacing w:after="120" w:line="240" w:lineRule="auto"/>
                    <w:jc w:val="both"/>
                    <w:rPr>
                      <w:rFonts w:ascii="Times New Roman" w:hAnsi="Times New Roman"/>
                      <w:sz w:val="24"/>
                      <w:szCs w:val="24"/>
                      <w:lang w:val="lv-LV"/>
                    </w:rPr>
                  </w:pPr>
                  <w:r>
                    <w:rPr>
                      <w:rFonts w:ascii="Times New Roman" w:hAnsi="Times New Roman"/>
                      <w:b/>
                      <w:sz w:val="24"/>
                      <w:szCs w:val="24"/>
                      <w:lang w:val="lv-LV"/>
                    </w:rPr>
                    <w:t>3.1. IT tehniskais personāls</w:t>
                  </w:r>
                  <w:r>
                    <w:rPr>
                      <w:rFonts w:ascii="Times New Roman" w:hAnsi="Times New Roman"/>
                      <w:sz w:val="24"/>
                      <w:szCs w:val="24"/>
                      <w:lang w:val="lv-LV"/>
                    </w:rPr>
                    <w:t xml:space="preserve"> (atbalsta sistēmas uzturēšanu), 1 darbinieks (no 01.01.2017, jo darbi attiecībā uz e-izziņu apakšsistēmu ir veicami arī attiecībā uz spēkā esošo PIL redakciju), amata saime 19.3, amata līmenis IIA, mēnešalgu grupa 11, alga 1</w:t>
                  </w:r>
                  <w:r w:rsidR="006135FF">
                    <w:rPr>
                      <w:rFonts w:ascii="Times New Roman" w:hAnsi="Times New Roman"/>
                      <w:sz w:val="24"/>
                      <w:szCs w:val="24"/>
                      <w:lang w:val="lv-LV"/>
                    </w:rPr>
                    <w:t> </w:t>
                  </w:r>
                  <w:r>
                    <w:rPr>
                      <w:rFonts w:ascii="Times New Roman" w:hAnsi="Times New Roman"/>
                      <w:sz w:val="24"/>
                      <w:szCs w:val="24"/>
                      <w:lang w:val="lv-LV"/>
                    </w:rPr>
                    <w:t>382</w:t>
                  </w:r>
                  <w:r w:rsidR="006135FF">
                    <w:rPr>
                      <w:rFonts w:ascii="Times New Roman" w:hAnsi="Times New Roman"/>
                      <w:sz w:val="24"/>
                      <w:szCs w:val="24"/>
                      <w:lang w:val="lv-LV"/>
                    </w:rPr>
                    <w:t xml:space="preserve"> </w:t>
                  </w:r>
                  <w:r w:rsidRPr="00A30BBB">
                    <w:rPr>
                      <w:rFonts w:ascii="Times New Roman" w:hAnsi="Times New Roman"/>
                      <w:i/>
                      <w:sz w:val="24"/>
                      <w:szCs w:val="24"/>
                      <w:lang w:val="lv-LV"/>
                    </w:rPr>
                    <w:t>euro</w:t>
                  </w:r>
                  <w:r>
                    <w:rPr>
                      <w:rFonts w:ascii="Times New Roman" w:hAnsi="Times New Roman"/>
                      <w:sz w:val="24"/>
                      <w:szCs w:val="24"/>
                      <w:lang w:val="lv-LV"/>
                    </w:rPr>
                    <w:t xml:space="preserve"> – </w:t>
                  </w:r>
                  <w:r w:rsidR="00EE3261">
                    <w:rPr>
                      <w:rFonts w:ascii="Times New Roman" w:hAnsi="Times New Roman"/>
                      <w:sz w:val="24"/>
                      <w:szCs w:val="24"/>
                      <w:lang w:val="lv-LV"/>
                    </w:rPr>
                    <w:t>pienākumi</w:t>
                  </w:r>
                  <w:r>
                    <w:rPr>
                      <w:rFonts w:ascii="Times New Roman" w:hAnsi="Times New Roman"/>
                      <w:sz w:val="24"/>
                      <w:szCs w:val="24"/>
                      <w:lang w:val="lv-LV"/>
                    </w:rPr>
                    <w:t xml:space="preserve">: </w:t>
                  </w:r>
                </w:p>
                <w:p w14:paraId="2BA5B4ED" w14:textId="6460A2AB" w:rsidR="00F83BCF" w:rsidRDefault="009D75D4"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EE3261">
                    <w:rPr>
                      <w:rFonts w:ascii="Times New Roman" w:hAnsi="Times New Roman"/>
                      <w:sz w:val="24"/>
                      <w:szCs w:val="24"/>
                      <w:lang w:val="lv-LV"/>
                    </w:rPr>
                    <w:t> </w:t>
                  </w:r>
                  <w:r w:rsidR="00F83BCF">
                    <w:rPr>
                      <w:rFonts w:ascii="Times New Roman" w:hAnsi="Times New Roman"/>
                      <w:sz w:val="24"/>
                      <w:szCs w:val="24"/>
                      <w:lang w:val="lv-LV"/>
                    </w:rPr>
                    <w:t>veic e-izziņu servisu darbības uzraudzību Valsts informācijas sistēmu savietotāja līmenī (t.sk. attiecīgu serveru standarta programmatūras un datu bāžu konfigurēšanu un darbības monitoringu</w:t>
                  </w:r>
                  <w:r w:rsidR="00F83BCF" w:rsidRPr="004B3E3A">
                    <w:rPr>
                      <w:rFonts w:ascii="Times New Roman" w:hAnsi="Times New Roman"/>
                      <w:sz w:val="24"/>
                      <w:szCs w:val="24"/>
                      <w:lang w:val="lv-LV"/>
                    </w:rPr>
                    <w:t>).</w:t>
                  </w:r>
                </w:p>
                <w:p w14:paraId="7BFEACA7" w14:textId="7F54A098" w:rsidR="009D75D4" w:rsidRDefault="009D75D4"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EE3261">
                    <w:rPr>
                      <w:rFonts w:ascii="Times New Roman" w:hAnsi="Times New Roman"/>
                      <w:sz w:val="24"/>
                      <w:szCs w:val="24"/>
                      <w:lang w:val="lv-LV"/>
                    </w:rPr>
                    <w:t> </w:t>
                  </w:r>
                  <w:r>
                    <w:rPr>
                      <w:rFonts w:ascii="Times New Roman" w:hAnsi="Times New Roman"/>
                      <w:sz w:val="24"/>
                      <w:szCs w:val="24"/>
                      <w:lang w:val="lv-LV"/>
                    </w:rPr>
                    <w:t>veic EIS iekārtu konfigurēšanu;</w:t>
                  </w:r>
                </w:p>
                <w:p w14:paraId="743280C5" w14:textId="01BF7AF6" w:rsidR="009D75D4" w:rsidRDefault="009D75D4"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lastRenderedPageBreak/>
                    <w:t>-</w:t>
                  </w:r>
                  <w:r w:rsidR="00EE3261">
                    <w:rPr>
                      <w:rFonts w:ascii="Times New Roman" w:hAnsi="Times New Roman"/>
                      <w:sz w:val="24"/>
                      <w:szCs w:val="24"/>
                      <w:lang w:val="lv-LV"/>
                    </w:rPr>
                    <w:t> </w:t>
                  </w:r>
                  <w:r>
                    <w:rPr>
                      <w:rFonts w:ascii="Times New Roman" w:hAnsi="Times New Roman"/>
                      <w:sz w:val="24"/>
                      <w:szCs w:val="24"/>
                      <w:lang w:val="lv-LV"/>
                    </w:rPr>
                    <w:t>standarta programmatū</w:t>
                  </w:r>
                  <w:r w:rsidR="00EE3261">
                    <w:rPr>
                      <w:rFonts w:ascii="Times New Roman" w:hAnsi="Times New Roman"/>
                      <w:sz w:val="24"/>
                      <w:szCs w:val="24"/>
                      <w:lang w:val="lv-LV"/>
                    </w:rPr>
                    <w:t>ras un datu bāžu administrēšanu.</w:t>
                  </w:r>
                </w:p>
                <w:p w14:paraId="0F1AC191" w14:textId="5C6E73A4"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b/>
                      <w:sz w:val="24"/>
                      <w:szCs w:val="24"/>
                      <w:lang w:val="lv-LV"/>
                    </w:rPr>
                    <w:t xml:space="preserve">3.2. </w:t>
                  </w:r>
                  <w:r w:rsidR="00F75C93">
                    <w:rPr>
                      <w:rFonts w:ascii="Times New Roman" w:hAnsi="Times New Roman"/>
                      <w:b/>
                      <w:sz w:val="24"/>
                      <w:szCs w:val="24"/>
                      <w:lang w:val="lv-LV"/>
                    </w:rPr>
                    <w:t>V</w:t>
                  </w:r>
                  <w:r>
                    <w:rPr>
                      <w:rFonts w:ascii="Times New Roman" w:hAnsi="Times New Roman"/>
                      <w:b/>
                      <w:sz w:val="24"/>
                      <w:szCs w:val="24"/>
                      <w:lang w:val="lv-LV"/>
                    </w:rPr>
                    <w:t xml:space="preserve">ecākais konsultants, </w:t>
                  </w:r>
                  <w:r>
                    <w:rPr>
                      <w:rFonts w:ascii="Times New Roman" w:hAnsi="Times New Roman"/>
                      <w:sz w:val="24"/>
                      <w:szCs w:val="24"/>
                      <w:lang w:val="lv-LV"/>
                    </w:rPr>
                    <w:t>1 darbinieks (no 01.01.2017, jo darbi attiecībā uz e-izziņu apakšsistēmu ir veicami arī attiecībā uz spēkā esošo PIL redakciju), amata saime 35, amata līmenis III, mēnešalgu grupa 10, alga 1</w:t>
                  </w:r>
                  <w:r w:rsidR="006135FF">
                    <w:rPr>
                      <w:rFonts w:ascii="Times New Roman" w:hAnsi="Times New Roman"/>
                      <w:sz w:val="24"/>
                      <w:szCs w:val="24"/>
                      <w:lang w:val="lv-LV"/>
                    </w:rPr>
                    <w:t> </w:t>
                  </w:r>
                  <w:r>
                    <w:rPr>
                      <w:rFonts w:ascii="Times New Roman" w:hAnsi="Times New Roman"/>
                      <w:sz w:val="24"/>
                      <w:szCs w:val="24"/>
                      <w:lang w:val="lv-LV"/>
                    </w:rPr>
                    <w:t>287</w:t>
                  </w:r>
                  <w:r w:rsidR="006135FF">
                    <w:rPr>
                      <w:rFonts w:ascii="Times New Roman" w:hAnsi="Times New Roman"/>
                      <w:sz w:val="24"/>
                      <w:szCs w:val="24"/>
                      <w:lang w:val="lv-LV"/>
                    </w:rPr>
                    <w:t xml:space="preserve"> </w:t>
                  </w:r>
                  <w:r w:rsidRPr="00A30BBB">
                    <w:rPr>
                      <w:rFonts w:ascii="Times New Roman" w:hAnsi="Times New Roman"/>
                      <w:i/>
                      <w:sz w:val="24"/>
                      <w:szCs w:val="24"/>
                      <w:lang w:val="lv-LV"/>
                    </w:rPr>
                    <w:t>euro</w:t>
                  </w:r>
                  <w:r>
                    <w:rPr>
                      <w:rFonts w:ascii="Times New Roman" w:hAnsi="Times New Roman"/>
                      <w:sz w:val="24"/>
                      <w:szCs w:val="24"/>
                      <w:lang w:val="lv-LV"/>
                    </w:rPr>
                    <w:t xml:space="preserve"> – </w:t>
                  </w:r>
                  <w:r w:rsidR="00EE3261">
                    <w:rPr>
                      <w:rFonts w:ascii="Times New Roman" w:hAnsi="Times New Roman"/>
                      <w:sz w:val="24"/>
                      <w:szCs w:val="24"/>
                      <w:lang w:val="lv-LV"/>
                    </w:rPr>
                    <w:t>pienākumi</w:t>
                  </w:r>
                  <w:r>
                    <w:rPr>
                      <w:rFonts w:ascii="Times New Roman" w:hAnsi="Times New Roman"/>
                      <w:sz w:val="24"/>
                      <w:szCs w:val="24"/>
                      <w:lang w:val="lv-LV"/>
                    </w:rPr>
                    <w:t xml:space="preserve">: </w:t>
                  </w:r>
                </w:p>
                <w:p w14:paraId="10808682" w14:textId="77777777"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 veic konsultācijas par EIS e-izziņu apakšsistēmas lietošanu (atbalsta dienests) PIL iepirkumu veicējiem (vairāk kā 125 000 izziņas/ gadā),</w:t>
                  </w:r>
                </w:p>
                <w:p w14:paraId="2DB4F0DC" w14:textId="77777777" w:rsidR="00F83BCF" w:rsidRDefault="00F83BCF" w:rsidP="00983EA0">
                  <w:pPr>
                    <w:spacing w:after="120" w:line="240" w:lineRule="auto"/>
                    <w:jc w:val="both"/>
                    <w:rPr>
                      <w:rFonts w:ascii="Times New Roman" w:hAnsi="Times New Roman"/>
                      <w:color w:val="FF0000"/>
                      <w:sz w:val="24"/>
                      <w:szCs w:val="24"/>
                      <w:lang w:val="lv-LV"/>
                    </w:rPr>
                  </w:pPr>
                  <w:r>
                    <w:rPr>
                      <w:rFonts w:ascii="Times New Roman" w:hAnsi="Times New Roman"/>
                      <w:sz w:val="24"/>
                      <w:szCs w:val="24"/>
                      <w:lang w:val="lv-LV"/>
                    </w:rPr>
                    <w:t>- uzrauga e-izziņu saņemšanas procesu, nepieciešamības gadījumā komunicē ar Uzņēmumu reģistru, Valsts ieņēmumu dienesta parādnieku datu bāzi, PMLP Iedzīvotāju reģistru, Iekšlietu ministrijas Informācijas centra Sodu reģistru un pašvaldību nekustamā īpašuma nodokļa uzskaites sistēmu, kā arī attiecīgo reģistru izstrādātājiem kļūdu un nepilnību risināšanai.</w:t>
                  </w:r>
                </w:p>
                <w:p w14:paraId="7D4B37E8" w14:textId="559FA23F" w:rsidR="00F83BCF" w:rsidRDefault="00F83BCF" w:rsidP="00EE3261">
                  <w:pPr>
                    <w:spacing w:after="120" w:line="240" w:lineRule="auto"/>
                    <w:jc w:val="both"/>
                    <w:rPr>
                      <w:rFonts w:ascii="Times New Roman" w:hAnsi="Times New Roman"/>
                      <w:sz w:val="24"/>
                      <w:szCs w:val="24"/>
                      <w:lang w:val="lv-LV"/>
                    </w:rPr>
                  </w:pPr>
                  <w:r>
                    <w:rPr>
                      <w:rFonts w:ascii="Times New Roman" w:hAnsi="Times New Roman"/>
                      <w:b/>
                      <w:sz w:val="24"/>
                      <w:szCs w:val="24"/>
                      <w:lang w:val="lv-LV"/>
                    </w:rPr>
                    <w:t>3.</w:t>
                  </w:r>
                  <w:r w:rsidR="00EE3261">
                    <w:rPr>
                      <w:rFonts w:ascii="Times New Roman" w:hAnsi="Times New Roman"/>
                      <w:b/>
                      <w:sz w:val="24"/>
                      <w:szCs w:val="24"/>
                      <w:lang w:val="lv-LV"/>
                    </w:rPr>
                    <w:t>3</w:t>
                  </w:r>
                  <w:r>
                    <w:rPr>
                      <w:rFonts w:ascii="Times New Roman" w:hAnsi="Times New Roman"/>
                      <w:b/>
                      <w:sz w:val="24"/>
                      <w:szCs w:val="24"/>
                      <w:lang w:val="lv-LV"/>
                    </w:rPr>
                    <w:t xml:space="preserve">. </w:t>
                  </w:r>
                  <w:r w:rsidR="00F75C93">
                    <w:rPr>
                      <w:rFonts w:ascii="Times New Roman" w:hAnsi="Times New Roman"/>
                      <w:b/>
                      <w:sz w:val="24"/>
                      <w:szCs w:val="24"/>
                      <w:lang w:val="lv-LV"/>
                    </w:rPr>
                    <w:t>N</w:t>
                  </w:r>
                  <w:r>
                    <w:rPr>
                      <w:rFonts w:ascii="Times New Roman" w:hAnsi="Times New Roman"/>
                      <w:b/>
                      <w:sz w:val="24"/>
                      <w:szCs w:val="24"/>
                      <w:lang w:val="lv-LV"/>
                    </w:rPr>
                    <w:t xml:space="preserve">odaļas vadītājs, 1 darbinieks </w:t>
                  </w:r>
                  <w:r>
                    <w:rPr>
                      <w:rFonts w:ascii="Times New Roman" w:hAnsi="Times New Roman"/>
                      <w:sz w:val="24"/>
                      <w:szCs w:val="24"/>
                      <w:lang w:val="lv-LV"/>
                    </w:rPr>
                    <w:t>(no 01.03.2017, jo pašlaik e-konkursu un e-izsoļu apakšsistēmas var lietot brīvprātīgi, kā arī svarīgi apmācīt darbiniekus kvalitatīvajai EIS uzturēšanai, jeb uzsākt apmācību ceturksni pirms EIS e-konkursu obligātas izmantošanas ieviešanas), amata saime 35, amata līmenis IVB, mēnešalgu grupa 12, alga 1</w:t>
                  </w:r>
                  <w:r w:rsidR="006135FF">
                    <w:rPr>
                      <w:rFonts w:ascii="Times New Roman" w:hAnsi="Times New Roman"/>
                      <w:sz w:val="24"/>
                      <w:szCs w:val="24"/>
                      <w:lang w:val="lv-LV"/>
                    </w:rPr>
                    <w:t> </w:t>
                  </w:r>
                  <w:r>
                    <w:rPr>
                      <w:rFonts w:ascii="Times New Roman" w:hAnsi="Times New Roman"/>
                      <w:sz w:val="24"/>
                      <w:szCs w:val="24"/>
                      <w:lang w:val="lv-LV"/>
                    </w:rPr>
                    <w:t>647</w:t>
                  </w:r>
                  <w:r w:rsidR="006135FF">
                    <w:rPr>
                      <w:rFonts w:ascii="Times New Roman" w:hAnsi="Times New Roman"/>
                      <w:sz w:val="24"/>
                      <w:szCs w:val="24"/>
                      <w:lang w:val="lv-LV"/>
                    </w:rPr>
                    <w:t> </w:t>
                  </w:r>
                  <w:r w:rsidRPr="00A30BBB">
                    <w:rPr>
                      <w:rFonts w:ascii="Times New Roman" w:hAnsi="Times New Roman"/>
                      <w:i/>
                      <w:sz w:val="24"/>
                      <w:szCs w:val="24"/>
                      <w:lang w:val="lv-LV"/>
                    </w:rPr>
                    <w:t>euro</w:t>
                  </w:r>
                  <w:r>
                    <w:rPr>
                      <w:rFonts w:ascii="Times New Roman" w:hAnsi="Times New Roman"/>
                      <w:sz w:val="24"/>
                      <w:szCs w:val="24"/>
                      <w:lang w:val="lv-LV"/>
                    </w:rPr>
                    <w:t xml:space="preserve"> – </w:t>
                  </w:r>
                  <w:r w:rsidR="00EE3261">
                    <w:rPr>
                      <w:rFonts w:ascii="Times New Roman" w:hAnsi="Times New Roman"/>
                      <w:sz w:val="24"/>
                      <w:szCs w:val="24"/>
                      <w:lang w:val="lv-LV"/>
                    </w:rPr>
                    <w:t>pienākumi</w:t>
                  </w:r>
                  <w:r>
                    <w:rPr>
                      <w:rFonts w:ascii="Times New Roman" w:hAnsi="Times New Roman"/>
                      <w:sz w:val="24"/>
                      <w:szCs w:val="24"/>
                      <w:lang w:val="lv-LV"/>
                    </w:rPr>
                    <w:t>:</w:t>
                  </w:r>
                </w:p>
                <w:p w14:paraId="49ACC57A" w14:textId="77777777"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 xml:space="preserve">- veic nodaļas vadītāja pienākumus; </w:t>
                  </w:r>
                </w:p>
                <w:p w14:paraId="0420BF74" w14:textId="77777777"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 veic likuma nosacījumu izpildes kontroli un e-izsoļu uzraudzību (risku analīze);</w:t>
                  </w:r>
                </w:p>
                <w:p w14:paraId="14025944" w14:textId="77777777" w:rsidR="009D75D4" w:rsidRDefault="00F83BCF"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 sadarbojas ar IUB lietotāju atbalsta jautājumos un sagatavo standarta dokumentu veidnes e-konkursu apakšsistēmai (dokumentu paraugi, labās prakses piemēri);</w:t>
                  </w:r>
                  <w:r w:rsidR="009D75D4">
                    <w:rPr>
                      <w:rFonts w:ascii="Times New Roman" w:hAnsi="Times New Roman"/>
                      <w:sz w:val="24"/>
                      <w:szCs w:val="24"/>
                      <w:lang w:val="lv-LV"/>
                    </w:rPr>
                    <w:t xml:space="preserve"> </w:t>
                  </w:r>
                </w:p>
                <w:p w14:paraId="621EABED" w14:textId="5B1A1E1E" w:rsidR="009D75D4" w:rsidRDefault="009D75D4"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 veic datu apmaiņas saskarņu darbības uzraudzību un koordināciju;</w:t>
                  </w:r>
                </w:p>
                <w:p w14:paraId="4DB695D0" w14:textId="77777777" w:rsidR="009D75D4" w:rsidRDefault="009D75D4"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 atbild par sadarbību ar IUB un citām kontrolējošajām iestādēm datu apmaiņas līmenī;</w:t>
                  </w:r>
                </w:p>
                <w:p w14:paraId="709E29EC" w14:textId="77777777" w:rsidR="009D75D4" w:rsidRDefault="009D75D4"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 pielāgo EIS funkcionalitāti normatīvo aktu grozījumiem un sagatavo standarta dokumentu veidnes e-izsoļu un e-izziņu apakšsistēmas vajadzībām;</w:t>
                  </w:r>
                </w:p>
                <w:p w14:paraId="0AC989E2" w14:textId="77777777" w:rsidR="009D75D4" w:rsidRDefault="009D75D4"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 kontrolē piedāvājumu saņemšanu no ārējām sistēmām;</w:t>
                  </w:r>
                </w:p>
                <w:p w14:paraId="70BB512E" w14:textId="3D44036E" w:rsidR="009D75D4" w:rsidRDefault="009D75D4"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 veic kļūdu, saskarnes saderības un drošības nosacījum</w:t>
                  </w:r>
                  <w:r w:rsidR="00F75C93">
                    <w:rPr>
                      <w:rFonts w:ascii="Times New Roman" w:hAnsi="Times New Roman"/>
                      <w:sz w:val="24"/>
                      <w:szCs w:val="24"/>
                      <w:lang w:val="lv-LV"/>
                    </w:rPr>
                    <w:t>u izpildes analīzi.</w:t>
                  </w:r>
                </w:p>
                <w:p w14:paraId="0A142588" w14:textId="40095E88" w:rsidR="00F83BCF" w:rsidRDefault="00F83BCF" w:rsidP="00983EA0">
                  <w:pPr>
                    <w:spacing w:after="120" w:line="240" w:lineRule="auto"/>
                    <w:rPr>
                      <w:rFonts w:ascii="Times New Roman" w:hAnsi="Times New Roman"/>
                      <w:sz w:val="24"/>
                      <w:szCs w:val="24"/>
                      <w:lang w:val="lv-LV"/>
                    </w:rPr>
                  </w:pPr>
                  <w:r>
                    <w:rPr>
                      <w:rFonts w:ascii="Times New Roman" w:hAnsi="Times New Roman"/>
                      <w:b/>
                      <w:sz w:val="24"/>
                      <w:szCs w:val="24"/>
                      <w:lang w:val="lv-LV"/>
                    </w:rPr>
                    <w:t>3.</w:t>
                  </w:r>
                  <w:r w:rsidR="00EE3261">
                    <w:rPr>
                      <w:rFonts w:ascii="Times New Roman" w:hAnsi="Times New Roman"/>
                      <w:b/>
                      <w:sz w:val="24"/>
                      <w:szCs w:val="24"/>
                      <w:lang w:val="lv-LV"/>
                    </w:rPr>
                    <w:t>4</w:t>
                  </w:r>
                  <w:r>
                    <w:rPr>
                      <w:rFonts w:ascii="Times New Roman" w:hAnsi="Times New Roman"/>
                      <w:b/>
                      <w:sz w:val="24"/>
                      <w:szCs w:val="24"/>
                      <w:lang w:val="lv-LV"/>
                    </w:rPr>
                    <w:t xml:space="preserve">. </w:t>
                  </w:r>
                  <w:r w:rsidR="00F75C93">
                    <w:rPr>
                      <w:rFonts w:ascii="Times New Roman" w:hAnsi="Times New Roman"/>
                      <w:b/>
                      <w:sz w:val="24"/>
                      <w:szCs w:val="24"/>
                      <w:lang w:val="lv-LV"/>
                    </w:rPr>
                    <w:t>V</w:t>
                  </w:r>
                  <w:r>
                    <w:rPr>
                      <w:rFonts w:ascii="Times New Roman" w:hAnsi="Times New Roman"/>
                      <w:b/>
                      <w:sz w:val="24"/>
                      <w:szCs w:val="24"/>
                      <w:lang w:val="lv-LV"/>
                    </w:rPr>
                    <w:t xml:space="preserve">ecākie konsultanti – </w:t>
                  </w:r>
                  <w:r w:rsidR="009D75D4">
                    <w:rPr>
                      <w:rFonts w:ascii="Times New Roman" w:hAnsi="Times New Roman"/>
                      <w:b/>
                      <w:sz w:val="24"/>
                      <w:szCs w:val="24"/>
                      <w:lang w:val="lv-LV"/>
                    </w:rPr>
                    <w:t xml:space="preserve">2 </w:t>
                  </w:r>
                  <w:r>
                    <w:rPr>
                      <w:rFonts w:ascii="Times New Roman" w:hAnsi="Times New Roman"/>
                      <w:b/>
                      <w:sz w:val="24"/>
                      <w:szCs w:val="24"/>
                      <w:lang w:val="lv-LV"/>
                    </w:rPr>
                    <w:t>gab</w:t>
                  </w:r>
                  <w:r>
                    <w:rPr>
                      <w:rFonts w:ascii="Times New Roman" w:hAnsi="Times New Roman"/>
                      <w:sz w:val="24"/>
                      <w:szCs w:val="24"/>
                      <w:lang w:val="lv-LV"/>
                    </w:rPr>
                    <w:t>.</w:t>
                  </w:r>
                  <w:r w:rsidR="009D75D4">
                    <w:rPr>
                      <w:rFonts w:ascii="Times New Roman" w:hAnsi="Times New Roman"/>
                      <w:sz w:val="24"/>
                      <w:szCs w:val="24"/>
                      <w:lang w:val="lv-LV"/>
                    </w:rPr>
                    <w:t xml:space="preserve"> (</w:t>
                  </w:r>
                  <w:r w:rsidR="009D75D4" w:rsidRPr="009D75D4">
                    <w:rPr>
                      <w:rFonts w:ascii="Times New Roman" w:hAnsi="Times New Roman"/>
                      <w:sz w:val="24"/>
                      <w:szCs w:val="24"/>
                      <w:u w:val="single"/>
                      <w:lang w:val="lv-LV"/>
                    </w:rPr>
                    <w:t>no 01.03.2017, jo svarīgi apmācīt darbiniekus kvalitatīvajai EIS uzturēšanai, lai ar 2017.gada 18.aprīlī varētu nodrošināt visu centralizēto iepirkumu procedūru rīkošanu EISā</w:t>
                  </w:r>
                  <w:r w:rsidR="009D75D4">
                    <w:rPr>
                      <w:rFonts w:ascii="Times New Roman" w:hAnsi="Times New Roman"/>
                      <w:sz w:val="24"/>
                      <w:szCs w:val="24"/>
                      <w:u w:val="single"/>
                      <w:lang w:val="lv-LV"/>
                    </w:rPr>
                    <w:t>)</w:t>
                  </w:r>
                  <w:r>
                    <w:rPr>
                      <w:rFonts w:ascii="Times New Roman" w:hAnsi="Times New Roman"/>
                      <w:sz w:val="24"/>
                      <w:szCs w:val="24"/>
                      <w:lang w:val="lv-LV"/>
                    </w:rPr>
                    <w:t>, amata saime 35, amata līmenis III, mēnešalgu grupa 10, alga 1</w:t>
                  </w:r>
                  <w:r w:rsidR="006135FF">
                    <w:rPr>
                      <w:rFonts w:ascii="Times New Roman" w:hAnsi="Times New Roman"/>
                      <w:sz w:val="24"/>
                      <w:szCs w:val="24"/>
                      <w:lang w:val="lv-LV"/>
                    </w:rPr>
                    <w:t> </w:t>
                  </w:r>
                  <w:r>
                    <w:rPr>
                      <w:rFonts w:ascii="Times New Roman" w:hAnsi="Times New Roman"/>
                      <w:sz w:val="24"/>
                      <w:szCs w:val="24"/>
                      <w:lang w:val="lv-LV"/>
                    </w:rPr>
                    <w:t>287</w:t>
                  </w:r>
                  <w:r w:rsidR="006135FF">
                    <w:rPr>
                      <w:rFonts w:ascii="Times New Roman" w:hAnsi="Times New Roman"/>
                      <w:sz w:val="24"/>
                      <w:szCs w:val="24"/>
                      <w:lang w:val="lv-LV"/>
                    </w:rPr>
                    <w:t xml:space="preserve"> </w:t>
                  </w:r>
                  <w:r w:rsidRPr="00A30BBB">
                    <w:rPr>
                      <w:rFonts w:ascii="Times New Roman" w:hAnsi="Times New Roman"/>
                      <w:i/>
                      <w:sz w:val="24"/>
                      <w:szCs w:val="24"/>
                      <w:lang w:val="lv-LV"/>
                    </w:rPr>
                    <w:t>euro</w:t>
                  </w:r>
                  <w:r>
                    <w:rPr>
                      <w:rFonts w:ascii="Times New Roman" w:hAnsi="Times New Roman"/>
                      <w:sz w:val="24"/>
                      <w:szCs w:val="24"/>
                      <w:lang w:val="lv-LV"/>
                    </w:rPr>
                    <w:t xml:space="preserve"> – pienākumi: </w:t>
                  </w:r>
                </w:p>
                <w:p w14:paraId="2F988EF2" w14:textId="14FAD9CD"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konsultācijas par lietotāju reģistrāciju un pārvaldību,</w:t>
                  </w:r>
                </w:p>
                <w:p w14:paraId="0AB0A585" w14:textId="1702E6BC"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e-konkursu apakšsistēmas lietošanas konsultācijas gan telefoniski, gan izmantojot EIS, pasūtītājiem, kas veic iepirkumus, kuri nav paredzēti saskaņā ar PIL 8.panta 1.daļu (10596 iepirkumi gadā) (10596 iepirkumi gadā);</w:t>
                  </w:r>
                </w:p>
                <w:p w14:paraId="3903952F" w14:textId="7E28AD96"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lastRenderedPageBreak/>
                    <w:t>-</w:t>
                  </w:r>
                  <w:r w:rsidR="009D75D4">
                    <w:rPr>
                      <w:rFonts w:ascii="Times New Roman" w:hAnsi="Times New Roman"/>
                      <w:sz w:val="24"/>
                      <w:szCs w:val="24"/>
                      <w:lang w:val="lv-LV"/>
                    </w:rPr>
                    <w:t> </w:t>
                  </w:r>
                  <w:r>
                    <w:rPr>
                      <w:rFonts w:ascii="Times New Roman" w:hAnsi="Times New Roman"/>
                      <w:sz w:val="24"/>
                      <w:szCs w:val="24"/>
                      <w:lang w:val="lv-LV"/>
                    </w:rPr>
                    <w:t>veic e-konkursu apakšsistēmas lietošanas konsultācijas gan telefoniski, gan izmantojot EIS, pasūtītājiem (lietotāju atbalsta dienests), kas veic PIL iepirkumu procedūras (3349 iepirkumi/gadā);</w:t>
                  </w:r>
                </w:p>
                <w:p w14:paraId="7829DE27" w14:textId="23B0D982"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lietotāju reģistrāciju EIS;</w:t>
                  </w:r>
                </w:p>
                <w:p w14:paraId="793C7274" w14:textId="4C8C751F"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lietotāju (organizāciju un fizisko lietotāju) inventarizāciju;</w:t>
                  </w:r>
                </w:p>
                <w:p w14:paraId="1EFFC8C0" w14:textId="398FC0E3"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organizē un veic EIS lietotāju apmācības;</w:t>
                  </w:r>
                </w:p>
                <w:p w14:paraId="06FFFB17" w14:textId="75FD407A" w:rsidR="00F83BCF" w:rsidRDefault="00F83BCF" w:rsidP="009D75D4">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zvanu centrā un pieteikumu sistēmā reģistrēto EIS kļūdu un nepilnību analīze</w:t>
                  </w:r>
                  <w:r w:rsidR="008C7FE2">
                    <w:rPr>
                      <w:rFonts w:ascii="Times New Roman" w:hAnsi="Times New Roman"/>
                      <w:sz w:val="24"/>
                      <w:szCs w:val="24"/>
                      <w:lang w:val="lv-LV"/>
                    </w:rPr>
                    <w:t xml:space="preserve">, </w:t>
                  </w:r>
                  <w:r>
                    <w:rPr>
                      <w:rFonts w:ascii="Times New Roman" w:hAnsi="Times New Roman"/>
                      <w:sz w:val="24"/>
                      <w:szCs w:val="24"/>
                      <w:lang w:val="lv-LV"/>
                    </w:rPr>
                    <w:t>kā arī EIS reģistrēto lietotāju sūdzību un ieteikumu analīze un nodošana turpmākai sistēmas analīzes un pārvalžu procesu pilnveidošanai;</w:t>
                  </w:r>
                </w:p>
                <w:p w14:paraId="2550597B" w14:textId="42A77D09"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darba uzdevumu izstrādāšana sistēmas izstrādātājam/uzturētājam;</w:t>
                  </w:r>
                </w:p>
                <w:p w14:paraId="16857909" w14:textId="54FC1BD3"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saņemto nodevumu pārbaude, analīze un testēšana;</w:t>
                  </w:r>
                </w:p>
                <w:p w14:paraId="19810E56" w14:textId="081CCF46"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sistēmas resursu turētāja funkciju veikšana;</w:t>
                  </w:r>
                </w:p>
                <w:p w14:paraId="011F6C79" w14:textId="731E4733"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atbalstu līgumu publikācijām EIS;</w:t>
                  </w:r>
                </w:p>
                <w:p w14:paraId="2D911E66" w14:textId="602696E2"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konsultācijas gan pircēju, gan piegādātāju organizācijām par "zaļo" iepirkumu piemērošanas kritērijiem saskaņā ar „Zaļā iepirkuma veicināšanas plāna 2015.-2017.gadam” mērķiem;</w:t>
                  </w:r>
                </w:p>
                <w:p w14:paraId="3347EAA0" w14:textId="35B436DC"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"zaļo" iepirkumu statistikas datu analīzes rīka izveidošanu EIS, datu apkopošanu, analīzi un aktualizēšanu;</w:t>
                  </w:r>
                </w:p>
                <w:p w14:paraId="6900CA9C" w14:textId="2E76BBBE"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datu apkopošanu pēc atsevišķiem pieprasījumiem gan pircēju organizācijām, gan uzraugošām iestādēm;</w:t>
                  </w:r>
                </w:p>
                <w:p w14:paraId="19113C6A" w14:textId="5B5012C5"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statistikas standarta pārskatu definēšanu un konfigurēšanu, veidošanu un aktualizēšanu, statistikas datu apkopošanu pēc atsevišķa pieprasījuma, EIS attīstības rādītāju aprēķināšanu;</w:t>
                  </w:r>
                </w:p>
                <w:p w14:paraId="45475AA4" w14:textId="44C4A35B"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interaktīvu apmācību materiālu sagatavošanu par izmaiņām;</w:t>
                  </w:r>
                </w:p>
                <w:p w14:paraId="5D6D1EE4" w14:textId="36F05B50"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EIS iebūvētās palīdzības sadaļas aktualizēšanu;</w:t>
                  </w:r>
                </w:p>
                <w:p w14:paraId="3E46FE73" w14:textId="52F27710"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pieteikumu analīzi un izglītojošu dokumentu sagatavošanu;</w:t>
                  </w:r>
                </w:p>
                <w:p w14:paraId="449C51A7" w14:textId="027B9A8E" w:rsidR="00F83BCF" w:rsidRDefault="00F83BCF" w:rsidP="00983EA0">
                  <w:pPr>
                    <w:spacing w:after="120" w:line="240" w:lineRule="auto"/>
                    <w:jc w:val="both"/>
                    <w:rPr>
                      <w:rFonts w:ascii="Times New Roman" w:hAnsi="Times New Roman"/>
                      <w:sz w:val="24"/>
                      <w:szCs w:val="24"/>
                      <w:lang w:val="lv-LV"/>
                    </w:rPr>
                  </w:pPr>
                  <w:r>
                    <w:rPr>
                      <w:rFonts w:ascii="Times New Roman" w:hAnsi="Times New Roman"/>
                      <w:sz w:val="24"/>
                      <w:szCs w:val="24"/>
                      <w:lang w:val="lv-LV"/>
                    </w:rPr>
                    <w:t>-</w:t>
                  </w:r>
                  <w:r w:rsidR="009D75D4">
                    <w:rPr>
                      <w:rFonts w:ascii="Times New Roman" w:hAnsi="Times New Roman"/>
                      <w:sz w:val="24"/>
                      <w:szCs w:val="24"/>
                      <w:lang w:val="lv-LV"/>
                    </w:rPr>
                    <w:t> </w:t>
                  </w:r>
                  <w:r>
                    <w:rPr>
                      <w:rFonts w:ascii="Times New Roman" w:hAnsi="Times New Roman"/>
                      <w:sz w:val="24"/>
                      <w:szCs w:val="24"/>
                      <w:lang w:val="lv-LV"/>
                    </w:rPr>
                    <w:t>veic sistēmas konfigurācijas parametru uzturēšanu (t.sk. aktualizēšanu).</w:t>
                  </w:r>
                </w:p>
                <w:p w14:paraId="4A891E78" w14:textId="77777777" w:rsidR="00F83BCF" w:rsidRPr="007772AD" w:rsidRDefault="00F83BCF" w:rsidP="00983EA0">
                  <w:pPr>
                    <w:spacing w:after="120" w:line="240" w:lineRule="auto"/>
                    <w:jc w:val="both"/>
                    <w:rPr>
                      <w:rFonts w:ascii="Times New Roman" w:hAnsi="Times New Roman"/>
                      <w:sz w:val="24"/>
                      <w:szCs w:val="24"/>
                      <w:lang w:val="lv-LV"/>
                    </w:rPr>
                  </w:pPr>
                  <w:r w:rsidRPr="00F02CE8">
                    <w:rPr>
                      <w:rFonts w:ascii="Times New Roman" w:hAnsi="Times New Roman"/>
                      <w:sz w:val="24"/>
                      <w:szCs w:val="24"/>
                      <w:lang w:val="lv-LV"/>
                    </w:rPr>
                    <w:t>Nepieciešamais finansējums atlīdzībai aprēķināts atbilstoši MK 2009.gada 15.decembra instrukcijas Nr.19 “Tiesību aktu projekta sākotnējās ietekmes izvērtēšanas kārtība” noteiktajai kārtībai.</w:t>
                  </w:r>
                </w:p>
                <w:p w14:paraId="0962CAB9" w14:textId="37391553" w:rsidR="00F83BCF" w:rsidRDefault="00983EA0" w:rsidP="00983EA0">
                  <w:pPr>
                    <w:pStyle w:val="NoSpacing"/>
                    <w:spacing w:after="12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4.</w:t>
                  </w:r>
                  <w:r w:rsidR="00F83BCF">
                    <w:rPr>
                      <w:rFonts w:ascii="Times New Roman" w:eastAsia="Times New Roman" w:hAnsi="Times New Roman"/>
                      <w:color w:val="000000" w:themeColor="text1"/>
                      <w:sz w:val="24"/>
                      <w:szCs w:val="24"/>
                      <w:lang w:eastAsia="lv-LV"/>
                    </w:rPr>
                    <w:t xml:space="preserve"> </w:t>
                  </w:r>
                  <w:r w:rsidR="00F83BCF">
                    <w:rPr>
                      <w:rFonts w:ascii="Times New Roman" w:eastAsia="Times New Roman" w:hAnsi="Times New Roman"/>
                      <w:b/>
                      <w:color w:val="000000" w:themeColor="text1"/>
                      <w:sz w:val="24"/>
                      <w:szCs w:val="24"/>
                      <w:lang w:eastAsia="lv-LV"/>
                    </w:rPr>
                    <w:t>Darba vietu uzturēšana</w:t>
                  </w:r>
                  <w:r w:rsidR="00F83BCF">
                    <w:rPr>
                      <w:rFonts w:ascii="Times New Roman" w:eastAsia="Times New Roman" w:hAnsi="Times New Roman"/>
                      <w:color w:val="000000" w:themeColor="text1"/>
                      <w:sz w:val="24"/>
                      <w:szCs w:val="24"/>
                      <w:lang w:eastAsia="lv-LV"/>
                    </w:rPr>
                    <w:t xml:space="preserve"> </w:t>
                  </w:r>
                  <w:r w:rsidR="00F83BCF">
                    <w:rPr>
                      <w:rFonts w:ascii="Times New Roman" w:eastAsia="Times New Roman" w:hAnsi="Times New Roman"/>
                      <w:b/>
                      <w:color w:val="000000" w:themeColor="text1"/>
                      <w:sz w:val="24"/>
                      <w:szCs w:val="24"/>
                      <w:lang w:eastAsia="lv-LV"/>
                    </w:rPr>
                    <w:t>EIS darbiniekiem</w:t>
                  </w:r>
                  <w:r w:rsidR="00F83BCF">
                    <w:rPr>
                      <w:rFonts w:ascii="Times New Roman" w:eastAsia="Times New Roman" w:hAnsi="Times New Roman"/>
                      <w:color w:val="000000" w:themeColor="text1"/>
                      <w:sz w:val="24"/>
                      <w:szCs w:val="24"/>
                      <w:lang w:eastAsia="lv-LV"/>
                    </w:rPr>
                    <w:t xml:space="preserve"> = 2401 </w:t>
                  </w:r>
                  <w:r w:rsidR="00A30BBB" w:rsidRPr="00A30BBB">
                    <w:rPr>
                      <w:rFonts w:ascii="Times New Roman" w:eastAsia="Times New Roman" w:hAnsi="Times New Roman"/>
                      <w:i/>
                      <w:color w:val="000000" w:themeColor="text1"/>
                      <w:sz w:val="24"/>
                      <w:szCs w:val="24"/>
                      <w:lang w:eastAsia="lv-LV"/>
                    </w:rPr>
                    <w:t>euro</w:t>
                  </w:r>
                  <w:r w:rsidR="00A30BBB">
                    <w:rPr>
                      <w:rFonts w:ascii="Times New Roman" w:eastAsia="Times New Roman" w:hAnsi="Times New Roman"/>
                      <w:color w:val="000000" w:themeColor="text1"/>
                      <w:sz w:val="24"/>
                      <w:szCs w:val="24"/>
                      <w:lang w:eastAsia="lv-LV"/>
                    </w:rPr>
                    <w:t xml:space="preserve"> </w:t>
                  </w:r>
                  <w:r w:rsidR="00F83BCF">
                    <w:rPr>
                      <w:rFonts w:ascii="Times New Roman" w:eastAsia="Times New Roman" w:hAnsi="Times New Roman"/>
                      <w:color w:val="000000" w:themeColor="text1"/>
                      <w:sz w:val="24"/>
                      <w:szCs w:val="24"/>
                      <w:lang w:eastAsia="lv-LV"/>
                    </w:rPr>
                    <w:t>- vidējie VRAA uzturēšanas izdevumi gadā uz 1 darbinieku: iztirzājums/ skaidrojums-</w:t>
                  </w:r>
                </w:p>
                <w:p w14:paraId="2E07C89D" w14:textId="79585F8E" w:rsidR="00F83BCF" w:rsidRDefault="00F83BCF" w:rsidP="00983EA0">
                  <w:pPr>
                    <w:pStyle w:val="NoSpacing"/>
                    <w:spacing w:after="120"/>
                    <w:jc w:val="both"/>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 xml:space="preserve"> (EKK 2110 vietējie komandējumi – 270</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 EKK 2219 pasts, internets, telefons – 120</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 EKK 2223 elektrība – 254</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 EKK 2229 komunālie pakalpojumi – 317</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 EKK 2230 administratīvie izdevumi – 90</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 xml:space="preserve">, EKK 2240 tehnikas remonts, telpu uzturēšana </w:t>
                  </w:r>
                  <w:r w:rsidR="00DD5FB3">
                    <w:rPr>
                      <w:rFonts w:ascii="Times New Roman" w:eastAsia="Times New Roman" w:hAnsi="Times New Roman"/>
                      <w:color w:val="000000" w:themeColor="text1"/>
                      <w:sz w:val="24"/>
                      <w:szCs w:val="24"/>
                      <w:lang w:eastAsia="lv-LV"/>
                    </w:rPr>
                    <w:t>–</w:t>
                  </w:r>
                  <w:r>
                    <w:rPr>
                      <w:rFonts w:ascii="Times New Roman" w:eastAsia="Times New Roman" w:hAnsi="Times New Roman"/>
                      <w:color w:val="000000" w:themeColor="text1"/>
                      <w:sz w:val="24"/>
                      <w:szCs w:val="24"/>
                      <w:lang w:eastAsia="lv-LV"/>
                    </w:rPr>
                    <w:t xml:space="preserve"> 429</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 EKK 2260 telpu īre – 772</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 EKK 2310 biroja preces un inventārs – 149</w:t>
                  </w:r>
                  <w:r w:rsidR="00DD5FB3">
                    <w:rPr>
                      <w:rFonts w:ascii="Times New Roman" w:eastAsia="Times New Roman" w:hAnsi="Times New Roman"/>
                      <w:color w:val="000000" w:themeColor="text1"/>
                      <w:sz w:val="24"/>
                      <w:szCs w:val="24"/>
                      <w:lang w:eastAsia="lv-LV"/>
                    </w:rPr>
                    <w:t xml:space="preserve"> </w:t>
                  </w:r>
                  <w:r w:rsidRPr="00DD5FB3">
                    <w:rPr>
                      <w:rFonts w:ascii="Times New Roman" w:eastAsia="Times New Roman" w:hAnsi="Times New Roman"/>
                      <w:i/>
                      <w:color w:val="000000" w:themeColor="text1"/>
                      <w:sz w:val="24"/>
                      <w:szCs w:val="24"/>
                      <w:lang w:eastAsia="lv-LV"/>
                    </w:rPr>
                    <w:t>euro</w:t>
                  </w:r>
                  <w:r>
                    <w:rPr>
                      <w:rFonts w:ascii="Times New Roman" w:eastAsia="Times New Roman" w:hAnsi="Times New Roman"/>
                      <w:color w:val="000000" w:themeColor="text1"/>
                      <w:sz w:val="24"/>
                      <w:szCs w:val="24"/>
                      <w:lang w:eastAsia="lv-LV"/>
                    </w:rPr>
                    <w:t>).</w:t>
                  </w:r>
                </w:p>
                <w:p w14:paraId="7BA80BB8" w14:textId="77777777" w:rsidR="00F83BCF" w:rsidRPr="00231249" w:rsidRDefault="00F83BCF" w:rsidP="00983EA0">
                  <w:pPr>
                    <w:pStyle w:val="NoSpacing"/>
                    <w:spacing w:after="120"/>
                    <w:jc w:val="both"/>
                    <w:rPr>
                      <w:rFonts w:ascii="Times New Roman" w:hAnsi="Times New Roman"/>
                      <w:sz w:val="24"/>
                      <w:szCs w:val="24"/>
                    </w:rPr>
                  </w:pPr>
                  <w:r>
                    <w:rPr>
                      <w:rFonts w:ascii="Times New Roman" w:hAnsi="Times New Roman"/>
                      <w:sz w:val="24"/>
                      <w:szCs w:val="24"/>
                    </w:rPr>
                    <w:t xml:space="preserve">Jautājums par nepieciešamo finansējumu </w:t>
                  </w:r>
                  <w:r w:rsidRPr="00231249">
                    <w:rPr>
                      <w:rFonts w:ascii="Times New Roman" w:hAnsi="Times New Roman"/>
                      <w:sz w:val="24"/>
                      <w:szCs w:val="24"/>
                    </w:rPr>
                    <w:t>2017.</w:t>
                  </w:r>
                  <w:r>
                    <w:rPr>
                      <w:rFonts w:ascii="Times New Roman" w:hAnsi="Times New Roman"/>
                      <w:sz w:val="24"/>
                      <w:szCs w:val="24"/>
                    </w:rPr>
                    <w:t>gadā</w:t>
                  </w:r>
                  <w:r w:rsidRPr="00231249">
                    <w:rPr>
                      <w:rFonts w:ascii="Times New Roman" w:hAnsi="Times New Roman"/>
                      <w:sz w:val="24"/>
                      <w:szCs w:val="24"/>
                    </w:rPr>
                    <w:t xml:space="preserve"> un turpmākajos </w:t>
                  </w:r>
                  <w:r>
                    <w:rPr>
                      <w:rFonts w:ascii="Times New Roman" w:hAnsi="Times New Roman"/>
                      <w:sz w:val="24"/>
                      <w:szCs w:val="24"/>
                    </w:rPr>
                    <w:t xml:space="preserve">ir skatāms </w:t>
                  </w:r>
                  <w:r w:rsidRPr="00231249">
                    <w:rPr>
                      <w:rFonts w:ascii="Times New Roman" w:hAnsi="Times New Roman"/>
                      <w:sz w:val="24"/>
                      <w:szCs w:val="24"/>
                    </w:rPr>
                    <w:t xml:space="preserve">Ministru kabinetā likumprojekta „Par vidēja termiņa budžeta </w:t>
                  </w:r>
                  <w:r w:rsidRPr="00231249">
                    <w:rPr>
                      <w:rFonts w:ascii="Times New Roman" w:hAnsi="Times New Roman"/>
                      <w:sz w:val="24"/>
                      <w:szCs w:val="24"/>
                    </w:rPr>
                    <w:lastRenderedPageBreak/>
                    <w:t>ietvaru 2017., 2018. un 2019.gadam” un likumprojekta „Par valsts budžetu 2017.gadam”  sagatavošanas procesā  kopā ar visu ministriju un citu centrālo valsts iestāžu jauno politikas iniciatīvu pieteikumiem, ievērojot valsts budžeta finansiālās iespējas.</w:t>
                  </w:r>
                </w:p>
                <w:p w14:paraId="78D68621" w14:textId="23F3E11A" w:rsidR="00F83BCF" w:rsidRPr="00B328BB" w:rsidRDefault="00F83BCF" w:rsidP="00F75C93">
                  <w:pPr>
                    <w:pStyle w:val="NoSpacing"/>
                    <w:spacing w:after="120"/>
                    <w:jc w:val="both"/>
                    <w:rPr>
                      <w:rFonts w:ascii="Times New Roman" w:eastAsia="Times New Roman" w:hAnsi="Times New Roman"/>
                      <w:color w:val="000000" w:themeColor="text1"/>
                      <w:sz w:val="24"/>
                      <w:szCs w:val="24"/>
                      <w:lang w:eastAsia="lv-LV"/>
                    </w:rPr>
                  </w:pPr>
                  <w:r w:rsidRPr="00231249">
                    <w:rPr>
                      <w:rFonts w:ascii="Times New Roman" w:hAnsi="Times New Roman"/>
                      <w:sz w:val="24"/>
                    </w:rPr>
                    <w:t>VARAM papildu nepieciešam</w:t>
                  </w:r>
                  <w:r>
                    <w:rPr>
                      <w:rFonts w:ascii="Times New Roman" w:hAnsi="Times New Roman"/>
                      <w:sz w:val="24"/>
                    </w:rPr>
                    <w:t xml:space="preserve">o </w:t>
                  </w:r>
                  <w:r w:rsidRPr="00231249">
                    <w:rPr>
                      <w:rFonts w:ascii="Times New Roman" w:hAnsi="Times New Roman"/>
                      <w:sz w:val="24"/>
                    </w:rPr>
                    <w:t>finansējum</w:t>
                  </w:r>
                  <w:r>
                    <w:rPr>
                      <w:rFonts w:ascii="Times New Roman" w:hAnsi="Times New Roman"/>
                      <w:sz w:val="24"/>
                    </w:rPr>
                    <w:t>u</w:t>
                  </w:r>
                  <w:r w:rsidRPr="00231249">
                    <w:rPr>
                      <w:rFonts w:ascii="Times New Roman" w:hAnsi="Times New Roman"/>
                      <w:sz w:val="24"/>
                    </w:rPr>
                    <w:t xml:space="preserve"> EIS un jaunizveidotās e</w:t>
                  </w:r>
                  <w:r>
                    <w:rPr>
                      <w:rFonts w:ascii="Times New Roman" w:hAnsi="Times New Roman"/>
                      <w:sz w:val="24"/>
                    </w:rPr>
                    <w:noBreakHyphen/>
                  </w:r>
                  <w:r w:rsidRPr="00231249">
                    <w:rPr>
                      <w:rFonts w:ascii="Times New Roman" w:hAnsi="Times New Roman"/>
                      <w:sz w:val="24"/>
                    </w:rPr>
                    <w:t xml:space="preserve">konkursu apakšsistēmas un e-izsoļu apakšsistēmas uzturēšanai </w:t>
                  </w:r>
                  <w:r w:rsidRPr="00231249">
                    <w:rPr>
                      <w:rFonts w:ascii="Times New Roman" w:hAnsi="Times New Roman"/>
                      <w:sz w:val="24"/>
                      <w:szCs w:val="24"/>
                    </w:rPr>
                    <w:t xml:space="preserve">(pakalpojumiem un kapitālie ieguldījumiem), kas nav iekļauti anotācijā, </w:t>
                  </w:r>
                  <w:r>
                    <w:rPr>
                      <w:rFonts w:ascii="Times New Roman" w:hAnsi="Times New Roman"/>
                      <w:sz w:val="24"/>
                      <w:szCs w:val="24"/>
                    </w:rPr>
                    <w:t xml:space="preserve">plāno pieprasīt </w:t>
                  </w:r>
                  <w:r w:rsidRPr="00231249">
                    <w:rPr>
                      <w:rFonts w:ascii="Times New Roman" w:hAnsi="Times New Roman"/>
                      <w:sz w:val="24"/>
                      <w:shd w:val="clear" w:color="auto" w:fill="FFFFFF"/>
                    </w:rPr>
                    <w:t xml:space="preserve">Likumā </w:t>
                  </w:r>
                  <w:r>
                    <w:rPr>
                      <w:rFonts w:ascii="Times New Roman" w:hAnsi="Times New Roman"/>
                      <w:sz w:val="24"/>
                      <w:shd w:val="clear" w:color="auto" w:fill="FFFFFF"/>
                    </w:rPr>
                    <w:t>“P</w:t>
                  </w:r>
                  <w:r w:rsidRPr="00231249">
                    <w:rPr>
                      <w:rFonts w:ascii="Times New Roman" w:hAnsi="Times New Roman"/>
                      <w:sz w:val="24"/>
                      <w:shd w:val="clear" w:color="auto" w:fill="FFFFFF"/>
                    </w:rPr>
                    <w:t>ar valsts budžetu 2016.gadam</w:t>
                  </w:r>
                  <w:r>
                    <w:rPr>
                      <w:rFonts w:ascii="Times New Roman" w:hAnsi="Times New Roman"/>
                      <w:sz w:val="24"/>
                      <w:shd w:val="clear" w:color="auto" w:fill="FFFFFF"/>
                    </w:rPr>
                    <w:t>”</w:t>
                  </w:r>
                  <w:r w:rsidRPr="00231249">
                    <w:rPr>
                      <w:rFonts w:ascii="Times New Roman" w:hAnsi="Times New Roman"/>
                      <w:sz w:val="24"/>
                      <w:shd w:val="clear" w:color="auto" w:fill="FFFFFF"/>
                    </w:rPr>
                    <w:t xml:space="preserve"> 33.panta otrajā daļā</w:t>
                  </w:r>
                  <w:r w:rsidRPr="00231249">
                    <w:rPr>
                      <w:vertAlign w:val="superscript"/>
                    </w:rPr>
                    <w:footnoteReference w:customMarkFollows="1" w:id="1"/>
                    <w:t>[1]</w:t>
                  </w:r>
                  <w:r w:rsidRPr="00231249">
                    <w:rPr>
                      <w:rFonts w:ascii="Times New Roman" w:hAnsi="Times New Roman"/>
                      <w:sz w:val="24"/>
                      <w:shd w:val="clear" w:color="auto" w:fill="FFFFFF"/>
                    </w:rPr>
                    <w:t xml:space="preserve"> noteiktajā kārtībā</w:t>
                  </w:r>
                  <w:r w:rsidRPr="00231249">
                    <w:rPr>
                      <w:rFonts w:ascii="Times New Roman" w:hAnsi="Times New Roman"/>
                      <w:sz w:val="24"/>
                    </w:rPr>
                    <w:t>.</w:t>
                  </w:r>
                </w:p>
              </w:tc>
            </w:tr>
          </w:tbl>
          <w:p w14:paraId="3C181B08" w14:textId="77777777" w:rsidR="005533E2" w:rsidRPr="00B42BC1" w:rsidRDefault="005533E2" w:rsidP="00244C96">
            <w:pPr>
              <w:widowControl/>
              <w:spacing w:after="0" w:line="240" w:lineRule="auto"/>
              <w:rPr>
                <w:rFonts w:ascii="Times New Roman" w:eastAsia="Times New Roman" w:hAnsi="Times New Roman"/>
                <w:color w:val="000000" w:themeColor="text1"/>
                <w:sz w:val="24"/>
                <w:szCs w:val="24"/>
                <w:lang w:val="lv-LV" w:eastAsia="lv-LV"/>
              </w:rPr>
            </w:pPr>
          </w:p>
        </w:tc>
      </w:tr>
    </w:tbl>
    <w:p w14:paraId="222D7F7D" w14:textId="77777777" w:rsidR="006B2EB6" w:rsidRPr="00B42BC1"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94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2"/>
        <w:gridCol w:w="2734"/>
        <w:gridCol w:w="6223"/>
      </w:tblGrid>
      <w:tr w:rsidR="00B42BC1" w:rsidRPr="00B42BC1" w14:paraId="4DF09D0F" w14:textId="77777777" w:rsidTr="00244C96">
        <w:tc>
          <w:tcPr>
            <w:tcW w:w="9072" w:type="dxa"/>
            <w:gridSpan w:val="3"/>
            <w:tcBorders>
              <w:top w:val="outset" w:sz="6" w:space="0" w:color="414142"/>
              <w:left w:val="outset" w:sz="6" w:space="0" w:color="414142"/>
              <w:bottom w:val="outset" w:sz="6" w:space="0" w:color="414142"/>
              <w:right w:val="outset" w:sz="6" w:space="0" w:color="414142"/>
            </w:tcBorders>
            <w:hideMark/>
          </w:tcPr>
          <w:p w14:paraId="46809568" w14:textId="77777777" w:rsidR="006B2EB6" w:rsidRPr="00B42BC1"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b/>
                <w:bCs/>
                <w:color w:val="000000" w:themeColor="text1"/>
                <w:sz w:val="24"/>
                <w:szCs w:val="24"/>
                <w:lang w:val="lv-LV" w:eastAsia="lv-LV"/>
              </w:rPr>
              <w:t>IV. Tiesību akta projekta ietekme uz spēkā esošo tiesību normu sistēmu</w:t>
            </w:r>
          </w:p>
        </w:tc>
      </w:tr>
      <w:tr w:rsidR="00B42BC1" w:rsidRPr="00B42BC1" w14:paraId="1C2E2D71" w14:textId="77777777" w:rsidTr="005533E2">
        <w:tc>
          <w:tcPr>
            <w:tcW w:w="472" w:type="dxa"/>
            <w:tcBorders>
              <w:top w:val="outset" w:sz="6" w:space="0" w:color="414142"/>
              <w:left w:val="outset" w:sz="6" w:space="0" w:color="414142"/>
              <w:bottom w:val="outset" w:sz="6" w:space="0" w:color="414142"/>
              <w:right w:val="outset" w:sz="6" w:space="0" w:color="414142"/>
            </w:tcBorders>
            <w:hideMark/>
          </w:tcPr>
          <w:p w14:paraId="22C61FF8"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w:t>
            </w:r>
          </w:p>
        </w:tc>
        <w:tc>
          <w:tcPr>
            <w:tcW w:w="2734" w:type="dxa"/>
            <w:tcBorders>
              <w:top w:val="outset" w:sz="6" w:space="0" w:color="414142"/>
              <w:left w:val="outset" w:sz="6" w:space="0" w:color="414142"/>
              <w:bottom w:val="outset" w:sz="6" w:space="0" w:color="414142"/>
              <w:right w:val="outset" w:sz="6" w:space="0" w:color="414142"/>
            </w:tcBorders>
            <w:hideMark/>
          </w:tcPr>
          <w:p w14:paraId="25C52691"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Nepieciešamie saistītie tiesību aktu projekti</w:t>
            </w:r>
          </w:p>
        </w:tc>
        <w:tc>
          <w:tcPr>
            <w:tcW w:w="6222" w:type="dxa"/>
            <w:tcBorders>
              <w:top w:val="outset" w:sz="6" w:space="0" w:color="414142"/>
              <w:left w:val="outset" w:sz="6" w:space="0" w:color="414142"/>
              <w:bottom w:val="outset" w:sz="6" w:space="0" w:color="414142"/>
              <w:right w:val="outset" w:sz="6" w:space="0" w:color="414142"/>
            </w:tcBorders>
          </w:tcPr>
          <w:p w14:paraId="1765485E" w14:textId="77777777" w:rsidR="006B2EB6" w:rsidRPr="00B42BC1" w:rsidRDefault="00CD4A5D" w:rsidP="0066180E">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Likumprojektā dots deleģējums Ministru kabinetam izdot šādus noteikumus:</w:t>
            </w:r>
          </w:p>
          <w:p w14:paraId="239600C3" w14:textId="77777777" w:rsidR="00CD4A5D" w:rsidRPr="00B42BC1" w:rsidRDefault="008E7FC1" w:rsidP="0066180E">
            <w:pPr>
              <w:pStyle w:val="ListParagraph"/>
              <w:widowControl/>
              <w:numPr>
                <w:ilvl w:val="0"/>
                <w:numId w:val="6"/>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Noteikumi par iepirkumu procedūru un tās piemērošanas kārtību pasūtītāja finansētiem projektiem, kuri nosaka iepirkuma procedūru un tās piemērošanas kārtību, kā arī personas, kuras piemēro šo procedūru, ja līguma izpildi, kas nav minēts </w:t>
            </w:r>
            <w:r w:rsidR="004B6EC8" w:rsidRPr="00B42BC1">
              <w:rPr>
                <w:rFonts w:ascii="Times New Roman" w:eastAsia="Times New Roman" w:hAnsi="Times New Roman"/>
                <w:color w:val="000000" w:themeColor="text1"/>
                <w:sz w:val="24"/>
                <w:szCs w:val="24"/>
                <w:lang w:val="lv-LV" w:eastAsia="lv-LV"/>
              </w:rPr>
              <w:t>likumprojekta</w:t>
            </w:r>
            <w:r w:rsidRPr="00B42BC1">
              <w:rPr>
                <w:rFonts w:ascii="Times New Roman" w:eastAsia="Times New Roman" w:hAnsi="Times New Roman"/>
                <w:color w:val="000000" w:themeColor="text1"/>
                <w:sz w:val="24"/>
                <w:szCs w:val="24"/>
                <w:lang w:val="lv-LV" w:eastAsia="lv-LV"/>
              </w:rPr>
              <w:t xml:space="preserve"> 7.pantā, no saviem līdzekļiem vai no Eiropas Savienības politiku instrumentu vai citas ārvalstu finanšu palīdzības un nacionālā līdzfinansējuma līdzekļiem finansē </w:t>
            </w:r>
            <w:r w:rsidR="004B6EC8" w:rsidRPr="00B42BC1">
              <w:rPr>
                <w:rFonts w:ascii="Times New Roman" w:eastAsia="Times New Roman" w:hAnsi="Times New Roman"/>
                <w:color w:val="000000" w:themeColor="text1"/>
                <w:sz w:val="24"/>
                <w:szCs w:val="24"/>
                <w:lang w:val="lv-LV" w:eastAsia="lv-LV"/>
              </w:rPr>
              <w:t>pasūtītājs</w:t>
            </w:r>
            <w:r w:rsidRPr="00B42BC1">
              <w:rPr>
                <w:rFonts w:ascii="Times New Roman" w:eastAsia="Times New Roman" w:hAnsi="Times New Roman"/>
                <w:color w:val="000000" w:themeColor="text1"/>
                <w:sz w:val="24"/>
                <w:szCs w:val="24"/>
                <w:lang w:val="lv-LV" w:eastAsia="lv-LV"/>
              </w:rPr>
              <w:t>;</w:t>
            </w:r>
          </w:p>
          <w:p w14:paraId="4CA7FEAC" w14:textId="77777777" w:rsidR="004B6EC8" w:rsidRPr="00B42BC1" w:rsidRDefault="00FD5F71" w:rsidP="0066180E">
            <w:pPr>
              <w:pStyle w:val="ListParagraph"/>
              <w:widowControl/>
              <w:numPr>
                <w:ilvl w:val="0"/>
                <w:numId w:val="6"/>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Noteikumi iepirkumu procedūru norises kārtībai</w:t>
            </w:r>
            <w:r w:rsidR="004B6EC8" w:rsidRPr="00B42BC1">
              <w:rPr>
                <w:rFonts w:ascii="Times New Roman" w:eastAsia="Times New Roman" w:hAnsi="Times New Roman"/>
                <w:color w:val="000000" w:themeColor="text1"/>
                <w:sz w:val="24"/>
                <w:szCs w:val="24"/>
                <w:lang w:val="lv-LV" w:eastAsia="lv-LV"/>
              </w:rPr>
              <w:t>, kuri paredzēs detalizētu likumprojekta 8.panta pirmajā daļā minēto iepirkuma procedūru norises kārtību;</w:t>
            </w:r>
          </w:p>
          <w:p w14:paraId="63E1F169" w14:textId="77777777" w:rsidR="008E7FC1" w:rsidRPr="00B42BC1" w:rsidRDefault="0066180E" w:rsidP="0066180E">
            <w:pPr>
              <w:pStyle w:val="ListParagraph"/>
              <w:widowControl/>
              <w:numPr>
                <w:ilvl w:val="0"/>
                <w:numId w:val="6"/>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Noteikumi par </w:t>
            </w:r>
            <w:r w:rsidR="00C575F6" w:rsidRPr="00B42BC1">
              <w:rPr>
                <w:rFonts w:ascii="Times New Roman" w:eastAsia="Times New Roman" w:hAnsi="Times New Roman"/>
                <w:color w:val="000000" w:themeColor="text1"/>
                <w:sz w:val="24"/>
                <w:szCs w:val="24"/>
                <w:lang w:val="lv-LV" w:eastAsia="lv-LV"/>
              </w:rPr>
              <w:t xml:space="preserve">paredzamās līgumcenas noteikšanas kārtību publiskam būvdarbu līgumam; </w:t>
            </w:r>
          </w:p>
          <w:p w14:paraId="6DF73CAE" w14:textId="77777777" w:rsidR="0066180E" w:rsidRPr="00B42BC1" w:rsidRDefault="00B07F1F" w:rsidP="00C575F6">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Noteikumi par publisko iepirkumu līgumcenu robežvērtībām, kuri noteiks publisko iepirkumu līgumcenu robežvērtībām, pamatojoties uz Eiropas Savienības starptautiskajām saistībām attiecībā uz līgumcenu robežvērtībām, kas jāievēro pasūtītājam;</w:t>
            </w:r>
          </w:p>
          <w:p w14:paraId="40DFE2DC" w14:textId="77777777" w:rsidR="00954557" w:rsidRPr="00B42BC1" w:rsidRDefault="005F0FA6" w:rsidP="00954557">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Noteikumus centralizētajiem elektroniskajiem iepirkumiem, kas noteiks centralizēto iepirkumu institūciju un tās sniegto pakalpojumu izmantošanas nosacījumus, un centralizēti iepērkamo preču un pakalpojumu grupas;</w:t>
            </w:r>
          </w:p>
          <w:p w14:paraId="680EF14E" w14:textId="77777777" w:rsidR="006B0CF1" w:rsidRPr="00B42BC1" w:rsidRDefault="00954557" w:rsidP="006B0CF1">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Noteikumi zaļā publiskā iepirkuma piemērošanai, kas noteiks minimālās preču, pakalpojumu un būvdarbu iepirkumos piemērojamās obligātās prasības, vērtēšanas kritērijus un iepirkuma līguma izpildes noteikumus, kā arī to piemērošanas kārtību;</w:t>
            </w:r>
          </w:p>
          <w:p w14:paraId="204C1FF2" w14:textId="77777777" w:rsidR="00FD66C1" w:rsidRPr="00B42BC1" w:rsidRDefault="001D36B9" w:rsidP="00FD66C1">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 xml:space="preserve">Noteikumi par publisko iepirkumu paziņojumu saturu un sagatavošanas kārtību, kas noteiks likumprojekta 27.pantā, 28.pantā, 29.panta pirmajā daļā, 30.pantā, 31. pantā un 32.pantā un 33.pantā minēto paziņojumu saturu un sagatavošanas kārtību atbilstoši </w:t>
            </w:r>
            <w:r w:rsidR="006B0CF1" w:rsidRPr="00B42BC1">
              <w:rPr>
                <w:rFonts w:ascii="Times New Roman" w:eastAsia="Times New Roman" w:hAnsi="Times New Roman"/>
                <w:color w:val="000000" w:themeColor="text1"/>
                <w:sz w:val="24"/>
                <w:szCs w:val="24"/>
                <w:lang w:val="lv-LV" w:eastAsia="lv-LV"/>
              </w:rPr>
              <w:t>paziņojumu veidlapu paraugiem</w:t>
            </w:r>
            <w:r w:rsidR="000C2F91" w:rsidRPr="00B42BC1">
              <w:rPr>
                <w:rFonts w:ascii="Times New Roman" w:eastAsia="Times New Roman" w:hAnsi="Times New Roman"/>
                <w:color w:val="000000" w:themeColor="text1"/>
                <w:sz w:val="24"/>
                <w:szCs w:val="24"/>
                <w:lang w:val="lv-LV" w:eastAsia="lv-LV"/>
              </w:rPr>
              <w:t>, kurus</w:t>
            </w:r>
            <w:r w:rsidR="006B0CF1" w:rsidRPr="00B42BC1">
              <w:rPr>
                <w:rFonts w:ascii="Times New Roman" w:eastAsia="Times New Roman" w:hAnsi="Times New Roman"/>
                <w:color w:val="000000" w:themeColor="text1"/>
                <w:sz w:val="24"/>
                <w:szCs w:val="24"/>
                <w:lang w:val="lv-LV" w:eastAsia="lv-LV"/>
              </w:rPr>
              <w:t xml:space="preserve"> nosaka Eiropas Komisijas 2015.gada 11.novembra īstenošanas regula (ES) 2015/1986, ar ko izveido standarta veidlapas paziņojumu publicēšanai publisko iepirkumu jomā un atceļ Īstenošanas regulu (ES) Nr.842/2011</w:t>
            </w:r>
            <w:r w:rsidR="00FD66C1" w:rsidRPr="00B42BC1">
              <w:rPr>
                <w:rFonts w:ascii="Times New Roman" w:eastAsia="Times New Roman" w:hAnsi="Times New Roman"/>
                <w:color w:val="000000" w:themeColor="text1"/>
                <w:sz w:val="24"/>
                <w:szCs w:val="24"/>
                <w:lang w:val="lv-LV" w:eastAsia="lv-LV"/>
              </w:rPr>
              <w:t>;</w:t>
            </w:r>
          </w:p>
          <w:p w14:paraId="23723BE4" w14:textId="77777777" w:rsidR="00355740" w:rsidRPr="00B42BC1" w:rsidRDefault="00FD66C1" w:rsidP="00F61F69">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Noteikumi prasībām un standartiem sistēmām, kas tiks izmantotas elektroniskai piedāvājumu un pieteikumu iesniegšanai;</w:t>
            </w:r>
          </w:p>
          <w:p w14:paraId="70705D69" w14:textId="77777777" w:rsidR="00F61F69" w:rsidRPr="00B42BC1" w:rsidRDefault="00F61F69" w:rsidP="00F61F69">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Publisko iepirkumu elektronisko izziņu noteikumi, kas noteiks informācijas sistēmu, kurā veicama likumprojekta 42.panta panta astotajā daļā minētā pārbaude, kā arī šīs sistēmas uzturēšanas un izmantošanas kārtību, likumprojekta 42.panta astotās daļas 1.punktā minētās pārbaudāmās informācijas apstrādes mērķi un apjomu, kā arī tos Latvijas Administratīvo pārkāpumu kodeksa, Krimināllikuma un citu likumu pantus, kuri atbilst </w:t>
            </w:r>
            <w:r w:rsidR="00355740" w:rsidRPr="00B42BC1">
              <w:rPr>
                <w:rFonts w:ascii="Times New Roman" w:eastAsia="Times New Roman" w:hAnsi="Times New Roman"/>
                <w:color w:val="000000" w:themeColor="text1"/>
                <w:sz w:val="24"/>
                <w:szCs w:val="24"/>
                <w:lang w:val="lv-LV" w:eastAsia="lv-LV"/>
              </w:rPr>
              <w:t>likumprojekta 42.</w:t>
            </w:r>
            <w:r w:rsidRPr="00B42BC1">
              <w:rPr>
                <w:rFonts w:ascii="Times New Roman" w:eastAsia="Times New Roman" w:hAnsi="Times New Roman"/>
                <w:color w:val="000000" w:themeColor="text1"/>
                <w:sz w:val="24"/>
                <w:szCs w:val="24"/>
                <w:lang w:val="lv-LV" w:eastAsia="lv-LV"/>
              </w:rPr>
              <w:t>panta pirmajā un otrajā daļā noteiktajiem kandidātu un pretendentu izslēgšanas gadījumiem un par kuros paredzētajiem pārkāpumiem un noziedzīgajiem nodarījumiem veicama</w:t>
            </w:r>
            <w:r w:rsidR="00355740" w:rsidRPr="00B42BC1">
              <w:rPr>
                <w:rFonts w:ascii="Times New Roman" w:eastAsia="Times New Roman" w:hAnsi="Times New Roman"/>
                <w:color w:val="000000" w:themeColor="text1"/>
                <w:sz w:val="24"/>
                <w:szCs w:val="24"/>
                <w:lang w:val="lv-LV" w:eastAsia="lv-LV"/>
              </w:rPr>
              <w:t xml:space="preserve"> likumprojekta 42.</w:t>
            </w:r>
            <w:r w:rsidRPr="00B42BC1">
              <w:rPr>
                <w:rFonts w:ascii="Times New Roman" w:eastAsia="Times New Roman" w:hAnsi="Times New Roman"/>
                <w:color w:val="000000" w:themeColor="text1"/>
                <w:sz w:val="24"/>
                <w:szCs w:val="24"/>
                <w:lang w:val="lv-LV" w:eastAsia="lv-LV"/>
              </w:rPr>
              <w:t>panta astotās daļas 1.punktā noteiktā pārbaude</w:t>
            </w:r>
            <w:r w:rsidR="00355740" w:rsidRPr="00B42BC1">
              <w:rPr>
                <w:rFonts w:ascii="Times New Roman" w:eastAsia="Times New Roman" w:hAnsi="Times New Roman"/>
                <w:color w:val="000000" w:themeColor="text1"/>
                <w:sz w:val="24"/>
                <w:szCs w:val="24"/>
                <w:lang w:val="lv-LV" w:eastAsia="lv-LV"/>
              </w:rPr>
              <w:t>, un kārtību, kādā minētā informācijas sistēma saņem un apstrādā informāciju no likumprojekta 42.panta desmitajā daļā minēto iestāžu uzturētajām informācijas sistēmām;</w:t>
            </w:r>
          </w:p>
          <w:p w14:paraId="21BC7F34" w14:textId="77777777" w:rsidR="006B0CF1" w:rsidRPr="00B42BC1" w:rsidRDefault="006B0CF1" w:rsidP="006B0CF1">
            <w:pPr>
              <w:pStyle w:val="ListParagraph"/>
              <w:widowControl/>
              <w:numPr>
                <w:ilvl w:val="0"/>
                <w:numId w:val="6"/>
              </w:numPr>
              <w:spacing w:after="120" w:line="240" w:lineRule="auto"/>
              <w:ind w:left="714"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 </w:t>
            </w:r>
            <w:r w:rsidR="00355740" w:rsidRPr="00B42BC1">
              <w:rPr>
                <w:rFonts w:ascii="Times New Roman" w:eastAsia="Times New Roman" w:hAnsi="Times New Roman"/>
                <w:color w:val="000000" w:themeColor="text1"/>
                <w:sz w:val="24"/>
                <w:szCs w:val="24"/>
                <w:lang w:val="lv-LV" w:eastAsia="lv-LV"/>
              </w:rPr>
              <w:t>Noteikumi par transportlīdzekļu kategorijām, uz kurām iepirkumos attiecināmas īpašas prasības, un transportlīdzekļu darbmūža ekspluatācijas izmaksu aprēķināšanas metodiku, kas noteiks transportlīdzekļu kategorijas, uz kurām iepirkumos attiecināmas likumprojekta 54.pantā minētās prasības, kā arī šo transportlīdzekļu darbmūža ekspluatācijas izmaksu aprēķināšanas metodiku;</w:t>
            </w:r>
          </w:p>
          <w:p w14:paraId="4A5918E4" w14:textId="0C2F7ABE" w:rsidR="003E06A6" w:rsidRPr="00B42BC1" w:rsidRDefault="003E06A6" w:rsidP="003E06A6">
            <w:pPr>
              <w:pStyle w:val="ListParagraph"/>
              <w:widowControl/>
              <w:numPr>
                <w:ilvl w:val="0"/>
                <w:numId w:val="6"/>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Noteikumus tiešās pārvaldes iestāžu rīkotajos iepirkumos izvirzāmajām prasībām attiecībā uz preču un pakalpojumu energoefektivitāti;</w:t>
            </w:r>
          </w:p>
          <w:p w14:paraId="5768C3AF" w14:textId="77777777" w:rsidR="00954557" w:rsidRPr="00B42BC1" w:rsidRDefault="00AB1C02" w:rsidP="001D36B9">
            <w:pPr>
              <w:pStyle w:val="ListParagraph"/>
              <w:widowControl/>
              <w:numPr>
                <w:ilvl w:val="0"/>
                <w:numId w:val="6"/>
              </w:numPr>
              <w:spacing w:after="120" w:line="240" w:lineRule="auto"/>
              <w:ind w:left="714" w:right="51"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Dinamiskās iepirkumu sistēmas piemērošanas noteikumi, kas noteiks dinamiskās iepirkumu sistēmas piemērošanas noteikumu un kārtību;</w:t>
            </w:r>
          </w:p>
          <w:p w14:paraId="6927E996" w14:textId="77777777" w:rsidR="00AB1C02" w:rsidRPr="00B42BC1" w:rsidRDefault="00D45A7F" w:rsidP="001D36B9">
            <w:pPr>
              <w:pStyle w:val="ListParagraph"/>
              <w:widowControl/>
              <w:numPr>
                <w:ilvl w:val="0"/>
                <w:numId w:val="6"/>
              </w:numPr>
              <w:spacing w:after="120" w:line="240" w:lineRule="auto"/>
              <w:ind w:left="714" w:right="51"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Noteikumi par iesnieguma par iepirkuma procedūras pārkāpumiem depozīta samaksas un atmaksas kārt</w:t>
            </w:r>
            <w:r w:rsidR="00E11AEB" w:rsidRPr="00B42BC1">
              <w:rPr>
                <w:rFonts w:ascii="Times New Roman" w:eastAsia="Times New Roman" w:hAnsi="Times New Roman"/>
                <w:color w:val="000000" w:themeColor="text1"/>
                <w:sz w:val="24"/>
                <w:szCs w:val="24"/>
                <w:lang w:val="lv-LV" w:eastAsia="lv-LV"/>
              </w:rPr>
              <w:t>ība;</w:t>
            </w:r>
          </w:p>
          <w:p w14:paraId="3B39179A" w14:textId="77777777" w:rsidR="00E11AEB" w:rsidRPr="00B42BC1" w:rsidRDefault="00E11AEB" w:rsidP="001D36B9">
            <w:pPr>
              <w:pStyle w:val="ListParagraph"/>
              <w:widowControl/>
              <w:numPr>
                <w:ilvl w:val="0"/>
                <w:numId w:val="6"/>
              </w:numPr>
              <w:spacing w:after="120" w:line="240" w:lineRule="auto"/>
              <w:ind w:left="714" w:right="51" w:hanging="357"/>
              <w:contextualSpacing w:val="0"/>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Noteikumi par statistikas pārskatu iesniegšanas kārtību, saturu un aizpildīšanas kārtību.</w:t>
            </w:r>
          </w:p>
          <w:p w14:paraId="184B4F4E" w14:textId="77777777" w:rsidR="005F0FA6" w:rsidRPr="00B42BC1" w:rsidRDefault="004617A5" w:rsidP="00D45A7F">
            <w:pPr>
              <w:widowControl/>
              <w:spacing w:after="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Papildus tiks virzīts likumprojekts “Sabiedrisko pakalpojumu sniedzēju iepirkumu likums”, likumprojekts “Grozījumi Publiskās un privātās partnerības likumā”, kā arī likumprojekts “Grozījumi Aizsardzības un drošības jomas iepirkumu likumā”.</w:t>
            </w:r>
          </w:p>
        </w:tc>
      </w:tr>
      <w:tr w:rsidR="00B42BC1" w:rsidRPr="00B42BC1" w14:paraId="40E0AFF3" w14:textId="77777777" w:rsidTr="005533E2">
        <w:trPr>
          <w:trHeight w:val="35"/>
        </w:trPr>
        <w:tc>
          <w:tcPr>
            <w:tcW w:w="472" w:type="dxa"/>
            <w:tcBorders>
              <w:top w:val="outset" w:sz="6" w:space="0" w:color="414142"/>
              <w:left w:val="outset" w:sz="6" w:space="0" w:color="414142"/>
              <w:bottom w:val="outset" w:sz="6" w:space="0" w:color="414142"/>
              <w:right w:val="outset" w:sz="6" w:space="0" w:color="414142"/>
            </w:tcBorders>
            <w:hideMark/>
          </w:tcPr>
          <w:p w14:paraId="3292142E"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2.</w:t>
            </w:r>
          </w:p>
        </w:tc>
        <w:tc>
          <w:tcPr>
            <w:tcW w:w="2734" w:type="dxa"/>
            <w:tcBorders>
              <w:top w:val="outset" w:sz="6" w:space="0" w:color="414142"/>
              <w:left w:val="outset" w:sz="6" w:space="0" w:color="414142"/>
              <w:bottom w:val="outset" w:sz="6" w:space="0" w:color="414142"/>
              <w:right w:val="outset" w:sz="6" w:space="0" w:color="414142"/>
            </w:tcBorders>
            <w:hideMark/>
          </w:tcPr>
          <w:p w14:paraId="291CF12B"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Atbildīgā institūcija</w:t>
            </w:r>
          </w:p>
        </w:tc>
        <w:tc>
          <w:tcPr>
            <w:tcW w:w="6222" w:type="dxa"/>
            <w:tcBorders>
              <w:top w:val="outset" w:sz="6" w:space="0" w:color="414142"/>
              <w:left w:val="outset" w:sz="6" w:space="0" w:color="414142"/>
              <w:bottom w:val="outset" w:sz="6" w:space="0" w:color="414142"/>
              <w:right w:val="outset" w:sz="6" w:space="0" w:color="414142"/>
            </w:tcBorders>
          </w:tcPr>
          <w:p w14:paraId="565CCAE6" w14:textId="5CE625B1" w:rsidR="006B2EB6" w:rsidRPr="00B42BC1" w:rsidRDefault="004811CB"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Finanšu ministrija, Vides aizsardzības un reģionālās attīstības mi</w:t>
            </w:r>
            <w:r w:rsidR="009157BF" w:rsidRPr="00B42BC1">
              <w:rPr>
                <w:rFonts w:ascii="Times New Roman" w:eastAsia="Times New Roman" w:hAnsi="Times New Roman"/>
                <w:color w:val="000000" w:themeColor="text1"/>
                <w:sz w:val="24"/>
                <w:szCs w:val="24"/>
                <w:lang w:val="lv-LV" w:eastAsia="lv-LV"/>
              </w:rPr>
              <w:t>nistrija, Ekonomikas ministrija</w:t>
            </w:r>
            <w:r w:rsidRPr="00B42BC1">
              <w:rPr>
                <w:rFonts w:ascii="Times New Roman" w:eastAsia="Times New Roman" w:hAnsi="Times New Roman"/>
                <w:color w:val="000000" w:themeColor="text1"/>
                <w:sz w:val="24"/>
                <w:szCs w:val="24"/>
                <w:lang w:val="lv-LV" w:eastAsia="lv-LV"/>
              </w:rPr>
              <w:t xml:space="preserve">. </w:t>
            </w:r>
          </w:p>
        </w:tc>
      </w:tr>
      <w:tr w:rsidR="00244C96" w:rsidRPr="00B42BC1" w14:paraId="662DB42E" w14:textId="77777777" w:rsidTr="00244C96">
        <w:tc>
          <w:tcPr>
            <w:tcW w:w="472" w:type="dxa"/>
            <w:tcBorders>
              <w:top w:val="outset" w:sz="6" w:space="0" w:color="414142"/>
              <w:left w:val="outset" w:sz="6" w:space="0" w:color="414142"/>
              <w:bottom w:val="outset" w:sz="6" w:space="0" w:color="414142"/>
              <w:right w:val="outset" w:sz="6" w:space="0" w:color="414142"/>
            </w:tcBorders>
            <w:hideMark/>
          </w:tcPr>
          <w:p w14:paraId="06CAC151"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w:t>
            </w:r>
          </w:p>
        </w:tc>
        <w:tc>
          <w:tcPr>
            <w:tcW w:w="2734" w:type="dxa"/>
            <w:tcBorders>
              <w:top w:val="outset" w:sz="6" w:space="0" w:color="414142"/>
              <w:left w:val="outset" w:sz="6" w:space="0" w:color="414142"/>
              <w:bottom w:val="outset" w:sz="6" w:space="0" w:color="414142"/>
              <w:right w:val="outset" w:sz="6" w:space="0" w:color="414142"/>
            </w:tcBorders>
            <w:hideMark/>
          </w:tcPr>
          <w:p w14:paraId="2B66F135"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Cita informācija</w:t>
            </w:r>
          </w:p>
        </w:tc>
        <w:tc>
          <w:tcPr>
            <w:tcW w:w="6222" w:type="dxa"/>
            <w:tcBorders>
              <w:top w:val="outset" w:sz="6" w:space="0" w:color="414142"/>
              <w:left w:val="outset" w:sz="6" w:space="0" w:color="414142"/>
              <w:bottom w:val="outset" w:sz="6" w:space="0" w:color="414142"/>
              <w:right w:val="outset" w:sz="6" w:space="0" w:color="414142"/>
            </w:tcBorders>
            <w:hideMark/>
          </w:tcPr>
          <w:p w14:paraId="27403B3F"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w:t>
            </w:r>
          </w:p>
        </w:tc>
      </w:tr>
    </w:tbl>
    <w:p w14:paraId="02662FD1" w14:textId="77777777" w:rsidR="006B2EB6" w:rsidRPr="00B42BC1"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9356"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0"/>
        <w:gridCol w:w="468"/>
        <w:gridCol w:w="1756"/>
        <w:gridCol w:w="778"/>
        <w:gridCol w:w="1161"/>
        <w:gridCol w:w="2365"/>
        <w:gridCol w:w="2798"/>
      </w:tblGrid>
      <w:tr w:rsidR="00B42BC1" w:rsidRPr="00B42BC1" w14:paraId="6669FD3B" w14:textId="77777777" w:rsidTr="007A3206">
        <w:tc>
          <w:tcPr>
            <w:tcW w:w="9356"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5451601" w14:textId="77777777" w:rsidR="00244C96" w:rsidRPr="00B42BC1" w:rsidRDefault="00244C96" w:rsidP="00244C96">
            <w:pPr>
              <w:widowControl/>
              <w:spacing w:after="0" w:line="240" w:lineRule="auto"/>
              <w:ind w:left="77" w:hanging="77"/>
              <w:jc w:val="center"/>
              <w:rPr>
                <w:rFonts w:eastAsia="Times New Roman"/>
                <w:color w:val="000000" w:themeColor="text1"/>
                <w:lang w:val="lv-LV" w:eastAsia="lv-LV"/>
              </w:rPr>
            </w:pPr>
            <w:r w:rsidRPr="00B42BC1">
              <w:rPr>
                <w:rFonts w:ascii="Times New Roman" w:eastAsia="Times New Roman" w:hAnsi="Times New Roman"/>
                <w:b/>
                <w:bCs/>
                <w:color w:val="000000" w:themeColor="text1"/>
                <w:sz w:val="24"/>
                <w:szCs w:val="24"/>
                <w:lang w:val="lv-LV" w:eastAsia="lv-LV"/>
              </w:rPr>
              <w:t>V. Tiesību akta projekta atbilstība Latvijas Republikas starptautiskajām saistībām</w:t>
            </w:r>
          </w:p>
        </w:tc>
      </w:tr>
      <w:tr w:rsidR="00B42BC1" w:rsidRPr="00B42BC1" w14:paraId="4E4695BB" w14:textId="77777777" w:rsidTr="007A3206">
        <w:tc>
          <w:tcPr>
            <w:tcW w:w="30" w:type="dxa"/>
            <w:tcBorders>
              <w:top w:val="nil"/>
              <w:left w:val="nil"/>
              <w:bottom w:val="nil"/>
              <w:right w:val="nil"/>
            </w:tcBorders>
            <w:shd w:val="clear" w:color="auto" w:fill="FFFFFF"/>
            <w:vAlign w:val="center"/>
            <w:hideMark/>
          </w:tcPr>
          <w:p w14:paraId="0B249B40" w14:textId="77777777" w:rsidR="00244C96" w:rsidRPr="00B42BC1" w:rsidRDefault="00244C96" w:rsidP="00244C9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6649F6C" w14:textId="77777777" w:rsidR="00244C96" w:rsidRPr="00B42BC1" w:rsidRDefault="00244C96" w:rsidP="00244C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1.</w:t>
            </w:r>
          </w:p>
        </w:tc>
        <w:tc>
          <w:tcPr>
            <w:tcW w:w="25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D44BC6A" w14:textId="77777777" w:rsidR="00244C96" w:rsidRPr="00B42BC1" w:rsidRDefault="00244C96" w:rsidP="00244C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Saistības pret Eiropas Savienību</w:t>
            </w:r>
          </w:p>
        </w:tc>
        <w:tc>
          <w:tcPr>
            <w:tcW w:w="632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0FD019B" w14:textId="77777777" w:rsidR="00244C96" w:rsidRPr="00B42BC1" w:rsidRDefault="00244C96" w:rsidP="0059291A">
            <w:pPr>
              <w:pStyle w:val="ListParagraph"/>
              <w:widowControl/>
              <w:numPr>
                <w:ilvl w:val="0"/>
                <w:numId w:val="8"/>
              </w:numPr>
              <w:spacing w:after="120" w:line="240" w:lineRule="auto"/>
              <w:contextualSpacing w:val="0"/>
              <w:jc w:val="both"/>
              <w:rPr>
                <w:rFonts w:eastAsia="Times New Roman"/>
                <w:color w:val="000000" w:themeColor="text1"/>
                <w:lang w:val="lv-LV" w:eastAsia="lv-LV"/>
              </w:rPr>
            </w:pPr>
            <w:r w:rsidRPr="00B42BC1">
              <w:rPr>
                <w:rFonts w:ascii="Times New Roman" w:eastAsia="Times New Roman" w:hAnsi="Times New Roman"/>
                <w:color w:val="000000" w:themeColor="text1"/>
                <w:spacing w:val="-4"/>
                <w:sz w:val="24"/>
                <w:szCs w:val="24"/>
                <w:lang w:val="lv-LV" w:eastAsia="lv-LV"/>
              </w:rPr>
              <w:t xml:space="preserve">Eiropas Parlamenta un Padomes 2014.gada 26.februāra direktīva 2014/24/ES par publisko iepirkumu un ar ko atceļ Direktīvu 2004/18/EK.  </w:t>
            </w:r>
          </w:p>
          <w:p w14:paraId="45335BA5" w14:textId="77777777" w:rsidR="00244C96" w:rsidRPr="00B42BC1" w:rsidRDefault="00244C96" w:rsidP="0059291A">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Direktīvas prasības jāpārņem un jāpiemēro, sākot ar 2016.gada 18.aprīli. Dalībvalstis var atlikt Direktīvas 2014/24/ES 22.panta 1.punkta</w:t>
            </w:r>
            <w:r w:rsidR="00657A94" w:rsidRPr="00B42BC1">
              <w:rPr>
                <w:rFonts w:ascii="Times New Roman" w:eastAsia="Times New Roman" w:hAnsi="Times New Roman"/>
                <w:color w:val="000000" w:themeColor="text1"/>
                <w:spacing w:val="-4"/>
                <w:sz w:val="24"/>
                <w:szCs w:val="24"/>
                <w:lang w:val="lv-LV" w:eastAsia="lv-LV"/>
              </w:rPr>
              <w:t>, 59.panta 2. un 5.punkta, 61.panta 2.punkta</w:t>
            </w:r>
            <w:r w:rsidRPr="00B42BC1">
              <w:rPr>
                <w:rFonts w:ascii="Times New Roman" w:eastAsia="Times New Roman" w:hAnsi="Times New Roman"/>
                <w:color w:val="000000" w:themeColor="text1"/>
                <w:spacing w:val="-4"/>
                <w:sz w:val="24"/>
                <w:szCs w:val="24"/>
                <w:lang w:val="lv-LV" w:eastAsia="lv-LV"/>
              </w:rPr>
              <w:t xml:space="preserve"> piemērošanu līdz 2018.gada </w:t>
            </w:r>
            <w:r w:rsidR="00657A94" w:rsidRPr="00B42BC1">
              <w:rPr>
                <w:rFonts w:ascii="Times New Roman" w:eastAsia="Times New Roman" w:hAnsi="Times New Roman"/>
                <w:color w:val="000000" w:themeColor="text1"/>
                <w:spacing w:val="-4"/>
                <w:sz w:val="24"/>
                <w:szCs w:val="24"/>
                <w:lang w:val="lv-LV" w:eastAsia="lv-LV"/>
              </w:rPr>
              <w:t xml:space="preserve">18.oktobrim, izņemot, kad elektronisko sakaru līdzekļu izmantošana ir obligāta. </w:t>
            </w:r>
          </w:p>
          <w:p w14:paraId="5E4F9597" w14:textId="77777777" w:rsidR="0059291A" w:rsidRPr="00B42BC1"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Padomes 1989.gada 21.decembra Direktīvas 89/665/EK par to normatīvo un administratīvo aktu koordinēšanu, kuri attiecas uz izskatīšanas procedūru piemērošanu, piešķirot piegādes un uzņ</w:t>
            </w:r>
            <w:r w:rsidR="009A4B8A" w:rsidRPr="00B42BC1">
              <w:rPr>
                <w:rFonts w:ascii="Times New Roman" w:eastAsia="Times New Roman" w:hAnsi="Times New Roman"/>
                <w:color w:val="000000" w:themeColor="text1"/>
                <w:spacing w:val="-4"/>
                <w:sz w:val="24"/>
                <w:szCs w:val="24"/>
                <w:lang w:val="lv-LV" w:eastAsia="lv-LV"/>
              </w:rPr>
              <w:t>ēmuma līgumus valsts vajadzībām.</w:t>
            </w:r>
          </w:p>
          <w:p w14:paraId="2E2ABB17" w14:textId="77777777" w:rsidR="009A4B8A" w:rsidRPr="00B42BC1" w:rsidRDefault="006C4E40" w:rsidP="009A4B8A">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Bija jau pārņemta spēkā esošajā Publisko iepirkumu likumā</w:t>
            </w:r>
            <w:r w:rsidR="00D40429" w:rsidRPr="00B42BC1">
              <w:rPr>
                <w:rFonts w:ascii="Times New Roman" w:eastAsia="Times New Roman" w:hAnsi="Times New Roman"/>
                <w:color w:val="000000" w:themeColor="text1"/>
                <w:spacing w:val="-4"/>
                <w:sz w:val="24"/>
                <w:szCs w:val="24"/>
                <w:lang w:val="lv-LV" w:eastAsia="lv-LV"/>
              </w:rPr>
              <w:t xml:space="preserve">. Regulējums attiecībā uz šo direktīvu likumprojektā nemainās. </w:t>
            </w:r>
          </w:p>
          <w:p w14:paraId="38583726" w14:textId="77777777" w:rsidR="0059291A" w:rsidRPr="00B42BC1"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 xml:space="preserve">Eiropas Parlamenta un Padomes 2007.gada 11.decembra Direktīvas 2007/66/EK, ar ko Padomes direktīvas 89/665/EEK un 92/13/EEK groza attiecībā uz pārskatīšanas procedūru efektivitātes uzlabošanu </w:t>
            </w:r>
            <w:r w:rsidR="00D40429" w:rsidRPr="00B42BC1">
              <w:rPr>
                <w:rFonts w:ascii="Times New Roman" w:eastAsia="Times New Roman" w:hAnsi="Times New Roman"/>
                <w:color w:val="000000" w:themeColor="text1"/>
                <w:spacing w:val="-4"/>
                <w:sz w:val="24"/>
                <w:szCs w:val="24"/>
                <w:lang w:val="lv-LV" w:eastAsia="lv-LV"/>
              </w:rPr>
              <w:t>valsts līgumu piešķiršanas jomā.</w:t>
            </w:r>
          </w:p>
          <w:p w14:paraId="2B4885D2" w14:textId="77777777" w:rsidR="00D40429" w:rsidRPr="00B42BC1" w:rsidRDefault="00D40429" w:rsidP="00D40429">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p w14:paraId="18429B0A" w14:textId="77777777" w:rsidR="0059291A" w:rsidRPr="00B42BC1"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Eiropas Parlamenta un Padomes 2009.gada 23.aprīļa Direktīvas 2009/33/EK par “tīro” un energoefektīvo autotransporta lī</w:t>
            </w:r>
            <w:r w:rsidR="00D40429" w:rsidRPr="00B42BC1">
              <w:rPr>
                <w:rFonts w:ascii="Times New Roman" w:eastAsia="Times New Roman" w:hAnsi="Times New Roman"/>
                <w:color w:val="000000" w:themeColor="text1"/>
                <w:spacing w:val="-4"/>
                <w:sz w:val="24"/>
                <w:szCs w:val="24"/>
                <w:lang w:val="lv-LV" w:eastAsia="lv-LV"/>
              </w:rPr>
              <w:t>dzekļu izmantošanas veicināšanu.</w:t>
            </w:r>
          </w:p>
          <w:p w14:paraId="4E4288A0" w14:textId="77777777" w:rsidR="00D40429" w:rsidRPr="00B42BC1" w:rsidRDefault="00D40429" w:rsidP="00D40429">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p w14:paraId="69805297" w14:textId="77777777" w:rsidR="0059291A" w:rsidRPr="00B42BC1" w:rsidRDefault="0059291A" w:rsidP="0059291A">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 xml:space="preserve">Eiropas Parlamenta un Padomes 2009.gada 18.jūnija Direktīvas 2009/52/EK, ar ko nosaka minimālos standartus sankcijām un pasākumiem pret darba devējiem, kas nodarbina trešo valstu valstspiederīgos, kuri </w:t>
            </w:r>
            <w:r w:rsidR="00D40429" w:rsidRPr="00B42BC1">
              <w:rPr>
                <w:rFonts w:ascii="Times New Roman" w:eastAsia="Times New Roman" w:hAnsi="Times New Roman"/>
                <w:color w:val="000000" w:themeColor="text1"/>
                <w:spacing w:val="-4"/>
                <w:sz w:val="24"/>
                <w:szCs w:val="24"/>
                <w:lang w:val="lv-LV" w:eastAsia="lv-LV"/>
              </w:rPr>
              <w:t>dalībvalstīs uzturas nelikumīgi.</w:t>
            </w:r>
          </w:p>
          <w:p w14:paraId="7AED5D58" w14:textId="77777777" w:rsidR="00D40429" w:rsidRPr="00B42BC1" w:rsidRDefault="00D40429" w:rsidP="00D40429">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p w14:paraId="7F22E7C9" w14:textId="77777777" w:rsidR="00657A94" w:rsidRPr="00B42BC1" w:rsidRDefault="0059291A" w:rsidP="00885F96">
            <w:pPr>
              <w:pStyle w:val="ListParagraph"/>
              <w:widowControl/>
              <w:numPr>
                <w:ilvl w:val="0"/>
                <w:numId w:val="8"/>
              </w:numPr>
              <w:spacing w:after="120" w:line="240" w:lineRule="auto"/>
              <w:contextualSpacing w:val="0"/>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 xml:space="preserve">Eiropas Parlamenta un Padomes 2012.gada 25.oktobra Direktīvas 2012/27/ES par energoefektivitāti, ar ko groza Direktīvas 2009/125/EK un 2010/30/ES un atceļ Direktīvas </w:t>
            </w:r>
            <w:r w:rsidRPr="00B42BC1">
              <w:rPr>
                <w:rFonts w:ascii="Times New Roman" w:eastAsia="Times New Roman" w:hAnsi="Times New Roman"/>
                <w:color w:val="000000" w:themeColor="text1"/>
                <w:spacing w:val="-4"/>
                <w:sz w:val="24"/>
                <w:szCs w:val="24"/>
                <w:lang w:val="lv-LV" w:eastAsia="lv-LV"/>
              </w:rPr>
              <w:lastRenderedPageBreak/>
              <w:t>2004/8/EK un 2006/32/EK prasības attiecībā uz valsts veiktajiem pr</w:t>
            </w:r>
            <w:r w:rsidR="00885F96" w:rsidRPr="00B42BC1">
              <w:rPr>
                <w:rFonts w:ascii="Times New Roman" w:eastAsia="Times New Roman" w:hAnsi="Times New Roman"/>
                <w:color w:val="000000" w:themeColor="text1"/>
                <w:spacing w:val="-4"/>
                <w:sz w:val="24"/>
                <w:szCs w:val="24"/>
                <w:lang w:val="lv-LV" w:eastAsia="lv-LV"/>
              </w:rPr>
              <w:t>eču un pakalpojumu  iepirkumiem.</w:t>
            </w:r>
          </w:p>
          <w:p w14:paraId="65EA54BC" w14:textId="77777777" w:rsidR="00EB3F20" w:rsidRPr="00B42BC1" w:rsidRDefault="002670BA" w:rsidP="00EB3F20">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 xml:space="preserve">Bija jau pārņemta spēkā esošajā Publisko iepirkumu likumā. Regulējums attiecībā uz šo direktīvu likumprojektā nemainās. </w:t>
            </w:r>
          </w:p>
          <w:p w14:paraId="08F27B1C" w14:textId="77777777" w:rsidR="00432E92" w:rsidRPr="00B42BC1" w:rsidRDefault="00BF4C15" w:rsidP="00BF4C15">
            <w:pPr>
              <w:pStyle w:val="ListParagraph"/>
              <w:widowControl/>
              <w:numPr>
                <w:ilvl w:val="0"/>
                <w:numId w:val="8"/>
              </w:numPr>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Eiropas Komisijas 2015.gada 11.novembra īstenošanas regula (ES) 2015/1986, ar ko izveido standarta veidlapas paziņojumu publicēšanai publisko iepirkumu jomā un atceļ Īstenošanas regulu (ES) Nr.842/2011.</w:t>
            </w:r>
          </w:p>
          <w:p w14:paraId="1371756B" w14:textId="77777777" w:rsidR="00BF4C15" w:rsidRPr="00B42BC1" w:rsidRDefault="00C800C6" w:rsidP="00BF4C15">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Plānots pārņemta ar Ministru kabineta noteikumiem.</w:t>
            </w:r>
          </w:p>
          <w:p w14:paraId="46D7F261" w14:textId="77777777" w:rsidR="00C800C6" w:rsidRPr="00B42BC1" w:rsidRDefault="00C800C6" w:rsidP="00C800C6">
            <w:pPr>
              <w:pStyle w:val="ListParagraph"/>
              <w:widowControl/>
              <w:numPr>
                <w:ilvl w:val="0"/>
                <w:numId w:val="8"/>
              </w:numPr>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Eiropas Komisijas 2016.gada 5.janvāra Īstenošanas regula 2016/7, ar ko nosaka standarta veidlapu Eiropas vienotajam iepirkuma procedūras dokumentam.</w:t>
            </w:r>
          </w:p>
          <w:p w14:paraId="7922FCBB" w14:textId="1BFF65F9" w:rsidR="00C800C6" w:rsidRPr="00B42BC1" w:rsidRDefault="00C800C6" w:rsidP="00C800C6">
            <w:pPr>
              <w:widowControl/>
              <w:spacing w:after="120" w:line="240" w:lineRule="auto"/>
              <w:jc w:val="both"/>
              <w:rPr>
                <w:rFonts w:ascii="Times New Roman" w:eastAsia="Times New Roman" w:hAnsi="Times New Roman"/>
                <w:color w:val="000000" w:themeColor="text1"/>
                <w:spacing w:val="-4"/>
                <w:sz w:val="24"/>
                <w:szCs w:val="24"/>
                <w:lang w:val="lv-LV" w:eastAsia="lv-LV"/>
              </w:rPr>
            </w:pPr>
            <w:r w:rsidRPr="00B42BC1">
              <w:rPr>
                <w:rFonts w:ascii="Times New Roman" w:eastAsia="Times New Roman" w:hAnsi="Times New Roman"/>
                <w:color w:val="000000" w:themeColor="text1"/>
                <w:spacing w:val="-4"/>
                <w:sz w:val="24"/>
                <w:szCs w:val="24"/>
                <w:lang w:val="lv-LV" w:eastAsia="lv-LV"/>
              </w:rPr>
              <w:t>Plānots pārņemt ar Ministru kabineta noteikumiem, jo Direktīva 2014/24/ES paredz pamata noteikumus Eiropas vienotā iepirkuma procedūras dokumenta piemērošanai, taču Īstenošanas regula nosaka veidlapas un to aizpildīšanas kārtību.</w:t>
            </w:r>
          </w:p>
        </w:tc>
      </w:tr>
      <w:tr w:rsidR="00B42BC1" w:rsidRPr="00B42BC1" w14:paraId="789A5648" w14:textId="77777777" w:rsidTr="007A3206">
        <w:tc>
          <w:tcPr>
            <w:tcW w:w="30" w:type="dxa"/>
            <w:tcBorders>
              <w:top w:val="nil"/>
              <w:left w:val="nil"/>
              <w:bottom w:val="nil"/>
              <w:right w:val="nil"/>
            </w:tcBorders>
            <w:shd w:val="clear" w:color="auto" w:fill="FFFFFF"/>
            <w:vAlign w:val="center"/>
            <w:hideMark/>
          </w:tcPr>
          <w:p w14:paraId="04EB1442" w14:textId="657A3B9E" w:rsidR="00244C96" w:rsidRPr="00B42BC1" w:rsidRDefault="00244C96" w:rsidP="00244C9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974DBFA" w14:textId="77777777" w:rsidR="00244C96" w:rsidRPr="00B42BC1" w:rsidRDefault="00244C96" w:rsidP="00244C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2.</w:t>
            </w:r>
          </w:p>
        </w:tc>
        <w:tc>
          <w:tcPr>
            <w:tcW w:w="25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327E1E9" w14:textId="77777777" w:rsidR="00244C96" w:rsidRPr="00B42BC1" w:rsidRDefault="00244C96" w:rsidP="00244C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Citas starptautiskās saistības</w:t>
            </w:r>
          </w:p>
        </w:tc>
        <w:tc>
          <w:tcPr>
            <w:tcW w:w="632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C126430" w14:textId="77777777" w:rsidR="00244C96" w:rsidRPr="00B42BC1" w:rsidRDefault="00244C96" w:rsidP="00244C96">
            <w:pPr>
              <w:widowControl/>
              <w:spacing w:after="0" w:line="240" w:lineRule="auto"/>
              <w:ind w:right="815"/>
              <w:jc w:val="both"/>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Projekts šo jomu neskar.</w:t>
            </w:r>
          </w:p>
        </w:tc>
      </w:tr>
      <w:tr w:rsidR="00B42BC1" w:rsidRPr="00B42BC1" w14:paraId="4229915E" w14:textId="77777777" w:rsidTr="007A3206">
        <w:tc>
          <w:tcPr>
            <w:tcW w:w="30" w:type="dxa"/>
            <w:tcBorders>
              <w:top w:val="nil"/>
              <w:left w:val="nil"/>
              <w:bottom w:val="nil"/>
              <w:right w:val="nil"/>
            </w:tcBorders>
            <w:shd w:val="clear" w:color="auto" w:fill="FFFFFF"/>
            <w:vAlign w:val="center"/>
            <w:hideMark/>
          </w:tcPr>
          <w:p w14:paraId="53ED07FC" w14:textId="77777777" w:rsidR="00244C96" w:rsidRPr="00B42BC1" w:rsidRDefault="00244C96" w:rsidP="00244C9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468"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75823E4" w14:textId="77777777" w:rsidR="00244C96" w:rsidRPr="00B42BC1" w:rsidRDefault="00244C96" w:rsidP="00244C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3.</w:t>
            </w:r>
          </w:p>
        </w:tc>
        <w:tc>
          <w:tcPr>
            <w:tcW w:w="253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B65B766" w14:textId="77777777" w:rsidR="00244C96" w:rsidRPr="00B42BC1" w:rsidRDefault="00244C96" w:rsidP="00244C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Cita informācija</w:t>
            </w:r>
          </w:p>
        </w:tc>
        <w:tc>
          <w:tcPr>
            <w:tcW w:w="632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839882B" w14:textId="77777777" w:rsidR="00244C96" w:rsidRPr="00B42BC1" w:rsidRDefault="00244C96" w:rsidP="00244C96">
            <w:pPr>
              <w:widowControl/>
              <w:spacing w:after="0" w:line="240" w:lineRule="auto"/>
              <w:jc w:val="both"/>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Nav.</w:t>
            </w:r>
          </w:p>
        </w:tc>
      </w:tr>
      <w:tr w:rsidR="00B42BC1" w:rsidRPr="00B42BC1" w14:paraId="4AD160A5" w14:textId="77777777" w:rsidTr="007A3206">
        <w:tc>
          <w:tcPr>
            <w:tcW w:w="30" w:type="dxa"/>
            <w:tcBorders>
              <w:top w:val="nil"/>
              <w:left w:val="nil"/>
              <w:bottom w:val="nil"/>
              <w:right w:val="nil"/>
            </w:tcBorders>
            <w:shd w:val="clear" w:color="auto" w:fill="FFFFFF"/>
            <w:vAlign w:val="center"/>
            <w:hideMark/>
          </w:tcPr>
          <w:p w14:paraId="4FBAA262" w14:textId="77777777" w:rsidR="00244C96" w:rsidRPr="00B42BC1" w:rsidRDefault="00244C96" w:rsidP="00244C9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9326" w:type="dxa"/>
            <w:gridSpan w:val="6"/>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5F45E45" w14:textId="77777777" w:rsidR="00244C96" w:rsidRPr="00B42BC1" w:rsidRDefault="00244C96" w:rsidP="00244C96">
            <w:pPr>
              <w:widowControl/>
              <w:spacing w:line="265" w:lineRule="atLeast"/>
              <w:jc w:val="center"/>
              <w:rPr>
                <w:rFonts w:eastAsia="Times New Roman"/>
                <w:color w:val="000000" w:themeColor="text1"/>
                <w:lang w:val="lv-LV" w:eastAsia="lv-LV"/>
              </w:rPr>
            </w:pPr>
            <w:r w:rsidRPr="00B42BC1">
              <w:rPr>
                <w:rFonts w:ascii="Times New Roman" w:eastAsia="Times New Roman" w:hAnsi="Times New Roman"/>
                <w:b/>
                <w:bCs/>
                <w:color w:val="000000" w:themeColor="text1"/>
                <w:sz w:val="24"/>
                <w:szCs w:val="24"/>
                <w:lang w:val="lv-LV" w:eastAsia="lv-LV"/>
              </w:rPr>
              <w:t>1.tabula</w:t>
            </w:r>
            <w:r w:rsidRPr="00B42BC1">
              <w:rPr>
                <w:rFonts w:ascii="Times New Roman" w:eastAsia="Times New Roman" w:hAnsi="Times New Roman"/>
                <w:b/>
                <w:bCs/>
                <w:color w:val="000000" w:themeColor="text1"/>
                <w:sz w:val="24"/>
                <w:szCs w:val="24"/>
                <w:lang w:val="lv-LV" w:eastAsia="lv-LV"/>
              </w:rPr>
              <w:br/>
              <w:t>Tiesību akta projekta atbilstība ES tiesību aktiem</w:t>
            </w:r>
          </w:p>
        </w:tc>
      </w:tr>
      <w:tr w:rsidR="00B42BC1" w:rsidRPr="00B42BC1" w14:paraId="5DE0F813" w14:textId="77777777" w:rsidTr="007A3206">
        <w:tc>
          <w:tcPr>
            <w:tcW w:w="30" w:type="dxa"/>
            <w:tcBorders>
              <w:top w:val="nil"/>
              <w:left w:val="nil"/>
              <w:bottom w:val="nil"/>
              <w:right w:val="nil"/>
            </w:tcBorders>
            <w:shd w:val="clear" w:color="auto" w:fill="FFFFFF"/>
            <w:vAlign w:val="center"/>
            <w:hideMark/>
          </w:tcPr>
          <w:p w14:paraId="5D758324" w14:textId="77777777" w:rsidR="00244C96" w:rsidRPr="00B42BC1" w:rsidRDefault="00244C96" w:rsidP="00244C9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034D6D2" w14:textId="77777777" w:rsidR="00244C96" w:rsidRPr="00B42BC1" w:rsidRDefault="00244C96" w:rsidP="00244C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Attiecīgā ES tiesību akta datums, numurs un nosaukums</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621E87F" w14:textId="0EA5E49B" w:rsidR="00244C96" w:rsidRPr="00B42BC1" w:rsidRDefault="00244C96" w:rsidP="00244C96">
            <w:pPr>
              <w:widowControl/>
              <w:spacing w:after="0" w:line="240" w:lineRule="auto"/>
              <w:rPr>
                <w:rFonts w:eastAsia="Times New Roman"/>
                <w:color w:val="000000" w:themeColor="text1"/>
                <w:lang w:val="lv-LV" w:eastAsia="lv-LV"/>
              </w:rPr>
            </w:pPr>
          </w:p>
        </w:tc>
      </w:tr>
      <w:tr w:rsidR="00B42BC1" w:rsidRPr="00B42BC1" w14:paraId="3DD6BA82" w14:textId="77777777" w:rsidTr="007A3206">
        <w:tc>
          <w:tcPr>
            <w:tcW w:w="30" w:type="dxa"/>
            <w:tcBorders>
              <w:top w:val="nil"/>
              <w:left w:val="nil"/>
              <w:bottom w:val="nil"/>
              <w:right w:val="nil"/>
            </w:tcBorders>
            <w:shd w:val="clear" w:color="auto" w:fill="FFFFFF"/>
            <w:vAlign w:val="center"/>
            <w:hideMark/>
          </w:tcPr>
          <w:p w14:paraId="1A99D1FF" w14:textId="77777777" w:rsidR="00244C96" w:rsidRPr="00B42BC1" w:rsidRDefault="00244C96" w:rsidP="00244C9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A19F636" w14:textId="77777777" w:rsidR="00244C96" w:rsidRPr="00B42BC1" w:rsidRDefault="00244C96" w:rsidP="00244C96">
            <w:pPr>
              <w:widowControl/>
              <w:spacing w:line="265" w:lineRule="atLeast"/>
              <w:jc w:val="center"/>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1072F89" w14:textId="77777777" w:rsidR="00244C96" w:rsidRPr="00B42BC1" w:rsidRDefault="00244C96" w:rsidP="00244C96">
            <w:pPr>
              <w:widowControl/>
              <w:spacing w:line="265" w:lineRule="atLeast"/>
              <w:jc w:val="center"/>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B</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BB78445" w14:textId="77777777" w:rsidR="00244C96" w:rsidRPr="00B42BC1" w:rsidRDefault="00244C96" w:rsidP="00244C96">
            <w:pPr>
              <w:widowControl/>
              <w:spacing w:line="265" w:lineRule="atLeast"/>
              <w:jc w:val="center"/>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C</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A5A1B51" w14:textId="77777777" w:rsidR="00244C96" w:rsidRPr="00B42BC1" w:rsidRDefault="00244C96" w:rsidP="00244C96">
            <w:pPr>
              <w:widowControl/>
              <w:spacing w:line="265" w:lineRule="atLeast"/>
              <w:jc w:val="center"/>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w:t>
            </w:r>
          </w:p>
        </w:tc>
      </w:tr>
      <w:tr w:rsidR="00B42BC1" w:rsidRPr="00B42BC1" w14:paraId="18E2565C" w14:textId="77777777" w:rsidTr="007A3206">
        <w:tc>
          <w:tcPr>
            <w:tcW w:w="30" w:type="dxa"/>
            <w:tcBorders>
              <w:top w:val="nil"/>
              <w:left w:val="nil"/>
              <w:bottom w:val="nil"/>
              <w:right w:val="nil"/>
            </w:tcBorders>
            <w:shd w:val="clear" w:color="auto" w:fill="FFFFFF"/>
            <w:vAlign w:val="center"/>
            <w:hideMark/>
          </w:tcPr>
          <w:p w14:paraId="71BDDD06" w14:textId="77777777" w:rsidR="00244C96" w:rsidRPr="00B42BC1" w:rsidRDefault="00244C96" w:rsidP="00244C9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D51A2E" w14:textId="77777777" w:rsidR="00244C96" w:rsidRPr="00B42BC1" w:rsidRDefault="00137E44"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5A18DF" w14:textId="77777777" w:rsidR="00244C96" w:rsidRPr="00B42BC1" w:rsidRDefault="00137E44" w:rsidP="00137E44">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w:t>
            </w:r>
            <w:r w:rsidR="00244C96" w:rsidRPr="00B42BC1">
              <w:rPr>
                <w:rFonts w:ascii="Times New Roman" w:eastAsia="Times New Roman" w:hAnsi="Times New Roman"/>
                <w:color w:val="000000" w:themeColor="text1"/>
                <w:sz w:val="24"/>
                <w:szCs w:val="24"/>
                <w:lang w:val="lv-LV" w:eastAsia="lv-LV"/>
              </w:rPr>
              <w:t xml:space="preserve">.panta </w:t>
            </w:r>
            <w:r w:rsidRPr="00B42BC1">
              <w:rPr>
                <w:rFonts w:ascii="Times New Roman" w:eastAsia="Times New Roman" w:hAnsi="Times New Roman"/>
                <w:color w:val="000000" w:themeColor="text1"/>
                <w:sz w:val="24"/>
                <w:szCs w:val="24"/>
                <w:lang w:val="lv-LV" w:eastAsia="lv-LV"/>
              </w:rPr>
              <w:t>pirmā un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790BC2" w14:textId="77777777" w:rsidR="00244C96" w:rsidRPr="00B42BC1" w:rsidRDefault="00244C96" w:rsidP="00244C96">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C50F21" w14:textId="77777777" w:rsidR="00244C96" w:rsidRPr="00B42BC1" w:rsidRDefault="00244C96" w:rsidP="00137E44">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Likumprojekts </w:t>
            </w:r>
            <w:r w:rsidR="00137E44" w:rsidRPr="00B42BC1">
              <w:rPr>
                <w:rFonts w:ascii="Times New Roman" w:eastAsia="Times New Roman" w:hAnsi="Times New Roman"/>
                <w:color w:val="000000" w:themeColor="text1"/>
                <w:sz w:val="24"/>
                <w:szCs w:val="24"/>
                <w:lang w:val="lv-LV" w:eastAsia="lv-LV"/>
              </w:rPr>
              <w:t xml:space="preserve">paredz </w:t>
            </w:r>
            <w:r w:rsidRPr="00B42BC1">
              <w:rPr>
                <w:rFonts w:ascii="Times New Roman" w:eastAsia="Times New Roman" w:hAnsi="Times New Roman"/>
                <w:color w:val="000000" w:themeColor="text1"/>
                <w:sz w:val="24"/>
                <w:szCs w:val="24"/>
                <w:lang w:val="lv-LV" w:eastAsia="lv-LV"/>
              </w:rPr>
              <w:t>stingrākas prasības</w:t>
            </w:r>
            <w:r w:rsidR="00137E44" w:rsidRPr="00B42BC1">
              <w:rPr>
                <w:rFonts w:ascii="Times New Roman" w:eastAsia="Times New Roman" w:hAnsi="Times New Roman"/>
                <w:color w:val="000000" w:themeColor="text1"/>
                <w:sz w:val="24"/>
                <w:szCs w:val="24"/>
                <w:lang w:val="lv-LV" w:eastAsia="lv-LV"/>
              </w:rPr>
              <w:t>, jo iepirku veikšanās kārtību arī iepirkumiem zem Eiropas Savienības līgumcenu robežvērtībām.</w:t>
            </w:r>
            <w:r w:rsidRPr="00B42BC1">
              <w:rPr>
                <w:rFonts w:ascii="Times New Roman" w:eastAsia="Times New Roman" w:hAnsi="Times New Roman"/>
                <w:color w:val="000000" w:themeColor="text1"/>
                <w:sz w:val="24"/>
                <w:szCs w:val="24"/>
                <w:lang w:val="lv-LV" w:eastAsia="lv-LV"/>
              </w:rPr>
              <w:t xml:space="preserve"> </w:t>
            </w:r>
          </w:p>
        </w:tc>
      </w:tr>
      <w:tr w:rsidR="00B42BC1" w:rsidRPr="00B42BC1" w14:paraId="40F55E5B" w14:textId="77777777" w:rsidTr="007A3206">
        <w:tc>
          <w:tcPr>
            <w:tcW w:w="30" w:type="dxa"/>
            <w:tcBorders>
              <w:top w:val="nil"/>
              <w:left w:val="nil"/>
              <w:bottom w:val="nil"/>
              <w:right w:val="nil"/>
            </w:tcBorders>
            <w:shd w:val="clear" w:color="auto" w:fill="FFFFFF"/>
            <w:vAlign w:val="center"/>
          </w:tcPr>
          <w:p w14:paraId="3E17B428" w14:textId="77777777" w:rsidR="00137E44" w:rsidRPr="00B42BC1" w:rsidRDefault="00137E44" w:rsidP="00137E44">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E6726DE" w14:textId="77777777" w:rsidR="00137E44" w:rsidRPr="00B42BC1" w:rsidRDefault="00137E44" w:rsidP="00137E44">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4ADF4D" w14:textId="77777777" w:rsidR="00137E44" w:rsidRPr="00B42BC1" w:rsidRDefault="00137E44" w:rsidP="00137E44">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655FD8" w14:textId="77777777" w:rsidR="00137E44" w:rsidRPr="00B42BC1" w:rsidRDefault="00137E44" w:rsidP="00D10B33">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w:t>
            </w:r>
            <w:r w:rsidR="00D10B33" w:rsidRPr="00B42BC1">
              <w:rPr>
                <w:rFonts w:ascii="Times New Roman" w:eastAsia="Times New Roman" w:hAnsi="Times New Roman"/>
                <w:color w:val="000000" w:themeColor="text1"/>
                <w:sz w:val="24"/>
                <w:szCs w:val="24"/>
                <w:lang w:val="lv-LV" w:eastAsia="lv-LV"/>
              </w:rPr>
              <w:t>ne</w:t>
            </w:r>
            <w:r w:rsidRPr="00B42BC1">
              <w:rPr>
                <w:rFonts w:ascii="Times New Roman" w:eastAsia="Times New Roman" w:hAnsi="Times New Roman"/>
                <w:color w:val="000000" w:themeColor="text1"/>
                <w:sz w:val="24"/>
                <w:szCs w:val="24"/>
                <w:lang w:val="lv-LV" w:eastAsia="lv-LV"/>
              </w:rPr>
              <w:t>tiek pārņemta</w:t>
            </w:r>
            <w:r w:rsidR="00D10B33" w:rsidRPr="00B42BC1">
              <w:rPr>
                <w:rFonts w:ascii="Times New Roman" w:eastAsia="Times New Roman" w:hAnsi="Times New Roman"/>
                <w:color w:val="000000" w:themeColor="text1"/>
                <w:sz w:val="24"/>
                <w:szCs w:val="24"/>
                <w:lang w:val="lv-LV" w:eastAsia="lv-LV"/>
              </w:rPr>
              <w:t>, jo termins attiecas uz Direktīvas 2014/24/ES piemērošanu kā tādu. Likumprojektā terminam “iepirkums” ir cita nozīme, kā Direktīvā 2014/24/ES.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1AB742" w14:textId="77777777" w:rsidR="00137E44" w:rsidRPr="00B42BC1" w:rsidRDefault="00137E44" w:rsidP="00137E44">
            <w:pPr>
              <w:widowControl/>
              <w:spacing w:line="265" w:lineRule="atLeast"/>
              <w:rPr>
                <w:rFonts w:ascii="Times New Roman" w:eastAsia="Times New Roman" w:hAnsi="Times New Roman"/>
                <w:color w:val="000000" w:themeColor="text1"/>
                <w:sz w:val="24"/>
                <w:szCs w:val="24"/>
                <w:lang w:val="lv-LV" w:eastAsia="lv-LV"/>
              </w:rPr>
            </w:pPr>
          </w:p>
        </w:tc>
      </w:tr>
      <w:tr w:rsidR="00B42BC1" w:rsidRPr="00B42BC1" w14:paraId="3220720A" w14:textId="77777777" w:rsidTr="007A3206">
        <w:tc>
          <w:tcPr>
            <w:tcW w:w="30" w:type="dxa"/>
            <w:tcBorders>
              <w:top w:val="nil"/>
              <w:left w:val="nil"/>
              <w:bottom w:val="nil"/>
              <w:right w:val="nil"/>
            </w:tcBorders>
            <w:shd w:val="clear" w:color="auto" w:fill="FFFFFF"/>
            <w:vAlign w:val="center"/>
          </w:tcPr>
          <w:p w14:paraId="20319ACF" w14:textId="77777777" w:rsidR="00137E44" w:rsidRPr="00B42BC1" w:rsidRDefault="00137E44" w:rsidP="00137E44">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0CB132" w14:textId="77777777" w:rsidR="00137E44" w:rsidRPr="00B42BC1" w:rsidRDefault="00137E44" w:rsidP="00137E44">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F69545" w14:textId="77777777" w:rsidR="00137E44" w:rsidRPr="00B42BC1" w:rsidRDefault="00137E44" w:rsidP="00137E44">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C94431" w14:textId="77777777" w:rsidR="00137E44" w:rsidRPr="00B42BC1" w:rsidRDefault="004941BD" w:rsidP="004941BD">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netiek pārņemta, jo tā ir atsauce uz Direktīvas 2014/24/ES vispārēju </w:t>
            </w:r>
            <w:r w:rsidRPr="00B42BC1">
              <w:rPr>
                <w:rFonts w:ascii="Times New Roman" w:eastAsia="Times New Roman" w:hAnsi="Times New Roman"/>
                <w:color w:val="000000" w:themeColor="text1"/>
                <w:sz w:val="24"/>
                <w:szCs w:val="24"/>
                <w:lang w:val="lv-LV" w:eastAsia="lv-LV"/>
              </w:rPr>
              <w:lastRenderedPageBreak/>
              <w:t>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49FA9E" w14:textId="77777777" w:rsidR="00137E44" w:rsidRPr="00B42BC1" w:rsidRDefault="00137E44" w:rsidP="00137E44">
            <w:pPr>
              <w:widowControl/>
              <w:spacing w:line="265" w:lineRule="atLeast"/>
              <w:rPr>
                <w:rFonts w:ascii="Times New Roman" w:eastAsia="Times New Roman" w:hAnsi="Times New Roman"/>
                <w:color w:val="000000" w:themeColor="text1"/>
                <w:sz w:val="24"/>
                <w:szCs w:val="24"/>
                <w:lang w:val="lv-LV" w:eastAsia="lv-LV"/>
              </w:rPr>
            </w:pPr>
          </w:p>
        </w:tc>
      </w:tr>
      <w:tr w:rsidR="00B42BC1" w:rsidRPr="00B42BC1" w14:paraId="7A27DA43" w14:textId="77777777" w:rsidTr="007A3206">
        <w:tc>
          <w:tcPr>
            <w:tcW w:w="30" w:type="dxa"/>
            <w:tcBorders>
              <w:top w:val="nil"/>
              <w:left w:val="nil"/>
              <w:bottom w:val="nil"/>
              <w:right w:val="nil"/>
            </w:tcBorders>
            <w:shd w:val="clear" w:color="auto" w:fill="FFFFFF"/>
            <w:vAlign w:val="center"/>
          </w:tcPr>
          <w:p w14:paraId="21C3C02D" w14:textId="77777777" w:rsidR="004941BD" w:rsidRPr="00B42BC1" w:rsidRDefault="004941BD" w:rsidP="004941B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DB05051" w14:textId="77777777" w:rsidR="00B328BB" w:rsidRPr="00B42BC1" w:rsidRDefault="004941BD" w:rsidP="004941BD">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1.panta 4.punkts</w:t>
            </w:r>
          </w:p>
          <w:p w14:paraId="200628B1" w14:textId="77777777" w:rsidR="00B328BB" w:rsidRPr="00B42BC1" w:rsidRDefault="00B328BB" w:rsidP="00B328BB">
            <w:pPr>
              <w:rPr>
                <w:rFonts w:ascii="Times New Roman" w:eastAsia="Times New Roman" w:hAnsi="Times New Roman"/>
                <w:color w:val="000000" w:themeColor="text1"/>
                <w:sz w:val="24"/>
                <w:szCs w:val="24"/>
                <w:lang w:val="lv-LV" w:eastAsia="lv-LV"/>
              </w:rPr>
            </w:pPr>
          </w:p>
          <w:p w14:paraId="2753CC1E" w14:textId="77777777" w:rsidR="00B328BB" w:rsidRPr="00B42BC1" w:rsidRDefault="00B328BB" w:rsidP="00B328BB">
            <w:pPr>
              <w:rPr>
                <w:rFonts w:ascii="Times New Roman" w:eastAsia="Times New Roman" w:hAnsi="Times New Roman"/>
                <w:color w:val="000000" w:themeColor="text1"/>
                <w:sz w:val="24"/>
                <w:szCs w:val="24"/>
                <w:lang w:val="lv-LV" w:eastAsia="lv-LV"/>
              </w:rPr>
            </w:pPr>
          </w:p>
          <w:p w14:paraId="54CA6F1E" w14:textId="77777777" w:rsidR="004941BD" w:rsidRPr="00B42BC1" w:rsidRDefault="004941BD" w:rsidP="00B328BB">
            <w:pPr>
              <w:ind w:firstLine="720"/>
              <w:rPr>
                <w:rFonts w:ascii="Times New Roman" w:eastAsia="Times New Roman" w:hAnsi="Times New Roman"/>
                <w:color w:val="000000" w:themeColor="text1"/>
                <w:sz w:val="24"/>
                <w:szCs w:val="24"/>
                <w:lang w:val="lv-LV" w:eastAsia="lv-LV"/>
              </w:rPr>
            </w:pP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15B207" w14:textId="77777777" w:rsidR="004941BD" w:rsidRPr="00B42BC1" w:rsidRDefault="004941BD" w:rsidP="004941BD">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5BB878" w14:textId="77777777" w:rsidR="004941BD" w:rsidRPr="00B42BC1" w:rsidRDefault="004941BD" w:rsidP="004941BD">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jo tā ir atsauce uz Direktīvas 2014/24/ES vispārēju 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C0AC3C" w14:textId="77777777" w:rsidR="00B328BB" w:rsidRPr="00B42BC1" w:rsidRDefault="00B328BB" w:rsidP="004941BD">
            <w:pPr>
              <w:widowControl/>
              <w:spacing w:line="265" w:lineRule="atLeast"/>
              <w:rPr>
                <w:rFonts w:ascii="Times New Roman" w:eastAsia="Times New Roman" w:hAnsi="Times New Roman"/>
                <w:color w:val="000000" w:themeColor="text1"/>
                <w:sz w:val="24"/>
                <w:szCs w:val="24"/>
                <w:lang w:val="lv-LV" w:eastAsia="lv-LV"/>
              </w:rPr>
            </w:pPr>
          </w:p>
          <w:p w14:paraId="0B9C4F12" w14:textId="77777777" w:rsidR="00B328BB" w:rsidRPr="00B42BC1" w:rsidRDefault="00B328BB" w:rsidP="00B328BB">
            <w:pPr>
              <w:rPr>
                <w:rFonts w:ascii="Times New Roman" w:eastAsia="Times New Roman" w:hAnsi="Times New Roman"/>
                <w:color w:val="000000" w:themeColor="text1"/>
                <w:sz w:val="24"/>
                <w:szCs w:val="24"/>
                <w:lang w:val="lv-LV" w:eastAsia="lv-LV"/>
              </w:rPr>
            </w:pPr>
          </w:p>
          <w:p w14:paraId="06920DC8" w14:textId="77777777" w:rsidR="00B328BB" w:rsidRPr="00B42BC1" w:rsidRDefault="00B328BB" w:rsidP="00B328BB">
            <w:pPr>
              <w:rPr>
                <w:rFonts w:ascii="Times New Roman" w:eastAsia="Times New Roman" w:hAnsi="Times New Roman"/>
                <w:color w:val="000000" w:themeColor="text1"/>
                <w:sz w:val="24"/>
                <w:szCs w:val="24"/>
                <w:lang w:val="lv-LV" w:eastAsia="lv-LV"/>
              </w:rPr>
            </w:pPr>
          </w:p>
          <w:p w14:paraId="2C275386" w14:textId="77777777" w:rsidR="00B328BB" w:rsidRPr="00B42BC1" w:rsidRDefault="00B328BB" w:rsidP="00B328BB">
            <w:pPr>
              <w:rPr>
                <w:rFonts w:ascii="Times New Roman" w:eastAsia="Times New Roman" w:hAnsi="Times New Roman"/>
                <w:color w:val="000000" w:themeColor="text1"/>
                <w:sz w:val="24"/>
                <w:szCs w:val="24"/>
                <w:lang w:val="lv-LV" w:eastAsia="lv-LV"/>
              </w:rPr>
            </w:pPr>
          </w:p>
          <w:p w14:paraId="7BBC1969" w14:textId="77777777" w:rsidR="004941BD" w:rsidRPr="00B42BC1" w:rsidRDefault="004941BD" w:rsidP="00B328BB">
            <w:pPr>
              <w:jc w:val="right"/>
              <w:rPr>
                <w:rFonts w:ascii="Times New Roman" w:eastAsia="Times New Roman" w:hAnsi="Times New Roman"/>
                <w:color w:val="000000" w:themeColor="text1"/>
                <w:sz w:val="24"/>
                <w:szCs w:val="24"/>
                <w:lang w:val="lv-LV" w:eastAsia="lv-LV"/>
              </w:rPr>
            </w:pPr>
          </w:p>
        </w:tc>
      </w:tr>
      <w:tr w:rsidR="00B42BC1" w:rsidRPr="00B42BC1" w14:paraId="7121595E" w14:textId="77777777" w:rsidTr="007A3206">
        <w:tc>
          <w:tcPr>
            <w:tcW w:w="30" w:type="dxa"/>
            <w:tcBorders>
              <w:top w:val="nil"/>
              <w:left w:val="nil"/>
              <w:bottom w:val="nil"/>
              <w:right w:val="nil"/>
            </w:tcBorders>
            <w:shd w:val="clear" w:color="auto" w:fill="FFFFFF"/>
            <w:vAlign w:val="center"/>
          </w:tcPr>
          <w:p w14:paraId="65ED25C3" w14:textId="77777777" w:rsidR="007F3057" w:rsidRPr="00B42BC1" w:rsidRDefault="007F3057" w:rsidP="007F3057">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5CE998F"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E5D61E"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542E91"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jo tā ir atsauce uz Direktīvas 2014/24/ES vispārēju 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8B3948"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p>
        </w:tc>
      </w:tr>
      <w:tr w:rsidR="00B42BC1" w:rsidRPr="00B42BC1" w14:paraId="2EEA613C" w14:textId="77777777" w:rsidTr="007A3206">
        <w:tc>
          <w:tcPr>
            <w:tcW w:w="30" w:type="dxa"/>
            <w:tcBorders>
              <w:top w:val="nil"/>
              <w:left w:val="nil"/>
              <w:bottom w:val="nil"/>
              <w:right w:val="nil"/>
            </w:tcBorders>
            <w:shd w:val="clear" w:color="auto" w:fill="FFFFFF"/>
            <w:vAlign w:val="center"/>
          </w:tcPr>
          <w:p w14:paraId="276E5FAA" w14:textId="77777777" w:rsidR="007F3057" w:rsidRPr="00B42BC1" w:rsidRDefault="007F3057" w:rsidP="007F3057">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058C19E"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08A176"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272E9D"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jo tā ir atsauce uz Direktīvas 2014/24/ES vispārēju piemērošanu un dalībvalstu tiesībām kā tādām.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343BE4"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p>
        </w:tc>
      </w:tr>
      <w:tr w:rsidR="00B42BC1" w:rsidRPr="00B42BC1" w14:paraId="462C580B" w14:textId="77777777" w:rsidTr="007A3206">
        <w:tc>
          <w:tcPr>
            <w:tcW w:w="30" w:type="dxa"/>
            <w:tcBorders>
              <w:top w:val="nil"/>
              <w:left w:val="nil"/>
              <w:bottom w:val="nil"/>
              <w:right w:val="nil"/>
            </w:tcBorders>
            <w:shd w:val="clear" w:color="auto" w:fill="FFFFFF"/>
            <w:vAlign w:val="center"/>
            <w:hideMark/>
          </w:tcPr>
          <w:p w14:paraId="70A1189B"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F39DC08" w14:textId="77777777" w:rsidR="007F3057" w:rsidRPr="00B42BC1"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9BB0423" w14:textId="77777777" w:rsidR="007F3057" w:rsidRPr="00B42BC1"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pirmās daļas 19</w:t>
            </w:r>
            <w:r w:rsidR="007F3057"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69A757A"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E999D17"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B6E7FFF" w14:textId="77777777" w:rsidTr="007A3206">
        <w:tc>
          <w:tcPr>
            <w:tcW w:w="30" w:type="dxa"/>
            <w:tcBorders>
              <w:top w:val="nil"/>
              <w:left w:val="nil"/>
              <w:bottom w:val="nil"/>
              <w:right w:val="nil"/>
            </w:tcBorders>
            <w:shd w:val="clear" w:color="auto" w:fill="FFFFFF"/>
            <w:vAlign w:val="center"/>
            <w:hideMark/>
          </w:tcPr>
          <w:p w14:paraId="2E3A6BEC"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24B12FB" w14:textId="77777777" w:rsidR="007F3057" w:rsidRPr="00B42BC1"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2.apakšpunkts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23DD48" w14:textId="77777777" w:rsidR="007F3057" w:rsidRPr="00B42BC1"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pirmās daļas 19</w:t>
            </w:r>
            <w:r w:rsidR="007F3057"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ECF28B"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217ABD"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3C61492" w14:textId="77777777" w:rsidTr="007A3206">
        <w:tc>
          <w:tcPr>
            <w:tcW w:w="30" w:type="dxa"/>
            <w:tcBorders>
              <w:top w:val="nil"/>
              <w:left w:val="nil"/>
              <w:bottom w:val="nil"/>
              <w:right w:val="nil"/>
            </w:tcBorders>
            <w:shd w:val="clear" w:color="auto" w:fill="FFFFFF"/>
            <w:vAlign w:val="center"/>
            <w:hideMark/>
          </w:tcPr>
          <w:p w14:paraId="09314397"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1FAA556" w14:textId="77777777" w:rsidR="007F3057" w:rsidRPr="00B42BC1"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3.apakšpunkts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A5B7E6" w14:textId="77777777" w:rsidR="007F3057" w:rsidRPr="00B42BC1"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pirmās daļas 19</w:t>
            </w:r>
            <w:r w:rsidR="007F3057"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8CBC5C"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22EC0B"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DCDBF6A" w14:textId="77777777" w:rsidTr="007A3206">
        <w:tc>
          <w:tcPr>
            <w:tcW w:w="30" w:type="dxa"/>
            <w:tcBorders>
              <w:top w:val="nil"/>
              <w:left w:val="nil"/>
              <w:bottom w:val="nil"/>
              <w:right w:val="nil"/>
            </w:tcBorders>
            <w:shd w:val="clear" w:color="auto" w:fill="FFFFFF"/>
            <w:vAlign w:val="center"/>
            <w:hideMark/>
          </w:tcPr>
          <w:p w14:paraId="7110162E"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12FC731" w14:textId="77777777" w:rsidR="007F3057" w:rsidRPr="00B42BC1"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4.apakšpunkts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F96C9A" w14:textId="77777777" w:rsidR="007F3057" w:rsidRPr="00B42BC1" w:rsidRDefault="001F5F7C"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pirmās daļas 19</w:t>
            </w:r>
            <w:r w:rsidR="007F3057"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C84CED"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3BF90A"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DB5FB42" w14:textId="77777777" w:rsidTr="007A3206">
        <w:tc>
          <w:tcPr>
            <w:tcW w:w="30" w:type="dxa"/>
            <w:tcBorders>
              <w:top w:val="nil"/>
              <w:left w:val="nil"/>
              <w:bottom w:val="nil"/>
              <w:right w:val="nil"/>
            </w:tcBorders>
            <w:shd w:val="clear" w:color="auto" w:fill="FFFFFF"/>
            <w:vAlign w:val="center"/>
            <w:hideMark/>
          </w:tcPr>
          <w:p w14:paraId="7935039F"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1D8DADC" w14:textId="77777777" w:rsidR="007F3057" w:rsidRPr="00B42BC1"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5.apakšpunkts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50D334"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C37550"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7885E8"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7200B2A" w14:textId="77777777" w:rsidTr="007A3206">
        <w:tc>
          <w:tcPr>
            <w:tcW w:w="30" w:type="dxa"/>
            <w:tcBorders>
              <w:top w:val="nil"/>
              <w:left w:val="nil"/>
              <w:bottom w:val="nil"/>
              <w:right w:val="nil"/>
            </w:tcBorders>
            <w:shd w:val="clear" w:color="auto" w:fill="FFFFFF"/>
            <w:vAlign w:val="center"/>
            <w:hideMark/>
          </w:tcPr>
          <w:p w14:paraId="2974F4FC"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6E73181" w14:textId="77777777" w:rsidR="007F3057" w:rsidRPr="00B42BC1" w:rsidRDefault="007F3057" w:rsidP="007F3057">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6.apakšpunkts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62E00D"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26.punkts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3A49C8"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2D6F9F"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780E46F" w14:textId="77777777" w:rsidTr="007A3206">
        <w:trPr>
          <w:trHeight w:val="35"/>
        </w:trPr>
        <w:tc>
          <w:tcPr>
            <w:tcW w:w="30" w:type="dxa"/>
            <w:tcBorders>
              <w:top w:val="nil"/>
              <w:left w:val="nil"/>
              <w:bottom w:val="nil"/>
              <w:right w:val="nil"/>
            </w:tcBorders>
            <w:shd w:val="clear" w:color="auto" w:fill="FFFFFF"/>
            <w:vAlign w:val="center"/>
            <w:hideMark/>
          </w:tcPr>
          <w:p w14:paraId="23593362"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150A73"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7.apakšpunkts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3E9B12"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26.punkts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CFCB58"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B8C597"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DEE7BB1" w14:textId="77777777" w:rsidTr="007A3206">
        <w:trPr>
          <w:trHeight w:val="35"/>
        </w:trPr>
        <w:tc>
          <w:tcPr>
            <w:tcW w:w="30" w:type="dxa"/>
            <w:tcBorders>
              <w:top w:val="nil"/>
              <w:left w:val="nil"/>
              <w:bottom w:val="nil"/>
              <w:right w:val="nil"/>
            </w:tcBorders>
            <w:shd w:val="clear" w:color="auto" w:fill="FFFFFF"/>
            <w:vAlign w:val="center"/>
            <w:hideMark/>
          </w:tcPr>
          <w:p w14:paraId="16C8411B"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7666ED"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8.apakšpunkts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575BD4"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28.punkts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6AA3AA"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158DD2"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29BCEA7" w14:textId="77777777" w:rsidTr="007A3206">
        <w:trPr>
          <w:trHeight w:val="35"/>
        </w:trPr>
        <w:tc>
          <w:tcPr>
            <w:tcW w:w="30" w:type="dxa"/>
            <w:tcBorders>
              <w:top w:val="nil"/>
              <w:left w:val="nil"/>
              <w:bottom w:val="nil"/>
              <w:right w:val="nil"/>
            </w:tcBorders>
            <w:shd w:val="clear" w:color="auto" w:fill="FFFFFF"/>
            <w:vAlign w:val="center"/>
            <w:hideMark/>
          </w:tcPr>
          <w:p w14:paraId="210C1D4E"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8CCF14E"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9.apakšpunkts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52317A"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27.punkts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40DDA1"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r w:rsidR="003F5CF9" w:rsidRPr="00B42BC1">
              <w:rPr>
                <w:rFonts w:ascii="Times New Roman" w:eastAsia="Times New Roman" w:hAnsi="Times New Roman"/>
                <w:color w:val="000000" w:themeColor="text1"/>
                <w:sz w:val="24"/>
                <w:szCs w:val="24"/>
                <w:lang w:val="lv-LV" w:eastAsia="lv-LV"/>
              </w:rPr>
              <w:t>, papildu skaidrojums anotācijā par pakalpojumu raksturu, kas ir attiecināmi uz publisku pakalpojuma līguma priekšmetu.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8327D4"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253D6A8" w14:textId="77777777" w:rsidTr="007A3206">
        <w:trPr>
          <w:trHeight w:val="35"/>
        </w:trPr>
        <w:tc>
          <w:tcPr>
            <w:tcW w:w="30" w:type="dxa"/>
            <w:tcBorders>
              <w:top w:val="nil"/>
              <w:left w:val="nil"/>
              <w:bottom w:val="nil"/>
              <w:right w:val="nil"/>
            </w:tcBorders>
            <w:shd w:val="clear" w:color="auto" w:fill="FFFFFF"/>
            <w:vAlign w:val="center"/>
            <w:hideMark/>
          </w:tcPr>
          <w:p w14:paraId="1E53AB75"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AE56DFA"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10.apakšpunkts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B8D013"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22.punkts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13263B"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AE85E8"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6E3A2FC" w14:textId="77777777" w:rsidTr="007A3206">
        <w:trPr>
          <w:trHeight w:val="35"/>
        </w:trPr>
        <w:tc>
          <w:tcPr>
            <w:tcW w:w="30" w:type="dxa"/>
            <w:tcBorders>
              <w:top w:val="nil"/>
              <w:left w:val="nil"/>
              <w:bottom w:val="nil"/>
              <w:right w:val="nil"/>
            </w:tcBorders>
            <w:shd w:val="clear" w:color="auto" w:fill="FFFFFF"/>
            <w:vAlign w:val="center"/>
            <w:hideMark/>
          </w:tcPr>
          <w:p w14:paraId="255EC429"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982D6A"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11.apakšpunkts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131127"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24.punkts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85D040"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92DAE0"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E9ADE97" w14:textId="77777777" w:rsidTr="007A3206">
        <w:trPr>
          <w:trHeight w:val="35"/>
        </w:trPr>
        <w:tc>
          <w:tcPr>
            <w:tcW w:w="30" w:type="dxa"/>
            <w:tcBorders>
              <w:top w:val="nil"/>
              <w:left w:val="nil"/>
              <w:bottom w:val="nil"/>
              <w:right w:val="nil"/>
            </w:tcBorders>
            <w:shd w:val="clear" w:color="auto" w:fill="FFFFFF"/>
            <w:vAlign w:val="center"/>
            <w:hideMark/>
          </w:tcPr>
          <w:p w14:paraId="25F06EB2"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D371A4"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12.apakšpunkts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BB654A"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299102"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AD04B8"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827252A" w14:textId="77777777" w:rsidTr="007A3206">
        <w:trPr>
          <w:trHeight w:val="35"/>
        </w:trPr>
        <w:tc>
          <w:tcPr>
            <w:tcW w:w="30" w:type="dxa"/>
            <w:tcBorders>
              <w:top w:val="nil"/>
              <w:left w:val="nil"/>
              <w:bottom w:val="nil"/>
              <w:right w:val="nil"/>
            </w:tcBorders>
            <w:shd w:val="clear" w:color="auto" w:fill="FFFFFF"/>
            <w:vAlign w:val="center"/>
            <w:hideMark/>
          </w:tcPr>
          <w:p w14:paraId="6659EEDD"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32D9457"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13.apakšpunkts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A09158"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F4983C" w14:textId="77777777" w:rsidR="007F3057" w:rsidRPr="00B42BC1" w:rsidRDefault="007F3057" w:rsidP="00026079">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w:t>
            </w:r>
            <w:r w:rsidR="00026079" w:rsidRPr="00B42BC1">
              <w:rPr>
                <w:rFonts w:ascii="Times New Roman" w:eastAsia="Times New Roman" w:hAnsi="Times New Roman"/>
                <w:color w:val="000000" w:themeColor="text1"/>
                <w:sz w:val="24"/>
                <w:szCs w:val="24"/>
                <w:lang w:val="lv-LV" w:eastAsia="lv-LV"/>
              </w:rPr>
              <w:t xml:space="preserve"> tādā redakcijā, ņemot vērā to, ka netiek pārņemta iespēja izsludināt iepirkumu ar iepriekšēju informatīvu </w:t>
            </w:r>
            <w:r w:rsidR="00026079" w:rsidRPr="00B42BC1">
              <w:rPr>
                <w:rFonts w:ascii="Times New Roman" w:eastAsia="Times New Roman" w:hAnsi="Times New Roman"/>
                <w:color w:val="000000" w:themeColor="text1"/>
                <w:sz w:val="24"/>
                <w:szCs w:val="24"/>
                <w:lang w:val="lv-LV" w:eastAsia="lv-LV"/>
              </w:rPr>
              <w:lastRenderedPageBreak/>
              <w:t>paziņojumu, līdz ar to attiecīgais dokuments tiek izslēgts no termina satura.</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8129A2"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Likumprojekts stingrākas prasības neparedz</w:t>
            </w:r>
          </w:p>
        </w:tc>
      </w:tr>
      <w:tr w:rsidR="00B42BC1" w:rsidRPr="00B42BC1" w14:paraId="2357FC2D" w14:textId="77777777" w:rsidTr="007A3206">
        <w:trPr>
          <w:trHeight w:val="35"/>
        </w:trPr>
        <w:tc>
          <w:tcPr>
            <w:tcW w:w="30" w:type="dxa"/>
            <w:tcBorders>
              <w:top w:val="nil"/>
              <w:left w:val="nil"/>
              <w:bottom w:val="nil"/>
              <w:right w:val="nil"/>
            </w:tcBorders>
            <w:shd w:val="clear" w:color="auto" w:fill="FFFFFF"/>
            <w:vAlign w:val="center"/>
            <w:hideMark/>
          </w:tcPr>
          <w:p w14:paraId="00C972A9"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B406BED"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w:t>
            </w:r>
            <w:r w:rsidR="00026079" w:rsidRPr="00B42BC1">
              <w:rPr>
                <w:rFonts w:ascii="Times New Roman" w:eastAsia="Times New Roman" w:hAnsi="Times New Roman"/>
                <w:color w:val="000000" w:themeColor="text1"/>
                <w:sz w:val="24"/>
                <w:szCs w:val="24"/>
                <w:lang w:val="lv-LV" w:eastAsia="lv-LV"/>
              </w:rPr>
              <w:t>anta pirmā punkta 14.apakšpunkta a)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793539" w14:textId="77777777" w:rsidR="007F3057" w:rsidRPr="00B42BC1" w:rsidRDefault="007F3057" w:rsidP="00026079">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4.punkt</w:t>
            </w:r>
            <w:r w:rsidR="00026079" w:rsidRPr="00B42BC1">
              <w:rPr>
                <w:rFonts w:ascii="Times New Roman" w:eastAsia="Times New Roman" w:hAnsi="Times New Roman"/>
                <w:color w:val="000000" w:themeColor="text1"/>
                <w:sz w:val="24"/>
                <w:szCs w:val="24"/>
                <w:lang w:val="lv-LV" w:eastAsia="lv-LV"/>
              </w:rPr>
              <w:t>a a) apakšpunkts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FB8DA5"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75C6C9"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r w:rsidR="009D2F64" w:rsidRPr="00B42BC1">
              <w:rPr>
                <w:rFonts w:ascii="Times New Roman" w:eastAsia="Times New Roman" w:hAnsi="Times New Roman"/>
                <w:color w:val="000000" w:themeColor="text1"/>
                <w:sz w:val="24"/>
                <w:szCs w:val="24"/>
                <w:lang w:val="lv-LV" w:eastAsia="lv-LV"/>
              </w:rPr>
              <w:t>, bet paredz to, ka centralizēto iepirkumu institūcijas iepirkumu rezultātus var izmantot arī sabiedrisko pakalpojumu sniedzēji.</w:t>
            </w:r>
          </w:p>
        </w:tc>
      </w:tr>
      <w:tr w:rsidR="00B42BC1" w:rsidRPr="00B42BC1" w14:paraId="0EE08C3F" w14:textId="77777777" w:rsidTr="00C15AF6">
        <w:trPr>
          <w:trHeight w:val="35"/>
        </w:trPr>
        <w:tc>
          <w:tcPr>
            <w:tcW w:w="30" w:type="dxa"/>
            <w:tcBorders>
              <w:top w:val="nil"/>
              <w:left w:val="nil"/>
              <w:bottom w:val="nil"/>
              <w:right w:val="nil"/>
            </w:tcBorders>
            <w:shd w:val="clear" w:color="auto" w:fill="FFFFFF"/>
            <w:vAlign w:val="center"/>
            <w:hideMark/>
          </w:tcPr>
          <w:p w14:paraId="017222C4" w14:textId="77777777" w:rsidR="00026079" w:rsidRPr="00B42BC1" w:rsidRDefault="00026079" w:rsidP="00C15AF6">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2AC7992" w14:textId="77777777" w:rsidR="00026079" w:rsidRPr="00B42BC1" w:rsidRDefault="00026079" w:rsidP="00C15AF6">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14.apakšpunkta b)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C08AA3" w14:textId="77777777" w:rsidR="00026079" w:rsidRPr="00B42BC1" w:rsidRDefault="00026079" w:rsidP="00C15AF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4.punkta b) apakšpunkts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93882F" w14:textId="77777777" w:rsidR="00026079" w:rsidRPr="00B42BC1" w:rsidRDefault="00026079" w:rsidP="00C15AF6">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DC6A22" w14:textId="77777777" w:rsidR="00026079" w:rsidRPr="00B42BC1" w:rsidRDefault="009D2F64" w:rsidP="00C15AF6">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bet paredz to, ka centralizēto iepirkumu institūcijas iepirkumu rezultātus var izmantot arī sabiedrisko pakalpojumu sniedzēji.</w:t>
            </w:r>
          </w:p>
        </w:tc>
      </w:tr>
      <w:tr w:rsidR="00B42BC1" w:rsidRPr="00B42BC1" w14:paraId="392A8D36" w14:textId="77777777" w:rsidTr="007A3206">
        <w:trPr>
          <w:trHeight w:val="35"/>
        </w:trPr>
        <w:tc>
          <w:tcPr>
            <w:tcW w:w="30" w:type="dxa"/>
            <w:tcBorders>
              <w:top w:val="nil"/>
              <w:left w:val="nil"/>
              <w:bottom w:val="nil"/>
              <w:right w:val="nil"/>
            </w:tcBorders>
            <w:shd w:val="clear" w:color="auto" w:fill="FFFFFF"/>
            <w:vAlign w:val="center"/>
            <w:hideMark/>
          </w:tcPr>
          <w:p w14:paraId="577103F5" w14:textId="77777777" w:rsidR="007F3057" w:rsidRPr="00B42BC1" w:rsidRDefault="007F3057" w:rsidP="007F305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5B1BB40" w14:textId="77777777" w:rsidR="007F3057" w:rsidRPr="00B42BC1" w:rsidRDefault="007F3057" w:rsidP="007F3057">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w:t>
            </w:r>
            <w:r w:rsidR="00F65304" w:rsidRPr="00B42BC1">
              <w:rPr>
                <w:rFonts w:ascii="Times New Roman" w:eastAsia="Times New Roman" w:hAnsi="Times New Roman"/>
                <w:color w:val="000000" w:themeColor="text1"/>
                <w:sz w:val="24"/>
                <w:szCs w:val="24"/>
                <w:lang w:val="lv-LV" w:eastAsia="lv-LV"/>
              </w:rPr>
              <w:t>anta pirmā punkta 15.apakšpunkta a)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6959A6" w14:textId="77777777" w:rsidR="00F65304" w:rsidRPr="00B42BC1" w:rsidRDefault="00583281" w:rsidP="007F305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17.panta pirmā daļa</w:t>
            </w:r>
          </w:p>
          <w:p w14:paraId="1AA0EF27" w14:textId="77777777" w:rsidR="00F65304" w:rsidRPr="00B42BC1" w:rsidRDefault="00F65304" w:rsidP="007F3057">
            <w:pPr>
              <w:widowControl/>
              <w:spacing w:after="0" w:line="240" w:lineRule="auto"/>
              <w:rPr>
                <w:rFonts w:ascii="Times New Roman" w:eastAsia="Times New Roman" w:hAnsi="Times New Roman"/>
                <w:color w:val="000000" w:themeColor="text1"/>
                <w:sz w:val="24"/>
                <w:szCs w:val="24"/>
                <w:lang w:val="lv-LV" w:eastAsia="lv-LV"/>
              </w:rPr>
            </w:pPr>
          </w:p>
          <w:p w14:paraId="2B036756" w14:textId="77777777" w:rsidR="00F65304" w:rsidRPr="00B42BC1" w:rsidRDefault="00F65304" w:rsidP="007F3057">
            <w:pPr>
              <w:widowControl/>
              <w:spacing w:after="0" w:line="240" w:lineRule="auto"/>
              <w:rPr>
                <w:rFonts w:ascii="Times New Roman" w:eastAsia="Times New Roman" w:hAnsi="Times New Roman"/>
                <w:color w:val="000000" w:themeColor="text1"/>
                <w:sz w:val="24"/>
                <w:szCs w:val="24"/>
                <w:lang w:val="lv-LV" w:eastAsia="lv-LV"/>
              </w:rPr>
            </w:pPr>
          </w:p>
          <w:p w14:paraId="3CA0229D" w14:textId="77777777" w:rsidR="007F3057" w:rsidRPr="00B42BC1" w:rsidRDefault="007F3057" w:rsidP="007F3057">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5CA8BD" w14:textId="77777777" w:rsidR="007F3057" w:rsidRPr="00B42BC1" w:rsidRDefault="00583281"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C25459" w14:textId="77777777" w:rsidR="007F3057" w:rsidRPr="00B42BC1" w:rsidRDefault="007F3057" w:rsidP="007F3057">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4846D39" w14:textId="77777777" w:rsidTr="007A3206">
        <w:trPr>
          <w:trHeight w:val="35"/>
        </w:trPr>
        <w:tc>
          <w:tcPr>
            <w:tcW w:w="30" w:type="dxa"/>
            <w:tcBorders>
              <w:top w:val="nil"/>
              <w:left w:val="nil"/>
              <w:bottom w:val="nil"/>
              <w:right w:val="nil"/>
            </w:tcBorders>
            <w:shd w:val="clear" w:color="auto" w:fill="FFFFFF"/>
            <w:vAlign w:val="center"/>
          </w:tcPr>
          <w:p w14:paraId="307810E8" w14:textId="77777777" w:rsidR="00583281" w:rsidRPr="00B42BC1" w:rsidRDefault="00583281" w:rsidP="00583281">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92D6848" w14:textId="77777777" w:rsidR="00583281" w:rsidRPr="00B42BC1" w:rsidRDefault="00583281" w:rsidP="00583281">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15.apakšpunkta b)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063706" w14:textId="77777777" w:rsidR="00583281" w:rsidRPr="00B42BC1" w:rsidRDefault="00583281" w:rsidP="0058328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17.panta pirmā</w:t>
            </w:r>
            <w:r w:rsidR="00181275" w:rsidRPr="00B42BC1">
              <w:rPr>
                <w:rFonts w:ascii="Times New Roman" w:eastAsia="Times New Roman" w:hAnsi="Times New Roman"/>
                <w:color w:val="000000" w:themeColor="text1"/>
                <w:sz w:val="24"/>
                <w:szCs w:val="24"/>
                <w:lang w:val="lv-LV" w:eastAsia="lv-LV"/>
              </w:rPr>
              <w:t xml:space="preserve"> daļa un 66.panta pirmās daļas 2</w:t>
            </w:r>
            <w:r w:rsidRPr="00B42BC1">
              <w:rPr>
                <w:rFonts w:ascii="Times New Roman" w:eastAsia="Times New Roman" w:hAnsi="Times New Roman"/>
                <w:color w:val="000000" w:themeColor="text1"/>
                <w:sz w:val="24"/>
                <w:szCs w:val="24"/>
                <w:lang w:val="lv-LV" w:eastAsia="lv-LV"/>
              </w:rPr>
              <w:t xml:space="preserve">.punkts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79A2BE" w14:textId="77777777" w:rsidR="00583281" w:rsidRPr="00B42BC1" w:rsidRDefault="00583281" w:rsidP="00583281">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r w:rsidR="00C94A9A" w:rsidRPr="00B42BC1">
              <w:rPr>
                <w:rFonts w:ascii="Times New Roman" w:eastAsia="Times New Roman" w:hAnsi="Times New Roman"/>
                <w:color w:val="000000" w:themeColor="text1"/>
                <w:sz w:val="24"/>
                <w:szCs w:val="24"/>
                <w:lang w:val="lv-LV" w:eastAsia="lv-LV"/>
              </w:rPr>
              <w:t>, taču ņemot vērā nacionālo sistēmu.</w:t>
            </w:r>
          </w:p>
          <w:p w14:paraId="38652A64" w14:textId="77777777" w:rsidR="00C94A9A" w:rsidRPr="00B42BC1" w:rsidRDefault="00C94A9A" w:rsidP="00583281">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Daļu no iegādes palīgdarbībām veiks Valsts reģionālās attīstības aģentūra, jo ir izveidojusi valsts elektroniskās informācijas sistēmu, kurā pasūtītājiem būs elektroniski iespējams pieņemt piedāvājumus un pieteikumus. Līdz ar to konsultācijas ir paredzētas par šīs sistēmas lietošanu, nevis kā vispārīgas konsultācijas par iepirkumu veikšanu.</w:t>
            </w:r>
          </w:p>
          <w:p w14:paraId="1C18103A" w14:textId="77777777" w:rsidR="00583281" w:rsidRPr="00B42BC1" w:rsidRDefault="00C94A9A" w:rsidP="00C94A9A">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Otru d</w:t>
            </w:r>
            <w:r w:rsidR="00583281" w:rsidRPr="00B42BC1">
              <w:rPr>
                <w:rFonts w:ascii="Times New Roman" w:eastAsia="Times New Roman" w:hAnsi="Times New Roman"/>
                <w:color w:val="000000" w:themeColor="text1"/>
                <w:sz w:val="24"/>
                <w:szCs w:val="24"/>
                <w:lang w:val="lv-LV" w:eastAsia="lv-LV"/>
              </w:rPr>
              <w:t xml:space="preserve">aļu no iegādes palīgdarbībām veic </w:t>
            </w:r>
            <w:r w:rsidR="00583281" w:rsidRPr="00B42BC1">
              <w:rPr>
                <w:rFonts w:ascii="Times New Roman" w:eastAsia="Times New Roman" w:hAnsi="Times New Roman"/>
                <w:color w:val="000000" w:themeColor="text1"/>
                <w:sz w:val="24"/>
                <w:szCs w:val="24"/>
                <w:lang w:val="lv-LV" w:eastAsia="lv-LV"/>
              </w:rPr>
              <w:lastRenderedPageBreak/>
              <w:t>Iepirkumu uzraudzības birojs. Iegādes palīgdarbības nav jāveic obligāti (Direktīvas 2014/24/ES 2.panta 16.punkts).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334900" w14:textId="77777777" w:rsidR="00583281" w:rsidRPr="00B42BC1" w:rsidRDefault="00583281" w:rsidP="00583281">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Likumprojekts stingrākas prasības neparedz</w:t>
            </w:r>
          </w:p>
        </w:tc>
      </w:tr>
      <w:tr w:rsidR="00B42BC1" w:rsidRPr="00B42BC1" w14:paraId="06986953" w14:textId="77777777" w:rsidTr="007A3206">
        <w:trPr>
          <w:trHeight w:val="35"/>
        </w:trPr>
        <w:tc>
          <w:tcPr>
            <w:tcW w:w="30" w:type="dxa"/>
            <w:tcBorders>
              <w:top w:val="nil"/>
              <w:left w:val="nil"/>
              <w:bottom w:val="nil"/>
              <w:right w:val="nil"/>
            </w:tcBorders>
            <w:shd w:val="clear" w:color="auto" w:fill="FFFFFF"/>
            <w:vAlign w:val="center"/>
          </w:tcPr>
          <w:p w14:paraId="475F16F2" w14:textId="77777777" w:rsidR="006A440E" w:rsidRPr="00B42BC1" w:rsidRDefault="006A440E" w:rsidP="006A440E">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60029B1"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15.apakšpunkta c)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4C34BA"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17.panta pirmā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8FC412"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taču ņemot vērā nacionālo sistēmu.</w:t>
            </w:r>
          </w:p>
          <w:p w14:paraId="7B61D428"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Ir paredzēts, ka centralizēto iepirkumu institūcija veic iepirkumus pasūtītāju vārdā, bet nav paredzēts, ka pasūtītāji maksātu par šādas darbības veikšanu.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14F8C4"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7E3FEC1" w14:textId="77777777" w:rsidTr="007A3206">
        <w:trPr>
          <w:trHeight w:val="35"/>
        </w:trPr>
        <w:tc>
          <w:tcPr>
            <w:tcW w:w="30" w:type="dxa"/>
            <w:tcBorders>
              <w:top w:val="nil"/>
              <w:left w:val="nil"/>
              <w:bottom w:val="nil"/>
              <w:right w:val="nil"/>
            </w:tcBorders>
            <w:shd w:val="clear" w:color="auto" w:fill="FFFFFF"/>
            <w:vAlign w:val="center"/>
            <w:hideMark/>
          </w:tcPr>
          <w:p w14:paraId="200D3AD8"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69731F5"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16.apakšpunkts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645466"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1.panta 4.punkts, 17.panta pirmā daļa </w:t>
            </w:r>
          </w:p>
          <w:p w14:paraId="6106C96F"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6A953E"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daļēji.</w:t>
            </w:r>
          </w:p>
          <w:p w14:paraId="7FEC5744"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Centralizēto iepirkumu institūcijām nav pienākums sniegt konsultācijas par iepirkuma procedūru rīkošanu vai plānošanu.</w:t>
            </w:r>
          </w:p>
          <w:p w14:paraId="28DCD38D"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Iegādes palīgdarbības nav jāveic obligāti (Direktīvas 2014/24/ES 2.panta 16.punkts).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AC87D6"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8ADFDA1" w14:textId="77777777" w:rsidTr="007A3206">
        <w:trPr>
          <w:trHeight w:val="35"/>
        </w:trPr>
        <w:tc>
          <w:tcPr>
            <w:tcW w:w="30" w:type="dxa"/>
            <w:tcBorders>
              <w:top w:val="nil"/>
              <w:left w:val="nil"/>
              <w:bottom w:val="nil"/>
              <w:right w:val="nil"/>
            </w:tcBorders>
            <w:shd w:val="clear" w:color="auto" w:fill="FFFFFF"/>
            <w:vAlign w:val="center"/>
            <w:hideMark/>
          </w:tcPr>
          <w:p w14:paraId="50B0D5B4"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B033EF2"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17.apakšpunkts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929A9D"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424490" w14:textId="77777777" w:rsidR="006A440E" w:rsidRPr="00B42BC1" w:rsidRDefault="006A440E" w:rsidP="006A440E">
            <w:pPr>
              <w:widowControl/>
              <w:spacing w:line="265"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netiek pārņemta, jo saskaņā ar normatīvajiem aktiem publiska persona var darboties privāto tiesību jomā (piedāvāt tirgū iegādes palīgdarbības) tikai Valsts pārvaldes iekārtas likuma noteiktos gadījumos. Likumprojektā nav paredzēts, ka centralizēto iepirkumu institūcijas veiktās </w:t>
            </w:r>
            <w:r w:rsidRPr="00B42BC1">
              <w:rPr>
                <w:rFonts w:ascii="Times New Roman" w:eastAsia="Times New Roman" w:hAnsi="Times New Roman"/>
                <w:color w:val="000000" w:themeColor="text1"/>
                <w:sz w:val="24"/>
                <w:szCs w:val="24"/>
                <w:lang w:val="lv-LV" w:eastAsia="lv-LV"/>
              </w:rPr>
              <w:lastRenderedPageBreak/>
              <w:t xml:space="preserve">darbības būtu maksas pakalpojumi.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4D25BF"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213E6FEB" w14:textId="77777777" w:rsidTr="007A3206">
        <w:trPr>
          <w:trHeight w:val="35"/>
        </w:trPr>
        <w:tc>
          <w:tcPr>
            <w:tcW w:w="30" w:type="dxa"/>
            <w:tcBorders>
              <w:top w:val="nil"/>
              <w:left w:val="nil"/>
              <w:bottom w:val="nil"/>
              <w:right w:val="nil"/>
            </w:tcBorders>
            <w:shd w:val="clear" w:color="auto" w:fill="FFFFFF"/>
            <w:vAlign w:val="center"/>
            <w:hideMark/>
          </w:tcPr>
          <w:p w14:paraId="75E8033E"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0D16818"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18.apakšpunkts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93433F" w14:textId="77777777" w:rsidR="006A440E" w:rsidRPr="00B42BC1"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87C29F"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netiek pārņemta, jo jēdziens “rakstisks” tiek lietots vispārpieņemtā šī jēdziena nozīmē un nav nepieciešams tā skaidrojums. </w:t>
            </w:r>
            <w:r w:rsidR="00454FB3" w:rsidRPr="00B42BC1">
              <w:rPr>
                <w:rFonts w:ascii="Times New Roman" w:eastAsia="Times New Roman" w:hAnsi="Times New Roman"/>
                <w:color w:val="000000" w:themeColor="text1"/>
                <w:sz w:val="24"/>
                <w:szCs w:val="24"/>
                <w:lang w:val="lv-LV" w:eastAsia="lv-LV"/>
              </w:rPr>
              <w:t xml:space="preserve">Direktīvā 2004/18/EK arī bija definēts šāds termins, taču nacionālajos normatīvajos aktos netika atsevišķi pārņemts.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421578" w14:textId="77777777" w:rsidR="006A440E" w:rsidRPr="00B42BC1" w:rsidRDefault="006A440E" w:rsidP="006A440E">
            <w:pPr>
              <w:widowControl/>
              <w:spacing w:after="0" w:line="240" w:lineRule="auto"/>
              <w:rPr>
                <w:rFonts w:eastAsia="Times New Roman"/>
                <w:color w:val="000000" w:themeColor="text1"/>
                <w:lang w:val="lv-LV" w:eastAsia="lv-LV"/>
              </w:rPr>
            </w:pPr>
          </w:p>
        </w:tc>
      </w:tr>
      <w:tr w:rsidR="00B42BC1" w:rsidRPr="00B42BC1" w14:paraId="4096E3DF" w14:textId="77777777" w:rsidTr="007A3206">
        <w:trPr>
          <w:trHeight w:val="35"/>
        </w:trPr>
        <w:tc>
          <w:tcPr>
            <w:tcW w:w="30" w:type="dxa"/>
            <w:tcBorders>
              <w:top w:val="nil"/>
              <w:left w:val="nil"/>
              <w:bottom w:val="nil"/>
              <w:right w:val="nil"/>
            </w:tcBorders>
            <w:shd w:val="clear" w:color="auto" w:fill="FFFFFF"/>
            <w:vAlign w:val="center"/>
            <w:hideMark/>
          </w:tcPr>
          <w:p w14:paraId="73583D3F"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32808B"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19.apakšpunkts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7A0246"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7.punkts</w:t>
            </w:r>
          </w:p>
          <w:p w14:paraId="12B636F6" w14:textId="77777777" w:rsidR="006A440E" w:rsidRPr="00B42BC1"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6734D6"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62DBCB"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A088B64" w14:textId="77777777" w:rsidTr="007A3206">
        <w:trPr>
          <w:trHeight w:val="35"/>
        </w:trPr>
        <w:tc>
          <w:tcPr>
            <w:tcW w:w="30" w:type="dxa"/>
            <w:tcBorders>
              <w:top w:val="nil"/>
              <w:left w:val="nil"/>
              <w:bottom w:val="nil"/>
              <w:right w:val="nil"/>
            </w:tcBorders>
            <w:shd w:val="clear" w:color="auto" w:fill="FFFFFF"/>
            <w:vAlign w:val="center"/>
            <w:hideMark/>
          </w:tcPr>
          <w:p w14:paraId="77B0B5C7"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13A9658"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20.apakšpunkts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A67BF8"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2.punkts</w:t>
            </w:r>
          </w:p>
          <w:p w14:paraId="40EEB64E" w14:textId="77777777" w:rsidR="006A440E" w:rsidRPr="00B42BC1"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D4A6AE"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0B1A9C"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F09FD5B" w14:textId="77777777" w:rsidTr="007A3206">
        <w:trPr>
          <w:trHeight w:val="35"/>
        </w:trPr>
        <w:tc>
          <w:tcPr>
            <w:tcW w:w="30" w:type="dxa"/>
            <w:tcBorders>
              <w:top w:val="nil"/>
              <w:left w:val="nil"/>
              <w:bottom w:val="nil"/>
              <w:right w:val="nil"/>
            </w:tcBorders>
            <w:shd w:val="clear" w:color="auto" w:fill="FFFFFF"/>
            <w:vAlign w:val="center"/>
            <w:hideMark/>
          </w:tcPr>
          <w:p w14:paraId="14D8686D"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D2AE30E"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21.apakšpunkts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55788A"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18.punkts</w:t>
            </w:r>
          </w:p>
          <w:p w14:paraId="46FE018D" w14:textId="77777777" w:rsidR="006A440E" w:rsidRPr="00B42BC1"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8E59A4"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11983D"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46AD97B" w14:textId="77777777" w:rsidTr="007A3206">
        <w:trPr>
          <w:trHeight w:val="35"/>
        </w:trPr>
        <w:tc>
          <w:tcPr>
            <w:tcW w:w="30" w:type="dxa"/>
            <w:tcBorders>
              <w:top w:val="nil"/>
              <w:left w:val="nil"/>
              <w:bottom w:val="nil"/>
              <w:right w:val="nil"/>
            </w:tcBorders>
            <w:shd w:val="clear" w:color="auto" w:fill="FFFFFF"/>
            <w:vAlign w:val="center"/>
            <w:hideMark/>
          </w:tcPr>
          <w:p w14:paraId="0D495172"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0C63D88" w14:textId="77777777" w:rsidR="006A440E" w:rsidRPr="00B42BC1" w:rsidRDefault="006A440E" w:rsidP="006A440E">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2.panta pirmā punkta 22.apakšpunkts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33704F" w14:textId="77777777" w:rsidR="006A440E" w:rsidRPr="00B42BC1" w:rsidRDefault="006A440E" w:rsidP="006A440E">
            <w:pPr>
              <w:widowControl/>
              <w:spacing w:after="0" w:line="240" w:lineRule="auto"/>
              <w:rPr>
                <w:rFonts w:eastAsia="Times New Roman"/>
                <w:color w:val="000000" w:themeColor="text1"/>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6861BD"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netiek pārņemta šajā likumprojektā, jo jēdziens “inovācija” ir definēts Zinātniskās darbības likumā.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7A5DBD" w14:textId="77777777" w:rsidR="006A440E" w:rsidRPr="00B42BC1" w:rsidRDefault="006A440E" w:rsidP="006A440E">
            <w:pPr>
              <w:widowControl/>
              <w:spacing w:after="0" w:line="240" w:lineRule="auto"/>
              <w:rPr>
                <w:rFonts w:eastAsia="Times New Roman"/>
                <w:color w:val="000000" w:themeColor="text1"/>
                <w:lang w:val="lv-LV" w:eastAsia="lv-LV"/>
              </w:rPr>
            </w:pPr>
          </w:p>
        </w:tc>
      </w:tr>
      <w:tr w:rsidR="00B42BC1" w:rsidRPr="00B42BC1" w14:paraId="3CEC5EF9" w14:textId="77777777" w:rsidTr="007A3206">
        <w:trPr>
          <w:trHeight w:val="35"/>
        </w:trPr>
        <w:tc>
          <w:tcPr>
            <w:tcW w:w="30" w:type="dxa"/>
            <w:tcBorders>
              <w:top w:val="nil"/>
              <w:left w:val="nil"/>
              <w:bottom w:val="nil"/>
              <w:right w:val="nil"/>
            </w:tcBorders>
            <w:shd w:val="clear" w:color="auto" w:fill="FFFFFF"/>
            <w:vAlign w:val="center"/>
            <w:hideMark/>
          </w:tcPr>
          <w:p w14:paraId="1225F18B"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4B01B44" w14:textId="77777777" w:rsidR="006A440E" w:rsidRPr="00B42BC1" w:rsidRDefault="006A440E" w:rsidP="006A440E">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23.apakšpunkts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12DB45" w14:textId="77777777" w:rsidR="006A440E" w:rsidRPr="00B42BC1" w:rsidRDefault="00702B06"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21.panta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729833"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457D80"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CB1A88E" w14:textId="77777777" w:rsidTr="007A3206">
        <w:trPr>
          <w:trHeight w:val="35"/>
        </w:trPr>
        <w:tc>
          <w:tcPr>
            <w:tcW w:w="30" w:type="dxa"/>
            <w:tcBorders>
              <w:top w:val="nil"/>
              <w:left w:val="nil"/>
              <w:bottom w:val="nil"/>
              <w:right w:val="nil"/>
            </w:tcBorders>
            <w:shd w:val="clear" w:color="auto" w:fill="FFFFFF"/>
            <w:vAlign w:val="center"/>
            <w:hideMark/>
          </w:tcPr>
          <w:p w14:paraId="53044BFD"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E3FCAE" w14:textId="77777777" w:rsidR="006A440E" w:rsidRPr="00B42BC1" w:rsidRDefault="006A440E" w:rsidP="006A440E">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pirmā punkta 24.apakšpunkts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617BE5"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DAF47B" w14:textId="77777777" w:rsidR="006A440E" w:rsidRPr="00B42BC1" w:rsidRDefault="006A440E" w:rsidP="00702B0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w:t>
            </w:r>
            <w:r w:rsidR="00702B06" w:rsidRPr="00B42BC1">
              <w:rPr>
                <w:rFonts w:ascii="Times New Roman" w:eastAsia="Times New Roman" w:hAnsi="Times New Roman"/>
                <w:color w:val="000000" w:themeColor="text1"/>
                <w:sz w:val="24"/>
                <w:szCs w:val="24"/>
                <w:lang w:val="lv-LV" w:eastAsia="lv-LV"/>
              </w:rPr>
              <w:t>ne</w:t>
            </w:r>
            <w:r w:rsidRPr="00B42BC1">
              <w:rPr>
                <w:rFonts w:ascii="Times New Roman" w:eastAsia="Times New Roman" w:hAnsi="Times New Roman"/>
                <w:color w:val="000000" w:themeColor="text1"/>
                <w:sz w:val="24"/>
                <w:szCs w:val="24"/>
                <w:lang w:val="lv-LV" w:eastAsia="lv-LV"/>
              </w:rPr>
              <w:t>tiek pārņemta</w:t>
            </w:r>
            <w:r w:rsidR="00702B06" w:rsidRPr="00B42BC1">
              <w:rPr>
                <w:rFonts w:ascii="Times New Roman" w:eastAsia="Times New Roman" w:hAnsi="Times New Roman"/>
                <w:color w:val="000000" w:themeColor="text1"/>
                <w:sz w:val="24"/>
                <w:szCs w:val="24"/>
                <w:lang w:val="lv-LV" w:eastAsia="lv-LV"/>
              </w:rPr>
              <w:t>, jo no likumprojekta 21.panta konteksta ir saprotams, kas ir marķējuma prasības.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E1E8ED" w14:textId="77777777" w:rsidR="006A440E" w:rsidRPr="00B42BC1" w:rsidRDefault="006A440E"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026599D" w14:textId="77777777" w:rsidTr="007A3206">
        <w:trPr>
          <w:trHeight w:val="35"/>
        </w:trPr>
        <w:tc>
          <w:tcPr>
            <w:tcW w:w="30" w:type="dxa"/>
            <w:tcBorders>
              <w:top w:val="nil"/>
              <w:left w:val="nil"/>
              <w:bottom w:val="nil"/>
              <w:right w:val="nil"/>
            </w:tcBorders>
            <w:shd w:val="clear" w:color="auto" w:fill="FFFFFF"/>
            <w:vAlign w:val="center"/>
            <w:hideMark/>
          </w:tcPr>
          <w:p w14:paraId="469C5555"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682808E" w14:textId="77777777" w:rsidR="006A440E" w:rsidRPr="00B42BC1" w:rsidRDefault="006A440E" w:rsidP="006A440E">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2.panta otrais 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8AD042"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643370"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r w:rsidR="00702B06" w:rsidRPr="00B42BC1">
              <w:rPr>
                <w:rFonts w:ascii="Times New Roman" w:eastAsia="Times New Roman" w:hAnsi="Times New Roman"/>
                <w:color w:val="000000" w:themeColor="text1"/>
                <w:sz w:val="24"/>
                <w:szCs w:val="24"/>
                <w:lang w:val="lv-LV" w:eastAsia="lv-LV"/>
              </w:rPr>
              <w:t>, jo neizdalām atsevišķi iepirkumus tieši reģionālām iestādēm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164A1E"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6E1ABB45" w14:textId="77777777" w:rsidTr="007A3206">
        <w:trPr>
          <w:trHeight w:val="35"/>
        </w:trPr>
        <w:tc>
          <w:tcPr>
            <w:tcW w:w="30" w:type="dxa"/>
            <w:tcBorders>
              <w:top w:val="nil"/>
              <w:left w:val="nil"/>
              <w:bottom w:val="nil"/>
              <w:right w:val="nil"/>
            </w:tcBorders>
            <w:shd w:val="clear" w:color="auto" w:fill="FFFFFF"/>
            <w:vAlign w:val="center"/>
            <w:hideMark/>
          </w:tcPr>
          <w:p w14:paraId="5A48810C" w14:textId="77777777" w:rsidR="006A440E" w:rsidRPr="00B42BC1" w:rsidRDefault="006A440E" w:rsidP="006A440E">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8B9F3A" w14:textId="77777777" w:rsidR="006A440E" w:rsidRPr="00B42BC1" w:rsidRDefault="00FF700D" w:rsidP="006A440E">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682B38" w14:textId="77777777" w:rsidR="006A440E" w:rsidRPr="00B42BC1" w:rsidRDefault="006A440E" w:rsidP="006A440E">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4ED132" w14:textId="77777777" w:rsidR="006A440E" w:rsidRPr="00B42BC1" w:rsidRDefault="00FF700D" w:rsidP="006A440E">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Nav jāpārņem, jo paskaidro, uz kāda veida iepirkuma līgumiem attiecas minētais pants.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BC3A70" w14:textId="77777777" w:rsidR="006A440E" w:rsidRPr="00B42BC1" w:rsidRDefault="006A440E" w:rsidP="006A440E">
            <w:pPr>
              <w:widowControl/>
              <w:spacing w:after="0" w:line="240" w:lineRule="auto"/>
              <w:rPr>
                <w:rFonts w:eastAsia="Times New Roman"/>
                <w:color w:val="000000" w:themeColor="text1"/>
                <w:lang w:val="lv-LV" w:eastAsia="lv-LV"/>
              </w:rPr>
            </w:pPr>
          </w:p>
        </w:tc>
      </w:tr>
      <w:tr w:rsidR="00B42BC1" w:rsidRPr="00B42BC1" w14:paraId="428AE755" w14:textId="77777777" w:rsidTr="007A3206">
        <w:trPr>
          <w:trHeight w:val="35"/>
        </w:trPr>
        <w:tc>
          <w:tcPr>
            <w:tcW w:w="30" w:type="dxa"/>
            <w:tcBorders>
              <w:top w:val="nil"/>
              <w:left w:val="nil"/>
              <w:bottom w:val="nil"/>
              <w:right w:val="nil"/>
            </w:tcBorders>
            <w:shd w:val="clear" w:color="auto" w:fill="FFFFFF"/>
            <w:vAlign w:val="center"/>
          </w:tcPr>
          <w:p w14:paraId="128F2514" w14:textId="77777777" w:rsidR="00FF700D" w:rsidRPr="00B42BC1"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88E3008" w14:textId="77777777" w:rsidR="00FF700D" w:rsidRPr="00B42BC1"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D56C7D" w14:textId="77777777" w:rsidR="00FF700D" w:rsidRPr="00B42BC1" w:rsidRDefault="00FF700D" w:rsidP="00FF700D">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AFB920"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Nav jāpārņem, jo paskaidro, uz kāda veida iepirkuma līgumiem attiecas minētais pants.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75DBF90" w14:textId="77777777" w:rsidR="00FF700D" w:rsidRPr="00B42BC1" w:rsidRDefault="00FF700D" w:rsidP="00FF700D">
            <w:pPr>
              <w:widowControl/>
              <w:spacing w:after="0" w:line="240" w:lineRule="auto"/>
              <w:rPr>
                <w:rFonts w:eastAsia="Times New Roman"/>
                <w:color w:val="000000" w:themeColor="text1"/>
                <w:lang w:val="lv-LV" w:eastAsia="lv-LV"/>
              </w:rPr>
            </w:pPr>
          </w:p>
        </w:tc>
      </w:tr>
      <w:tr w:rsidR="00B42BC1" w:rsidRPr="00B42BC1" w14:paraId="029252C7" w14:textId="77777777" w:rsidTr="007A3206">
        <w:trPr>
          <w:trHeight w:val="35"/>
        </w:trPr>
        <w:tc>
          <w:tcPr>
            <w:tcW w:w="30" w:type="dxa"/>
            <w:tcBorders>
              <w:top w:val="nil"/>
              <w:left w:val="nil"/>
              <w:bottom w:val="nil"/>
              <w:right w:val="nil"/>
            </w:tcBorders>
            <w:shd w:val="clear" w:color="auto" w:fill="FFFFFF"/>
            <w:vAlign w:val="center"/>
          </w:tcPr>
          <w:p w14:paraId="65D9708F" w14:textId="77777777" w:rsidR="00FF700D" w:rsidRPr="00B42BC1"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1BFFF21" w14:textId="77777777" w:rsidR="00FF700D" w:rsidRPr="00B42BC1"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2.punkta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AB8562" w14:textId="77777777" w:rsidR="00FF700D" w:rsidRPr="00B42BC1" w:rsidRDefault="00FF700D" w:rsidP="00FF700D">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28C5C2"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37966B"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C2363D6" w14:textId="77777777" w:rsidTr="007A3206">
        <w:trPr>
          <w:trHeight w:val="35"/>
        </w:trPr>
        <w:tc>
          <w:tcPr>
            <w:tcW w:w="30" w:type="dxa"/>
            <w:tcBorders>
              <w:top w:val="nil"/>
              <w:left w:val="nil"/>
              <w:bottom w:val="nil"/>
              <w:right w:val="nil"/>
            </w:tcBorders>
            <w:shd w:val="clear" w:color="auto" w:fill="FFFFFF"/>
            <w:vAlign w:val="center"/>
          </w:tcPr>
          <w:p w14:paraId="427E4FD8" w14:textId="77777777" w:rsidR="00FF700D" w:rsidRPr="00B42BC1"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2C9EA1E" w14:textId="77777777" w:rsidR="00FF700D" w:rsidRPr="00B42BC1"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2.punkta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272072" w14:textId="77777777" w:rsidR="00FF700D" w:rsidRPr="00B42BC1" w:rsidRDefault="00FF700D" w:rsidP="00FF700D">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147AF3"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BD9C56"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CE5D07B" w14:textId="77777777" w:rsidTr="007A3206">
        <w:trPr>
          <w:trHeight w:val="35"/>
        </w:trPr>
        <w:tc>
          <w:tcPr>
            <w:tcW w:w="30" w:type="dxa"/>
            <w:tcBorders>
              <w:top w:val="nil"/>
              <w:left w:val="nil"/>
              <w:bottom w:val="nil"/>
              <w:right w:val="nil"/>
            </w:tcBorders>
            <w:shd w:val="clear" w:color="auto" w:fill="FFFFFF"/>
            <w:vAlign w:val="center"/>
          </w:tcPr>
          <w:p w14:paraId="64B9E55A" w14:textId="77777777" w:rsidR="00FF700D" w:rsidRPr="00B42BC1"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AA09B04" w14:textId="77777777" w:rsidR="00FF700D" w:rsidRPr="00B42BC1"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3.punkta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67C2D2" w14:textId="77777777" w:rsidR="00FF700D" w:rsidRPr="00B42BC1" w:rsidRDefault="00FF700D" w:rsidP="00FF700D">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A9A803"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9F5DFF"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B71B503" w14:textId="77777777" w:rsidTr="007A3206">
        <w:trPr>
          <w:trHeight w:val="35"/>
        </w:trPr>
        <w:tc>
          <w:tcPr>
            <w:tcW w:w="30" w:type="dxa"/>
            <w:tcBorders>
              <w:top w:val="nil"/>
              <w:left w:val="nil"/>
              <w:bottom w:val="nil"/>
              <w:right w:val="nil"/>
            </w:tcBorders>
            <w:shd w:val="clear" w:color="auto" w:fill="FFFFFF"/>
            <w:vAlign w:val="center"/>
          </w:tcPr>
          <w:p w14:paraId="477BFE83" w14:textId="77777777" w:rsidR="00FF700D" w:rsidRPr="00B42BC1" w:rsidRDefault="00FF700D" w:rsidP="00FF700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DFBCEE" w14:textId="77777777" w:rsidR="00FF700D" w:rsidRPr="00B42BC1" w:rsidRDefault="00FF700D" w:rsidP="00FF700D">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3.punkta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5FF264" w14:textId="77777777" w:rsidR="00FF700D" w:rsidRPr="00B42BC1" w:rsidRDefault="00FF700D" w:rsidP="002D275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8.panta </w:t>
            </w:r>
            <w:r w:rsidR="002D2751" w:rsidRPr="00B42BC1">
              <w:rPr>
                <w:rFonts w:ascii="Times New Roman" w:eastAsia="Times New Roman" w:hAnsi="Times New Roman"/>
                <w:color w:val="000000" w:themeColor="text1"/>
                <w:sz w:val="24"/>
                <w:szCs w:val="24"/>
                <w:lang w:val="lv-LV" w:eastAsia="lv-LV"/>
              </w:rPr>
              <w:t xml:space="preserve">divpadsmitā </w:t>
            </w:r>
            <w:r w:rsidRPr="00B42BC1">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E2D0F4"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76E666" w14:textId="77777777" w:rsidR="00FF700D" w:rsidRPr="00B42BC1" w:rsidRDefault="00FF700D" w:rsidP="00FF700D">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4B67E78" w14:textId="77777777" w:rsidTr="007A3206">
        <w:trPr>
          <w:trHeight w:val="35"/>
        </w:trPr>
        <w:tc>
          <w:tcPr>
            <w:tcW w:w="30" w:type="dxa"/>
            <w:tcBorders>
              <w:top w:val="nil"/>
              <w:left w:val="nil"/>
              <w:bottom w:val="nil"/>
              <w:right w:val="nil"/>
            </w:tcBorders>
            <w:shd w:val="clear" w:color="auto" w:fill="FFFFFF"/>
            <w:vAlign w:val="center"/>
          </w:tcPr>
          <w:p w14:paraId="543A2BC0" w14:textId="77777777" w:rsidR="002D2751" w:rsidRPr="00B42BC1" w:rsidRDefault="002D2751" w:rsidP="002D2751">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6AD41BC" w14:textId="77777777" w:rsidR="002D2751" w:rsidRPr="00B42BC1" w:rsidRDefault="002D2751" w:rsidP="002D2751">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4.punkta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BFB318" w14:textId="77777777" w:rsidR="002D2751" w:rsidRPr="00B42BC1" w:rsidRDefault="002D2751" w:rsidP="00B536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8.panta </w:t>
            </w:r>
            <w:r w:rsidR="00B53696" w:rsidRPr="00B42BC1">
              <w:rPr>
                <w:rFonts w:ascii="Times New Roman" w:eastAsia="Times New Roman" w:hAnsi="Times New Roman"/>
                <w:color w:val="000000" w:themeColor="text1"/>
                <w:sz w:val="24"/>
                <w:szCs w:val="24"/>
                <w:lang w:val="lv-LV" w:eastAsia="lv-LV"/>
              </w:rPr>
              <w:t>devītā</w:t>
            </w:r>
            <w:r w:rsidRPr="00B42BC1">
              <w:rPr>
                <w:rFonts w:ascii="Times New Roman" w:eastAsia="Times New Roman" w:hAnsi="Times New Roman"/>
                <w:color w:val="000000" w:themeColor="text1"/>
                <w:sz w:val="24"/>
                <w:szCs w:val="24"/>
                <w:lang w:val="lv-LV" w:eastAsia="lv-LV"/>
              </w:rPr>
              <w:t xml:space="preserve">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468BD8" w14:textId="77777777" w:rsidR="002D2751" w:rsidRPr="00B42BC1" w:rsidRDefault="002D2751" w:rsidP="002D2751">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6F9512" w14:textId="77777777" w:rsidR="002D2751" w:rsidRPr="00B42BC1" w:rsidRDefault="002D2751" w:rsidP="002D2751">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1BCB9CF" w14:textId="77777777" w:rsidTr="007A3206">
        <w:trPr>
          <w:trHeight w:val="35"/>
        </w:trPr>
        <w:tc>
          <w:tcPr>
            <w:tcW w:w="30" w:type="dxa"/>
            <w:tcBorders>
              <w:top w:val="nil"/>
              <w:left w:val="nil"/>
              <w:bottom w:val="nil"/>
              <w:right w:val="nil"/>
            </w:tcBorders>
            <w:shd w:val="clear" w:color="auto" w:fill="FFFFFF"/>
            <w:vAlign w:val="center"/>
          </w:tcPr>
          <w:p w14:paraId="181EC4DF" w14:textId="77777777" w:rsidR="00B53696" w:rsidRPr="00B42BC1" w:rsidRDefault="00B53696" w:rsidP="00B53696">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F735B7A" w14:textId="77777777" w:rsidR="00B53696" w:rsidRPr="00B42BC1" w:rsidRDefault="00B53696" w:rsidP="00B53696">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4.punkta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894790" w14:textId="77777777" w:rsidR="00B53696" w:rsidRPr="00B42BC1" w:rsidRDefault="00B53696" w:rsidP="00B536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8B3D0D" w14:textId="77777777" w:rsidR="00B53696" w:rsidRPr="00B42BC1" w:rsidRDefault="00B53696" w:rsidP="00B536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B1D81E" w14:textId="77777777" w:rsidR="00B53696" w:rsidRPr="00B42BC1" w:rsidRDefault="00B53696" w:rsidP="00B536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976D7F2" w14:textId="77777777" w:rsidTr="007A3206">
        <w:trPr>
          <w:trHeight w:val="35"/>
        </w:trPr>
        <w:tc>
          <w:tcPr>
            <w:tcW w:w="30" w:type="dxa"/>
            <w:tcBorders>
              <w:top w:val="nil"/>
              <w:left w:val="nil"/>
              <w:bottom w:val="nil"/>
              <w:right w:val="nil"/>
            </w:tcBorders>
            <w:shd w:val="clear" w:color="auto" w:fill="FFFFFF"/>
            <w:vAlign w:val="center"/>
          </w:tcPr>
          <w:p w14:paraId="00311BE9" w14:textId="77777777" w:rsidR="00B53696" w:rsidRPr="00B42BC1" w:rsidRDefault="00B53696" w:rsidP="00B53696">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7087330" w14:textId="77777777" w:rsidR="00B53696" w:rsidRPr="00B42BC1" w:rsidRDefault="00B53696" w:rsidP="00B53696">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4.punkta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37E576" w14:textId="77777777" w:rsidR="00B53696" w:rsidRPr="00B42BC1" w:rsidRDefault="00B53696" w:rsidP="00B536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desmitā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6AACD1" w14:textId="77777777" w:rsidR="00B53696" w:rsidRPr="00B42BC1" w:rsidRDefault="00B53696" w:rsidP="00B536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74BCAC" w14:textId="77777777" w:rsidR="00B53696" w:rsidRPr="00B42BC1" w:rsidRDefault="00B53696" w:rsidP="00B5369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D866256" w14:textId="77777777" w:rsidTr="007A3206">
        <w:trPr>
          <w:trHeight w:val="35"/>
        </w:trPr>
        <w:tc>
          <w:tcPr>
            <w:tcW w:w="30" w:type="dxa"/>
            <w:tcBorders>
              <w:top w:val="nil"/>
              <w:left w:val="nil"/>
              <w:bottom w:val="nil"/>
              <w:right w:val="nil"/>
            </w:tcBorders>
            <w:shd w:val="clear" w:color="auto" w:fill="FFFFFF"/>
            <w:vAlign w:val="center"/>
          </w:tcPr>
          <w:p w14:paraId="2F472101" w14:textId="77777777" w:rsidR="00410BA0" w:rsidRPr="00B42BC1" w:rsidRDefault="00410BA0" w:rsidP="00410BA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6C9DEC8"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747A12"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vienpadsmitā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7BCF18"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C49B4B"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84558AD" w14:textId="77777777" w:rsidTr="00170F00">
        <w:trPr>
          <w:trHeight w:val="35"/>
        </w:trPr>
        <w:tc>
          <w:tcPr>
            <w:tcW w:w="30" w:type="dxa"/>
            <w:tcBorders>
              <w:top w:val="nil"/>
              <w:left w:val="nil"/>
              <w:bottom w:val="nil"/>
              <w:right w:val="nil"/>
            </w:tcBorders>
            <w:shd w:val="clear" w:color="auto" w:fill="FFFFFF"/>
            <w:vAlign w:val="center"/>
          </w:tcPr>
          <w:p w14:paraId="07777222" w14:textId="77777777" w:rsidR="00410BA0" w:rsidRPr="00B42BC1" w:rsidRDefault="00410BA0" w:rsidP="00170F0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C62439E" w14:textId="77777777" w:rsidR="00410BA0" w:rsidRPr="00B42BC1" w:rsidRDefault="00410BA0"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C8BFE5"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767036" w14:textId="77777777" w:rsidR="00410BA0" w:rsidRPr="00B42BC1" w:rsidRDefault="00410BA0"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BB8E0C" w14:textId="77777777" w:rsidR="00410BA0" w:rsidRPr="00B42BC1" w:rsidRDefault="00410BA0"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131D6E7" w14:textId="77777777" w:rsidTr="007A3206">
        <w:trPr>
          <w:trHeight w:val="35"/>
        </w:trPr>
        <w:tc>
          <w:tcPr>
            <w:tcW w:w="30" w:type="dxa"/>
            <w:tcBorders>
              <w:top w:val="nil"/>
              <w:left w:val="nil"/>
              <w:bottom w:val="nil"/>
              <w:right w:val="nil"/>
            </w:tcBorders>
            <w:shd w:val="clear" w:color="auto" w:fill="FFFFFF"/>
            <w:vAlign w:val="center"/>
            <w:hideMark/>
          </w:tcPr>
          <w:p w14:paraId="67679121"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B37863E" w14:textId="77777777" w:rsidR="00410BA0" w:rsidRPr="00B42BC1" w:rsidRDefault="00410BA0" w:rsidP="00410BA0">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25B789" w14:textId="77777777" w:rsidR="00410BA0" w:rsidRPr="00B42BC1" w:rsidRDefault="00410BA0" w:rsidP="00410BA0">
            <w:pPr>
              <w:widowControl/>
              <w:spacing w:after="0" w:line="240" w:lineRule="auto"/>
              <w:jc w:val="center"/>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Tiks pārņemts ar Ministru kabineta noteikumiem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FEF9C1" w14:textId="641B93A2" w:rsidR="00410BA0" w:rsidRPr="00B42BC1" w:rsidRDefault="00410BA0" w:rsidP="00B42BC1">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ieviesta </w:t>
            </w:r>
            <w:r w:rsidR="00B42BC1">
              <w:rPr>
                <w:rFonts w:ascii="Times New Roman" w:eastAsia="Times New Roman" w:hAnsi="Times New Roman"/>
                <w:color w:val="000000" w:themeColor="text1"/>
                <w:sz w:val="24"/>
                <w:szCs w:val="24"/>
                <w:lang w:val="lv-LV" w:eastAsia="lv-LV"/>
              </w:rPr>
              <w:t>daļēji, jo paredzam stingrākas prasības (visiem pasūtītājiem vienādas līgumcenu robežvērtības) attiecībā uz tiešās pārvaldes iestāžu veikto iepirkumu līgumcenu robežvērtībām.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C04C09"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paredz stingrākas prasības, jo paredz iepirkumu procedūru piemērošanu no zemākām līgumcenu rob</w:t>
            </w:r>
            <w:r w:rsidR="00BB0979" w:rsidRPr="00B42BC1">
              <w:rPr>
                <w:rFonts w:ascii="Times New Roman" w:eastAsia="Times New Roman" w:hAnsi="Times New Roman"/>
                <w:color w:val="000000" w:themeColor="text1"/>
                <w:sz w:val="24"/>
                <w:szCs w:val="24"/>
                <w:lang w:val="lv-LV" w:eastAsia="lv-LV"/>
              </w:rPr>
              <w:t>e</w:t>
            </w:r>
            <w:r w:rsidRPr="00B42BC1">
              <w:rPr>
                <w:rFonts w:ascii="Times New Roman" w:eastAsia="Times New Roman" w:hAnsi="Times New Roman"/>
                <w:color w:val="000000" w:themeColor="text1"/>
                <w:sz w:val="24"/>
                <w:szCs w:val="24"/>
                <w:lang w:val="lv-LV" w:eastAsia="lv-LV"/>
              </w:rPr>
              <w:t xml:space="preserve">žvērtībām. Likumprojektā tiek atstāts līdzšinējais regulējums, lai nodrošinātu iepirkumu caurskatāmību un publiskas personas līdzekļu racionālu izmantošanu. </w:t>
            </w:r>
          </w:p>
        </w:tc>
      </w:tr>
      <w:tr w:rsidR="00B42BC1" w:rsidRPr="00B42BC1" w14:paraId="4BF1120B" w14:textId="77777777" w:rsidTr="007A3206">
        <w:trPr>
          <w:trHeight w:val="35"/>
        </w:trPr>
        <w:tc>
          <w:tcPr>
            <w:tcW w:w="30" w:type="dxa"/>
            <w:tcBorders>
              <w:top w:val="nil"/>
              <w:left w:val="nil"/>
              <w:bottom w:val="nil"/>
              <w:right w:val="nil"/>
            </w:tcBorders>
            <w:shd w:val="clear" w:color="auto" w:fill="FFFFFF"/>
            <w:vAlign w:val="center"/>
            <w:hideMark/>
          </w:tcPr>
          <w:p w14:paraId="100E2966"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A56DA7E" w14:textId="77777777" w:rsidR="00410BA0" w:rsidRPr="00B42BC1" w:rsidRDefault="00A62AB9"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08BC3C" w14:textId="77777777" w:rsidR="00410BA0" w:rsidRPr="00B42BC1" w:rsidRDefault="00A62AB9"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2A26F0"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247031" w14:textId="77777777" w:rsidR="00410BA0" w:rsidRPr="00B42BC1" w:rsidRDefault="00410BA0" w:rsidP="00A62AB9">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16AB37B1" w14:textId="77777777" w:rsidTr="00170F00">
        <w:trPr>
          <w:trHeight w:val="35"/>
        </w:trPr>
        <w:tc>
          <w:tcPr>
            <w:tcW w:w="30" w:type="dxa"/>
            <w:tcBorders>
              <w:top w:val="nil"/>
              <w:left w:val="nil"/>
              <w:bottom w:val="nil"/>
              <w:right w:val="nil"/>
            </w:tcBorders>
            <w:shd w:val="clear" w:color="auto" w:fill="FFFFFF"/>
            <w:vAlign w:val="center"/>
            <w:hideMark/>
          </w:tcPr>
          <w:p w14:paraId="7A4E0EC7" w14:textId="77777777" w:rsidR="00A62AB9" w:rsidRPr="00B42BC1" w:rsidRDefault="00A62AB9"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99DFE1" w14:textId="77777777" w:rsidR="00A62AB9" w:rsidRPr="00B42BC1" w:rsidRDefault="00A62AB9" w:rsidP="00A62AB9">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2E90AE" w14:textId="77777777" w:rsidR="00A62AB9" w:rsidRPr="00B42BC1" w:rsidRDefault="00A62AB9" w:rsidP="00A62AB9">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714A2A" w14:textId="77777777" w:rsidR="00A62AB9" w:rsidRPr="00B42BC1" w:rsidRDefault="00A62AB9"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36F6E9" w14:textId="77777777" w:rsidR="00A62AB9" w:rsidRPr="00B42BC1" w:rsidRDefault="00A62AB9"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38EA9224" w14:textId="77777777" w:rsidTr="00170F00">
        <w:trPr>
          <w:trHeight w:val="35"/>
        </w:trPr>
        <w:tc>
          <w:tcPr>
            <w:tcW w:w="30" w:type="dxa"/>
            <w:tcBorders>
              <w:top w:val="nil"/>
              <w:left w:val="nil"/>
              <w:bottom w:val="nil"/>
              <w:right w:val="nil"/>
            </w:tcBorders>
            <w:shd w:val="clear" w:color="auto" w:fill="FFFFFF"/>
            <w:vAlign w:val="center"/>
            <w:hideMark/>
          </w:tcPr>
          <w:p w14:paraId="41843C1F" w14:textId="77777777" w:rsidR="00A62AB9" w:rsidRPr="00B42BC1" w:rsidRDefault="00A62AB9"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9033B4B" w14:textId="77777777" w:rsidR="00A62AB9" w:rsidRPr="00B42BC1" w:rsidRDefault="00A62AB9" w:rsidP="00A62AB9">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5.panta 2.punkta pirmā </w:t>
            </w:r>
            <w:r w:rsidR="003A3D3A" w:rsidRPr="00B42BC1">
              <w:rPr>
                <w:rFonts w:ascii="Times New Roman" w:eastAsia="Times New Roman" w:hAnsi="Times New Roman"/>
                <w:color w:val="000000" w:themeColor="text1"/>
                <w:sz w:val="24"/>
                <w:szCs w:val="24"/>
                <w:lang w:val="lv-LV" w:eastAsia="lv-LV"/>
              </w:rPr>
              <w:t xml:space="preserve">un otrā </w:t>
            </w:r>
            <w:r w:rsidRPr="00B42BC1">
              <w:rPr>
                <w:rFonts w:ascii="Times New Roman" w:eastAsia="Times New Roman" w:hAnsi="Times New Roman"/>
                <w:color w:val="000000" w:themeColor="text1"/>
                <w:sz w:val="24"/>
                <w:szCs w:val="24"/>
                <w:lang w:val="lv-LV" w:eastAsia="lv-LV"/>
              </w:rPr>
              <w:t>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067167" w14:textId="77777777" w:rsidR="00A62AB9" w:rsidRPr="00B42BC1" w:rsidRDefault="00A62AB9" w:rsidP="00170F0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396F5B" w14:textId="77777777" w:rsidR="00A62AB9" w:rsidRPr="00B42BC1" w:rsidRDefault="00A62AB9" w:rsidP="00A62AB9">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jo Iepirkumu uzraudzības birojs ir arī līdz šim nodrošinājis šādu skaidrojumu, ar attiecīgo skaidrojumu ir papildināta anotācija</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C71E852" w14:textId="77777777" w:rsidR="00A62AB9" w:rsidRPr="00B42BC1" w:rsidRDefault="00A62AB9" w:rsidP="00170F00">
            <w:pPr>
              <w:widowControl/>
              <w:spacing w:after="0" w:line="240" w:lineRule="auto"/>
              <w:rPr>
                <w:rFonts w:eastAsia="Times New Roman"/>
                <w:color w:val="000000" w:themeColor="text1"/>
                <w:lang w:val="lv-LV" w:eastAsia="lv-LV"/>
              </w:rPr>
            </w:pPr>
          </w:p>
        </w:tc>
      </w:tr>
      <w:tr w:rsidR="00B42BC1" w:rsidRPr="00B42BC1" w14:paraId="3F25D728" w14:textId="77777777" w:rsidTr="00170F00">
        <w:trPr>
          <w:trHeight w:val="35"/>
        </w:trPr>
        <w:tc>
          <w:tcPr>
            <w:tcW w:w="30" w:type="dxa"/>
            <w:tcBorders>
              <w:top w:val="nil"/>
              <w:left w:val="nil"/>
              <w:bottom w:val="nil"/>
              <w:right w:val="nil"/>
            </w:tcBorders>
            <w:shd w:val="clear" w:color="auto" w:fill="FFFFFF"/>
            <w:vAlign w:val="center"/>
            <w:hideMark/>
          </w:tcPr>
          <w:p w14:paraId="19F54EC4" w14:textId="77777777" w:rsidR="003A3D3A" w:rsidRPr="00B42BC1" w:rsidRDefault="003A3D3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2DB66F4" w14:textId="77777777" w:rsidR="003A3D3A" w:rsidRPr="00B42BC1" w:rsidRDefault="003A3D3A" w:rsidP="003A3D3A">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098FDB" w14:textId="77777777" w:rsidR="003A3D3A" w:rsidRPr="00B42BC1"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E0B015"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CFE235"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590E4ADC" w14:textId="77777777" w:rsidTr="00170F00">
        <w:trPr>
          <w:trHeight w:val="35"/>
        </w:trPr>
        <w:tc>
          <w:tcPr>
            <w:tcW w:w="30" w:type="dxa"/>
            <w:tcBorders>
              <w:top w:val="nil"/>
              <w:left w:val="nil"/>
              <w:bottom w:val="nil"/>
              <w:right w:val="nil"/>
            </w:tcBorders>
            <w:shd w:val="clear" w:color="auto" w:fill="FFFFFF"/>
            <w:vAlign w:val="center"/>
            <w:hideMark/>
          </w:tcPr>
          <w:p w14:paraId="29BBF372" w14:textId="77777777" w:rsidR="003A3D3A" w:rsidRPr="00B42BC1" w:rsidRDefault="003A3D3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77350E" w14:textId="77777777" w:rsidR="003A3D3A" w:rsidRPr="00B42BC1"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3B2F5B" w14:textId="77777777" w:rsidR="003A3D3A" w:rsidRPr="00B42BC1"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9484A9"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B20FA0"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2A6D8E58" w14:textId="77777777" w:rsidTr="00170F00">
        <w:trPr>
          <w:trHeight w:val="35"/>
        </w:trPr>
        <w:tc>
          <w:tcPr>
            <w:tcW w:w="30" w:type="dxa"/>
            <w:tcBorders>
              <w:top w:val="nil"/>
              <w:left w:val="nil"/>
              <w:bottom w:val="nil"/>
              <w:right w:val="nil"/>
            </w:tcBorders>
            <w:shd w:val="clear" w:color="auto" w:fill="FFFFFF"/>
            <w:vAlign w:val="center"/>
            <w:hideMark/>
          </w:tcPr>
          <w:p w14:paraId="145ABCAE" w14:textId="77777777" w:rsidR="003A3D3A" w:rsidRPr="00B42BC1" w:rsidRDefault="003A3D3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805221E" w14:textId="77777777" w:rsidR="003A3D3A" w:rsidRPr="00B42BC1"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FAE0F7" w14:textId="77777777" w:rsidR="003A3D3A" w:rsidRPr="00B42BC1"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divpadsmitā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955E89"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58A2E1"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5817BE2A" w14:textId="77777777" w:rsidTr="00170F00">
        <w:trPr>
          <w:trHeight w:val="35"/>
        </w:trPr>
        <w:tc>
          <w:tcPr>
            <w:tcW w:w="30" w:type="dxa"/>
            <w:tcBorders>
              <w:top w:val="nil"/>
              <w:left w:val="nil"/>
              <w:bottom w:val="nil"/>
              <w:right w:val="nil"/>
            </w:tcBorders>
            <w:shd w:val="clear" w:color="auto" w:fill="FFFFFF"/>
            <w:vAlign w:val="center"/>
            <w:hideMark/>
          </w:tcPr>
          <w:p w14:paraId="47FAA281" w14:textId="77777777" w:rsidR="003A3D3A" w:rsidRPr="00B42BC1" w:rsidRDefault="003A3D3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5391536" w14:textId="77777777" w:rsidR="003A3D3A" w:rsidRPr="00B42BC1" w:rsidRDefault="003A3D3A" w:rsidP="003A3D3A">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EFBD77" w14:textId="77777777" w:rsidR="003A3D3A" w:rsidRPr="00B42BC1"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trīspadsmitā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445A04"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3E38D8"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5E6CF178" w14:textId="77777777" w:rsidTr="00170F00">
        <w:trPr>
          <w:trHeight w:val="35"/>
        </w:trPr>
        <w:tc>
          <w:tcPr>
            <w:tcW w:w="30" w:type="dxa"/>
            <w:tcBorders>
              <w:top w:val="nil"/>
              <w:left w:val="nil"/>
              <w:bottom w:val="nil"/>
              <w:right w:val="nil"/>
            </w:tcBorders>
            <w:shd w:val="clear" w:color="auto" w:fill="FFFFFF"/>
            <w:vAlign w:val="center"/>
            <w:hideMark/>
          </w:tcPr>
          <w:p w14:paraId="21E7294D" w14:textId="77777777" w:rsidR="003A3D3A" w:rsidRPr="00B42BC1" w:rsidRDefault="003A3D3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C2832DC" w14:textId="77777777" w:rsidR="003A3D3A" w:rsidRPr="00B42BC1" w:rsidRDefault="003A3D3A" w:rsidP="003A3D3A">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7.punkts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33EB20" w14:textId="77777777" w:rsidR="003A3D3A" w:rsidRPr="00B42BC1"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D01638"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F15C40"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177CBC6A" w14:textId="77777777" w:rsidTr="00170F00">
        <w:trPr>
          <w:trHeight w:val="35"/>
        </w:trPr>
        <w:tc>
          <w:tcPr>
            <w:tcW w:w="30" w:type="dxa"/>
            <w:tcBorders>
              <w:top w:val="nil"/>
              <w:left w:val="nil"/>
              <w:bottom w:val="nil"/>
              <w:right w:val="nil"/>
            </w:tcBorders>
            <w:shd w:val="clear" w:color="auto" w:fill="FFFFFF"/>
            <w:vAlign w:val="center"/>
            <w:hideMark/>
          </w:tcPr>
          <w:p w14:paraId="147869EE" w14:textId="77777777" w:rsidR="003A3D3A" w:rsidRPr="00B42BC1" w:rsidRDefault="003A3D3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A848110" w14:textId="77777777" w:rsidR="003A3D3A" w:rsidRPr="00B42BC1"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8.punkta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582617" w14:textId="77777777" w:rsidR="003A3D3A" w:rsidRPr="00B42BC1" w:rsidRDefault="003A3D3A" w:rsidP="003A3D3A">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BA340B"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6B7538"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3E098829" w14:textId="77777777" w:rsidTr="00170F00">
        <w:trPr>
          <w:trHeight w:val="35"/>
        </w:trPr>
        <w:tc>
          <w:tcPr>
            <w:tcW w:w="30" w:type="dxa"/>
            <w:tcBorders>
              <w:top w:val="nil"/>
              <w:left w:val="nil"/>
              <w:bottom w:val="nil"/>
              <w:right w:val="nil"/>
            </w:tcBorders>
            <w:shd w:val="clear" w:color="auto" w:fill="FFFFFF"/>
            <w:vAlign w:val="center"/>
            <w:hideMark/>
          </w:tcPr>
          <w:p w14:paraId="2754E488" w14:textId="77777777" w:rsidR="003A3D3A" w:rsidRPr="00B42BC1" w:rsidRDefault="003A3D3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ED00DD1" w14:textId="77777777" w:rsidR="003A3D3A" w:rsidRPr="00B42BC1" w:rsidRDefault="003A3D3A"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5.panta </w:t>
            </w:r>
            <w:r w:rsidR="00232962" w:rsidRPr="00B42BC1">
              <w:rPr>
                <w:rFonts w:ascii="Times New Roman" w:eastAsia="Times New Roman" w:hAnsi="Times New Roman"/>
                <w:color w:val="000000" w:themeColor="text1"/>
                <w:sz w:val="24"/>
                <w:szCs w:val="24"/>
                <w:lang w:val="lv-LV" w:eastAsia="lv-LV"/>
              </w:rPr>
              <w:t>9</w:t>
            </w:r>
            <w:r w:rsidRPr="00B42BC1">
              <w:rPr>
                <w:rFonts w:ascii="Times New Roman" w:eastAsia="Times New Roman" w:hAnsi="Times New Roman"/>
                <w:color w:val="000000" w:themeColor="text1"/>
                <w:sz w:val="24"/>
                <w:szCs w:val="24"/>
                <w:lang w:val="lv-LV" w:eastAsia="lv-LV"/>
              </w:rPr>
              <w:t>.punkta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AF1805" w14:textId="77777777" w:rsidR="003A3D3A" w:rsidRPr="00B42BC1" w:rsidRDefault="003A3D3A" w:rsidP="0023296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11.panta </w:t>
            </w:r>
            <w:r w:rsidR="00232962" w:rsidRPr="00B42BC1">
              <w:rPr>
                <w:rFonts w:ascii="Times New Roman" w:eastAsia="Times New Roman" w:hAnsi="Times New Roman"/>
                <w:color w:val="000000" w:themeColor="text1"/>
                <w:sz w:val="24"/>
                <w:szCs w:val="24"/>
                <w:lang w:val="lv-LV" w:eastAsia="lv-LV"/>
              </w:rPr>
              <w:t xml:space="preserve">septītā </w:t>
            </w:r>
            <w:r w:rsidRPr="00B42BC1">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392C7D"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6CABDA" w14:textId="77777777" w:rsidR="003A3D3A" w:rsidRPr="00B42BC1" w:rsidRDefault="003A3D3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1A9123AB" w14:textId="77777777" w:rsidTr="00170F00">
        <w:trPr>
          <w:trHeight w:val="35"/>
        </w:trPr>
        <w:tc>
          <w:tcPr>
            <w:tcW w:w="30" w:type="dxa"/>
            <w:tcBorders>
              <w:top w:val="nil"/>
              <w:left w:val="nil"/>
              <w:bottom w:val="nil"/>
              <w:right w:val="nil"/>
            </w:tcBorders>
            <w:shd w:val="clear" w:color="auto" w:fill="FFFFFF"/>
            <w:vAlign w:val="center"/>
            <w:hideMark/>
          </w:tcPr>
          <w:p w14:paraId="0EB96F0E" w14:textId="77777777" w:rsidR="00DE4C38" w:rsidRPr="00B42BC1" w:rsidRDefault="00DE4C38"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E61D9C" w14:textId="77777777" w:rsidR="00DE4C38" w:rsidRPr="00B42BC1" w:rsidRDefault="00DE4C38"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10.punkts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0AEC58" w14:textId="77777777" w:rsidR="00DE4C38" w:rsidRPr="00B42BC1" w:rsidRDefault="00DE4C38" w:rsidP="00DE4C38">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sestā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19E3C7" w14:textId="77777777" w:rsidR="00DE4C38" w:rsidRPr="00B42BC1" w:rsidRDefault="00DE4C38"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443423" w14:textId="77777777" w:rsidR="00DE4C38" w:rsidRPr="00B42BC1" w:rsidRDefault="00DE4C38"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2FAB25A6" w14:textId="77777777" w:rsidTr="00170F00">
        <w:trPr>
          <w:trHeight w:val="35"/>
        </w:trPr>
        <w:tc>
          <w:tcPr>
            <w:tcW w:w="30" w:type="dxa"/>
            <w:tcBorders>
              <w:top w:val="nil"/>
              <w:left w:val="nil"/>
              <w:bottom w:val="nil"/>
              <w:right w:val="nil"/>
            </w:tcBorders>
            <w:shd w:val="clear" w:color="auto" w:fill="FFFFFF"/>
            <w:vAlign w:val="center"/>
            <w:hideMark/>
          </w:tcPr>
          <w:p w14:paraId="4D1221D3" w14:textId="77777777" w:rsidR="0067729A" w:rsidRPr="00B42BC1" w:rsidRDefault="0067729A"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BA8792A" w14:textId="77777777" w:rsidR="0067729A" w:rsidRPr="00B42BC1" w:rsidRDefault="0067729A"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3D0E1C" w14:textId="77777777" w:rsidR="0067729A" w:rsidRPr="00B42BC1" w:rsidRDefault="0067729A" w:rsidP="00E93883">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11.panta </w:t>
            </w:r>
            <w:r w:rsidR="00E93883" w:rsidRPr="00B42BC1">
              <w:rPr>
                <w:rFonts w:ascii="Times New Roman" w:eastAsia="Times New Roman" w:hAnsi="Times New Roman"/>
                <w:color w:val="000000" w:themeColor="text1"/>
                <w:sz w:val="24"/>
                <w:szCs w:val="24"/>
                <w:lang w:val="lv-LV" w:eastAsia="lv-LV"/>
              </w:rPr>
              <w:t xml:space="preserve">devītā </w:t>
            </w:r>
            <w:r w:rsidRPr="00B42BC1">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531772" w14:textId="77777777" w:rsidR="0067729A" w:rsidRPr="00B42BC1" w:rsidRDefault="0067729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B750FF" w14:textId="77777777" w:rsidR="0067729A" w:rsidRPr="00B42BC1" w:rsidRDefault="0067729A"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102C88B6" w14:textId="77777777" w:rsidTr="00170F00">
        <w:trPr>
          <w:trHeight w:val="35"/>
        </w:trPr>
        <w:tc>
          <w:tcPr>
            <w:tcW w:w="30" w:type="dxa"/>
            <w:tcBorders>
              <w:top w:val="nil"/>
              <w:left w:val="nil"/>
              <w:bottom w:val="nil"/>
              <w:right w:val="nil"/>
            </w:tcBorders>
            <w:shd w:val="clear" w:color="auto" w:fill="FFFFFF"/>
            <w:vAlign w:val="center"/>
            <w:hideMark/>
          </w:tcPr>
          <w:p w14:paraId="53D01111" w14:textId="77777777" w:rsidR="00E93883" w:rsidRPr="00B42BC1" w:rsidRDefault="00E93883"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02BA91E" w14:textId="77777777" w:rsidR="00E93883" w:rsidRPr="00B42BC1"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11.punkta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03CBF9" w14:textId="77777777" w:rsidR="00E93883" w:rsidRPr="00B42BC1" w:rsidRDefault="00E93883" w:rsidP="00170F0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devītās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B4F4D5"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21865E"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25FAB9F6" w14:textId="77777777" w:rsidTr="00170F00">
        <w:trPr>
          <w:trHeight w:val="35"/>
        </w:trPr>
        <w:tc>
          <w:tcPr>
            <w:tcW w:w="30" w:type="dxa"/>
            <w:tcBorders>
              <w:top w:val="nil"/>
              <w:left w:val="nil"/>
              <w:bottom w:val="nil"/>
              <w:right w:val="nil"/>
            </w:tcBorders>
            <w:shd w:val="clear" w:color="auto" w:fill="FFFFFF"/>
            <w:vAlign w:val="center"/>
            <w:hideMark/>
          </w:tcPr>
          <w:p w14:paraId="17856950" w14:textId="77777777" w:rsidR="00E93883" w:rsidRPr="00B42BC1" w:rsidRDefault="00E93883"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425E891" w14:textId="77777777" w:rsidR="00E93883" w:rsidRPr="00B42BC1"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11.punkta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57FFF4" w14:textId="77777777" w:rsidR="00E93883" w:rsidRPr="00B42BC1" w:rsidRDefault="00E93883" w:rsidP="00170F0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devītās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032874"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33CADF"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09D19AAB" w14:textId="77777777" w:rsidTr="00170F00">
        <w:trPr>
          <w:trHeight w:val="35"/>
        </w:trPr>
        <w:tc>
          <w:tcPr>
            <w:tcW w:w="30" w:type="dxa"/>
            <w:tcBorders>
              <w:top w:val="nil"/>
              <w:left w:val="nil"/>
              <w:bottom w:val="nil"/>
              <w:right w:val="nil"/>
            </w:tcBorders>
            <w:shd w:val="clear" w:color="auto" w:fill="FFFFFF"/>
            <w:vAlign w:val="center"/>
            <w:hideMark/>
          </w:tcPr>
          <w:p w14:paraId="1EBCC9E4" w14:textId="77777777" w:rsidR="00E93883" w:rsidRPr="00B42BC1" w:rsidRDefault="00E93883"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B99FA28" w14:textId="77777777" w:rsidR="00E93883" w:rsidRPr="00B42BC1"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12.punkta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1EB190" w14:textId="77777777" w:rsidR="00E93883" w:rsidRPr="00B42BC1" w:rsidRDefault="00E93883" w:rsidP="00E93883">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astotās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8EC3C5"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F92A1D"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07150586" w14:textId="77777777" w:rsidTr="00170F00">
        <w:trPr>
          <w:trHeight w:val="35"/>
        </w:trPr>
        <w:tc>
          <w:tcPr>
            <w:tcW w:w="30" w:type="dxa"/>
            <w:tcBorders>
              <w:top w:val="nil"/>
              <w:left w:val="nil"/>
              <w:bottom w:val="nil"/>
              <w:right w:val="nil"/>
            </w:tcBorders>
            <w:shd w:val="clear" w:color="auto" w:fill="FFFFFF"/>
            <w:vAlign w:val="center"/>
            <w:hideMark/>
          </w:tcPr>
          <w:p w14:paraId="4927369C" w14:textId="77777777" w:rsidR="00E93883" w:rsidRPr="00B42BC1" w:rsidRDefault="00E93883"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066EA20" w14:textId="77777777" w:rsidR="00E93883" w:rsidRPr="00B42BC1" w:rsidRDefault="00E93883"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12.punkta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306CE0" w14:textId="77777777" w:rsidR="00E93883" w:rsidRPr="00B42BC1" w:rsidRDefault="00E93883" w:rsidP="00170F0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astotās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CD7709"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5C7C2F" w14:textId="77777777" w:rsidR="00E93883" w:rsidRPr="00B42BC1" w:rsidRDefault="00E93883"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397919A6" w14:textId="77777777" w:rsidTr="00170F00">
        <w:trPr>
          <w:trHeight w:val="35"/>
        </w:trPr>
        <w:tc>
          <w:tcPr>
            <w:tcW w:w="30" w:type="dxa"/>
            <w:tcBorders>
              <w:top w:val="nil"/>
              <w:left w:val="nil"/>
              <w:bottom w:val="nil"/>
              <w:right w:val="nil"/>
            </w:tcBorders>
            <w:shd w:val="clear" w:color="auto" w:fill="FFFFFF"/>
            <w:vAlign w:val="center"/>
            <w:hideMark/>
          </w:tcPr>
          <w:p w14:paraId="4C818F1D" w14:textId="77777777" w:rsidR="00A661A1" w:rsidRPr="00B42BC1" w:rsidRDefault="00A661A1"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15C3689" w14:textId="77777777" w:rsidR="00A661A1" w:rsidRPr="00B42BC1" w:rsidRDefault="00A661A1" w:rsidP="00A661A1">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13.punkta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A4E7EE" w14:textId="77777777" w:rsidR="00A661A1" w:rsidRPr="00B42BC1" w:rsidRDefault="00A661A1" w:rsidP="00A661A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desmitās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627E35"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90B4E9"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63386DF9" w14:textId="77777777" w:rsidTr="00170F00">
        <w:trPr>
          <w:trHeight w:val="35"/>
        </w:trPr>
        <w:tc>
          <w:tcPr>
            <w:tcW w:w="30" w:type="dxa"/>
            <w:tcBorders>
              <w:top w:val="nil"/>
              <w:left w:val="nil"/>
              <w:bottom w:val="nil"/>
              <w:right w:val="nil"/>
            </w:tcBorders>
            <w:shd w:val="clear" w:color="auto" w:fill="FFFFFF"/>
            <w:vAlign w:val="center"/>
            <w:hideMark/>
          </w:tcPr>
          <w:p w14:paraId="75D9C853" w14:textId="77777777" w:rsidR="00A661A1" w:rsidRPr="00B42BC1" w:rsidRDefault="00A661A1"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EE6FBE2" w14:textId="77777777" w:rsidR="00A661A1" w:rsidRPr="00B42BC1"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13.punkta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59DDF3" w14:textId="77777777" w:rsidR="00A661A1" w:rsidRPr="00B42BC1"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desmitās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A48CBF"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B82A37"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7C36574D" w14:textId="77777777" w:rsidTr="00170F00">
        <w:trPr>
          <w:trHeight w:val="35"/>
        </w:trPr>
        <w:tc>
          <w:tcPr>
            <w:tcW w:w="30" w:type="dxa"/>
            <w:tcBorders>
              <w:top w:val="nil"/>
              <w:left w:val="nil"/>
              <w:bottom w:val="nil"/>
              <w:right w:val="nil"/>
            </w:tcBorders>
            <w:shd w:val="clear" w:color="auto" w:fill="FFFFFF"/>
            <w:vAlign w:val="center"/>
            <w:hideMark/>
          </w:tcPr>
          <w:p w14:paraId="06DFDC2D" w14:textId="77777777" w:rsidR="00A661A1" w:rsidRPr="00B42BC1" w:rsidRDefault="00A661A1"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50E6158" w14:textId="77777777" w:rsidR="00A661A1" w:rsidRPr="00B42BC1"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13.punkta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B9533F" w14:textId="77777777" w:rsidR="00A661A1" w:rsidRPr="00B42BC1"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desmitās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BB6F68"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ADA241"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25ED3E0A" w14:textId="77777777" w:rsidTr="00170F00">
        <w:trPr>
          <w:trHeight w:val="35"/>
        </w:trPr>
        <w:tc>
          <w:tcPr>
            <w:tcW w:w="30" w:type="dxa"/>
            <w:tcBorders>
              <w:top w:val="nil"/>
              <w:left w:val="nil"/>
              <w:bottom w:val="nil"/>
              <w:right w:val="nil"/>
            </w:tcBorders>
            <w:shd w:val="clear" w:color="auto" w:fill="FFFFFF"/>
            <w:vAlign w:val="center"/>
            <w:hideMark/>
          </w:tcPr>
          <w:p w14:paraId="4BC00DF2" w14:textId="77777777" w:rsidR="00A661A1" w:rsidRPr="00B42BC1" w:rsidRDefault="00A661A1"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1E3E930" w14:textId="77777777" w:rsidR="00A661A1" w:rsidRPr="00B42BC1"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5.panta </w:t>
            </w:r>
            <w:r w:rsidRPr="00B42BC1">
              <w:rPr>
                <w:rFonts w:ascii="Times New Roman" w:eastAsia="Times New Roman" w:hAnsi="Times New Roman"/>
                <w:color w:val="000000" w:themeColor="text1"/>
                <w:sz w:val="24"/>
                <w:szCs w:val="24"/>
                <w:lang w:val="lv-LV" w:eastAsia="lv-LV"/>
              </w:rPr>
              <w:lastRenderedPageBreak/>
              <w:t>14.punkta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759BF9" w14:textId="77777777" w:rsidR="00A661A1" w:rsidRPr="00B42BC1"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11.panta desmitās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ED6884"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CF4740"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2CDF1A82" w14:textId="77777777" w:rsidTr="00170F00">
        <w:trPr>
          <w:trHeight w:val="35"/>
        </w:trPr>
        <w:tc>
          <w:tcPr>
            <w:tcW w:w="30" w:type="dxa"/>
            <w:tcBorders>
              <w:top w:val="nil"/>
              <w:left w:val="nil"/>
              <w:bottom w:val="nil"/>
              <w:right w:val="nil"/>
            </w:tcBorders>
            <w:shd w:val="clear" w:color="auto" w:fill="FFFFFF"/>
            <w:vAlign w:val="center"/>
            <w:hideMark/>
          </w:tcPr>
          <w:p w14:paraId="1971CCAB" w14:textId="77777777" w:rsidR="00A661A1" w:rsidRPr="00B42BC1" w:rsidRDefault="00A661A1"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DC57717" w14:textId="77777777" w:rsidR="00A661A1" w:rsidRPr="00B42BC1" w:rsidRDefault="00A661A1"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5.panta 13.punkta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768552" w14:textId="77777777" w:rsidR="00A661A1" w:rsidRPr="00B42BC1" w:rsidRDefault="00A661A1" w:rsidP="00170F0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11.panta desmitās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E57E11"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2245DE" w14:textId="77777777" w:rsidR="00A661A1" w:rsidRPr="00B42BC1" w:rsidRDefault="00A661A1"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stingrākas prasības neparedz </w:t>
            </w:r>
          </w:p>
        </w:tc>
      </w:tr>
      <w:tr w:rsidR="00B42BC1" w:rsidRPr="00B42BC1" w14:paraId="0D75F014" w14:textId="77777777" w:rsidTr="007A3206">
        <w:trPr>
          <w:trHeight w:val="35"/>
        </w:trPr>
        <w:tc>
          <w:tcPr>
            <w:tcW w:w="30" w:type="dxa"/>
            <w:tcBorders>
              <w:top w:val="nil"/>
              <w:left w:val="nil"/>
              <w:bottom w:val="nil"/>
              <w:right w:val="nil"/>
            </w:tcBorders>
            <w:shd w:val="clear" w:color="auto" w:fill="FFFFFF"/>
            <w:vAlign w:val="center"/>
            <w:hideMark/>
          </w:tcPr>
          <w:p w14:paraId="0608C44C"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95F4DA3" w14:textId="77777777" w:rsidR="00410BA0" w:rsidRPr="00B42BC1" w:rsidRDefault="00410BA0" w:rsidP="00410BA0">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321844"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 paredz pienākumus Eiropas Komisijai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D9CF6E"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F78A00" w14:textId="77777777" w:rsidR="00410BA0" w:rsidRPr="00B42BC1" w:rsidRDefault="00410BA0" w:rsidP="00410BA0">
            <w:pPr>
              <w:widowControl/>
              <w:spacing w:after="0" w:line="240" w:lineRule="auto"/>
              <w:rPr>
                <w:rFonts w:eastAsia="Times New Roman"/>
                <w:color w:val="000000" w:themeColor="text1"/>
                <w:lang w:val="lv-LV" w:eastAsia="lv-LV"/>
              </w:rPr>
            </w:pPr>
          </w:p>
        </w:tc>
      </w:tr>
      <w:tr w:rsidR="00B42BC1" w:rsidRPr="00B42BC1" w14:paraId="4C92950B" w14:textId="77777777" w:rsidTr="007A3206">
        <w:trPr>
          <w:trHeight w:val="35"/>
        </w:trPr>
        <w:tc>
          <w:tcPr>
            <w:tcW w:w="30" w:type="dxa"/>
            <w:tcBorders>
              <w:top w:val="nil"/>
              <w:left w:val="nil"/>
              <w:bottom w:val="nil"/>
              <w:right w:val="nil"/>
            </w:tcBorders>
            <w:shd w:val="clear" w:color="auto" w:fill="FFFFFF"/>
            <w:vAlign w:val="center"/>
            <w:hideMark/>
          </w:tcPr>
          <w:p w14:paraId="0087ED16"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99F12D8"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A2EEF7"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3.panta trešā un ceturtā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B660E9"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B082B1"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6924B42" w14:textId="77777777" w:rsidTr="007A3206">
        <w:trPr>
          <w:trHeight w:val="35"/>
        </w:trPr>
        <w:tc>
          <w:tcPr>
            <w:tcW w:w="30" w:type="dxa"/>
            <w:tcBorders>
              <w:top w:val="nil"/>
              <w:left w:val="nil"/>
              <w:bottom w:val="nil"/>
              <w:right w:val="nil"/>
            </w:tcBorders>
            <w:shd w:val="clear" w:color="auto" w:fill="FFFFFF"/>
            <w:vAlign w:val="center"/>
            <w:hideMark/>
          </w:tcPr>
          <w:p w14:paraId="2E6CB18C"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AE40694"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DD1084"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CF6D00"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9552B3"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8DE2A07" w14:textId="77777777" w:rsidTr="007A3206">
        <w:trPr>
          <w:trHeight w:val="35"/>
        </w:trPr>
        <w:tc>
          <w:tcPr>
            <w:tcW w:w="30" w:type="dxa"/>
            <w:tcBorders>
              <w:top w:val="nil"/>
              <w:left w:val="nil"/>
              <w:bottom w:val="nil"/>
              <w:right w:val="nil"/>
            </w:tcBorders>
            <w:shd w:val="clear" w:color="auto" w:fill="FFFFFF"/>
            <w:vAlign w:val="center"/>
            <w:hideMark/>
          </w:tcPr>
          <w:p w14:paraId="455DFF97"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2230AD0"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62A7ED"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sestā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D10B2F"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A6ECFB"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BECD03D" w14:textId="77777777" w:rsidTr="007A3206">
        <w:trPr>
          <w:trHeight w:val="35"/>
        </w:trPr>
        <w:tc>
          <w:tcPr>
            <w:tcW w:w="30" w:type="dxa"/>
            <w:tcBorders>
              <w:top w:val="nil"/>
              <w:left w:val="nil"/>
              <w:bottom w:val="nil"/>
              <w:right w:val="nil"/>
            </w:tcBorders>
            <w:shd w:val="clear" w:color="auto" w:fill="FFFFFF"/>
            <w:vAlign w:val="center"/>
            <w:hideMark/>
          </w:tcPr>
          <w:p w14:paraId="7DFF4E5E"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66E67DB"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931234"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2E1FF7"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8D4716"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00A19DC" w14:textId="77777777" w:rsidTr="007A3206">
        <w:trPr>
          <w:trHeight w:val="35"/>
        </w:trPr>
        <w:tc>
          <w:tcPr>
            <w:tcW w:w="30" w:type="dxa"/>
            <w:tcBorders>
              <w:top w:val="nil"/>
              <w:left w:val="nil"/>
              <w:bottom w:val="nil"/>
              <w:right w:val="nil"/>
            </w:tcBorders>
            <w:shd w:val="clear" w:color="auto" w:fill="FFFFFF"/>
            <w:vAlign w:val="center"/>
            <w:hideMark/>
          </w:tcPr>
          <w:p w14:paraId="36FD854F"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6EFF6AD"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D70F8F"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7CAA15"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95A5E5"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26480A0" w14:textId="77777777" w:rsidTr="007A3206">
        <w:trPr>
          <w:trHeight w:val="35"/>
        </w:trPr>
        <w:tc>
          <w:tcPr>
            <w:tcW w:w="30" w:type="dxa"/>
            <w:tcBorders>
              <w:top w:val="nil"/>
              <w:left w:val="nil"/>
              <w:bottom w:val="nil"/>
              <w:right w:val="nil"/>
            </w:tcBorders>
            <w:shd w:val="clear" w:color="auto" w:fill="FFFFFF"/>
            <w:vAlign w:val="center"/>
            <w:hideMark/>
          </w:tcPr>
          <w:p w14:paraId="0E8ED455"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8747854"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38F1E0"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A40387"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283420"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A9792A4" w14:textId="77777777" w:rsidTr="007A3206">
        <w:trPr>
          <w:trHeight w:val="35"/>
        </w:trPr>
        <w:tc>
          <w:tcPr>
            <w:tcW w:w="30" w:type="dxa"/>
            <w:tcBorders>
              <w:top w:val="nil"/>
              <w:left w:val="nil"/>
              <w:bottom w:val="nil"/>
              <w:right w:val="nil"/>
            </w:tcBorders>
            <w:shd w:val="clear" w:color="auto" w:fill="FFFFFF"/>
            <w:vAlign w:val="center"/>
            <w:hideMark/>
          </w:tcPr>
          <w:p w14:paraId="34A73B2A"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E958736"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d)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70EB00"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F42450" w14:textId="77777777" w:rsidR="00410BA0" w:rsidRPr="00B42BC1" w:rsidRDefault="00410BA0" w:rsidP="00D87AAC">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w:t>
            </w:r>
            <w:r w:rsidR="00D87AAC" w:rsidRPr="00B42BC1">
              <w:rPr>
                <w:rFonts w:ascii="Times New Roman" w:eastAsia="Times New Roman" w:hAnsi="Times New Roman"/>
                <w:color w:val="000000" w:themeColor="text1"/>
                <w:sz w:val="24"/>
                <w:szCs w:val="24"/>
                <w:lang w:val="lv-LV" w:eastAsia="lv-LV"/>
              </w:rPr>
              <w:t>ne</w:t>
            </w:r>
            <w:r w:rsidRPr="00B42BC1">
              <w:rPr>
                <w:rFonts w:ascii="Times New Roman" w:eastAsia="Times New Roman" w:hAnsi="Times New Roman"/>
                <w:color w:val="000000" w:themeColor="text1"/>
                <w:sz w:val="24"/>
                <w:szCs w:val="24"/>
                <w:lang w:val="lv-LV" w:eastAsia="lv-LV"/>
              </w:rPr>
              <w:t>tiek pārņemta</w:t>
            </w:r>
            <w:r w:rsidR="00D87AAC" w:rsidRPr="00B42BC1">
              <w:rPr>
                <w:rFonts w:ascii="Times New Roman" w:eastAsia="Times New Roman" w:hAnsi="Times New Roman"/>
                <w:color w:val="000000" w:themeColor="text1"/>
                <w:sz w:val="24"/>
                <w:szCs w:val="24"/>
                <w:lang w:val="lv-LV" w:eastAsia="lv-LV"/>
              </w:rPr>
              <w:t xml:space="preserve">. Direktīva paredz izņēmumu no tās piemērošanas, bet likumprojektā ir paredzēts, ka jāpiemēro atvieglotā sociālo un citu īpašu pakalpojumu procedūra no 42 000 </w:t>
            </w:r>
            <w:r w:rsidR="00D87AAC" w:rsidRPr="00B42BC1">
              <w:rPr>
                <w:rFonts w:ascii="Times New Roman" w:eastAsia="Times New Roman" w:hAnsi="Times New Roman"/>
                <w:i/>
                <w:color w:val="000000" w:themeColor="text1"/>
                <w:sz w:val="24"/>
                <w:szCs w:val="24"/>
                <w:lang w:val="lv-LV" w:eastAsia="lv-LV"/>
              </w:rPr>
              <w:t>euro.</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21C538" w14:textId="77777777" w:rsidR="00410BA0" w:rsidRPr="00B42BC1" w:rsidRDefault="00410BA0" w:rsidP="00D87AAC">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w:t>
            </w:r>
            <w:r w:rsidR="00D87AAC" w:rsidRPr="00B42BC1">
              <w:rPr>
                <w:rFonts w:ascii="Times New Roman" w:eastAsia="Times New Roman" w:hAnsi="Times New Roman"/>
                <w:color w:val="000000" w:themeColor="text1"/>
                <w:sz w:val="24"/>
                <w:szCs w:val="24"/>
                <w:lang w:val="lv-LV" w:eastAsia="lv-LV"/>
              </w:rPr>
              <w:t>paredz stingrākas prasības, jo juridiskajiem pakalpojumiem būs jāpiemēro atvieglotā sociālo un citu īpašu pakalpojumu procedūra</w:t>
            </w:r>
          </w:p>
        </w:tc>
      </w:tr>
      <w:tr w:rsidR="00B42BC1" w:rsidRPr="00B42BC1" w14:paraId="438A7DE2" w14:textId="77777777" w:rsidTr="007A3206">
        <w:trPr>
          <w:trHeight w:val="35"/>
        </w:trPr>
        <w:tc>
          <w:tcPr>
            <w:tcW w:w="30" w:type="dxa"/>
            <w:tcBorders>
              <w:top w:val="nil"/>
              <w:left w:val="nil"/>
              <w:bottom w:val="nil"/>
              <w:right w:val="nil"/>
            </w:tcBorders>
            <w:shd w:val="clear" w:color="auto" w:fill="FFFFFF"/>
            <w:vAlign w:val="center"/>
            <w:hideMark/>
          </w:tcPr>
          <w:p w14:paraId="13E1783F"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BCEC282"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e)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08C2DA"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w:t>
            </w:r>
            <w:r w:rsidR="00D60A0A" w:rsidRPr="00B42BC1">
              <w:rPr>
                <w:rFonts w:ascii="Times New Roman" w:eastAsia="Times New Roman" w:hAnsi="Times New Roman"/>
                <w:color w:val="000000" w:themeColor="text1"/>
                <w:sz w:val="24"/>
                <w:szCs w:val="24"/>
                <w:lang w:val="lv-LV" w:eastAsia="lv-LV"/>
              </w:rPr>
              <w:t xml:space="preserve"> 7</w:t>
            </w:r>
            <w:r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2805EE"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78420A"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894E327" w14:textId="77777777" w:rsidTr="007A3206">
        <w:trPr>
          <w:trHeight w:val="35"/>
        </w:trPr>
        <w:tc>
          <w:tcPr>
            <w:tcW w:w="30" w:type="dxa"/>
            <w:tcBorders>
              <w:top w:val="nil"/>
              <w:left w:val="nil"/>
              <w:bottom w:val="nil"/>
              <w:right w:val="nil"/>
            </w:tcBorders>
            <w:shd w:val="clear" w:color="auto" w:fill="FFFFFF"/>
            <w:vAlign w:val="center"/>
            <w:hideMark/>
          </w:tcPr>
          <w:p w14:paraId="330C1182"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10869DC"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f)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D2219E" w14:textId="77777777" w:rsidR="00410BA0" w:rsidRPr="00B42BC1"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 8</w:t>
            </w:r>
            <w:r w:rsidR="00410BA0"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609E9D"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B1BC63"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9987697" w14:textId="77777777" w:rsidTr="007A3206">
        <w:trPr>
          <w:trHeight w:val="35"/>
        </w:trPr>
        <w:tc>
          <w:tcPr>
            <w:tcW w:w="30" w:type="dxa"/>
            <w:tcBorders>
              <w:top w:val="nil"/>
              <w:left w:val="nil"/>
              <w:bottom w:val="nil"/>
              <w:right w:val="nil"/>
            </w:tcBorders>
            <w:shd w:val="clear" w:color="auto" w:fill="FFFFFF"/>
            <w:vAlign w:val="center"/>
            <w:hideMark/>
          </w:tcPr>
          <w:p w14:paraId="12DB2A0F"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CE94196"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g)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8603EA" w14:textId="77777777" w:rsidR="00410BA0" w:rsidRPr="00B42BC1" w:rsidRDefault="00410BA0" w:rsidP="00D60A0A">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3.panta pirmās daļas </w:t>
            </w:r>
            <w:r w:rsidR="00D60A0A" w:rsidRPr="00B42BC1">
              <w:rPr>
                <w:rFonts w:ascii="Times New Roman" w:eastAsia="Times New Roman" w:hAnsi="Times New Roman"/>
                <w:color w:val="000000" w:themeColor="text1"/>
                <w:sz w:val="24"/>
                <w:szCs w:val="24"/>
                <w:lang w:val="lv-LV" w:eastAsia="lv-LV"/>
              </w:rPr>
              <w:t>9</w:t>
            </w:r>
            <w:r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50FB8D"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CF3E5E"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CAB1F57" w14:textId="77777777" w:rsidTr="007A3206">
        <w:trPr>
          <w:trHeight w:val="35"/>
        </w:trPr>
        <w:tc>
          <w:tcPr>
            <w:tcW w:w="30" w:type="dxa"/>
            <w:tcBorders>
              <w:top w:val="nil"/>
              <w:left w:val="nil"/>
              <w:bottom w:val="nil"/>
              <w:right w:val="nil"/>
            </w:tcBorders>
            <w:shd w:val="clear" w:color="auto" w:fill="FFFFFF"/>
            <w:vAlign w:val="center"/>
            <w:hideMark/>
          </w:tcPr>
          <w:p w14:paraId="390A3B8C"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89B48A4"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h)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3EB32A" w14:textId="77777777" w:rsidR="00410BA0" w:rsidRPr="00B42BC1"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 10</w:t>
            </w:r>
            <w:r w:rsidR="00410BA0"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6C2833"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4F137A"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E464AD7" w14:textId="77777777" w:rsidTr="007A3206">
        <w:trPr>
          <w:trHeight w:val="35"/>
        </w:trPr>
        <w:tc>
          <w:tcPr>
            <w:tcW w:w="30" w:type="dxa"/>
            <w:tcBorders>
              <w:top w:val="nil"/>
              <w:left w:val="nil"/>
              <w:bottom w:val="nil"/>
              <w:right w:val="nil"/>
            </w:tcBorders>
            <w:shd w:val="clear" w:color="auto" w:fill="FFFFFF"/>
            <w:vAlign w:val="center"/>
            <w:hideMark/>
          </w:tcPr>
          <w:p w14:paraId="0BDE154A"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1E372B3"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i)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B42D6B" w14:textId="77777777" w:rsidR="00410BA0" w:rsidRPr="00B42BC1"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 11</w:t>
            </w:r>
            <w:r w:rsidR="00410BA0"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3F4D65"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88E857"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88F8D64" w14:textId="77777777" w:rsidTr="007A3206">
        <w:trPr>
          <w:trHeight w:val="35"/>
        </w:trPr>
        <w:tc>
          <w:tcPr>
            <w:tcW w:w="30" w:type="dxa"/>
            <w:tcBorders>
              <w:top w:val="nil"/>
              <w:left w:val="nil"/>
              <w:bottom w:val="nil"/>
              <w:right w:val="nil"/>
            </w:tcBorders>
            <w:shd w:val="clear" w:color="auto" w:fill="FFFFFF"/>
            <w:vAlign w:val="center"/>
            <w:hideMark/>
          </w:tcPr>
          <w:p w14:paraId="79B1F00C"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A52E350"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10.panta j)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E73DB8"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378485" w14:textId="77777777" w:rsidR="00410BA0" w:rsidRPr="00B42BC1" w:rsidRDefault="00410BA0" w:rsidP="00D60A0A">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w:t>
            </w:r>
            <w:r w:rsidR="00D60A0A" w:rsidRPr="00B42BC1">
              <w:rPr>
                <w:rFonts w:ascii="Times New Roman" w:eastAsia="Times New Roman" w:hAnsi="Times New Roman"/>
                <w:color w:val="000000" w:themeColor="text1"/>
                <w:sz w:val="24"/>
                <w:szCs w:val="24"/>
                <w:lang w:val="lv-LV" w:eastAsia="lv-LV"/>
              </w:rPr>
              <w:t>ne</w:t>
            </w:r>
            <w:r w:rsidRPr="00B42BC1">
              <w:rPr>
                <w:rFonts w:ascii="Times New Roman" w:eastAsia="Times New Roman" w:hAnsi="Times New Roman"/>
                <w:color w:val="000000" w:themeColor="text1"/>
                <w:sz w:val="24"/>
                <w:szCs w:val="24"/>
                <w:lang w:val="lv-LV" w:eastAsia="lv-LV"/>
              </w:rPr>
              <w:t>tiek pārņemta</w:t>
            </w:r>
            <w:r w:rsidR="00D60A0A" w:rsidRPr="00B42BC1">
              <w:rPr>
                <w:rFonts w:ascii="Times New Roman" w:eastAsia="Times New Roman" w:hAnsi="Times New Roman"/>
                <w:color w:val="000000" w:themeColor="text1"/>
                <w:sz w:val="24"/>
                <w:szCs w:val="24"/>
                <w:lang w:val="lv-LV" w:eastAsia="lv-LV"/>
              </w:rPr>
              <w:t>, jo politiskajām partijām nav pasūtītāja statusa, līdz ar to šāds izņēmums nav nepieciešams.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E3E9DD" w14:textId="77777777" w:rsidR="00410BA0" w:rsidRPr="00B42BC1" w:rsidRDefault="00410BA0" w:rsidP="00410BA0">
            <w:pPr>
              <w:widowControl/>
              <w:spacing w:after="0" w:line="240" w:lineRule="auto"/>
              <w:rPr>
                <w:rFonts w:eastAsia="Times New Roman"/>
                <w:color w:val="000000" w:themeColor="text1"/>
                <w:lang w:val="lv-LV" w:eastAsia="lv-LV"/>
              </w:rPr>
            </w:pPr>
          </w:p>
        </w:tc>
      </w:tr>
      <w:tr w:rsidR="00B42BC1" w:rsidRPr="00B42BC1" w14:paraId="1C1DBFF0" w14:textId="77777777" w:rsidTr="007A3206">
        <w:trPr>
          <w:trHeight w:val="35"/>
        </w:trPr>
        <w:tc>
          <w:tcPr>
            <w:tcW w:w="30" w:type="dxa"/>
            <w:tcBorders>
              <w:top w:val="nil"/>
              <w:left w:val="nil"/>
              <w:bottom w:val="nil"/>
              <w:right w:val="nil"/>
            </w:tcBorders>
            <w:shd w:val="clear" w:color="auto" w:fill="FFFFFF"/>
            <w:vAlign w:val="center"/>
          </w:tcPr>
          <w:p w14:paraId="46300175" w14:textId="77777777" w:rsidR="00410BA0" w:rsidRPr="00B42BC1" w:rsidRDefault="00410BA0" w:rsidP="00410BA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AB4ADF6"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8282A5" w14:textId="77777777" w:rsidR="00410BA0" w:rsidRPr="00B42BC1" w:rsidRDefault="00D60A0A"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pirmās daļas 12</w:t>
            </w:r>
            <w:r w:rsidR="00410BA0" w:rsidRPr="00B42BC1">
              <w:rPr>
                <w:rFonts w:ascii="Times New Roman" w:eastAsia="Times New Roman" w:hAnsi="Times New Roman"/>
                <w:color w:val="000000" w:themeColor="text1"/>
                <w:sz w:val="24"/>
                <w:szCs w:val="24"/>
                <w:lang w:val="lv-LV" w:eastAsia="lv-LV"/>
              </w:rPr>
              <w:t>.punkts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DACA55"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910948"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01DA4A9" w14:textId="77777777" w:rsidTr="007A3206">
        <w:trPr>
          <w:trHeight w:val="35"/>
        </w:trPr>
        <w:tc>
          <w:tcPr>
            <w:tcW w:w="30" w:type="dxa"/>
            <w:tcBorders>
              <w:top w:val="nil"/>
              <w:left w:val="nil"/>
              <w:bottom w:val="nil"/>
              <w:right w:val="nil"/>
            </w:tcBorders>
            <w:shd w:val="clear" w:color="auto" w:fill="FFFFFF"/>
            <w:vAlign w:val="center"/>
            <w:hideMark/>
          </w:tcPr>
          <w:p w14:paraId="3C59172E"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0DB1401"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9B5177"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9119AB"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92B459"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DF04484" w14:textId="77777777" w:rsidTr="007A3206">
        <w:trPr>
          <w:trHeight w:val="35"/>
        </w:trPr>
        <w:tc>
          <w:tcPr>
            <w:tcW w:w="30" w:type="dxa"/>
            <w:tcBorders>
              <w:top w:val="nil"/>
              <w:left w:val="nil"/>
              <w:bottom w:val="nil"/>
              <w:right w:val="nil"/>
            </w:tcBorders>
            <w:shd w:val="clear" w:color="auto" w:fill="FFFFFF"/>
            <w:vAlign w:val="center"/>
            <w:hideMark/>
          </w:tcPr>
          <w:p w14:paraId="0C429148"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0CC3F3C"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A2E555"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44EB3D"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013236"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F2F5E39" w14:textId="77777777" w:rsidTr="007A3206">
        <w:trPr>
          <w:trHeight w:val="35"/>
        </w:trPr>
        <w:tc>
          <w:tcPr>
            <w:tcW w:w="30" w:type="dxa"/>
            <w:tcBorders>
              <w:top w:val="nil"/>
              <w:left w:val="nil"/>
              <w:bottom w:val="nil"/>
              <w:right w:val="nil"/>
            </w:tcBorders>
            <w:shd w:val="clear" w:color="auto" w:fill="FFFFFF"/>
            <w:vAlign w:val="center"/>
            <w:hideMark/>
          </w:tcPr>
          <w:p w14:paraId="45816261"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FA808B2"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6245E4"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2022A2"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DD5C6B"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9BAF7FF" w14:textId="77777777" w:rsidTr="007A3206">
        <w:trPr>
          <w:trHeight w:val="35"/>
        </w:trPr>
        <w:tc>
          <w:tcPr>
            <w:tcW w:w="30" w:type="dxa"/>
            <w:tcBorders>
              <w:top w:val="nil"/>
              <w:left w:val="nil"/>
              <w:bottom w:val="nil"/>
              <w:right w:val="nil"/>
            </w:tcBorders>
            <w:shd w:val="clear" w:color="auto" w:fill="FFFFFF"/>
            <w:vAlign w:val="center"/>
            <w:hideMark/>
          </w:tcPr>
          <w:p w14:paraId="273E7305"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1CF5724" w14:textId="77777777" w:rsidR="00410BA0" w:rsidRPr="00B42BC1" w:rsidRDefault="00C0099B"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15.panta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4ECF21" w14:textId="77777777" w:rsidR="00410BA0" w:rsidRPr="00B42BC1" w:rsidRDefault="00C0099B" w:rsidP="00C0099B">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3.panta septītā </w:t>
            </w:r>
            <w:r w:rsidR="00410BA0" w:rsidRPr="00B42BC1">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6CF0AB"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599521"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AFEA9DB" w14:textId="77777777" w:rsidTr="00170F00">
        <w:trPr>
          <w:trHeight w:val="35"/>
        </w:trPr>
        <w:tc>
          <w:tcPr>
            <w:tcW w:w="30" w:type="dxa"/>
            <w:tcBorders>
              <w:top w:val="nil"/>
              <w:left w:val="nil"/>
              <w:bottom w:val="nil"/>
              <w:right w:val="nil"/>
            </w:tcBorders>
            <w:shd w:val="clear" w:color="auto" w:fill="FFFFFF"/>
            <w:vAlign w:val="center"/>
            <w:hideMark/>
          </w:tcPr>
          <w:p w14:paraId="64C89F6A" w14:textId="77777777" w:rsidR="00C0099B" w:rsidRPr="00B42BC1" w:rsidRDefault="00C0099B"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F98A508" w14:textId="77777777" w:rsidR="00C0099B" w:rsidRPr="00B42BC1" w:rsidRDefault="00C0099B"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15.panta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0029F5" w14:textId="77777777" w:rsidR="00C0099B" w:rsidRPr="00B42BC1" w:rsidRDefault="00C0099B" w:rsidP="00C0099B">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564DD6" w14:textId="77777777" w:rsidR="00C0099B" w:rsidRPr="00B42BC1" w:rsidRDefault="00C0099B"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F4B634" w14:textId="77777777" w:rsidR="00C0099B" w:rsidRPr="00B42BC1" w:rsidRDefault="00C0099B"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D29C93A" w14:textId="77777777" w:rsidTr="00170F00">
        <w:trPr>
          <w:trHeight w:val="35"/>
        </w:trPr>
        <w:tc>
          <w:tcPr>
            <w:tcW w:w="30" w:type="dxa"/>
            <w:tcBorders>
              <w:top w:val="nil"/>
              <w:left w:val="nil"/>
              <w:bottom w:val="nil"/>
              <w:right w:val="nil"/>
            </w:tcBorders>
            <w:shd w:val="clear" w:color="auto" w:fill="FFFFFF"/>
            <w:vAlign w:val="center"/>
            <w:hideMark/>
          </w:tcPr>
          <w:p w14:paraId="66C6FC8A" w14:textId="77777777" w:rsidR="00C0099B" w:rsidRPr="00B42BC1" w:rsidRDefault="00C0099B" w:rsidP="00170F0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D32CFF" w14:textId="77777777" w:rsidR="00C0099B" w:rsidRPr="00B42BC1" w:rsidRDefault="00C0099B" w:rsidP="00170F0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15.panta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721DF0" w14:textId="77777777" w:rsidR="00C0099B" w:rsidRPr="00B42BC1" w:rsidRDefault="00C0099B" w:rsidP="00C0099B">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astotā un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F337DC" w14:textId="77777777" w:rsidR="00C0099B" w:rsidRPr="00B42BC1" w:rsidRDefault="00C0099B"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B2CB31" w14:textId="77777777" w:rsidR="00C0099B" w:rsidRPr="00B42BC1" w:rsidRDefault="00C0099B" w:rsidP="00170F0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901F705" w14:textId="77777777" w:rsidTr="007A3206">
        <w:trPr>
          <w:trHeight w:val="35"/>
        </w:trPr>
        <w:tc>
          <w:tcPr>
            <w:tcW w:w="30" w:type="dxa"/>
            <w:tcBorders>
              <w:top w:val="nil"/>
              <w:left w:val="nil"/>
              <w:bottom w:val="nil"/>
              <w:right w:val="nil"/>
            </w:tcBorders>
            <w:shd w:val="clear" w:color="auto" w:fill="FFFFFF"/>
            <w:vAlign w:val="center"/>
            <w:hideMark/>
          </w:tcPr>
          <w:p w14:paraId="57199946"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C19FF27"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5E4426" w14:textId="77777777" w:rsidR="00410BA0" w:rsidRPr="00B42BC1" w:rsidRDefault="00AC2041"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divpadsmitā un trīspadsmitā daļa, kā arī tiks precizēts Aizsardzības un drošības jomas iepirkumu likums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693C80" w14:textId="1DD1078F"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w:t>
            </w:r>
            <w:r w:rsidR="00AC2041" w:rsidRPr="00B42BC1">
              <w:rPr>
                <w:rFonts w:ascii="Times New Roman" w:eastAsia="Times New Roman" w:hAnsi="Times New Roman"/>
                <w:color w:val="000000" w:themeColor="text1"/>
                <w:sz w:val="24"/>
                <w:szCs w:val="24"/>
                <w:lang w:val="lv-LV" w:eastAsia="lv-LV"/>
              </w:rPr>
              <w:t xml:space="preserve"> ar šo likumprojektu ne</w:t>
            </w:r>
            <w:r w:rsidRPr="00B42BC1">
              <w:rPr>
                <w:rFonts w:ascii="Times New Roman" w:eastAsia="Times New Roman" w:hAnsi="Times New Roman"/>
                <w:color w:val="000000" w:themeColor="text1"/>
                <w:sz w:val="24"/>
                <w:szCs w:val="24"/>
                <w:lang w:val="lv-LV" w:eastAsia="lv-LV"/>
              </w:rPr>
              <w:t xml:space="preserve"> tiek pārņemta/ ieviesta pilnībā</w:t>
            </w:r>
            <w:r w:rsidR="005E54FD">
              <w:rPr>
                <w:rFonts w:ascii="Times New Roman" w:eastAsia="Times New Roman" w:hAnsi="Times New Roman"/>
                <w:color w:val="000000" w:themeColor="text1"/>
                <w:sz w:val="24"/>
                <w:szCs w:val="24"/>
                <w:lang w:val="lv-LV" w:eastAsia="lv-LV"/>
              </w:rPr>
              <w:t xml:space="preserve">, ir paredzēti grozījumi </w:t>
            </w:r>
            <w:r w:rsidR="005E54FD" w:rsidRPr="00B42BC1">
              <w:rPr>
                <w:rFonts w:ascii="Times New Roman" w:eastAsia="Times New Roman" w:hAnsi="Times New Roman"/>
                <w:color w:val="000000" w:themeColor="text1"/>
                <w:sz w:val="24"/>
                <w:szCs w:val="24"/>
                <w:lang w:val="lv-LV" w:eastAsia="lv-LV"/>
              </w:rPr>
              <w:t>Aizsardzības un</w:t>
            </w:r>
            <w:r w:rsidR="005E54FD">
              <w:rPr>
                <w:rFonts w:ascii="Times New Roman" w:eastAsia="Times New Roman" w:hAnsi="Times New Roman"/>
                <w:color w:val="000000" w:themeColor="text1"/>
                <w:sz w:val="24"/>
                <w:szCs w:val="24"/>
                <w:lang w:val="lv-LV" w:eastAsia="lv-LV"/>
              </w:rPr>
              <w:t xml:space="preserve"> drošības jomas iepirkumu likumā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42B40C"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45A9FE4" w14:textId="77777777" w:rsidTr="007A3206">
        <w:trPr>
          <w:trHeight w:val="35"/>
        </w:trPr>
        <w:tc>
          <w:tcPr>
            <w:tcW w:w="30" w:type="dxa"/>
            <w:tcBorders>
              <w:top w:val="nil"/>
              <w:left w:val="nil"/>
              <w:bottom w:val="nil"/>
              <w:right w:val="nil"/>
            </w:tcBorders>
            <w:shd w:val="clear" w:color="auto" w:fill="FFFFFF"/>
            <w:vAlign w:val="center"/>
            <w:hideMark/>
          </w:tcPr>
          <w:p w14:paraId="7B6E394E"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E9951E8" w14:textId="77777777" w:rsidR="00410BA0" w:rsidRPr="00B42BC1" w:rsidRDefault="00410BA0"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E812C3" w14:textId="77777777" w:rsidR="00410BA0" w:rsidRPr="00B42BC1" w:rsidRDefault="00410BA0" w:rsidP="00410BA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24A8BE"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6A5C0F"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AFB291E" w14:textId="77777777" w:rsidTr="007A3206">
        <w:trPr>
          <w:trHeight w:val="35"/>
        </w:trPr>
        <w:tc>
          <w:tcPr>
            <w:tcW w:w="30" w:type="dxa"/>
            <w:tcBorders>
              <w:top w:val="nil"/>
              <w:left w:val="nil"/>
              <w:bottom w:val="nil"/>
              <w:right w:val="nil"/>
            </w:tcBorders>
            <w:shd w:val="clear" w:color="auto" w:fill="FFFFFF"/>
            <w:vAlign w:val="center"/>
            <w:hideMark/>
          </w:tcPr>
          <w:p w14:paraId="43B4ABCB" w14:textId="77777777" w:rsidR="00410BA0" w:rsidRPr="00B42BC1" w:rsidRDefault="00410BA0" w:rsidP="00410BA0">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52F6CE8" w14:textId="77777777" w:rsidR="00410BA0" w:rsidRPr="00B42BC1" w:rsidRDefault="00826832" w:rsidP="00410BA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18.panta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71B1D0" w14:textId="77777777" w:rsidR="00410BA0" w:rsidRPr="00B42BC1" w:rsidRDefault="00410BA0"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BF2E83"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682909" w14:textId="77777777" w:rsidR="00410BA0" w:rsidRPr="00B42BC1" w:rsidRDefault="00410BA0" w:rsidP="00410BA0">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BE1860A" w14:textId="77777777" w:rsidTr="007A3206">
        <w:trPr>
          <w:trHeight w:val="35"/>
        </w:trPr>
        <w:tc>
          <w:tcPr>
            <w:tcW w:w="30" w:type="dxa"/>
            <w:tcBorders>
              <w:top w:val="nil"/>
              <w:left w:val="nil"/>
              <w:bottom w:val="nil"/>
              <w:right w:val="nil"/>
            </w:tcBorders>
            <w:shd w:val="clear" w:color="auto" w:fill="FFFFFF"/>
            <w:vAlign w:val="center"/>
          </w:tcPr>
          <w:p w14:paraId="50653E7C"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71B0C0A"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18.panta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A9B22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pirmā daļa, 51.panta piektā daļa, kā arī tas papildus tiks ietverts arī Ministru kabineta noteikumos, kas noteiks iepirkuma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253A5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3B2AB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0887B36" w14:textId="77777777" w:rsidTr="007A3206">
        <w:trPr>
          <w:trHeight w:val="35"/>
        </w:trPr>
        <w:tc>
          <w:tcPr>
            <w:tcW w:w="30" w:type="dxa"/>
            <w:tcBorders>
              <w:top w:val="nil"/>
              <w:left w:val="nil"/>
              <w:bottom w:val="nil"/>
              <w:right w:val="nil"/>
            </w:tcBorders>
            <w:shd w:val="clear" w:color="auto" w:fill="FFFFFF"/>
            <w:vAlign w:val="center"/>
          </w:tcPr>
          <w:p w14:paraId="45E0213F"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2685237"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18.panta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26EA23" w14:textId="77777777" w:rsidR="00826832" w:rsidRPr="00B42BC1" w:rsidRDefault="001D1678"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53.panta trešās daļas 4.punkts un piektā daļa, 60.panta </w:t>
            </w:r>
            <w:r w:rsidR="00645FC6" w:rsidRPr="00B42BC1">
              <w:rPr>
                <w:rFonts w:ascii="Times New Roman" w:eastAsia="Times New Roman" w:hAnsi="Times New Roman"/>
                <w:color w:val="000000" w:themeColor="text1"/>
                <w:sz w:val="24"/>
                <w:szCs w:val="24"/>
                <w:lang w:val="lv-LV" w:eastAsia="lv-LV"/>
              </w:rPr>
              <w:t xml:space="preserve">otrā un </w:t>
            </w:r>
            <w:r w:rsidRPr="00B42BC1">
              <w:rPr>
                <w:rFonts w:ascii="Times New Roman" w:eastAsia="Times New Roman" w:hAnsi="Times New Roman"/>
                <w:color w:val="000000" w:themeColor="text1"/>
                <w:sz w:val="24"/>
                <w:szCs w:val="24"/>
                <w:lang w:val="lv-LV" w:eastAsia="lv-LV"/>
              </w:rPr>
              <w:t xml:space="preserve">trešā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F1189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49CE9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54F4144" w14:textId="77777777" w:rsidTr="007A3206">
        <w:trPr>
          <w:trHeight w:val="35"/>
        </w:trPr>
        <w:tc>
          <w:tcPr>
            <w:tcW w:w="30" w:type="dxa"/>
            <w:tcBorders>
              <w:top w:val="nil"/>
              <w:left w:val="nil"/>
              <w:bottom w:val="nil"/>
              <w:right w:val="nil"/>
            </w:tcBorders>
            <w:shd w:val="clear" w:color="auto" w:fill="FFFFFF"/>
            <w:vAlign w:val="center"/>
            <w:hideMark/>
          </w:tcPr>
          <w:p w14:paraId="7EEB8B1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D443F0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19.pants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3306F9"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13.pants</w:t>
            </w:r>
            <w:r w:rsidR="00856E68" w:rsidRPr="00B42BC1">
              <w:rPr>
                <w:rFonts w:ascii="Times New Roman" w:eastAsia="Times New Roman" w:hAnsi="Times New Roman"/>
                <w:color w:val="000000" w:themeColor="text1"/>
                <w:sz w:val="24"/>
                <w:szCs w:val="24"/>
                <w:lang w:val="lv-LV" w:eastAsia="lv-LV"/>
              </w:rPr>
              <w:t>, 46.panta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9F5BF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9806F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60A2879" w14:textId="77777777" w:rsidTr="007A3206">
        <w:trPr>
          <w:trHeight w:val="35"/>
        </w:trPr>
        <w:tc>
          <w:tcPr>
            <w:tcW w:w="30" w:type="dxa"/>
            <w:tcBorders>
              <w:top w:val="nil"/>
              <w:left w:val="nil"/>
              <w:bottom w:val="nil"/>
              <w:right w:val="nil"/>
            </w:tcBorders>
            <w:shd w:val="clear" w:color="auto" w:fill="FFFFFF"/>
            <w:vAlign w:val="center"/>
            <w:hideMark/>
          </w:tcPr>
          <w:p w14:paraId="1C878EE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819BB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3FA1F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36069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A83BC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DF2EA0F" w14:textId="77777777" w:rsidTr="007A3206">
        <w:trPr>
          <w:trHeight w:val="35"/>
        </w:trPr>
        <w:tc>
          <w:tcPr>
            <w:tcW w:w="30" w:type="dxa"/>
            <w:tcBorders>
              <w:top w:val="nil"/>
              <w:left w:val="nil"/>
              <w:bottom w:val="nil"/>
              <w:right w:val="nil"/>
            </w:tcBorders>
            <w:shd w:val="clear" w:color="auto" w:fill="FFFFFF"/>
            <w:vAlign w:val="center"/>
            <w:hideMark/>
          </w:tcPr>
          <w:p w14:paraId="4EBF6201"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1F951C"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A8175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14.pants, 60.panta desmitā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94E32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DA90D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13541BF" w14:textId="77777777" w:rsidTr="007A3206">
        <w:trPr>
          <w:trHeight w:val="35"/>
        </w:trPr>
        <w:tc>
          <w:tcPr>
            <w:tcW w:w="30" w:type="dxa"/>
            <w:tcBorders>
              <w:top w:val="nil"/>
              <w:left w:val="nil"/>
              <w:bottom w:val="nil"/>
              <w:right w:val="nil"/>
            </w:tcBorders>
            <w:shd w:val="clear" w:color="auto" w:fill="FFFFFF"/>
            <w:vAlign w:val="center"/>
            <w:hideMark/>
          </w:tcPr>
          <w:p w14:paraId="2B0A218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EB44CD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F3F0E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38.pants, 39.pants, tiks izstrādāti Ministru kabineta noteikumi, kas noteiks prasības un standartus sistēmām, kas tiek izmantotas piedāvājumu un pieteikumu iesniegšanai.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6D94E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ieviesta daļēji, jo Direktīva 2014/24/ES ļauj atlikt šī 22.panta 1.punkta pilnīgu ieviešanu līdz 2018.gada 18.oktobrim. Likumprojekta ietvertais regulējums nodrošina, ka pasūtītājam ir iespēja izvēlēties iepirkumā tikai elektronisku saziņu. Pāreja tikai un vienīgi uz elektronisku saziņu iepirkumos no 2016.gada 18.aprīļa radītu ievērojamas grūtības pasūtītājiem, </w:t>
            </w:r>
            <w:r w:rsidRPr="00B42BC1">
              <w:rPr>
                <w:rFonts w:ascii="Times New Roman" w:eastAsia="Times New Roman" w:hAnsi="Times New Roman"/>
                <w:color w:val="000000" w:themeColor="text1"/>
                <w:sz w:val="24"/>
                <w:szCs w:val="24"/>
                <w:lang w:val="lv-LV" w:eastAsia="lv-LV"/>
              </w:rPr>
              <w:lastRenderedPageBreak/>
              <w:t xml:space="preserve">jo būtu jāizveido šādu piedāvājumu pieņemšanas sistēma un nepieciešamie drošības pasākumi. Pakāpeniska pāreja tikai uz elektronisku saziņu dos iespēju pasūtītājiem pašiem plānot pāreju uz elektronisku iepirkumu. Ir paredzēts, ka Ministru kabinets noteiks prasības un standartus sistēmām, kas tiks izmantotas piedāvājumu un pieteikumu iesniegšanai. Prasība pārejai tikai uz pilnīgi elektronisku saziņu tiks noteikta Ministru kabineta noteikumos.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F52FB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lastRenderedPageBreak/>
              <w:t>Likumprojekts stingrākas prasības neparedz</w:t>
            </w:r>
          </w:p>
        </w:tc>
      </w:tr>
      <w:tr w:rsidR="00B42BC1" w:rsidRPr="00B42BC1" w14:paraId="3693DAA8" w14:textId="77777777" w:rsidTr="007A3206">
        <w:trPr>
          <w:trHeight w:val="35"/>
        </w:trPr>
        <w:tc>
          <w:tcPr>
            <w:tcW w:w="30" w:type="dxa"/>
            <w:tcBorders>
              <w:top w:val="nil"/>
              <w:left w:val="nil"/>
              <w:bottom w:val="nil"/>
              <w:right w:val="nil"/>
            </w:tcBorders>
            <w:shd w:val="clear" w:color="auto" w:fill="FFFFFF"/>
            <w:vAlign w:val="center"/>
            <w:hideMark/>
          </w:tcPr>
          <w:p w14:paraId="23281F5E"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548310A"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8E28F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10.punkts, CPV koda piemērošana tiks paredzēta Ministru kabineta noteikumos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C59D5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32BD4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E135418" w14:textId="77777777" w:rsidTr="007A3206">
        <w:trPr>
          <w:trHeight w:val="35"/>
        </w:trPr>
        <w:tc>
          <w:tcPr>
            <w:tcW w:w="30" w:type="dxa"/>
            <w:tcBorders>
              <w:top w:val="nil"/>
              <w:left w:val="nil"/>
              <w:bottom w:val="nil"/>
              <w:right w:val="nil"/>
            </w:tcBorders>
            <w:shd w:val="clear" w:color="auto" w:fill="FFFFFF"/>
            <w:vAlign w:val="center"/>
            <w:hideMark/>
          </w:tcPr>
          <w:p w14:paraId="613829BC"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2A5EECF"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C7490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24.panta pirmā daļa, 25.panta pirmā, otrā un trešā daļa, 42.panta pirmās daļas 4.punkts,75.pants.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4A46F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92855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99E5856" w14:textId="77777777" w:rsidTr="007A3206">
        <w:trPr>
          <w:trHeight w:val="35"/>
        </w:trPr>
        <w:tc>
          <w:tcPr>
            <w:tcW w:w="30" w:type="dxa"/>
            <w:tcBorders>
              <w:top w:val="nil"/>
              <w:left w:val="nil"/>
              <w:bottom w:val="nil"/>
              <w:right w:val="nil"/>
            </w:tcBorders>
            <w:shd w:val="clear" w:color="auto" w:fill="FFFFFF"/>
            <w:vAlign w:val="center"/>
            <w:hideMark/>
          </w:tcPr>
          <w:p w14:paraId="568DFA9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D3D6A4"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DE0C4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15.pants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88AF5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BB905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2A66A8F" w14:textId="77777777" w:rsidTr="007A3206">
        <w:trPr>
          <w:trHeight w:val="35"/>
        </w:trPr>
        <w:tc>
          <w:tcPr>
            <w:tcW w:w="30" w:type="dxa"/>
            <w:tcBorders>
              <w:top w:val="nil"/>
              <w:left w:val="nil"/>
              <w:bottom w:val="nil"/>
              <w:right w:val="nil"/>
            </w:tcBorders>
            <w:shd w:val="clear" w:color="auto" w:fill="FFFFFF"/>
            <w:vAlign w:val="center"/>
            <w:hideMark/>
          </w:tcPr>
          <w:p w14:paraId="7AAFD48C"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67A01FC"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26.panta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AAF59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pirmā un otrā daļa, iepirkuma procedūru norises kārtību noteiks Ministru kabineta noteikumi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9C81E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30C29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3D34097" w14:textId="77777777" w:rsidTr="00170F00">
        <w:trPr>
          <w:trHeight w:val="35"/>
        </w:trPr>
        <w:tc>
          <w:tcPr>
            <w:tcW w:w="30" w:type="dxa"/>
            <w:tcBorders>
              <w:top w:val="nil"/>
              <w:left w:val="nil"/>
              <w:bottom w:val="nil"/>
              <w:right w:val="nil"/>
            </w:tcBorders>
            <w:shd w:val="clear" w:color="auto" w:fill="FFFFFF"/>
            <w:vAlign w:val="center"/>
            <w:hideMark/>
          </w:tcPr>
          <w:p w14:paraId="3552B6E8"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13FBCA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26.panta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34E20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trešā daļa, iepirkuma procedūru norises kārtību noteiks Ministru kabineta noteikumi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D0097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0751A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3816CD4" w14:textId="77777777" w:rsidTr="00170F00">
        <w:trPr>
          <w:trHeight w:val="35"/>
        </w:trPr>
        <w:tc>
          <w:tcPr>
            <w:tcW w:w="30" w:type="dxa"/>
            <w:tcBorders>
              <w:top w:val="nil"/>
              <w:left w:val="nil"/>
              <w:bottom w:val="nil"/>
              <w:right w:val="nil"/>
            </w:tcBorders>
            <w:shd w:val="clear" w:color="auto" w:fill="FFFFFF"/>
            <w:vAlign w:val="center"/>
            <w:hideMark/>
          </w:tcPr>
          <w:p w14:paraId="4A61B60D"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191E5F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26.panta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310FD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pirmās daļas 5.punkts, 1.panta  12.punkts, iepirkuma procedūru norises kārtību noteiks Ministru kabineta noteikumi</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3ACC9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C8340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C7BBAAD" w14:textId="77777777" w:rsidTr="00170F00">
        <w:trPr>
          <w:trHeight w:val="35"/>
        </w:trPr>
        <w:tc>
          <w:tcPr>
            <w:tcW w:w="30" w:type="dxa"/>
            <w:tcBorders>
              <w:top w:val="nil"/>
              <w:left w:val="nil"/>
              <w:bottom w:val="nil"/>
              <w:right w:val="nil"/>
            </w:tcBorders>
            <w:shd w:val="clear" w:color="auto" w:fill="FFFFFF"/>
            <w:vAlign w:val="center"/>
            <w:hideMark/>
          </w:tcPr>
          <w:p w14:paraId="5738CAE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8CC90C7"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26.panta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DAF71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46DEB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ieviesta pilnībā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D9E6E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8B23B13" w14:textId="77777777" w:rsidTr="007A3206">
        <w:trPr>
          <w:trHeight w:val="35"/>
        </w:trPr>
        <w:tc>
          <w:tcPr>
            <w:tcW w:w="30" w:type="dxa"/>
            <w:tcBorders>
              <w:top w:val="nil"/>
              <w:left w:val="nil"/>
              <w:bottom w:val="nil"/>
              <w:right w:val="nil"/>
            </w:tcBorders>
            <w:shd w:val="clear" w:color="auto" w:fill="FFFFFF"/>
            <w:vAlign w:val="center"/>
          </w:tcPr>
          <w:p w14:paraId="31B576BD"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998ECD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26.panta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C2556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527EA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nepārņemta, jo iepirkuma procedūras un to piemērošana netiek dalīta atkarībā no pasūtītāja veida.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D25FC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0258ADD1" w14:textId="77777777" w:rsidTr="007A3206">
        <w:trPr>
          <w:trHeight w:val="35"/>
        </w:trPr>
        <w:tc>
          <w:tcPr>
            <w:tcW w:w="30" w:type="dxa"/>
            <w:tcBorders>
              <w:top w:val="nil"/>
              <w:left w:val="nil"/>
              <w:bottom w:val="nil"/>
              <w:right w:val="nil"/>
            </w:tcBorders>
            <w:shd w:val="clear" w:color="auto" w:fill="FFFFFF"/>
            <w:vAlign w:val="center"/>
          </w:tcPr>
          <w:p w14:paraId="18912EA2"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4B6B174"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26.panta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C2763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3F373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nepārņemta. Paredz iespēju dalībvalstīm piemērot minēto normu, līdz ar to tās pārņemšana nav obligāts pienākums. Ņemot vērā, ka neizvēlamies ieviest iepirkuma izsludināšanu, izmantojot iepriekšēju informatīvo paziņojumu, tad arī nepārņem šo regulējumu.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35004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54244471" w14:textId="77777777" w:rsidTr="007A3206">
        <w:trPr>
          <w:trHeight w:val="35"/>
        </w:trPr>
        <w:tc>
          <w:tcPr>
            <w:tcW w:w="30" w:type="dxa"/>
            <w:tcBorders>
              <w:top w:val="nil"/>
              <w:left w:val="nil"/>
              <w:bottom w:val="nil"/>
              <w:right w:val="nil"/>
            </w:tcBorders>
            <w:shd w:val="clear" w:color="auto" w:fill="FFFFFF"/>
            <w:vAlign w:val="center"/>
            <w:hideMark/>
          </w:tcPr>
          <w:p w14:paraId="1F10CE8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CF828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CE9CE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3.punkts, 8.panta pirmās daļas 1.punkts,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6718E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33F3F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2CDBFA7" w14:textId="77777777" w:rsidTr="007A3206">
        <w:trPr>
          <w:trHeight w:val="35"/>
        </w:trPr>
        <w:tc>
          <w:tcPr>
            <w:tcW w:w="30" w:type="dxa"/>
            <w:tcBorders>
              <w:top w:val="nil"/>
              <w:left w:val="nil"/>
              <w:bottom w:val="nil"/>
              <w:right w:val="nil"/>
            </w:tcBorders>
            <w:shd w:val="clear" w:color="auto" w:fill="FFFFFF"/>
            <w:vAlign w:val="center"/>
            <w:hideMark/>
          </w:tcPr>
          <w:p w14:paraId="0E6295D8"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71B3D6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10AD7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31.punkts, 8.panta pirmās daļas 2.punkts,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DC1FB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B9E68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CC9CBA1" w14:textId="77777777" w:rsidTr="007A3206">
        <w:trPr>
          <w:trHeight w:val="35"/>
        </w:trPr>
        <w:tc>
          <w:tcPr>
            <w:tcW w:w="30" w:type="dxa"/>
            <w:tcBorders>
              <w:top w:val="nil"/>
              <w:left w:val="nil"/>
              <w:bottom w:val="nil"/>
              <w:right w:val="nil"/>
            </w:tcBorders>
            <w:shd w:val="clear" w:color="auto" w:fill="FFFFFF"/>
            <w:vAlign w:val="center"/>
            <w:hideMark/>
          </w:tcPr>
          <w:p w14:paraId="3A3E581D"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C72056"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29.pants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3047E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15.punkts, 8.panta pirmās daļas 3.punkts,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4244E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5A144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3AF1543" w14:textId="77777777" w:rsidTr="007A3206">
        <w:trPr>
          <w:trHeight w:val="35"/>
        </w:trPr>
        <w:tc>
          <w:tcPr>
            <w:tcW w:w="30" w:type="dxa"/>
            <w:tcBorders>
              <w:top w:val="nil"/>
              <w:left w:val="nil"/>
              <w:bottom w:val="nil"/>
              <w:right w:val="nil"/>
            </w:tcBorders>
            <w:shd w:val="clear" w:color="auto" w:fill="FFFFFF"/>
            <w:vAlign w:val="center"/>
            <w:hideMark/>
          </w:tcPr>
          <w:p w14:paraId="5495AA6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CB796ED"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25C39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14.punkts, 8.panta pirmās daļas 4.punkts,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CD21E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99FDE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9864F5A" w14:textId="77777777" w:rsidTr="007A3206">
        <w:trPr>
          <w:trHeight w:val="35"/>
        </w:trPr>
        <w:tc>
          <w:tcPr>
            <w:tcW w:w="30" w:type="dxa"/>
            <w:tcBorders>
              <w:top w:val="nil"/>
              <w:left w:val="nil"/>
              <w:bottom w:val="nil"/>
              <w:right w:val="nil"/>
            </w:tcBorders>
            <w:shd w:val="clear" w:color="auto" w:fill="FFFFFF"/>
            <w:vAlign w:val="center"/>
            <w:hideMark/>
          </w:tcPr>
          <w:p w14:paraId="0ECF6C9B"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68631CD"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3167D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12.punkts, 8.panta pirmās daļas 5.punkts, iepirkuma procedūras norises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6A02F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tiks pārņemta/ ieviesta pilnībā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019A3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F374417" w14:textId="77777777" w:rsidTr="007A3206">
        <w:trPr>
          <w:trHeight w:val="35"/>
        </w:trPr>
        <w:tc>
          <w:tcPr>
            <w:tcW w:w="30" w:type="dxa"/>
            <w:tcBorders>
              <w:top w:val="nil"/>
              <w:left w:val="nil"/>
              <w:bottom w:val="nil"/>
              <w:right w:val="nil"/>
            </w:tcBorders>
            <w:shd w:val="clear" w:color="auto" w:fill="FFFFFF"/>
            <w:vAlign w:val="center"/>
            <w:hideMark/>
          </w:tcPr>
          <w:p w14:paraId="609F16F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40274B"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3038D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30.punkts, 8.panta pirmās daļas 6.punkts, sestā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02879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tiks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17CD9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A45B1BC" w14:textId="77777777" w:rsidTr="007A3206">
        <w:trPr>
          <w:trHeight w:val="35"/>
        </w:trPr>
        <w:tc>
          <w:tcPr>
            <w:tcW w:w="30" w:type="dxa"/>
            <w:tcBorders>
              <w:top w:val="nil"/>
              <w:left w:val="nil"/>
              <w:bottom w:val="nil"/>
              <w:right w:val="nil"/>
            </w:tcBorders>
            <w:shd w:val="clear" w:color="auto" w:fill="FFFFFF"/>
            <w:vAlign w:val="center"/>
          </w:tcPr>
          <w:p w14:paraId="063C1A9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AD42263"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2.punkta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38178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EAFDD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19079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412E978" w14:textId="77777777" w:rsidTr="00170F00">
        <w:trPr>
          <w:trHeight w:val="35"/>
        </w:trPr>
        <w:tc>
          <w:tcPr>
            <w:tcW w:w="30" w:type="dxa"/>
            <w:tcBorders>
              <w:top w:val="nil"/>
              <w:left w:val="nil"/>
              <w:bottom w:val="nil"/>
              <w:right w:val="nil"/>
            </w:tcBorders>
            <w:shd w:val="clear" w:color="auto" w:fill="FFFFFF"/>
            <w:vAlign w:val="center"/>
          </w:tcPr>
          <w:p w14:paraId="7EC02666"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C8E249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2.punkta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1EB9B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2.punkts un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C70A1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DB6DE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930A2C5" w14:textId="77777777" w:rsidTr="00170F00">
        <w:trPr>
          <w:trHeight w:val="35"/>
        </w:trPr>
        <w:tc>
          <w:tcPr>
            <w:tcW w:w="30" w:type="dxa"/>
            <w:tcBorders>
              <w:top w:val="nil"/>
              <w:left w:val="nil"/>
              <w:bottom w:val="nil"/>
              <w:right w:val="nil"/>
            </w:tcBorders>
            <w:shd w:val="clear" w:color="auto" w:fill="FFFFFF"/>
            <w:vAlign w:val="center"/>
          </w:tcPr>
          <w:p w14:paraId="649351D2"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2B6CC1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2.punkta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C0704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A089D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D6095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D81CABC" w14:textId="77777777" w:rsidTr="00170F00">
        <w:trPr>
          <w:trHeight w:val="35"/>
        </w:trPr>
        <w:tc>
          <w:tcPr>
            <w:tcW w:w="30" w:type="dxa"/>
            <w:tcBorders>
              <w:top w:val="nil"/>
              <w:left w:val="nil"/>
              <w:bottom w:val="nil"/>
              <w:right w:val="nil"/>
            </w:tcBorders>
            <w:shd w:val="clear" w:color="auto" w:fill="FFFFFF"/>
            <w:vAlign w:val="center"/>
          </w:tcPr>
          <w:p w14:paraId="09E155E2"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4A86B50"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3.punkta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2995F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4.punkts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6BA7B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0CB4D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22E75D6" w14:textId="77777777" w:rsidTr="00170F00">
        <w:trPr>
          <w:trHeight w:val="35"/>
        </w:trPr>
        <w:tc>
          <w:tcPr>
            <w:tcW w:w="30" w:type="dxa"/>
            <w:tcBorders>
              <w:top w:val="nil"/>
              <w:left w:val="nil"/>
              <w:bottom w:val="nil"/>
              <w:right w:val="nil"/>
            </w:tcBorders>
            <w:shd w:val="clear" w:color="auto" w:fill="FFFFFF"/>
            <w:vAlign w:val="center"/>
          </w:tcPr>
          <w:p w14:paraId="074B5E19"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165A9B7"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3.punkta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2CBA01"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5.punkts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E8A13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7C8CB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6521EB1" w14:textId="77777777" w:rsidTr="00170F00">
        <w:trPr>
          <w:trHeight w:val="35"/>
        </w:trPr>
        <w:tc>
          <w:tcPr>
            <w:tcW w:w="30" w:type="dxa"/>
            <w:tcBorders>
              <w:top w:val="nil"/>
              <w:left w:val="nil"/>
              <w:bottom w:val="nil"/>
              <w:right w:val="nil"/>
            </w:tcBorders>
            <w:shd w:val="clear" w:color="auto" w:fill="FFFFFF"/>
            <w:vAlign w:val="center"/>
          </w:tcPr>
          <w:p w14:paraId="3B6B5F2B"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12ED8F4"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3.punkta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45C47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8DAE3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61504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6F4A818" w14:textId="77777777" w:rsidTr="00170F00">
        <w:trPr>
          <w:trHeight w:val="35"/>
        </w:trPr>
        <w:tc>
          <w:tcPr>
            <w:tcW w:w="30" w:type="dxa"/>
            <w:tcBorders>
              <w:top w:val="nil"/>
              <w:left w:val="nil"/>
              <w:bottom w:val="nil"/>
              <w:right w:val="nil"/>
            </w:tcBorders>
            <w:shd w:val="clear" w:color="auto" w:fill="FFFFFF"/>
            <w:vAlign w:val="center"/>
          </w:tcPr>
          <w:p w14:paraId="57705726"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BCC2766"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3.punkta d)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10185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81D85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5506D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90A1D84" w14:textId="77777777" w:rsidTr="00170F00">
        <w:trPr>
          <w:trHeight w:val="35"/>
        </w:trPr>
        <w:tc>
          <w:tcPr>
            <w:tcW w:w="30" w:type="dxa"/>
            <w:tcBorders>
              <w:top w:val="nil"/>
              <w:left w:val="nil"/>
              <w:bottom w:val="nil"/>
              <w:right w:val="nil"/>
            </w:tcBorders>
            <w:shd w:val="clear" w:color="auto" w:fill="FFFFFF"/>
            <w:vAlign w:val="center"/>
          </w:tcPr>
          <w:p w14:paraId="32E184D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0B15FE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B9052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8.punkts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08442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2C281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10CAB8A" w14:textId="77777777" w:rsidTr="00170F00">
        <w:trPr>
          <w:trHeight w:val="35"/>
        </w:trPr>
        <w:tc>
          <w:tcPr>
            <w:tcW w:w="30" w:type="dxa"/>
            <w:tcBorders>
              <w:top w:val="nil"/>
              <w:left w:val="nil"/>
              <w:bottom w:val="nil"/>
              <w:right w:val="nil"/>
            </w:tcBorders>
            <w:shd w:val="clear" w:color="auto" w:fill="FFFFFF"/>
            <w:vAlign w:val="center"/>
          </w:tcPr>
          <w:p w14:paraId="441B4F35"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BA8090"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32.panta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E30C2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8.panta sestās daļas 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54EC1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F2C8C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3C5040A" w14:textId="77777777" w:rsidTr="00170F00">
        <w:trPr>
          <w:trHeight w:val="35"/>
        </w:trPr>
        <w:tc>
          <w:tcPr>
            <w:tcW w:w="30" w:type="dxa"/>
            <w:tcBorders>
              <w:top w:val="nil"/>
              <w:left w:val="nil"/>
              <w:bottom w:val="nil"/>
              <w:right w:val="nil"/>
            </w:tcBorders>
            <w:shd w:val="clear" w:color="auto" w:fill="FFFFFF"/>
            <w:vAlign w:val="center"/>
            <w:hideMark/>
          </w:tcPr>
          <w:p w14:paraId="0E1DD10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8E80794"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77880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AAC83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CFC4F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3665354" w14:textId="77777777" w:rsidTr="00170F00">
        <w:trPr>
          <w:trHeight w:val="35"/>
        </w:trPr>
        <w:tc>
          <w:tcPr>
            <w:tcW w:w="30" w:type="dxa"/>
            <w:tcBorders>
              <w:top w:val="nil"/>
              <w:left w:val="nil"/>
              <w:bottom w:val="nil"/>
              <w:right w:val="nil"/>
            </w:tcBorders>
            <w:shd w:val="clear" w:color="auto" w:fill="FFFFFF"/>
            <w:vAlign w:val="center"/>
            <w:hideMark/>
          </w:tcPr>
          <w:p w14:paraId="0838BD37"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3BFA8B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B7739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33.punkts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DACAF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A92E6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9BCD2F0" w14:textId="77777777" w:rsidTr="00170F00">
        <w:trPr>
          <w:trHeight w:val="35"/>
        </w:trPr>
        <w:tc>
          <w:tcPr>
            <w:tcW w:w="30" w:type="dxa"/>
            <w:tcBorders>
              <w:top w:val="nil"/>
              <w:left w:val="nil"/>
              <w:bottom w:val="nil"/>
              <w:right w:val="nil"/>
            </w:tcBorders>
            <w:shd w:val="clear" w:color="auto" w:fill="FFFFFF"/>
            <w:vAlign w:val="center"/>
            <w:hideMark/>
          </w:tcPr>
          <w:p w14:paraId="7797878B"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B37CB06"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1.punkta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744B7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800D7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91642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DCC24E2" w14:textId="77777777" w:rsidTr="00170F00">
        <w:trPr>
          <w:trHeight w:val="35"/>
        </w:trPr>
        <w:tc>
          <w:tcPr>
            <w:tcW w:w="30" w:type="dxa"/>
            <w:tcBorders>
              <w:top w:val="nil"/>
              <w:left w:val="nil"/>
              <w:bottom w:val="nil"/>
              <w:right w:val="nil"/>
            </w:tcBorders>
            <w:shd w:val="clear" w:color="auto" w:fill="FFFFFF"/>
            <w:vAlign w:val="center"/>
            <w:hideMark/>
          </w:tcPr>
          <w:p w14:paraId="1BF50AB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2A8096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2.punkta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7DC43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DCEE8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B7C9F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7AF7B16" w14:textId="77777777" w:rsidTr="00170F00">
        <w:trPr>
          <w:trHeight w:val="35"/>
        </w:trPr>
        <w:tc>
          <w:tcPr>
            <w:tcW w:w="30" w:type="dxa"/>
            <w:tcBorders>
              <w:top w:val="nil"/>
              <w:left w:val="nil"/>
              <w:bottom w:val="nil"/>
              <w:right w:val="nil"/>
            </w:tcBorders>
            <w:shd w:val="clear" w:color="auto" w:fill="FFFFFF"/>
            <w:vAlign w:val="center"/>
            <w:hideMark/>
          </w:tcPr>
          <w:p w14:paraId="5BAFBA4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F894CBD"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2.punkta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51FBE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398F8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441A3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F9B2A5A" w14:textId="77777777" w:rsidTr="00170F00">
        <w:trPr>
          <w:trHeight w:val="35"/>
        </w:trPr>
        <w:tc>
          <w:tcPr>
            <w:tcW w:w="30" w:type="dxa"/>
            <w:tcBorders>
              <w:top w:val="nil"/>
              <w:left w:val="nil"/>
              <w:bottom w:val="nil"/>
              <w:right w:val="nil"/>
            </w:tcBorders>
            <w:shd w:val="clear" w:color="auto" w:fill="FFFFFF"/>
            <w:vAlign w:val="center"/>
            <w:hideMark/>
          </w:tcPr>
          <w:p w14:paraId="0211EE8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F8B4B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2.punkta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38C99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9B584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976F7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0BADF52" w14:textId="77777777" w:rsidTr="00170F00">
        <w:trPr>
          <w:trHeight w:val="35"/>
        </w:trPr>
        <w:tc>
          <w:tcPr>
            <w:tcW w:w="30" w:type="dxa"/>
            <w:tcBorders>
              <w:top w:val="nil"/>
              <w:left w:val="nil"/>
              <w:bottom w:val="nil"/>
              <w:right w:val="nil"/>
            </w:tcBorders>
            <w:shd w:val="clear" w:color="auto" w:fill="FFFFFF"/>
            <w:vAlign w:val="center"/>
            <w:hideMark/>
          </w:tcPr>
          <w:p w14:paraId="0EB4928B"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0669BCA"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3.punkta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735E3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F12E0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80A80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403E823" w14:textId="77777777" w:rsidTr="00170F00">
        <w:trPr>
          <w:trHeight w:val="35"/>
        </w:trPr>
        <w:tc>
          <w:tcPr>
            <w:tcW w:w="30" w:type="dxa"/>
            <w:tcBorders>
              <w:top w:val="nil"/>
              <w:left w:val="nil"/>
              <w:bottom w:val="nil"/>
              <w:right w:val="nil"/>
            </w:tcBorders>
            <w:shd w:val="clear" w:color="auto" w:fill="FFFFFF"/>
            <w:vAlign w:val="center"/>
            <w:hideMark/>
          </w:tcPr>
          <w:p w14:paraId="4C163144"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A6CEDE0"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EE5AA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17AB6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1865B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D2E3FAD" w14:textId="77777777" w:rsidTr="00170F00">
        <w:trPr>
          <w:trHeight w:val="35"/>
        </w:trPr>
        <w:tc>
          <w:tcPr>
            <w:tcW w:w="30" w:type="dxa"/>
            <w:tcBorders>
              <w:top w:val="nil"/>
              <w:left w:val="nil"/>
              <w:bottom w:val="nil"/>
              <w:right w:val="nil"/>
            </w:tcBorders>
            <w:shd w:val="clear" w:color="auto" w:fill="FFFFFF"/>
            <w:vAlign w:val="center"/>
            <w:hideMark/>
          </w:tcPr>
          <w:p w14:paraId="04ED76D0"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4F3B2DA"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33.panta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210BE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56.panta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D21A9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53213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E7697ED" w14:textId="77777777" w:rsidTr="007A3206">
        <w:trPr>
          <w:trHeight w:val="35"/>
        </w:trPr>
        <w:tc>
          <w:tcPr>
            <w:tcW w:w="30" w:type="dxa"/>
            <w:tcBorders>
              <w:top w:val="nil"/>
              <w:left w:val="nil"/>
              <w:bottom w:val="nil"/>
              <w:right w:val="nil"/>
            </w:tcBorders>
            <w:shd w:val="clear" w:color="auto" w:fill="FFFFFF"/>
            <w:vAlign w:val="center"/>
            <w:hideMark/>
          </w:tcPr>
          <w:p w14:paraId="224DC3FD"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6494C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AB93C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5.punkts, 57.pants, dinamiskās iepirkumu sistēmas piemērošanas noteikumi un  kārtība tiks noteikta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50B65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71312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F80C1EB" w14:textId="77777777" w:rsidTr="007A3206">
        <w:trPr>
          <w:trHeight w:val="35"/>
        </w:trPr>
        <w:tc>
          <w:tcPr>
            <w:tcW w:w="30" w:type="dxa"/>
            <w:tcBorders>
              <w:top w:val="nil"/>
              <w:left w:val="nil"/>
              <w:bottom w:val="nil"/>
              <w:right w:val="nil"/>
            </w:tcBorders>
            <w:shd w:val="clear" w:color="auto" w:fill="FFFFFF"/>
            <w:vAlign w:val="center"/>
            <w:hideMark/>
          </w:tcPr>
          <w:p w14:paraId="56AF503D"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EA6242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C6C16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6.punkts, 58.pants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F5FA8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983D9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167F2A8" w14:textId="77777777" w:rsidTr="007A3206">
        <w:trPr>
          <w:trHeight w:val="35"/>
        </w:trPr>
        <w:tc>
          <w:tcPr>
            <w:tcW w:w="30" w:type="dxa"/>
            <w:tcBorders>
              <w:top w:val="nil"/>
              <w:left w:val="nil"/>
              <w:bottom w:val="nil"/>
              <w:right w:val="nil"/>
            </w:tcBorders>
            <w:shd w:val="clear" w:color="auto" w:fill="FFFFFF"/>
            <w:vAlign w:val="center"/>
            <w:hideMark/>
          </w:tcPr>
          <w:p w14:paraId="699C474F"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B6893F7"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0144A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59.pants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B3469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A7976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6619CA5" w14:textId="77777777" w:rsidTr="007A3206">
        <w:trPr>
          <w:trHeight w:val="35"/>
        </w:trPr>
        <w:tc>
          <w:tcPr>
            <w:tcW w:w="30" w:type="dxa"/>
            <w:tcBorders>
              <w:top w:val="nil"/>
              <w:left w:val="nil"/>
              <w:bottom w:val="nil"/>
              <w:right w:val="nil"/>
            </w:tcBorders>
            <w:shd w:val="clear" w:color="auto" w:fill="FFFFFF"/>
            <w:vAlign w:val="center"/>
            <w:hideMark/>
          </w:tcPr>
          <w:p w14:paraId="7BD4DF4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85EB14"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981AB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1.panta 4.punkts, 17.pants, Ministru kabineta noteikumos tiks noteiktas preču un pakalpojumu grupas, kuras iepirks centralizētā iepirkumu institūcija, kā arī noteiks centralizēto iepirkumu institūcijas un to sniegto </w:t>
            </w:r>
            <w:r w:rsidRPr="00B42BC1">
              <w:rPr>
                <w:rFonts w:ascii="Times New Roman" w:eastAsia="Times New Roman" w:hAnsi="Times New Roman"/>
                <w:color w:val="000000" w:themeColor="text1"/>
                <w:sz w:val="24"/>
                <w:szCs w:val="24"/>
                <w:lang w:val="lv-LV" w:eastAsia="lv-LV"/>
              </w:rPr>
              <w:lastRenderedPageBreak/>
              <w:t>pakalpojumu izmantošanas nosacījumus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46682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lastRenderedPageBreak/>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1763E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nosaka pienākumu tiešās pārvaldes iestādēm un pašvaldībām (t.sk. to iestādēm) izmantot centralizēto iepirkumu institūcijas pakalpojumus preču un pakalpojumu iegādei. Direktīva 2014/24/ES paredz, ka dalībvalstis var noteikt šādu obligātu pienākumu. Preču un pakalpojumu iegāde ar centralizētās iepirkumu institūcijas starpniecību ļauj </w:t>
            </w:r>
            <w:r w:rsidRPr="00B42BC1">
              <w:rPr>
                <w:rFonts w:ascii="Times New Roman" w:eastAsia="Times New Roman" w:hAnsi="Times New Roman"/>
                <w:color w:val="000000" w:themeColor="text1"/>
                <w:sz w:val="24"/>
                <w:szCs w:val="24"/>
                <w:lang w:val="lv-LV" w:eastAsia="lv-LV"/>
              </w:rPr>
              <w:lastRenderedPageBreak/>
              <w:t xml:space="preserve">pasūtītājiem samazināt resursus iepirkumu veikšanai. </w:t>
            </w:r>
          </w:p>
        </w:tc>
      </w:tr>
      <w:tr w:rsidR="00B42BC1" w:rsidRPr="00B42BC1" w14:paraId="1D99A780" w14:textId="77777777" w:rsidTr="007A3206">
        <w:trPr>
          <w:trHeight w:val="35"/>
        </w:trPr>
        <w:tc>
          <w:tcPr>
            <w:tcW w:w="30" w:type="dxa"/>
            <w:tcBorders>
              <w:top w:val="nil"/>
              <w:left w:val="nil"/>
              <w:bottom w:val="nil"/>
              <w:right w:val="nil"/>
            </w:tcBorders>
            <w:shd w:val="clear" w:color="auto" w:fill="FFFFFF"/>
            <w:vAlign w:val="center"/>
          </w:tcPr>
          <w:p w14:paraId="29C33119"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03F46AD"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37.panta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87365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17.panta pirmā un otrā daļa, septītā un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3C52C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3FF4A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0258AF7" w14:textId="77777777" w:rsidTr="00170F00">
        <w:trPr>
          <w:trHeight w:val="35"/>
        </w:trPr>
        <w:tc>
          <w:tcPr>
            <w:tcW w:w="30" w:type="dxa"/>
            <w:tcBorders>
              <w:top w:val="nil"/>
              <w:left w:val="nil"/>
              <w:bottom w:val="nil"/>
              <w:right w:val="nil"/>
            </w:tcBorders>
            <w:shd w:val="clear" w:color="auto" w:fill="FFFFFF"/>
            <w:vAlign w:val="center"/>
          </w:tcPr>
          <w:p w14:paraId="2ABBA481"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A2BBE1"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37.panta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0EB0D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17.panta trešā daļa, attiecībā uz dinamisko iepirkumu sistēmu, noteikumi tiks paredzēti Ministru kabineta noteikumos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A2AC3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B6068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132534B" w14:textId="77777777" w:rsidTr="00170F00">
        <w:trPr>
          <w:trHeight w:val="35"/>
        </w:trPr>
        <w:tc>
          <w:tcPr>
            <w:tcW w:w="30" w:type="dxa"/>
            <w:tcBorders>
              <w:top w:val="nil"/>
              <w:left w:val="nil"/>
              <w:bottom w:val="nil"/>
              <w:right w:val="nil"/>
            </w:tcBorders>
            <w:shd w:val="clear" w:color="auto" w:fill="FFFFFF"/>
            <w:vAlign w:val="center"/>
          </w:tcPr>
          <w:p w14:paraId="2B50ED5D"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AAED523"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37.panta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337D1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17.panta pirmā daļa, kā arī Ministru kabineta noteikumi par centralizēto iepirkumu institūcijas darbību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52282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DC443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78B32F5" w14:textId="77777777" w:rsidTr="00170F00">
        <w:trPr>
          <w:trHeight w:val="35"/>
        </w:trPr>
        <w:tc>
          <w:tcPr>
            <w:tcW w:w="30" w:type="dxa"/>
            <w:tcBorders>
              <w:top w:val="nil"/>
              <w:left w:val="nil"/>
              <w:bottom w:val="nil"/>
              <w:right w:val="nil"/>
            </w:tcBorders>
            <w:shd w:val="clear" w:color="auto" w:fill="FFFFFF"/>
            <w:vAlign w:val="center"/>
          </w:tcPr>
          <w:p w14:paraId="02B21F25"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661791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37.panta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6EC0C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E7637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jo centralizēto iepirkumu institūcija iepirkumu procedūras nodrošināšanu neveic kā pakalpojumu.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DEC72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A5DCCA6" w14:textId="77777777" w:rsidTr="007A3206">
        <w:trPr>
          <w:trHeight w:val="35"/>
        </w:trPr>
        <w:tc>
          <w:tcPr>
            <w:tcW w:w="30" w:type="dxa"/>
            <w:tcBorders>
              <w:top w:val="nil"/>
              <w:left w:val="nil"/>
              <w:bottom w:val="nil"/>
              <w:right w:val="nil"/>
            </w:tcBorders>
            <w:shd w:val="clear" w:color="auto" w:fill="FFFFFF"/>
            <w:vAlign w:val="center"/>
            <w:hideMark/>
          </w:tcPr>
          <w:p w14:paraId="422EAA4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477EBA"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38.pants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D54EA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17.panta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36650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CDD47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par centralizēto iepirkumu institūciju var būt jebkurš pasūtītājs, kas veic iepirkumu citu pasūtītāju vajadzībām</w:t>
            </w:r>
          </w:p>
        </w:tc>
      </w:tr>
      <w:tr w:rsidR="00B42BC1" w:rsidRPr="00B42BC1" w14:paraId="47E2BD3C" w14:textId="77777777" w:rsidTr="007A3206">
        <w:trPr>
          <w:trHeight w:val="35"/>
        </w:trPr>
        <w:tc>
          <w:tcPr>
            <w:tcW w:w="30" w:type="dxa"/>
            <w:tcBorders>
              <w:top w:val="nil"/>
              <w:left w:val="nil"/>
              <w:bottom w:val="nil"/>
              <w:right w:val="nil"/>
            </w:tcBorders>
            <w:shd w:val="clear" w:color="auto" w:fill="FFFFFF"/>
            <w:vAlign w:val="center"/>
            <w:hideMark/>
          </w:tcPr>
          <w:p w14:paraId="0B80E53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AE5E11E"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39.pants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FA24F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17.panta ceturtā, piektā un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684B3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1ADED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A09FA02" w14:textId="77777777" w:rsidTr="007A3206">
        <w:trPr>
          <w:trHeight w:val="35"/>
        </w:trPr>
        <w:tc>
          <w:tcPr>
            <w:tcW w:w="30" w:type="dxa"/>
            <w:tcBorders>
              <w:top w:val="nil"/>
              <w:left w:val="nil"/>
              <w:bottom w:val="nil"/>
              <w:right w:val="nil"/>
            </w:tcBorders>
            <w:shd w:val="clear" w:color="auto" w:fill="FFFFFF"/>
            <w:vAlign w:val="center"/>
            <w:hideMark/>
          </w:tcPr>
          <w:p w14:paraId="6082814F"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9A79DBA"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5A9CD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18.panta pirmā un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40E89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287B2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71DDCD7" w14:textId="77777777" w:rsidTr="007A3206">
        <w:trPr>
          <w:trHeight w:val="35"/>
        </w:trPr>
        <w:tc>
          <w:tcPr>
            <w:tcW w:w="30" w:type="dxa"/>
            <w:tcBorders>
              <w:top w:val="nil"/>
              <w:left w:val="nil"/>
              <w:bottom w:val="nil"/>
              <w:right w:val="nil"/>
            </w:tcBorders>
            <w:shd w:val="clear" w:color="auto" w:fill="FFFFFF"/>
            <w:vAlign w:val="center"/>
            <w:hideMark/>
          </w:tcPr>
          <w:p w14:paraId="1BC91351"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BF6D62F"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836EB1"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18.panta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3A36D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55EAC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D8A69D9" w14:textId="77777777" w:rsidTr="007A3206">
        <w:trPr>
          <w:trHeight w:val="35"/>
        </w:trPr>
        <w:tc>
          <w:tcPr>
            <w:tcW w:w="30" w:type="dxa"/>
            <w:tcBorders>
              <w:top w:val="nil"/>
              <w:left w:val="nil"/>
              <w:bottom w:val="nil"/>
              <w:right w:val="nil"/>
            </w:tcBorders>
            <w:shd w:val="clear" w:color="auto" w:fill="FFFFFF"/>
            <w:vAlign w:val="center"/>
            <w:hideMark/>
          </w:tcPr>
          <w:p w14:paraId="7FAE158B"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47D75D9"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1.punkta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1EE58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57D11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FC6A6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CB267A2" w14:textId="77777777" w:rsidTr="00170F00">
        <w:trPr>
          <w:trHeight w:val="35"/>
        </w:trPr>
        <w:tc>
          <w:tcPr>
            <w:tcW w:w="30" w:type="dxa"/>
            <w:tcBorders>
              <w:top w:val="nil"/>
              <w:left w:val="nil"/>
              <w:bottom w:val="nil"/>
              <w:right w:val="nil"/>
            </w:tcBorders>
            <w:shd w:val="clear" w:color="auto" w:fill="FFFFFF"/>
            <w:vAlign w:val="center"/>
            <w:hideMark/>
          </w:tcPr>
          <w:p w14:paraId="420B9CC6"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8A23FB"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1.punkta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933C09"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72F5A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47772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4E1693F" w14:textId="77777777" w:rsidTr="00170F00">
        <w:trPr>
          <w:trHeight w:val="35"/>
        </w:trPr>
        <w:tc>
          <w:tcPr>
            <w:tcW w:w="30" w:type="dxa"/>
            <w:tcBorders>
              <w:top w:val="nil"/>
              <w:left w:val="nil"/>
              <w:bottom w:val="nil"/>
              <w:right w:val="nil"/>
            </w:tcBorders>
            <w:shd w:val="clear" w:color="auto" w:fill="FFFFFF"/>
            <w:vAlign w:val="center"/>
            <w:hideMark/>
          </w:tcPr>
          <w:p w14:paraId="133E9D9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30D836"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1.punkta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E3837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desmitā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36F24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FA42C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D0E2DDE" w14:textId="77777777" w:rsidTr="00170F00">
        <w:trPr>
          <w:trHeight w:val="35"/>
        </w:trPr>
        <w:tc>
          <w:tcPr>
            <w:tcW w:w="30" w:type="dxa"/>
            <w:tcBorders>
              <w:top w:val="nil"/>
              <w:left w:val="nil"/>
              <w:bottom w:val="nil"/>
              <w:right w:val="nil"/>
            </w:tcBorders>
            <w:shd w:val="clear" w:color="auto" w:fill="FFFFFF"/>
            <w:vAlign w:val="center"/>
            <w:hideMark/>
          </w:tcPr>
          <w:p w14:paraId="768F6741"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67932DA"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1.punkta ceturtā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A0DA5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E5334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EC949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A44B4A7" w14:textId="77777777" w:rsidTr="00170F00">
        <w:trPr>
          <w:trHeight w:val="35"/>
        </w:trPr>
        <w:tc>
          <w:tcPr>
            <w:tcW w:w="30" w:type="dxa"/>
            <w:tcBorders>
              <w:top w:val="nil"/>
              <w:left w:val="nil"/>
              <w:bottom w:val="nil"/>
              <w:right w:val="nil"/>
            </w:tcBorders>
            <w:shd w:val="clear" w:color="auto" w:fill="FFFFFF"/>
            <w:vAlign w:val="center"/>
            <w:hideMark/>
          </w:tcPr>
          <w:p w14:paraId="44026787"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B4A83A1"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1.punkta piektā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A88C4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devītā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1B7DD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B7F52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B85E2FC" w14:textId="77777777" w:rsidTr="00170F00">
        <w:trPr>
          <w:trHeight w:val="35"/>
        </w:trPr>
        <w:tc>
          <w:tcPr>
            <w:tcW w:w="30" w:type="dxa"/>
            <w:tcBorders>
              <w:top w:val="nil"/>
              <w:left w:val="nil"/>
              <w:bottom w:val="nil"/>
              <w:right w:val="nil"/>
            </w:tcBorders>
            <w:shd w:val="clear" w:color="auto" w:fill="FFFFFF"/>
            <w:vAlign w:val="center"/>
            <w:hideMark/>
          </w:tcPr>
          <w:p w14:paraId="18D3628E"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078AD0B"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932F1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82C37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90F14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7EC054C" w14:textId="77777777" w:rsidTr="00170F00">
        <w:trPr>
          <w:trHeight w:val="35"/>
        </w:trPr>
        <w:tc>
          <w:tcPr>
            <w:tcW w:w="30" w:type="dxa"/>
            <w:tcBorders>
              <w:top w:val="nil"/>
              <w:left w:val="nil"/>
              <w:bottom w:val="nil"/>
              <w:right w:val="nil"/>
            </w:tcBorders>
            <w:shd w:val="clear" w:color="auto" w:fill="FFFFFF"/>
            <w:vAlign w:val="center"/>
            <w:hideMark/>
          </w:tcPr>
          <w:p w14:paraId="5A61D52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63A4F4B"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00D73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20.panta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4C892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3798C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F7D5E4E" w14:textId="77777777" w:rsidTr="00170F00">
        <w:trPr>
          <w:trHeight w:val="35"/>
        </w:trPr>
        <w:tc>
          <w:tcPr>
            <w:tcW w:w="30" w:type="dxa"/>
            <w:tcBorders>
              <w:top w:val="nil"/>
              <w:left w:val="nil"/>
              <w:bottom w:val="nil"/>
              <w:right w:val="nil"/>
            </w:tcBorders>
            <w:shd w:val="clear" w:color="auto" w:fill="FFFFFF"/>
            <w:vAlign w:val="center"/>
            <w:hideMark/>
          </w:tcPr>
          <w:p w14:paraId="7493FEA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C9C9EBC"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82855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20.panta sestā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41210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9C267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49C2F4E" w14:textId="77777777" w:rsidTr="00170F00">
        <w:trPr>
          <w:trHeight w:val="35"/>
        </w:trPr>
        <w:tc>
          <w:tcPr>
            <w:tcW w:w="30" w:type="dxa"/>
            <w:tcBorders>
              <w:top w:val="nil"/>
              <w:left w:val="nil"/>
              <w:bottom w:val="nil"/>
              <w:right w:val="nil"/>
            </w:tcBorders>
            <w:shd w:val="clear" w:color="auto" w:fill="FFFFFF"/>
            <w:vAlign w:val="center"/>
            <w:hideMark/>
          </w:tcPr>
          <w:p w14:paraId="1797A876"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266D57"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3D7E7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20.panta septītā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298F9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76976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F9C592D" w14:textId="77777777" w:rsidTr="00170F00">
        <w:trPr>
          <w:trHeight w:val="35"/>
        </w:trPr>
        <w:tc>
          <w:tcPr>
            <w:tcW w:w="30" w:type="dxa"/>
            <w:tcBorders>
              <w:top w:val="nil"/>
              <w:left w:val="nil"/>
              <w:bottom w:val="nil"/>
              <w:right w:val="nil"/>
            </w:tcBorders>
            <w:shd w:val="clear" w:color="auto" w:fill="FFFFFF"/>
            <w:vAlign w:val="center"/>
            <w:hideMark/>
          </w:tcPr>
          <w:p w14:paraId="16CF7CBC"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F0F105"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42.panta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5B138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20.panta astotā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09CDA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2474A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22797AE" w14:textId="77777777" w:rsidTr="007A3206">
        <w:trPr>
          <w:trHeight w:val="35"/>
        </w:trPr>
        <w:tc>
          <w:tcPr>
            <w:tcW w:w="30" w:type="dxa"/>
            <w:tcBorders>
              <w:top w:val="nil"/>
              <w:left w:val="nil"/>
              <w:bottom w:val="nil"/>
              <w:right w:val="nil"/>
            </w:tcBorders>
            <w:shd w:val="clear" w:color="auto" w:fill="FFFFFF"/>
            <w:vAlign w:val="center"/>
            <w:hideMark/>
          </w:tcPr>
          <w:p w14:paraId="6C15EEC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757965"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BEE75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21.pants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BDD1A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21578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DD66381" w14:textId="77777777" w:rsidTr="007A3206">
        <w:trPr>
          <w:trHeight w:val="35"/>
        </w:trPr>
        <w:tc>
          <w:tcPr>
            <w:tcW w:w="30" w:type="dxa"/>
            <w:tcBorders>
              <w:top w:val="nil"/>
              <w:left w:val="nil"/>
              <w:bottom w:val="nil"/>
              <w:right w:val="nil"/>
            </w:tcBorders>
            <w:shd w:val="clear" w:color="auto" w:fill="FFFFFF"/>
            <w:vAlign w:val="center"/>
            <w:hideMark/>
          </w:tcPr>
          <w:p w14:paraId="23F2CC8C"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49DE4A3"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59098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CF180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D9567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85CF653" w14:textId="77777777" w:rsidTr="007A3206">
        <w:trPr>
          <w:trHeight w:val="35"/>
        </w:trPr>
        <w:tc>
          <w:tcPr>
            <w:tcW w:w="30" w:type="dxa"/>
            <w:tcBorders>
              <w:top w:val="nil"/>
              <w:left w:val="nil"/>
              <w:bottom w:val="nil"/>
              <w:right w:val="nil"/>
            </w:tcBorders>
            <w:shd w:val="clear" w:color="auto" w:fill="FFFFFF"/>
            <w:vAlign w:val="center"/>
            <w:hideMark/>
          </w:tcPr>
          <w:p w14:paraId="14B40ABB"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A0C6A9E"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632291"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23.pants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31CF1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E3A5D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99E516C" w14:textId="77777777" w:rsidTr="007A3206">
        <w:trPr>
          <w:trHeight w:val="35"/>
        </w:trPr>
        <w:tc>
          <w:tcPr>
            <w:tcW w:w="30" w:type="dxa"/>
            <w:tcBorders>
              <w:top w:val="nil"/>
              <w:left w:val="nil"/>
              <w:bottom w:val="nil"/>
              <w:right w:val="nil"/>
            </w:tcBorders>
            <w:shd w:val="clear" w:color="auto" w:fill="FFFFFF"/>
            <w:vAlign w:val="center"/>
            <w:hideMark/>
          </w:tcPr>
          <w:p w14:paraId="0162BF3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44EA4DB"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46.pants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17336A" w14:textId="77777777" w:rsidR="00826832" w:rsidRPr="00B42BC1" w:rsidRDefault="00856E68" w:rsidP="00856E68">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w:t>
            </w:r>
            <w:r w:rsidR="00826832" w:rsidRPr="00B42BC1">
              <w:rPr>
                <w:rFonts w:ascii="Times New Roman" w:eastAsia="Times New Roman" w:hAnsi="Times New Roman"/>
                <w:color w:val="000000" w:themeColor="text1"/>
                <w:sz w:val="24"/>
                <w:szCs w:val="24"/>
                <w:lang w:val="lv-LV" w:eastAsia="lv-LV"/>
              </w:rPr>
              <w:t xml:space="preserve">ants tiks pārņemts ar Ministru kabineta noteikumiem, kuros tiks noteikta iepirkumu </w:t>
            </w:r>
            <w:r w:rsidR="00826832" w:rsidRPr="00B42BC1">
              <w:rPr>
                <w:rFonts w:ascii="Times New Roman" w:eastAsia="Times New Roman" w:hAnsi="Times New Roman"/>
                <w:color w:val="000000" w:themeColor="text1"/>
                <w:sz w:val="24"/>
                <w:szCs w:val="24"/>
                <w:lang w:val="lv-LV" w:eastAsia="lv-LV"/>
              </w:rPr>
              <w:lastRenderedPageBreak/>
              <w:t>procedūras norises kārtība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1C1DE2" w14:textId="77777777" w:rsidR="00826832" w:rsidRPr="00B42BC1" w:rsidRDefault="00826832" w:rsidP="00856E68">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ES tiesību akta vienība tiek pārņemta/ ieviesta pilnībā</w:t>
            </w:r>
            <w:r w:rsidR="00856E68" w:rsidRPr="00B42BC1">
              <w:rPr>
                <w:rFonts w:ascii="Times New Roman" w:eastAsia="Times New Roman" w:hAnsi="Times New Roman"/>
                <w:color w:val="000000" w:themeColor="text1"/>
                <w:sz w:val="24"/>
                <w:szCs w:val="24"/>
                <w:lang w:val="lv-LV" w:eastAsia="lv-LV"/>
              </w:rPr>
              <w:t xml:space="preserve"> ar Ministru kabineta  noteikumiem.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B33FA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3DB41823" w14:textId="77777777" w:rsidTr="007A3206">
        <w:trPr>
          <w:trHeight w:val="35"/>
        </w:trPr>
        <w:tc>
          <w:tcPr>
            <w:tcW w:w="30" w:type="dxa"/>
            <w:tcBorders>
              <w:top w:val="nil"/>
              <w:left w:val="nil"/>
              <w:bottom w:val="nil"/>
              <w:right w:val="nil"/>
            </w:tcBorders>
            <w:shd w:val="clear" w:color="auto" w:fill="FFFFFF"/>
            <w:vAlign w:val="center"/>
            <w:hideMark/>
          </w:tcPr>
          <w:p w14:paraId="29A66EF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0FB74DC"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BEFD2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35.pants, pants pilnība tiks pārņemts ar Ministru kabineta noteikumiem, kuros tiks noteikta iepirkumu procedūras norises kārtība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039ED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F22CF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6FBF23D" w14:textId="77777777" w:rsidTr="007A3206">
        <w:trPr>
          <w:trHeight w:val="35"/>
        </w:trPr>
        <w:tc>
          <w:tcPr>
            <w:tcW w:w="30" w:type="dxa"/>
            <w:tcBorders>
              <w:top w:val="nil"/>
              <w:left w:val="nil"/>
              <w:bottom w:val="nil"/>
              <w:right w:val="nil"/>
            </w:tcBorders>
            <w:shd w:val="clear" w:color="auto" w:fill="FFFFFF"/>
            <w:vAlign w:val="center"/>
            <w:hideMark/>
          </w:tcPr>
          <w:p w14:paraId="410EBBB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D448D35"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EA24C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27.pants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91261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daļēji, jo saskaņā ar Direktīvas 2014/24/ES doto izvēles iespēju, neieviešam iepriekšējā informatīvā paziņojuma izmantošanu kā iepirkuma izsludināšanas paziņojumu attiecībā uz tiešās pārvaldes iestāžu padotībā esošo iestāžu iepirkumiem.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6EB3F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49D6665" w14:textId="77777777" w:rsidTr="007A3206">
        <w:trPr>
          <w:trHeight w:val="35"/>
        </w:trPr>
        <w:tc>
          <w:tcPr>
            <w:tcW w:w="30" w:type="dxa"/>
            <w:tcBorders>
              <w:top w:val="nil"/>
              <w:left w:val="nil"/>
              <w:bottom w:val="nil"/>
              <w:right w:val="nil"/>
            </w:tcBorders>
            <w:shd w:val="clear" w:color="auto" w:fill="FFFFFF"/>
            <w:vAlign w:val="center"/>
            <w:hideMark/>
          </w:tcPr>
          <w:p w14:paraId="5A88D544"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E6A7A01"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49.pants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D74C3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28.pants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9370E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5F647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F9C7208" w14:textId="77777777" w:rsidTr="007A3206">
        <w:trPr>
          <w:trHeight w:val="35"/>
        </w:trPr>
        <w:tc>
          <w:tcPr>
            <w:tcW w:w="30" w:type="dxa"/>
            <w:tcBorders>
              <w:top w:val="nil"/>
              <w:left w:val="nil"/>
              <w:bottom w:val="nil"/>
              <w:right w:val="nil"/>
            </w:tcBorders>
            <w:shd w:val="clear" w:color="auto" w:fill="FFFFFF"/>
            <w:vAlign w:val="center"/>
            <w:hideMark/>
          </w:tcPr>
          <w:p w14:paraId="156E09A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97456A1"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2C42F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29.pants, 34.panta ceturtā daļa, kā arī Ministru kabineta noteikumi attiecībā uz iepirkuma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11EDD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ieviesta pilnībā, jo saskaņā ar Direktīvas 2014/24/ES doto izvēles iespēju, neieviešam iepriekšējā informatīvā paziņojuma izmantošanu kā iepirkuma izsludināšanas paziņojumu attiecībā uz tiešās pārvaldes iestāžu padotībā esošo iestāžu iepirkumiem.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DD874D" w14:textId="77777777" w:rsidR="00826832" w:rsidRPr="00B42BC1" w:rsidRDefault="00826832" w:rsidP="006F53C6">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w:t>
            </w:r>
            <w:r w:rsidR="006F53C6" w:rsidRPr="00B42BC1">
              <w:rPr>
                <w:rFonts w:ascii="Times New Roman" w:eastAsia="Times New Roman" w:hAnsi="Times New Roman"/>
                <w:color w:val="000000" w:themeColor="text1"/>
                <w:sz w:val="24"/>
                <w:szCs w:val="24"/>
                <w:lang w:val="lv-LV" w:eastAsia="lv-LV"/>
              </w:rPr>
              <w:t xml:space="preserve">paredz </w:t>
            </w:r>
            <w:r w:rsidRPr="00B42BC1">
              <w:rPr>
                <w:rFonts w:ascii="Times New Roman" w:eastAsia="Times New Roman" w:hAnsi="Times New Roman"/>
                <w:color w:val="000000" w:themeColor="text1"/>
                <w:sz w:val="24"/>
                <w:szCs w:val="24"/>
                <w:lang w:val="lv-LV" w:eastAsia="lv-LV"/>
              </w:rPr>
              <w:t xml:space="preserve">stingrākas prasības </w:t>
            </w:r>
            <w:r w:rsidR="006F53C6" w:rsidRPr="00B42BC1">
              <w:rPr>
                <w:rFonts w:ascii="Times New Roman" w:eastAsia="Times New Roman" w:hAnsi="Times New Roman"/>
                <w:color w:val="000000" w:themeColor="text1"/>
                <w:sz w:val="24"/>
                <w:szCs w:val="24"/>
                <w:lang w:val="lv-LV" w:eastAsia="lv-LV"/>
              </w:rPr>
              <w:t xml:space="preserve">– nosaka īsāku termiņu, kādā ir jāpublicē paziņojums par līguma noslēgšanu. </w:t>
            </w:r>
          </w:p>
        </w:tc>
      </w:tr>
      <w:tr w:rsidR="00B42BC1" w:rsidRPr="00B42BC1" w14:paraId="1B7BA717" w14:textId="77777777" w:rsidTr="007A3206">
        <w:trPr>
          <w:trHeight w:val="35"/>
        </w:trPr>
        <w:tc>
          <w:tcPr>
            <w:tcW w:w="30" w:type="dxa"/>
            <w:tcBorders>
              <w:top w:val="nil"/>
              <w:left w:val="nil"/>
              <w:bottom w:val="nil"/>
              <w:right w:val="nil"/>
            </w:tcBorders>
            <w:shd w:val="clear" w:color="auto" w:fill="FFFFFF"/>
            <w:vAlign w:val="center"/>
            <w:hideMark/>
          </w:tcPr>
          <w:p w14:paraId="3FCF8DD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880A73B"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9C322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34.pants, kā arī Ministru kabineta noteikumi attiecībā uz veidlapu saturu un publicēšanas kārtību.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3D43C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netiek pārņemta/ ieviesta pilnībā, jo daļa no pantā iekļautā regulējuma (1.punkta otrā daļa, 3.punkts, 4.punkts) attiecas uz </w:t>
            </w:r>
            <w:r w:rsidRPr="00B42BC1">
              <w:rPr>
                <w:rFonts w:ascii="Times New Roman" w:eastAsia="Times New Roman" w:hAnsi="Times New Roman"/>
                <w:color w:val="000000" w:themeColor="text1"/>
                <w:sz w:val="24"/>
                <w:szCs w:val="24"/>
                <w:lang w:val="lv-LV" w:eastAsia="lv-LV"/>
              </w:rPr>
              <w:lastRenderedPageBreak/>
              <w:t xml:space="preserve">Eiropas Savienības Publikāciju biroju.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5E374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lastRenderedPageBreak/>
              <w:t>Likumprojekts stingrākas prasības neparedz</w:t>
            </w:r>
          </w:p>
        </w:tc>
      </w:tr>
      <w:tr w:rsidR="00B42BC1" w:rsidRPr="00B42BC1" w14:paraId="0A9D2009" w14:textId="77777777" w:rsidTr="007A3206">
        <w:trPr>
          <w:trHeight w:val="35"/>
        </w:trPr>
        <w:tc>
          <w:tcPr>
            <w:tcW w:w="30" w:type="dxa"/>
            <w:tcBorders>
              <w:top w:val="nil"/>
              <w:left w:val="nil"/>
              <w:bottom w:val="nil"/>
              <w:right w:val="nil"/>
            </w:tcBorders>
            <w:shd w:val="clear" w:color="auto" w:fill="FFFFFF"/>
            <w:vAlign w:val="center"/>
            <w:hideMark/>
          </w:tcPr>
          <w:p w14:paraId="71C5E057"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F3C5248"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2D648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34.pants, 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77719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4E0ED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FA88E1B" w14:textId="77777777" w:rsidTr="007A3206">
        <w:trPr>
          <w:trHeight w:val="35"/>
        </w:trPr>
        <w:tc>
          <w:tcPr>
            <w:tcW w:w="30" w:type="dxa"/>
            <w:tcBorders>
              <w:top w:val="nil"/>
              <w:left w:val="nil"/>
              <w:bottom w:val="nil"/>
              <w:right w:val="nil"/>
            </w:tcBorders>
            <w:shd w:val="clear" w:color="auto" w:fill="FFFFFF"/>
            <w:vAlign w:val="center"/>
            <w:hideMark/>
          </w:tcPr>
          <w:p w14:paraId="48E2B46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C2F1FDE"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E662A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64C80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59FF6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890E830" w14:textId="77777777" w:rsidTr="007A3206">
        <w:trPr>
          <w:trHeight w:val="35"/>
        </w:trPr>
        <w:tc>
          <w:tcPr>
            <w:tcW w:w="30" w:type="dxa"/>
            <w:tcBorders>
              <w:top w:val="nil"/>
              <w:left w:val="nil"/>
              <w:bottom w:val="nil"/>
              <w:right w:val="nil"/>
            </w:tcBorders>
            <w:shd w:val="clear" w:color="auto" w:fill="FFFFFF"/>
            <w:vAlign w:val="center"/>
            <w:hideMark/>
          </w:tcPr>
          <w:p w14:paraId="50605A4E"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753A87"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531ED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Pants tiks pārņemts ar Ministru kabineta noteikumiem par iepirkumu procedūru norises kārtību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D3EB9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02AC1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0D68E73" w14:textId="77777777" w:rsidTr="007A3206">
        <w:trPr>
          <w:trHeight w:val="35"/>
        </w:trPr>
        <w:tc>
          <w:tcPr>
            <w:tcW w:w="30" w:type="dxa"/>
            <w:tcBorders>
              <w:top w:val="nil"/>
              <w:left w:val="nil"/>
              <w:bottom w:val="nil"/>
              <w:right w:val="nil"/>
            </w:tcBorders>
            <w:shd w:val="clear" w:color="auto" w:fill="FFFFFF"/>
            <w:vAlign w:val="center"/>
            <w:hideMark/>
          </w:tcPr>
          <w:p w14:paraId="6A28609D"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0F4585"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EADB0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37.pants, 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E181F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43EC8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95A1F62" w14:textId="77777777" w:rsidTr="007A3206">
        <w:trPr>
          <w:trHeight w:val="35"/>
        </w:trPr>
        <w:tc>
          <w:tcPr>
            <w:tcW w:w="30" w:type="dxa"/>
            <w:tcBorders>
              <w:top w:val="nil"/>
              <w:left w:val="nil"/>
              <w:bottom w:val="nil"/>
              <w:right w:val="nil"/>
            </w:tcBorders>
            <w:shd w:val="clear" w:color="auto" w:fill="FFFFFF"/>
            <w:vAlign w:val="center"/>
            <w:hideMark/>
          </w:tcPr>
          <w:p w14:paraId="0223B89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F6CE7B3"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01810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41.pants, pants tiks pārņemts pilnībā ar Ministru kabineta noteikumiem par iepirkumu procedūru norises kārtību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BF4FC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63FFD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D57469D" w14:textId="77777777" w:rsidTr="007A3206">
        <w:trPr>
          <w:trHeight w:val="35"/>
        </w:trPr>
        <w:tc>
          <w:tcPr>
            <w:tcW w:w="30" w:type="dxa"/>
            <w:tcBorders>
              <w:top w:val="nil"/>
              <w:left w:val="nil"/>
              <w:bottom w:val="nil"/>
              <w:right w:val="nil"/>
            </w:tcBorders>
            <w:shd w:val="clear" w:color="auto" w:fill="FFFFFF"/>
            <w:vAlign w:val="center"/>
            <w:hideMark/>
          </w:tcPr>
          <w:p w14:paraId="1172FBB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32FAB46"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CA3F5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42.pants, 43.pants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ED058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ieviesta daļēji. Dalībvalstīm ir paredzēta iespēja noteikt, ka netiek piemēroti izslēgšanas nosacījumi, ja iepirkuma līgums būtu slēdzams ar izslēgšanas gadījumiem atbilstošu piegādātāju, bet tas ir nepieciešams tādu prioritāru iemeslu dēļ, kas ir saistīti ar </w:t>
            </w:r>
            <w:r w:rsidRPr="00B42BC1">
              <w:rPr>
                <w:rFonts w:ascii="Times New Roman" w:eastAsia="Times New Roman" w:hAnsi="Times New Roman"/>
                <w:color w:val="000000" w:themeColor="text1"/>
                <w:sz w:val="24"/>
                <w:szCs w:val="24"/>
                <w:lang w:val="lv-LV" w:eastAsia="lv-LV"/>
              </w:rPr>
              <w:lastRenderedPageBreak/>
              <w:t xml:space="preserve">sabiedrības interesēm, piemēram, ar sabiedrības veselību vai vides aizsardzību.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FA3F3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lastRenderedPageBreak/>
              <w:t>Likumprojekts stingrākas prasības neparedz</w:t>
            </w:r>
          </w:p>
        </w:tc>
      </w:tr>
      <w:tr w:rsidR="00B42BC1" w:rsidRPr="00B42BC1" w14:paraId="48FECACD" w14:textId="77777777" w:rsidTr="007A3206">
        <w:trPr>
          <w:trHeight w:val="35"/>
        </w:trPr>
        <w:tc>
          <w:tcPr>
            <w:tcW w:w="30" w:type="dxa"/>
            <w:tcBorders>
              <w:top w:val="nil"/>
              <w:left w:val="nil"/>
              <w:bottom w:val="nil"/>
              <w:right w:val="nil"/>
            </w:tcBorders>
            <w:shd w:val="clear" w:color="auto" w:fill="FFFFFF"/>
            <w:vAlign w:val="center"/>
          </w:tcPr>
          <w:p w14:paraId="183CF2FE"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542BAC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1.punkta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0499E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1.punkts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91B19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5723A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8461E2B" w14:textId="77777777" w:rsidTr="00170F00">
        <w:trPr>
          <w:trHeight w:val="35"/>
        </w:trPr>
        <w:tc>
          <w:tcPr>
            <w:tcW w:w="30" w:type="dxa"/>
            <w:tcBorders>
              <w:top w:val="nil"/>
              <w:left w:val="nil"/>
              <w:bottom w:val="nil"/>
              <w:right w:val="nil"/>
            </w:tcBorders>
            <w:shd w:val="clear" w:color="auto" w:fill="FFFFFF"/>
            <w:vAlign w:val="center"/>
          </w:tcPr>
          <w:p w14:paraId="71B70937"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5E96EA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2.punkta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46D74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1.punkta f) apakšpunkts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BCC99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8F15D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D8AC4B8" w14:textId="77777777" w:rsidTr="00170F00">
        <w:trPr>
          <w:trHeight w:val="35"/>
        </w:trPr>
        <w:tc>
          <w:tcPr>
            <w:tcW w:w="30" w:type="dxa"/>
            <w:tcBorders>
              <w:top w:val="nil"/>
              <w:left w:val="nil"/>
              <w:bottom w:val="nil"/>
              <w:right w:val="nil"/>
            </w:tcBorders>
            <w:shd w:val="clear" w:color="auto" w:fill="FFFFFF"/>
            <w:vAlign w:val="center"/>
          </w:tcPr>
          <w:p w14:paraId="450026AC"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1D8602A"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2.punkta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EDF04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2745B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AA04E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2C7079D" w14:textId="77777777" w:rsidTr="00170F00">
        <w:trPr>
          <w:trHeight w:val="35"/>
        </w:trPr>
        <w:tc>
          <w:tcPr>
            <w:tcW w:w="30" w:type="dxa"/>
            <w:tcBorders>
              <w:top w:val="nil"/>
              <w:left w:val="nil"/>
              <w:bottom w:val="nil"/>
              <w:right w:val="nil"/>
            </w:tcBorders>
            <w:shd w:val="clear" w:color="auto" w:fill="FFFFFF"/>
            <w:vAlign w:val="center"/>
          </w:tcPr>
          <w:p w14:paraId="0FA9A688"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66612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2.punkta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AA2CB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piektā un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8386E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DB653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ABA9665" w14:textId="77777777" w:rsidTr="00170F00">
        <w:trPr>
          <w:trHeight w:val="35"/>
        </w:trPr>
        <w:tc>
          <w:tcPr>
            <w:tcW w:w="30" w:type="dxa"/>
            <w:tcBorders>
              <w:top w:val="nil"/>
              <w:left w:val="nil"/>
              <w:bottom w:val="nil"/>
              <w:right w:val="nil"/>
            </w:tcBorders>
            <w:shd w:val="clear" w:color="auto" w:fill="FFFFFF"/>
            <w:vAlign w:val="center"/>
          </w:tcPr>
          <w:p w14:paraId="787BC595"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57E42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2014/24/ES 57.panta 3.punkta pirmā daļa </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D7C1B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2E9F3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ieviesta pilnībā, jo paredz dalībvalstīm izvēles iespēju.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9F84E7"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22EF4283" w14:textId="77777777" w:rsidTr="00170F00">
        <w:trPr>
          <w:trHeight w:val="35"/>
        </w:trPr>
        <w:tc>
          <w:tcPr>
            <w:tcW w:w="30" w:type="dxa"/>
            <w:tcBorders>
              <w:top w:val="nil"/>
              <w:left w:val="nil"/>
              <w:bottom w:val="nil"/>
              <w:right w:val="nil"/>
            </w:tcBorders>
            <w:shd w:val="clear" w:color="auto" w:fill="FFFFFF"/>
            <w:vAlign w:val="center"/>
          </w:tcPr>
          <w:p w14:paraId="03285991"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E00BDFB"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3.punkta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8529C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A01E0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AD5DA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3503440" w14:textId="77777777" w:rsidTr="00170F00">
        <w:trPr>
          <w:trHeight w:val="35"/>
        </w:trPr>
        <w:tc>
          <w:tcPr>
            <w:tcW w:w="30" w:type="dxa"/>
            <w:tcBorders>
              <w:top w:val="nil"/>
              <w:left w:val="nil"/>
              <w:bottom w:val="nil"/>
              <w:right w:val="nil"/>
            </w:tcBorders>
            <w:shd w:val="clear" w:color="auto" w:fill="FFFFFF"/>
            <w:vAlign w:val="center"/>
          </w:tcPr>
          <w:p w14:paraId="4FD769E4"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606228D"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a)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68431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E2378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attiecībā uz darba un darba aizsardzības jomās neizpildītiem pienākumiem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78E0A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D31AB64" w14:textId="77777777" w:rsidTr="00170F00">
        <w:trPr>
          <w:trHeight w:val="35"/>
        </w:trPr>
        <w:tc>
          <w:tcPr>
            <w:tcW w:w="30" w:type="dxa"/>
            <w:tcBorders>
              <w:top w:val="nil"/>
              <w:left w:val="nil"/>
              <w:bottom w:val="nil"/>
              <w:right w:val="nil"/>
            </w:tcBorders>
            <w:shd w:val="clear" w:color="auto" w:fill="FFFFFF"/>
            <w:vAlign w:val="center"/>
          </w:tcPr>
          <w:p w14:paraId="26F14834"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16BBB46"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FC31B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3.punkts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0CFA2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E6540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37BC22E" w14:textId="77777777" w:rsidTr="00170F00">
        <w:trPr>
          <w:trHeight w:val="35"/>
        </w:trPr>
        <w:tc>
          <w:tcPr>
            <w:tcW w:w="30" w:type="dxa"/>
            <w:tcBorders>
              <w:top w:val="nil"/>
              <w:left w:val="nil"/>
              <w:bottom w:val="nil"/>
              <w:right w:val="nil"/>
            </w:tcBorders>
            <w:shd w:val="clear" w:color="auto" w:fill="FFFFFF"/>
            <w:vAlign w:val="center"/>
          </w:tcPr>
          <w:p w14:paraId="6588ECEC"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0F6128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c)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314AA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otrās daļas 2.punkts un astotā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0A272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8C393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4EC12D1" w14:textId="77777777" w:rsidTr="00170F00">
        <w:trPr>
          <w:trHeight w:val="35"/>
        </w:trPr>
        <w:tc>
          <w:tcPr>
            <w:tcW w:w="30" w:type="dxa"/>
            <w:tcBorders>
              <w:top w:val="nil"/>
              <w:left w:val="nil"/>
              <w:bottom w:val="nil"/>
              <w:right w:val="nil"/>
            </w:tcBorders>
            <w:shd w:val="clear" w:color="auto" w:fill="FFFFFF"/>
            <w:vAlign w:val="center"/>
          </w:tcPr>
          <w:p w14:paraId="1DD53854"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DEAB4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d)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5DCEE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6.punkts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D78DB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65AEB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5A8A184" w14:textId="77777777" w:rsidTr="00170F00">
        <w:trPr>
          <w:trHeight w:val="35"/>
        </w:trPr>
        <w:tc>
          <w:tcPr>
            <w:tcW w:w="30" w:type="dxa"/>
            <w:tcBorders>
              <w:top w:val="nil"/>
              <w:left w:val="nil"/>
              <w:bottom w:val="nil"/>
              <w:right w:val="nil"/>
            </w:tcBorders>
            <w:shd w:val="clear" w:color="auto" w:fill="FFFFFF"/>
            <w:vAlign w:val="center"/>
          </w:tcPr>
          <w:p w14:paraId="1F9ADD8E"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324D5B"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e)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CE5B7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otrās daļas 4.punkts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9717E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7BE90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83A657A" w14:textId="77777777" w:rsidTr="00826832">
        <w:trPr>
          <w:trHeight w:val="35"/>
        </w:trPr>
        <w:tc>
          <w:tcPr>
            <w:tcW w:w="30" w:type="dxa"/>
            <w:tcBorders>
              <w:top w:val="nil"/>
              <w:left w:val="nil"/>
              <w:bottom w:val="nil"/>
              <w:right w:val="nil"/>
            </w:tcBorders>
            <w:shd w:val="clear" w:color="auto" w:fill="FFFFFF"/>
            <w:vAlign w:val="center"/>
          </w:tcPr>
          <w:p w14:paraId="7149204A"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D68A0D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g)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EEDF39"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otrās daļas 1. un 2.punkts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F6715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67C69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E959AFD" w14:textId="77777777" w:rsidTr="00826832">
        <w:trPr>
          <w:trHeight w:val="35"/>
        </w:trPr>
        <w:tc>
          <w:tcPr>
            <w:tcW w:w="30" w:type="dxa"/>
            <w:tcBorders>
              <w:top w:val="nil"/>
              <w:left w:val="nil"/>
              <w:bottom w:val="nil"/>
              <w:right w:val="nil"/>
            </w:tcBorders>
            <w:shd w:val="clear" w:color="auto" w:fill="FFFFFF"/>
            <w:vAlign w:val="center"/>
          </w:tcPr>
          <w:p w14:paraId="1353ABE6"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BF66156"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h)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00DE5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8.punkts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5F392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205CD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90E6107" w14:textId="77777777" w:rsidTr="00826832">
        <w:trPr>
          <w:trHeight w:val="35"/>
        </w:trPr>
        <w:tc>
          <w:tcPr>
            <w:tcW w:w="30" w:type="dxa"/>
            <w:tcBorders>
              <w:top w:val="nil"/>
              <w:left w:val="nil"/>
              <w:bottom w:val="nil"/>
              <w:right w:val="nil"/>
            </w:tcBorders>
            <w:shd w:val="clear" w:color="auto" w:fill="FFFFFF"/>
            <w:vAlign w:val="center"/>
          </w:tcPr>
          <w:p w14:paraId="1C67A651"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F643310"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pirmās daļas i)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07CB2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093E9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netiek pārņemta, ņemot vērā, ka šī ir izvēles iespēja dalībvalstīm.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B2A26F"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76CE68BE" w14:textId="77777777" w:rsidTr="00826832">
        <w:trPr>
          <w:trHeight w:val="35"/>
        </w:trPr>
        <w:tc>
          <w:tcPr>
            <w:tcW w:w="30" w:type="dxa"/>
            <w:tcBorders>
              <w:top w:val="nil"/>
              <w:left w:val="nil"/>
              <w:bottom w:val="nil"/>
              <w:right w:val="nil"/>
            </w:tcBorders>
            <w:shd w:val="clear" w:color="auto" w:fill="FFFFFF"/>
            <w:vAlign w:val="center"/>
          </w:tcPr>
          <w:p w14:paraId="17AD282E"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8EB2FFF"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4.punkta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9D27D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0D897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ņemot vērā, ka šī ir izvēles iespēja dalībvalstīm.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607753"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57144230" w14:textId="77777777" w:rsidTr="00826832">
        <w:trPr>
          <w:trHeight w:val="35"/>
        </w:trPr>
        <w:tc>
          <w:tcPr>
            <w:tcW w:w="30" w:type="dxa"/>
            <w:tcBorders>
              <w:top w:val="nil"/>
              <w:left w:val="nil"/>
              <w:bottom w:val="nil"/>
              <w:right w:val="nil"/>
            </w:tcBorders>
            <w:shd w:val="clear" w:color="auto" w:fill="FFFFFF"/>
            <w:vAlign w:val="center"/>
          </w:tcPr>
          <w:p w14:paraId="679526B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FFA8D9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5.punkta pirmā un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1707F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 un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9A53D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8F64A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7822935" w14:textId="77777777" w:rsidTr="00826832">
        <w:trPr>
          <w:trHeight w:val="35"/>
        </w:trPr>
        <w:tc>
          <w:tcPr>
            <w:tcW w:w="30" w:type="dxa"/>
            <w:tcBorders>
              <w:top w:val="nil"/>
              <w:left w:val="nil"/>
              <w:bottom w:val="nil"/>
              <w:right w:val="nil"/>
            </w:tcBorders>
            <w:shd w:val="clear" w:color="auto" w:fill="FFFFFF"/>
            <w:vAlign w:val="center"/>
          </w:tcPr>
          <w:p w14:paraId="3F3C132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EB70E8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6.punkta pirmā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B5A26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43.panta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23C3A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1591A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9701AC7" w14:textId="77777777" w:rsidTr="00826832">
        <w:trPr>
          <w:trHeight w:val="35"/>
        </w:trPr>
        <w:tc>
          <w:tcPr>
            <w:tcW w:w="30" w:type="dxa"/>
            <w:tcBorders>
              <w:top w:val="nil"/>
              <w:left w:val="nil"/>
              <w:bottom w:val="nil"/>
              <w:right w:val="nil"/>
            </w:tcBorders>
            <w:shd w:val="clear" w:color="auto" w:fill="FFFFFF"/>
            <w:vAlign w:val="center"/>
          </w:tcPr>
          <w:p w14:paraId="6773B928"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D932AB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6.punkta otrā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DB947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43.panta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DC549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A6860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39BF56D" w14:textId="77777777" w:rsidTr="00826832">
        <w:trPr>
          <w:trHeight w:val="35"/>
        </w:trPr>
        <w:tc>
          <w:tcPr>
            <w:tcW w:w="30" w:type="dxa"/>
            <w:tcBorders>
              <w:top w:val="nil"/>
              <w:left w:val="nil"/>
              <w:bottom w:val="nil"/>
              <w:right w:val="nil"/>
            </w:tcBorders>
            <w:shd w:val="clear" w:color="auto" w:fill="FFFFFF"/>
            <w:vAlign w:val="center"/>
          </w:tcPr>
          <w:p w14:paraId="7CBFF72A"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B7A134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6.punkta trešā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42389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43.panta ceturtā un piektā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8138A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66D23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6FAB240" w14:textId="77777777" w:rsidTr="00826832">
        <w:trPr>
          <w:trHeight w:val="35"/>
        </w:trPr>
        <w:tc>
          <w:tcPr>
            <w:tcW w:w="30" w:type="dxa"/>
            <w:tcBorders>
              <w:top w:val="nil"/>
              <w:left w:val="nil"/>
              <w:bottom w:val="nil"/>
              <w:right w:val="nil"/>
            </w:tcBorders>
            <w:shd w:val="clear" w:color="auto" w:fill="FFFFFF"/>
            <w:vAlign w:val="center"/>
          </w:tcPr>
          <w:p w14:paraId="41234830"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195415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6.punkta ceturtā daļa</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F9642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83FE1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jo netiek paredzēta piegādātāju izslēgšana no dalības iepirkumā ar spriedumu.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B6A591"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7BBD6E58" w14:textId="77777777" w:rsidTr="00826832">
        <w:trPr>
          <w:trHeight w:val="35"/>
        </w:trPr>
        <w:tc>
          <w:tcPr>
            <w:tcW w:w="30" w:type="dxa"/>
            <w:tcBorders>
              <w:top w:val="nil"/>
              <w:left w:val="nil"/>
              <w:bottom w:val="nil"/>
              <w:right w:val="nil"/>
            </w:tcBorders>
            <w:shd w:val="clear" w:color="auto" w:fill="FFFFFF"/>
            <w:vAlign w:val="center"/>
          </w:tcPr>
          <w:p w14:paraId="5A94FD6B"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CAC63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57.panta 7.punkts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24003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43.panta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29AAC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netiek pārņemta, jo netiek paredzēta piegādātāju izslēgšana </w:t>
            </w:r>
            <w:r w:rsidRPr="00B42BC1">
              <w:rPr>
                <w:rFonts w:ascii="Times New Roman" w:eastAsia="Times New Roman" w:hAnsi="Times New Roman"/>
                <w:color w:val="000000" w:themeColor="text1"/>
                <w:sz w:val="24"/>
                <w:szCs w:val="24"/>
                <w:lang w:val="lv-LV" w:eastAsia="lv-LV"/>
              </w:rPr>
              <w:lastRenderedPageBreak/>
              <w:t>no dalības iepirkumā ar spriedumu.</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88875A"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363B1068" w14:textId="77777777" w:rsidTr="007A3206">
        <w:trPr>
          <w:trHeight w:val="35"/>
        </w:trPr>
        <w:tc>
          <w:tcPr>
            <w:tcW w:w="30" w:type="dxa"/>
            <w:tcBorders>
              <w:top w:val="nil"/>
              <w:left w:val="nil"/>
              <w:bottom w:val="nil"/>
              <w:right w:val="nil"/>
            </w:tcBorders>
            <w:shd w:val="clear" w:color="auto" w:fill="FFFFFF"/>
            <w:vAlign w:val="center"/>
            <w:hideMark/>
          </w:tcPr>
          <w:p w14:paraId="2D3F2054"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9C801D1"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FA9DD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44.pants, 45.pants, 46.pants,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85548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08DE0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B417079" w14:textId="77777777" w:rsidTr="007A3206">
        <w:trPr>
          <w:trHeight w:val="35"/>
        </w:trPr>
        <w:tc>
          <w:tcPr>
            <w:tcW w:w="30" w:type="dxa"/>
            <w:tcBorders>
              <w:top w:val="nil"/>
              <w:left w:val="nil"/>
              <w:bottom w:val="nil"/>
              <w:right w:val="nil"/>
            </w:tcBorders>
            <w:shd w:val="clear" w:color="auto" w:fill="FFFFFF"/>
            <w:vAlign w:val="center"/>
            <w:hideMark/>
          </w:tcPr>
          <w:p w14:paraId="12F1450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CF17F1F"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59.pants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A6ABD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49.pants, pilnībā tiks pārņemts ar Ministru kabineta noteikumiem par iepirkumu procedūru norises kārtību un noteikumiem, kas apstiprinās Eiropas vienotā iepirkuma procedūras dokumenta saturu un piemērošanas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1B404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7ECB1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1A8EF37" w14:textId="77777777" w:rsidTr="007A3206">
        <w:trPr>
          <w:trHeight w:val="35"/>
        </w:trPr>
        <w:tc>
          <w:tcPr>
            <w:tcW w:w="30" w:type="dxa"/>
            <w:tcBorders>
              <w:top w:val="nil"/>
              <w:left w:val="nil"/>
              <w:bottom w:val="nil"/>
              <w:right w:val="nil"/>
            </w:tcBorders>
            <w:shd w:val="clear" w:color="auto" w:fill="FFFFFF"/>
            <w:vAlign w:val="center"/>
            <w:hideMark/>
          </w:tcPr>
          <w:p w14:paraId="68848847"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6D0015"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A8FBD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45.pants, 46.pants, pilnībā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D3767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74DF5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08D4536" w14:textId="77777777" w:rsidTr="007A3206">
        <w:trPr>
          <w:trHeight w:val="35"/>
        </w:trPr>
        <w:tc>
          <w:tcPr>
            <w:tcW w:w="30" w:type="dxa"/>
            <w:tcBorders>
              <w:top w:val="nil"/>
              <w:left w:val="nil"/>
              <w:bottom w:val="nil"/>
              <w:right w:val="nil"/>
            </w:tcBorders>
            <w:shd w:val="clear" w:color="auto" w:fill="FFFFFF"/>
            <w:vAlign w:val="center"/>
            <w:hideMark/>
          </w:tcPr>
          <w:p w14:paraId="18EDC5F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4D00B96"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59738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B2BE0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30788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F3B8467" w14:textId="77777777" w:rsidTr="007A3206">
        <w:trPr>
          <w:trHeight w:val="35"/>
        </w:trPr>
        <w:tc>
          <w:tcPr>
            <w:tcW w:w="30" w:type="dxa"/>
            <w:tcBorders>
              <w:top w:val="nil"/>
              <w:left w:val="nil"/>
              <w:bottom w:val="nil"/>
              <w:right w:val="nil"/>
            </w:tcBorders>
            <w:shd w:val="clear" w:color="auto" w:fill="FFFFFF"/>
            <w:vAlign w:val="center"/>
            <w:hideMark/>
          </w:tcPr>
          <w:p w14:paraId="26A504DB"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3B8100A"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4C183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47.pants, 48.pants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4AB65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434F0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E7C7791" w14:textId="77777777" w:rsidTr="007A3206">
        <w:trPr>
          <w:trHeight w:val="35"/>
        </w:trPr>
        <w:tc>
          <w:tcPr>
            <w:tcW w:w="30" w:type="dxa"/>
            <w:tcBorders>
              <w:top w:val="nil"/>
              <w:left w:val="nil"/>
              <w:bottom w:val="nil"/>
              <w:right w:val="nil"/>
            </w:tcBorders>
            <w:shd w:val="clear" w:color="auto" w:fill="FFFFFF"/>
            <w:vAlign w:val="center"/>
            <w:hideMark/>
          </w:tcPr>
          <w:p w14:paraId="69533A7C"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8F7836F"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7A11BE" w14:textId="77777777" w:rsidR="00826832" w:rsidRPr="00B42BC1" w:rsidRDefault="00FE59D6" w:rsidP="00FE59D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vienpadsmitais punkts un otrās daļas 5</w:t>
            </w:r>
            <w:r w:rsidR="00826832" w:rsidRPr="00B42BC1">
              <w:rPr>
                <w:rFonts w:ascii="Times New Roman" w:eastAsia="Times New Roman" w:hAnsi="Times New Roman"/>
                <w:color w:val="000000" w:themeColor="text1"/>
                <w:sz w:val="24"/>
                <w:szCs w:val="24"/>
                <w:lang w:val="lv-LV" w:eastAsia="lv-LV"/>
              </w:rPr>
              <w:t xml:space="preserve">.punkts, septītā daļa, 45.panta </w:t>
            </w:r>
            <w:r w:rsidRPr="00B42BC1">
              <w:rPr>
                <w:rFonts w:ascii="Times New Roman" w:eastAsia="Times New Roman" w:hAnsi="Times New Roman"/>
                <w:color w:val="000000" w:themeColor="text1"/>
                <w:sz w:val="24"/>
                <w:szCs w:val="24"/>
                <w:lang w:val="lv-LV" w:eastAsia="lv-LV"/>
              </w:rPr>
              <w:t>astotā</w:t>
            </w:r>
            <w:r w:rsidR="00826832" w:rsidRPr="00B42BC1">
              <w:rPr>
                <w:rFonts w:ascii="Times New Roman" w:eastAsia="Times New Roman" w:hAnsi="Times New Roman"/>
                <w:color w:val="000000" w:themeColor="text1"/>
                <w:sz w:val="24"/>
                <w:szCs w:val="24"/>
                <w:lang w:val="lv-LV" w:eastAsia="lv-LV"/>
              </w:rPr>
              <w:t xml:space="preserve"> daļa, 46.panta ceturtā </w:t>
            </w:r>
            <w:r w:rsidR="00EB6A38" w:rsidRPr="00B42BC1">
              <w:rPr>
                <w:rFonts w:ascii="Times New Roman" w:eastAsia="Times New Roman" w:hAnsi="Times New Roman"/>
                <w:color w:val="000000" w:themeColor="text1"/>
                <w:sz w:val="24"/>
                <w:szCs w:val="24"/>
                <w:lang w:val="lv-LV" w:eastAsia="lv-LV"/>
              </w:rPr>
              <w:t xml:space="preserve">un piektā </w:t>
            </w:r>
            <w:r w:rsidR="00826832" w:rsidRPr="00B42BC1">
              <w:rPr>
                <w:rFonts w:ascii="Times New Roman" w:eastAsia="Times New Roman" w:hAnsi="Times New Roman"/>
                <w:color w:val="000000" w:themeColor="text1"/>
                <w:sz w:val="24"/>
                <w:szCs w:val="24"/>
                <w:lang w:val="lv-LV" w:eastAsia="lv-LV"/>
              </w:rPr>
              <w:t>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07666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EFBEE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A187327" w14:textId="77777777" w:rsidTr="007A3206">
        <w:trPr>
          <w:trHeight w:val="35"/>
        </w:trPr>
        <w:tc>
          <w:tcPr>
            <w:tcW w:w="30" w:type="dxa"/>
            <w:tcBorders>
              <w:top w:val="nil"/>
              <w:left w:val="nil"/>
              <w:bottom w:val="nil"/>
              <w:right w:val="nil"/>
            </w:tcBorders>
            <w:shd w:val="clear" w:color="auto" w:fill="FFFFFF"/>
            <w:vAlign w:val="center"/>
            <w:hideMark/>
          </w:tcPr>
          <w:p w14:paraId="3803DDF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76793AB"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98C46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46.panta pirmā daļa, 47.panta otrā daļa, 48.panta otrā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B3E05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ieviesta daļēji, jo būvkomersantu klasifikācijas sistēmu paredz Būvniecības likuma 23.pants, līdz ar to Publisko iepirkumu likumā tiek dota atsauce uz būvkomersantu klasifikācijas dokumentu, bet detalizētas prasības ir paredzētas speciālajos normatīvajos aktos.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B133A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0AF2E91" w14:textId="77777777" w:rsidTr="007A3206">
        <w:trPr>
          <w:trHeight w:val="35"/>
        </w:trPr>
        <w:tc>
          <w:tcPr>
            <w:tcW w:w="30" w:type="dxa"/>
            <w:tcBorders>
              <w:top w:val="nil"/>
              <w:left w:val="nil"/>
              <w:bottom w:val="nil"/>
              <w:right w:val="nil"/>
            </w:tcBorders>
            <w:shd w:val="clear" w:color="auto" w:fill="FFFFFF"/>
            <w:vAlign w:val="center"/>
            <w:hideMark/>
          </w:tcPr>
          <w:p w14:paraId="07066A06"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1E2D44"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BB4F5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Pants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DE801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E4A58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91FCF2F" w14:textId="77777777" w:rsidTr="007A3206">
        <w:trPr>
          <w:trHeight w:val="35"/>
        </w:trPr>
        <w:tc>
          <w:tcPr>
            <w:tcW w:w="30" w:type="dxa"/>
            <w:tcBorders>
              <w:top w:val="nil"/>
              <w:left w:val="nil"/>
              <w:bottom w:val="nil"/>
              <w:right w:val="nil"/>
            </w:tcBorders>
            <w:shd w:val="clear" w:color="auto" w:fill="FFFFFF"/>
            <w:vAlign w:val="center"/>
            <w:hideMark/>
          </w:tcPr>
          <w:p w14:paraId="6B9A5A8C"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909FF4"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655071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Pants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FEDB9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 ar Ministru kabineta noteikumiem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3A496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7D44979" w14:textId="77777777" w:rsidTr="007A3206">
        <w:trPr>
          <w:trHeight w:val="35"/>
        </w:trPr>
        <w:tc>
          <w:tcPr>
            <w:tcW w:w="30" w:type="dxa"/>
            <w:tcBorders>
              <w:top w:val="nil"/>
              <w:left w:val="nil"/>
              <w:bottom w:val="nil"/>
              <w:right w:val="nil"/>
            </w:tcBorders>
            <w:shd w:val="clear" w:color="auto" w:fill="FFFFFF"/>
            <w:vAlign w:val="center"/>
            <w:hideMark/>
          </w:tcPr>
          <w:p w14:paraId="545C3030"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FB193DA"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81FA0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51.pants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626EE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459E3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21F1592" w14:textId="77777777" w:rsidTr="007A3206">
        <w:trPr>
          <w:trHeight w:val="35"/>
        </w:trPr>
        <w:tc>
          <w:tcPr>
            <w:tcW w:w="30" w:type="dxa"/>
            <w:tcBorders>
              <w:top w:val="nil"/>
              <w:left w:val="nil"/>
              <w:bottom w:val="nil"/>
              <w:right w:val="nil"/>
            </w:tcBorders>
            <w:shd w:val="clear" w:color="auto" w:fill="FFFFFF"/>
            <w:vAlign w:val="center"/>
            <w:hideMark/>
          </w:tcPr>
          <w:p w14:paraId="36139374"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80CA395"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EC47D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52.pants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8C221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04042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8AD5B16" w14:textId="77777777" w:rsidTr="007A3206">
        <w:trPr>
          <w:trHeight w:val="35"/>
        </w:trPr>
        <w:tc>
          <w:tcPr>
            <w:tcW w:w="30" w:type="dxa"/>
            <w:tcBorders>
              <w:top w:val="nil"/>
              <w:left w:val="nil"/>
              <w:bottom w:val="nil"/>
              <w:right w:val="nil"/>
            </w:tcBorders>
            <w:shd w:val="clear" w:color="auto" w:fill="FFFFFF"/>
            <w:vAlign w:val="center"/>
            <w:hideMark/>
          </w:tcPr>
          <w:p w14:paraId="7D8B42A0"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87E3FE"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69.pants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427F6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53.pants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1DB2F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67517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paredz stingrākas prasības, jo nosaka, ka pasūtītājam ir pienākums izvērtēt, vai piedāvājums nav nepamatoti lēts, ja tas konstatē, ka pretendenta vai tā piedāvājumā norādīto apakšuzņēmēju, kura veicamo būvdarbu vai sniedzamo pakalpojumu vērtība ir vismaz 20 procenti no iepirkuma līguma vērtības, darba </w:t>
            </w:r>
            <w:r w:rsidRPr="00B42BC1">
              <w:rPr>
                <w:rFonts w:ascii="Times New Roman" w:eastAsia="Times New Roman" w:hAnsi="Times New Roman"/>
                <w:color w:val="000000" w:themeColor="text1"/>
                <w:sz w:val="24"/>
                <w:szCs w:val="24"/>
                <w:lang w:val="lv-LV" w:eastAsia="lv-LV"/>
              </w:rPr>
              <w:lastRenderedPageBreak/>
              <w:t xml:space="preserve">ņēmēju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Stundas tarifa likmes atšķirības var norādīt uz to, ka piedāvājumā nav iekļauta vismaz valstī noteiktā minimālā stundas tarifa likme vai nodokļi. </w:t>
            </w:r>
          </w:p>
        </w:tc>
      </w:tr>
      <w:tr w:rsidR="00B42BC1" w:rsidRPr="00B42BC1" w14:paraId="100EA7FB" w14:textId="77777777" w:rsidTr="007A3206">
        <w:trPr>
          <w:trHeight w:val="35"/>
        </w:trPr>
        <w:tc>
          <w:tcPr>
            <w:tcW w:w="30" w:type="dxa"/>
            <w:tcBorders>
              <w:top w:val="nil"/>
              <w:left w:val="nil"/>
              <w:bottom w:val="nil"/>
              <w:right w:val="nil"/>
            </w:tcBorders>
            <w:shd w:val="clear" w:color="auto" w:fill="FFFFFF"/>
            <w:vAlign w:val="center"/>
            <w:hideMark/>
          </w:tcPr>
          <w:p w14:paraId="1D8C237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438BF0E"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06527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60.panta trešā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96FCB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69F5F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5C003AF" w14:textId="77777777" w:rsidTr="007A3206">
        <w:trPr>
          <w:trHeight w:val="35"/>
        </w:trPr>
        <w:tc>
          <w:tcPr>
            <w:tcW w:w="30" w:type="dxa"/>
            <w:tcBorders>
              <w:top w:val="nil"/>
              <w:left w:val="nil"/>
              <w:bottom w:val="nil"/>
              <w:right w:val="nil"/>
            </w:tcBorders>
            <w:shd w:val="clear" w:color="auto" w:fill="FFFFFF"/>
            <w:vAlign w:val="center"/>
            <w:hideMark/>
          </w:tcPr>
          <w:p w14:paraId="1D4EFD16"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4FF19B"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F4C57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42.panta pirmās daļas 10.punkts, otrās daļas 5.punkts, septītā daļa, 60.panta pirmā daļa, 62.pants, 63.pants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4921C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A0BEA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73239B6" w14:textId="77777777" w:rsidTr="00826832">
        <w:trPr>
          <w:trHeight w:val="35"/>
        </w:trPr>
        <w:tc>
          <w:tcPr>
            <w:tcW w:w="30" w:type="dxa"/>
            <w:tcBorders>
              <w:top w:val="nil"/>
              <w:left w:val="nil"/>
              <w:bottom w:val="nil"/>
              <w:right w:val="nil"/>
            </w:tcBorders>
            <w:shd w:val="clear" w:color="auto" w:fill="FFFFFF"/>
            <w:vAlign w:val="center"/>
            <w:hideMark/>
          </w:tcPr>
          <w:p w14:paraId="425A2EC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8C0AEAE"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1.punkts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FA19C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42.panta pirmās daļas 10.punkts, otrās daļas 5.punkts un septītā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BB0B6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B260A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8E91F25" w14:textId="77777777" w:rsidTr="00826832">
        <w:trPr>
          <w:trHeight w:val="35"/>
        </w:trPr>
        <w:tc>
          <w:tcPr>
            <w:tcW w:w="30" w:type="dxa"/>
            <w:tcBorders>
              <w:top w:val="nil"/>
              <w:left w:val="nil"/>
              <w:bottom w:val="nil"/>
              <w:right w:val="nil"/>
            </w:tcBorders>
            <w:shd w:val="clear" w:color="auto" w:fill="FFFFFF"/>
            <w:vAlign w:val="center"/>
            <w:hideMark/>
          </w:tcPr>
          <w:p w14:paraId="4CDCD58E"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EF98BA4"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2.punkts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6EF15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63.panta pirmā daļa </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2E4E0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7378A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A607BE9" w14:textId="77777777" w:rsidTr="00826832">
        <w:trPr>
          <w:trHeight w:val="35"/>
        </w:trPr>
        <w:tc>
          <w:tcPr>
            <w:tcW w:w="30" w:type="dxa"/>
            <w:tcBorders>
              <w:top w:val="nil"/>
              <w:left w:val="nil"/>
              <w:bottom w:val="nil"/>
              <w:right w:val="nil"/>
            </w:tcBorders>
            <w:shd w:val="clear" w:color="auto" w:fill="FFFFFF"/>
            <w:vAlign w:val="center"/>
            <w:hideMark/>
          </w:tcPr>
          <w:p w14:paraId="525CC547"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C091D3E"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3.punkts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B3B54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63.panta piektā un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3F4CB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daļēji, ņemot vērā dotās izvēles tiesības dalībvalstij</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702C4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F8ADD7A" w14:textId="77777777" w:rsidTr="00826832">
        <w:trPr>
          <w:trHeight w:val="35"/>
        </w:trPr>
        <w:tc>
          <w:tcPr>
            <w:tcW w:w="30" w:type="dxa"/>
            <w:tcBorders>
              <w:top w:val="nil"/>
              <w:left w:val="nil"/>
              <w:bottom w:val="nil"/>
              <w:right w:val="nil"/>
            </w:tcBorders>
            <w:shd w:val="clear" w:color="auto" w:fill="FFFFFF"/>
            <w:vAlign w:val="center"/>
            <w:hideMark/>
          </w:tcPr>
          <w:p w14:paraId="227E6FBD"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791742F"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4.punkts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2316B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63.panta sestā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2AB2E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1D6A7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EAE6DC8" w14:textId="77777777" w:rsidTr="00826832">
        <w:trPr>
          <w:trHeight w:val="35"/>
        </w:trPr>
        <w:tc>
          <w:tcPr>
            <w:tcW w:w="30" w:type="dxa"/>
            <w:tcBorders>
              <w:top w:val="nil"/>
              <w:left w:val="nil"/>
              <w:bottom w:val="nil"/>
              <w:right w:val="nil"/>
            </w:tcBorders>
            <w:shd w:val="clear" w:color="auto" w:fill="FFFFFF"/>
            <w:vAlign w:val="center"/>
            <w:hideMark/>
          </w:tcPr>
          <w:p w14:paraId="0D5F87A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4E32480"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5.punkts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FC036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63.panta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1AD25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044A9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51FD8D8" w14:textId="77777777" w:rsidTr="00826832">
        <w:trPr>
          <w:trHeight w:val="35"/>
        </w:trPr>
        <w:tc>
          <w:tcPr>
            <w:tcW w:w="30" w:type="dxa"/>
            <w:tcBorders>
              <w:top w:val="nil"/>
              <w:left w:val="nil"/>
              <w:bottom w:val="nil"/>
              <w:right w:val="nil"/>
            </w:tcBorders>
            <w:shd w:val="clear" w:color="auto" w:fill="FFFFFF"/>
            <w:vAlign w:val="center"/>
            <w:hideMark/>
          </w:tcPr>
          <w:p w14:paraId="54B64CD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0AF0DB3"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6.punkts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AD895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42.panta pirmās daļas 10.punkts, otrās daļas 5.punkts,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796A2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EA147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B6E8ED0" w14:textId="77777777" w:rsidTr="00826832">
        <w:trPr>
          <w:trHeight w:val="35"/>
        </w:trPr>
        <w:tc>
          <w:tcPr>
            <w:tcW w:w="30" w:type="dxa"/>
            <w:tcBorders>
              <w:top w:val="nil"/>
              <w:left w:val="nil"/>
              <w:bottom w:val="nil"/>
              <w:right w:val="nil"/>
            </w:tcBorders>
            <w:shd w:val="clear" w:color="auto" w:fill="FFFFFF"/>
            <w:vAlign w:val="center"/>
            <w:hideMark/>
          </w:tcPr>
          <w:p w14:paraId="11CEB87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287EA46"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7.punkts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3363F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60.panta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8F8B3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ieviesta pilnībā, jo likumprojektā ir paredzēta iespēja pasūtītājam pašam noteikt noteikumus sadarbībai ar apakšuzņēmējiem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DDBB7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4BFC846" w14:textId="77777777" w:rsidTr="00826832">
        <w:trPr>
          <w:trHeight w:val="35"/>
        </w:trPr>
        <w:tc>
          <w:tcPr>
            <w:tcW w:w="30" w:type="dxa"/>
            <w:tcBorders>
              <w:top w:val="nil"/>
              <w:left w:val="nil"/>
              <w:bottom w:val="nil"/>
              <w:right w:val="nil"/>
            </w:tcBorders>
            <w:shd w:val="clear" w:color="auto" w:fill="FFFFFF"/>
            <w:vAlign w:val="center"/>
            <w:hideMark/>
          </w:tcPr>
          <w:p w14:paraId="3B69AAB0"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FC5F5B5"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71.panta 8.punkts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6FFD7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63.panta ceturtā, piektā un sestā daļa, 42.panta pirmās daļas 10.punkts, otrās daļas 5.punkts, septītā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5AA5F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9E3E1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ABE4AF5" w14:textId="77777777" w:rsidTr="007A3206">
        <w:trPr>
          <w:trHeight w:val="35"/>
        </w:trPr>
        <w:tc>
          <w:tcPr>
            <w:tcW w:w="30" w:type="dxa"/>
            <w:tcBorders>
              <w:top w:val="nil"/>
              <w:left w:val="nil"/>
              <w:bottom w:val="nil"/>
              <w:right w:val="nil"/>
            </w:tcBorders>
            <w:shd w:val="clear" w:color="auto" w:fill="FFFFFF"/>
            <w:vAlign w:val="center"/>
            <w:hideMark/>
          </w:tcPr>
          <w:p w14:paraId="2C7304D1"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8C822B"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6A86F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33.pants, 61.pants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C84EF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89BA5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91D88CE" w14:textId="77777777" w:rsidTr="007A3206">
        <w:trPr>
          <w:trHeight w:val="35"/>
        </w:trPr>
        <w:tc>
          <w:tcPr>
            <w:tcW w:w="30" w:type="dxa"/>
            <w:tcBorders>
              <w:top w:val="nil"/>
              <w:left w:val="nil"/>
              <w:bottom w:val="nil"/>
              <w:right w:val="nil"/>
            </w:tcBorders>
            <w:shd w:val="clear" w:color="auto" w:fill="FFFFFF"/>
            <w:vAlign w:val="center"/>
            <w:hideMark/>
          </w:tcPr>
          <w:p w14:paraId="214E916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E2D6560"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96F3D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64.pants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160C8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EC379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58C7DB8" w14:textId="77777777" w:rsidTr="007A3206">
        <w:trPr>
          <w:trHeight w:val="35"/>
        </w:trPr>
        <w:tc>
          <w:tcPr>
            <w:tcW w:w="30" w:type="dxa"/>
            <w:tcBorders>
              <w:top w:val="nil"/>
              <w:left w:val="nil"/>
              <w:bottom w:val="nil"/>
              <w:right w:val="nil"/>
            </w:tcBorders>
            <w:shd w:val="clear" w:color="auto" w:fill="FFFFFF"/>
            <w:vAlign w:val="center"/>
            <w:hideMark/>
          </w:tcPr>
          <w:p w14:paraId="1D15FE8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FD1997D"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FA4F9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10.pants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CB2A9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2DD68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nosaka stingrākas prasības, jo paredz zemāku līgumcenu robežvērtību no kuras ir jāpiemēro atvieglotā procedūra. Līgumcenu robežvērtība, no kuras obligāti jāpiemēro Direktīva 2014/24/ES ir 750 000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Likumprojektā paredzēta atvieglotās procedūras piemērošana no 42 000 </w:t>
            </w:r>
            <w:r w:rsidRPr="00B42BC1">
              <w:rPr>
                <w:rFonts w:ascii="Times New Roman" w:eastAsia="Times New Roman" w:hAnsi="Times New Roman"/>
                <w:i/>
                <w:color w:val="000000" w:themeColor="text1"/>
                <w:sz w:val="24"/>
                <w:szCs w:val="24"/>
                <w:lang w:val="lv-LV" w:eastAsia="lv-LV"/>
              </w:rPr>
              <w:t>euro</w:t>
            </w:r>
            <w:r w:rsidRPr="00B42BC1">
              <w:rPr>
                <w:rFonts w:ascii="Times New Roman" w:eastAsia="Times New Roman" w:hAnsi="Times New Roman"/>
                <w:color w:val="000000" w:themeColor="text1"/>
                <w:sz w:val="24"/>
                <w:szCs w:val="24"/>
                <w:lang w:val="lv-LV" w:eastAsia="lv-LV"/>
              </w:rPr>
              <w:t xml:space="preserve">, lai nodrošinātu iepirkumu caurskatāmību un publiskas personas </w:t>
            </w:r>
            <w:r w:rsidRPr="00B42BC1">
              <w:rPr>
                <w:rFonts w:ascii="Times New Roman" w:eastAsia="Times New Roman" w:hAnsi="Times New Roman"/>
                <w:color w:val="000000" w:themeColor="text1"/>
                <w:sz w:val="24"/>
                <w:szCs w:val="24"/>
                <w:lang w:val="lv-LV" w:eastAsia="lv-LV"/>
              </w:rPr>
              <w:lastRenderedPageBreak/>
              <w:t>līdzekļu racionālu izmantošanu.</w:t>
            </w:r>
          </w:p>
        </w:tc>
      </w:tr>
      <w:tr w:rsidR="00B42BC1" w:rsidRPr="00B42BC1" w14:paraId="4A0BA07A" w14:textId="77777777" w:rsidTr="007A3206">
        <w:trPr>
          <w:trHeight w:val="35"/>
        </w:trPr>
        <w:tc>
          <w:tcPr>
            <w:tcW w:w="30" w:type="dxa"/>
            <w:tcBorders>
              <w:top w:val="nil"/>
              <w:left w:val="nil"/>
              <w:bottom w:val="nil"/>
              <w:right w:val="nil"/>
            </w:tcBorders>
            <w:shd w:val="clear" w:color="auto" w:fill="FFFFFF"/>
            <w:vAlign w:val="center"/>
            <w:hideMark/>
          </w:tcPr>
          <w:p w14:paraId="19BFD2E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F0B1107"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699385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32.pants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12888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0C0AE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960A1C6" w14:textId="77777777" w:rsidTr="007A3206">
        <w:trPr>
          <w:trHeight w:val="35"/>
        </w:trPr>
        <w:tc>
          <w:tcPr>
            <w:tcW w:w="30" w:type="dxa"/>
            <w:tcBorders>
              <w:top w:val="nil"/>
              <w:left w:val="nil"/>
              <w:bottom w:val="nil"/>
              <w:right w:val="nil"/>
            </w:tcBorders>
            <w:shd w:val="clear" w:color="auto" w:fill="FFFFFF"/>
            <w:vAlign w:val="center"/>
            <w:hideMark/>
          </w:tcPr>
          <w:p w14:paraId="3B18509F"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ED9B79C"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6598F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10.pants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AA058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A32F7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C410399" w14:textId="77777777" w:rsidTr="007A3206">
        <w:trPr>
          <w:trHeight w:val="35"/>
        </w:trPr>
        <w:tc>
          <w:tcPr>
            <w:tcW w:w="30" w:type="dxa"/>
            <w:tcBorders>
              <w:top w:val="nil"/>
              <w:left w:val="nil"/>
              <w:bottom w:val="nil"/>
              <w:right w:val="nil"/>
            </w:tcBorders>
            <w:shd w:val="clear" w:color="auto" w:fill="FFFFFF"/>
            <w:vAlign w:val="center"/>
            <w:hideMark/>
          </w:tcPr>
          <w:p w14:paraId="6B2B15F3"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EF5F021"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0A0EB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Netiek pārņemts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E3252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netiek pārņemta, jo nav pieņemts normatīvais akts, kas noteiktu sociālā uzņēmēja statusu un tā piešķiršanas kārtību. Ja šāds tiesiskais regulējums tiks izstrādāts, Publisko iepirkumu likumā tiks izstrādāti grozījumi. Dalībvalstīm šis pants nav jāpārņem obligāti.</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15E6B9"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780ADD15" w14:textId="77777777" w:rsidTr="007A3206">
        <w:trPr>
          <w:trHeight w:val="35"/>
        </w:trPr>
        <w:tc>
          <w:tcPr>
            <w:tcW w:w="30" w:type="dxa"/>
            <w:tcBorders>
              <w:top w:val="nil"/>
              <w:left w:val="nil"/>
              <w:bottom w:val="nil"/>
              <w:right w:val="nil"/>
            </w:tcBorders>
            <w:shd w:val="clear" w:color="auto" w:fill="FFFFFF"/>
            <w:vAlign w:val="center"/>
            <w:hideMark/>
          </w:tcPr>
          <w:p w14:paraId="1533EDDC"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38CC58"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04010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A7E75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63F71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8B8591C" w14:textId="77777777" w:rsidTr="007A3206">
        <w:trPr>
          <w:trHeight w:val="35"/>
        </w:trPr>
        <w:tc>
          <w:tcPr>
            <w:tcW w:w="30" w:type="dxa"/>
            <w:tcBorders>
              <w:top w:val="nil"/>
              <w:left w:val="nil"/>
              <w:bottom w:val="nil"/>
              <w:right w:val="nil"/>
            </w:tcBorders>
            <w:shd w:val="clear" w:color="auto" w:fill="FFFFFF"/>
            <w:vAlign w:val="center"/>
            <w:hideMark/>
          </w:tcPr>
          <w:p w14:paraId="53D06384"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C86A693"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79.pants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B15D9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31.pants, 34.panta ceturtā daļa, pants pilnībā 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617F4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5D349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956BC19" w14:textId="77777777" w:rsidTr="007A3206">
        <w:trPr>
          <w:trHeight w:val="35"/>
        </w:trPr>
        <w:tc>
          <w:tcPr>
            <w:tcW w:w="30" w:type="dxa"/>
            <w:tcBorders>
              <w:top w:val="nil"/>
              <w:left w:val="nil"/>
              <w:bottom w:val="nil"/>
              <w:right w:val="nil"/>
            </w:tcBorders>
            <w:shd w:val="clear" w:color="auto" w:fill="FFFFFF"/>
            <w:vAlign w:val="center"/>
            <w:hideMark/>
          </w:tcPr>
          <w:p w14:paraId="733F3420"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ABFAF3A"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80.pants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B22AC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C20AF1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E9330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CEE1D06" w14:textId="77777777" w:rsidTr="007A3206">
        <w:trPr>
          <w:trHeight w:val="35"/>
        </w:trPr>
        <w:tc>
          <w:tcPr>
            <w:tcW w:w="30" w:type="dxa"/>
            <w:tcBorders>
              <w:top w:val="nil"/>
              <w:left w:val="nil"/>
              <w:bottom w:val="nil"/>
              <w:right w:val="nil"/>
            </w:tcBorders>
            <w:shd w:val="clear" w:color="auto" w:fill="FFFFFF"/>
            <w:vAlign w:val="center"/>
            <w:hideMark/>
          </w:tcPr>
          <w:p w14:paraId="3F7B0C42"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E921F82"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81.pants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CFAEC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708ED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2393E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F31298C" w14:textId="77777777" w:rsidTr="007A3206">
        <w:trPr>
          <w:trHeight w:val="35"/>
        </w:trPr>
        <w:tc>
          <w:tcPr>
            <w:tcW w:w="30" w:type="dxa"/>
            <w:tcBorders>
              <w:top w:val="nil"/>
              <w:left w:val="nil"/>
              <w:bottom w:val="nil"/>
              <w:right w:val="nil"/>
            </w:tcBorders>
            <w:shd w:val="clear" w:color="auto" w:fill="FFFFFF"/>
            <w:vAlign w:val="center"/>
            <w:hideMark/>
          </w:tcPr>
          <w:p w14:paraId="15DC3EAE"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D5D6856"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82.pants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787DE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Tiks pārņemts Ministru kabineta noteikumos par metu konkursu rīkošanas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8254B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F8D5D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C1E0E01" w14:textId="77777777" w:rsidTr="007A3206">
        <w:trPr>
          <w:trHeight w:val="35"/>
        </w:trPr>
        <w:tc>
          <w:tcPr>
            <w:tcW w:w="30" w:type="dxa"/>
            <w:tcBorders>
              <w:top w:val="nil"/>
              <w:left w:val="nil"/>
              <w:bottom w:val="nil"/>
              <w:right w:val="nil"/>
            </w:tcBorders>
            <w:shd w:val="clear" w:color="auto" w:fill="FFFFFF"/>
            <w:vAlign w:val="center"/>
            <w:hideMark/>
          </w:tcPr>
          <w:p w14:paraId="5C13AFEB"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50BA9C"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83.pants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13F6A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60.panta desmitā daļā, VIII nodaļa, IX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E906A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daļēji, jo pantā ir noteikumi, kas neattiecas uz dalībvalstīm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B12D2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7620499" w14:textId="77777777" w:rsidTr="007A3206">
        <w:trPr>
          <w:trHeight w:val="35"/>
        </w:trPr>
        <w:tc>
          <w:tcPr>
            <w:tcW w:w="30" w:type="dxa"/>
            <w:tcBorders>
              <w:top w:val="nil"/>
              <w:left w:val="nil"/>
              <w:bottom w:val="nil"/>
              <w:right w:val="nil"/>
            </w:tcBorders>
            <w:shd w:val="clear" w:color="auto" w:fill="FFFFFF"/>
            <w:vAlign w:val="center"/>
            <w:hideMark/>
          </w:tcPr>
          <w:p w14:paraId="380C184D"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30D16F1" w14:textId="77777777" w:rsidR="00826832" w:rsidRPr="00B42BC1" w:rsidRDefault="00826832" w:rsidP="00826832">
            <w:pPr>
              <w:widowControl/>
              <w:spacing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Direktīvas 2014/24/ES 84.pants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35F4A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40.panta otrā daļa, pants tiks pārņemts pilnībā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F7104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38E97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8F549E8" w14:textId="77777777" w:rsidTr="007A3206">
        <w:trPr>
          <w:trHeight w:val="35"/>
        </w:trPr>
        <w:tc>
          <w:tcPr>
            <w:tcW w:w="30" w:type="dxa"/>
            <w:tcBorders>
              <w:top w:val="nil"/>
              <w:left w:val="nil"/>
              <w:bottom w:val="nil"/>
              <w:right w:val="nil"/>
            </w:tcBorders>
            <w:shd w:val="clear" w:color="auto" w:fill="FFFFFF"/>
            <w:vAlign w:val="center"/>
            <w:hideMark/>
          </w:tcPr>
          <w:p w14:paraId="66575784"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C55F6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85.pants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EA0DA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XIII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1B40B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8FC13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Likumprojekts paredz stingrākas prasības attiecībā uz statistikas pārskatu iesniegšanas biežumu un saturu (tiek atstāts esošais regulējums), lai būtu pieejami statistikas dati katru gadu par veiktajiem iepirkumiem, ņemot vērā, ka statistikas dati ir nepieciešami iepirkumu politikas plānošanas un ieviešanas vajadzībām. </w:t>
            </w:r>
          </w:p>
        </w:tc>
      </w:tr>
      <w:tr w:rsidR="00B42BC1" w:rsidRPr="00B42BC1" w14:paraId="31708BF0" w14:textId="77777777" w:rsidTr="007A3206">
        <w:trPr>
          <w:trHeight w:val="35"/>
        </w:trPr>
        <w:tc>
          <w:tcPr>
            <w:tcW w:w="30" w:type="dxa"/>
            <w:tcBorders>
              <w:top w:val="nil"/>
              <w:left w:val="nil"/>
              <w:bottom w:val="nil"/>
              <w:right w:val="nil"/>
            </w:tcBorders>
            <w:shd w:val="clear" w:color="auto" w:fill="FFFFFF"/>
            <w:vAlign w:val="center"/>
            <w:hideMark/>
          </w:tcPr>
          <w:p w14:paraId="45210FB7"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64AF6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86.pants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AAE18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87.pants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9AFEB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298F7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2123EA9" w14:textId="77777777" w:rsidTr="007A3206">
        <w:trPr>
          <w:trHeight w:val="35"/>
        </w:trPr>
        <w:tc>
          <w:tcPr>
            <w:tcW w:w="30" w:type="dxa"/>
            <w:tcBorders>
              <w:top w:val="nil"/>
              <w:left w:val="nil"/>
              <w:bottom w:val="nil"/>
              <w:right w:val="nil"/>
            </w:tcBorders>
            <w:shd w:val="clear" w:color="auto" w:fill="FFFFFF"/>
            <w:vAlign w:val="center"/>
            <w:hideMark/>
          </w:tcPr>
          <w:p w14:paraId="45B53E45"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522ACDD"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87.pants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4E8549"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5C03A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0612F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4797DF52" w14:textId="77777777" w:rsidTr="007A3206">
        <w:trPr>
          <w:trHeight w:val="35"/>
        </w:trPr>
        <w:tc>
          <w:tcPr>
            <w:tcW w:w="30" w:type="dxa"/>
            <w:tcBorders>
              <w:top w:val="nil"/>
              <w:left w:val="nil"/>
              <w:bottom w:val="nil"/>
              <w:right w:val="nil"/>
            </w:tcBorders>
            <w:shd w:val="clear" w:color="auto" w:fill="FFFFFF"/>
            <w:vAlign w:val="center"/>
            <w:hideMark/>
          </w:tcPr>
          <w:p w14:paraId="00FAA454"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7ED03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88.pants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0642B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3B4EE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4F987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6C881950" w14:textId="77777777" w:rsidTr="007A3206">
        <w:trPr>
          <w:trHeight w:val="35"/>
        </w:trPr>
        <w:tc>
          <w:tcPr>
            <w:tcW w:w="30" w:type="dxa"/>
            <w:tcBorders>
              <w:top w:val="nil"/>
              <w:left w:val="nil"/>
              <w:bottom w:val="nil"/>
              <w:right w:val="nil"/>
            </w:tcBorders>
            <w:shd w:val="clear" w:color="auto" w:fill="FFFFFF"/>
            <w:vAlign w:val="center"/>
            <w:hideMark/>
          </w:tcPr>
          <w:p w14:paraId="285F3671"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7B844DF"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89.pants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37053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CFDF8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BF220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5E8D0869" w14:textId="77777777" w:rsidTr="007A3206">
        <w:trPr>
          <w:trHeight w:val="35"/>
        </w:trPr>
        <w:tc>
          <w:tcPr>
            <w:tcW w:w="30" w:type="dxa"/>
            <w:tcBorders>
              <w:top w:val="nil"/>
              <w:left w:val="nil"/>
              <w:bottom w:val="nil"/>
              <w:right w:val="nil"/>
            </w:tcBorders>
            <w:shd w:val="clear" w:color="auto" w:fill="FFFFFF"/>
            <w:vAlign w:val="center"/>
            <w:hideMark/>
          </w:tcPr>
          <w:p w14:paraId="3C3FFE8F"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E158E6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90.pants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044F0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38.pants</w:t>
            </w:r>
          </w:p>
          <w:p w14:paraId="6C5851C0" w14:textId="77777777" w:rsidR="00826832" w:rsidRPr="00B42BC1" w:rsidRDefault="00826832" w:rsidP="00826832">
            <w:pPr>
              <w:widowControl/>
              <w:spacing w:after="160" w:line="259"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4511E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CCE57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07EEC9F" w14:textId="77777777" w:rsidTr="007A3206">
        <w:trPr>
          <w:trHeight w:val="35"/>
        </w:trPr>
        <w:tc>
          <w:tcPr>
            <w:tcW w:w="30" w:type="dxa"/>
            <w:tcBorders>
              <w:top w:val="nil"/>
              <w:left w:val="nil"/>
              <w:bottom w:val="nil"/>
              <w:right w:val="nil"/>
            </w:tcBorders>
            <w:shd w:val="clear" w:color="auto" w:fill="FFFFFF"/>
            <w:vAlign w:val="center"/>
            <w:hideMark/>
          </w:tcPr>
          <w:p w14:paraId="638884BA"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758B29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91.pants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C7BDE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CCC3C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7F44CA"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49B7F2FC" w14:textId="77777777" w:rsidTr="007A3206">
        <w:trPr>
          <w:trHeight w:val="35"/>
        </w:trPr>
        <w:tc>
          <w:tcPr>
            <w:tcW w:w="30" w:type="dxa"/>
            <w:tcBorders>
              <w:top w:val="nil"/>
              <w:left w:val="nil"/>
              <w:bottom w:val="nil"/>
              <w:right w:val="nil"/>
            </w:tcBorders>
            <w:shd w:val="clear" w:color="auto" w:fill="FFFFFF"/>
            <w:vAlign w:val="center"/>
            <w:hideMark/>
          </w:tcPr>
          <w:p w14:paraId="304877B0"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724724D"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92.pants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C41EC3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1081B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C4DA4CB"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5FC63912" w14:textId="77777777" w:rsidTr="007A3206">
        <w:trPr>
          <w:trHeight w:val="35"/>
        </w:trPr>
        <w:tc>
          <w:tcPr>
            <w:tcW w:w="30" w:type="dxa"/>
            <w:tcBorders>
              <w:top w:val="nil"/>
              <w:left w:val="nil"/>
              <w:bottom w:val="nil"/>
              <w:right w:val="nil"/>
            </w:tcBorders>
            <w:shd w:val="clear" w:color="auto" w:fill="FFFFFF"/>
            <w:vAlign w:val="center"/>
            <w:hideMark/>
          </w:tcPr>
          <w:p w14:paraId="30F19579" w14:textId="77777777" w:rsidR="00826832" w:rsidRPr="00B42BC1" w:rsidRDefault="00826832" w:rsidP="00826832">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001A53"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93.pants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FEB40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4E1EA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FAD4E6"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4868B4B9" w14:textId="77777777" w:rsidTr="007A3206">
        <w:trPr>
          <w:trHeight w:val="35"/>
        </w:trPr>
        <w:tc>
          <w:tcPr>
            <w:tcW w:w="30" w:type="dxa"/>
            <w:tcBorders>
              <w:top w:val="nil"/>
              <w:left w:val="nil"/>
              <w:bottom w:val="nil"/>
              <w:right w:val="nil"/>
            </w:tcBorders>
            <w:shd w:val="clear" w:color="auto" w:fill="FFFFFF"/>
            <w:vAlign w:val="center"/>
          </w:tcPr>
          <w:p w14:paraId="5288463F"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0FBCF81"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94.pants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5461E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3DA7AD"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5664DF"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72E99C58" w14:textId="77777777" w:rsidTr="007A3206">
        <w:trPr>
          <w:trHeight w:val="35"/>
        </w:trPr>
        <w:tc>
          <w:tcPr>
            <w:tcW w:w="30" w:type="dxa"/>
            <w:tcBorders>
              <w:top w:val="nil"/>
              <w:left w:val="nil"/>
              <w:bottom w:val="nil"/>
              <w:right w:val="nil"/>
            </w:tcBorders>
            <w:shd w:val="clear" w:color="auto" w:fill="FFFFFF"/>
            <w:vAlign w:val="center"/>
          </w:tcPr>
          <w:p w14:paraId="73EA04D4"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3C8413C"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7B7D5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83D3F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67530C"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F48CC42" w14:textId="77777777" w:rsidTr="007A3206">
        <w:trPr>
          <w:trHeight w:val="35"/>
        </w:trPr>
        <w:tc>
          <w:tcPr>
            <w:tcW w:w="30" w:type="dxa"/>
            <w:tcBorders>
              <w:top w:val="nil"/>
              <w:left w:val="nil"/>
              <w:bottom w:val="nil"/>
              <w:right w:val="nil"/>
            </w:tcBorders>
            <w:shd w:val="clear" w:color="auto" w:fill="FFFFFF"/>
            <w:vAlign w:val="center"/>
          </w:tcPr>
          <w:p w14:paraId="071FC386"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89CA05A"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C0912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1.pielikums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8CA98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509AA1"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38D810E" w14:textId="77777777" w:rsidTr="007A3206">
        <w:trPr>
          <w:trHeight w:val="35"/>
        </w:trPr>
        <w:tc>
          <w:tcPr>
            <w:tcW w:w="30" w:type="dxa"/>
            <w:tcBorders>
              <w:top w:val="nil"/>
              <w:left w:val="nil"/>
              <w:bottom w:val="nil"/>
              <w:right w:val="nil"/>
            </w:tcBorders>
            <w:shd w:val="clear" w:color="auto" w:fill="FFFFFF"/>
            <w:vAlign w:val="center"/>
          </w:tcPr>
          <w:p w14:paraId="16D0DB8B"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583240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III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0949A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Tiks pārņemts ar grozījumiem Aizsardzības un drošības jomas iepirkumu likumā</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5A645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C8B9D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7A51554" w14:textId="77777777" w:rsidTr="007A3206">
        <w:trPr>
          <w:trHeight w:val="35"/>
        </w:trPr>
        <w:tc>
          <w:tcPr>
            <w:tcW w:w="30" w:type="dxa"/>
            <w:tcBorders>
              <w:top w:val="nil"/>
              <w:left w:val="nil"/>
              <w:bottom w:val="nil"/>
              <w:right w:val="nil"/>
            </w:tcBorders>
            <w:shd w:val="clear" w:color="auto" w:fill="FFFFFF"/>
            <w:vAlign w:val="center"/>
          </w:tcPr>
          <w:p w14:paraId="169CF92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0E81B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IV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9326B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39.pants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402CA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FD6F5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698351C" w14:textId="77777777" w:rsidTr="007A3206">
        <w:trPr>
          <w:trHeight w:val="35"/>
        </w:trPr>
        <w:tc>
          <w:tcPr>
            <w:tcW w:w="30" w:type="dxa"/>
            <w:tcBorders>
              <w:top w:val="nil"/>
              <w:left w:val="nil"/>
              <w:bottom w:val="nil"/>
              <w:right w:val="nil"/>
            </w:tcBorders>
            <w:shd w:val="clear" w:color="auto" w:fill="FFFFFF"/>
            <w:vAlign w:val="center"/>
          </w:tcPr>
          <w:p w14:paraId="632FFE3F"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339A2B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23E23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A9C6A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378FE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833A6C0" w14:textId="77777777" w:rsidTr="007A3206">
        <w:trPr>
          <w:trHeight w:val="35"/>
        </w:trPr>
        <w:tc>
          <w:tcPr>
            <w:tcW w:w="30" w:type="dxa"/>
            <w:tcBorders>
              <w:top w:val="nil"/>
              <w:left w:val="nil"/>
              <w:bottom w:val="nil"/>
              <w:right w:val="nil"/>
            </w:tcBorders>
            <w:shd w:val="clear" w:color="auto" w:fill="FFFFFF"/>
            <w:vAlign w:val="center"/>
          </w:tcPr>
          <w:p w14:paraId="583A42BF"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E1F6F7B"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VI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04903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58.panta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1D28E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B62197"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8E1FC9C" w14:textId="77777777" w:rsidTr="007A3206">
        <w:trPr>
          <w:trHeight w:val="35"/>
        </w:trPr>
        <w:tc>
          <w:tcPr>
            <w:tcW w:w="30" w:type="dxa"/>
            <w:tcBorders>
              <w:top w:val="nil"/>
              <w:left w:val="nil"/>
              <w:bottom w:val="nil"/>
              <w:right w:val="nil"/>
            </w:tcBorders>
            <w:shd w:val="clear" w:color="auto" w:fill="FFFFFF"/>
            <w:vAlign w:val="center"/>
          </w:tcPr>
          <w:p w14:paraId="3090E832"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22894D7"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VII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E2CB4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16.un 32.punkts, 20.pants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C9E48F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61756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70F7D07C" w14:textId="77777777" w:rsidTr="007A3206">
        <w:trPr>
          <w:trHeight w:val="35"/>
        </w:trPr>
        <w:tc>
          <w:tcPr>
            <w:tcW w:w="30" w:type="dxa"/>
            <w:tcBorders>
              <w:top w:val="nil"/>
              <w:left w:val="nil"/>
              <w:bottom w:val="nil"/>
              <w:right w:val="nil"/>
            </w:tcBorders>
            <w:shd w:val="clear" w:color="auto" w:fill="FFFFFF"/>
            <w:vAlign w:val="center"/>
          </w:tcPr>
          <w:p w14:paraId="50A4C0BE"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B830B3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VIII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52472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34.pants, pilnībā apjomā pielikums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80548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384D3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1A311F3" w14:textId="77777777" w:rsidTr="007A3206">
        <w:trPr>
          <w:trHeight w:val="35"/>
        </w:trPr>
        <w:tc>
          <w:tcPr>
            <w:tcW w:w="30" w:type="dxa"/>
            <w:tcBorders>
              <w:top w:val="nil"/>
              <w:left w:val="nil"/>
              <w:bottom w:val="nil"/>
              <w:right w:val="nil"/>
            </w:tcBorders>
            <w:shd w:val="clear" w:color="auto" w:fill="FFFFFF"/>
            <w:vAlign w:val="center"/>
          </w:tcPr>
          <w:p w14:paraId="6E060F25"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97FE01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IX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C4067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Pants tiks pārņemts ar Ministru kabineta noteikumiem par iepirkumu procedūru norises kārtību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3869F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4693D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EE0E014" w14:textId="77777777" w:rsidTr="007A3206">
        <w:trPr>
          <w:trHeight w:val="35"/>
        </w:trPr>
        <w:tc>
          <w:tcPr>
            <w:tcW w:w="30" w:type="dxa"/>
            <w:tcBorders>
              <w:top w:val="nil"/>
              <w:left w:val="nil"/>
              <w:bottom w:val="nil"/>
              <w:right w:val="nil"/>
            </w:tcBorders>
            <w:shd w:val="clear" w:color="auto" w:fill="FFFFFF"/>
            <w:vAlign w:val="center"/>
          </w:tcPr>
          <w:p w14:paraId="77F4659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5E9B17C"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X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4AD04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24A209"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690B3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51784488" w14:textId="77777777" w:rsidTr="007A3206">
        <w:trPr>
          <w:trHeight w:val="35"/>
        </w:trPr>
        <w:tc>
          <w:tcPr>
            <w:tcW w:w="30" w:type="dxa"/>
            <w:tcBorders>
              <w:top w:val="nil"/>
              <w:left w:val="nil"/>
              <w:bottom w:val="nil"/>
              <w:right w:val="nil"/>
            </w:tcBorders>
            <w:shd w:val="clear" w:color="auto" w:fill="FFFFFF"/>
            <w:vAlign w:val="center"/>
          </w:tcPr>
          <w:p w14:paraId="24012CAB"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C1B67F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XI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6FA83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956F78"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E2237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766D2A95" w14:textId="77777777" w:rsidTr="007A3206">
        <w:trPr>
          <w:trHeight w:val="35"/>
        </w:trPr>
        <w:tc>
          <w:tcPr>
            <w:tcW w:w="30" w:type="dxa"/>
            <w:tcBorders>
              <w:top w:val="nil"/>
              <w:left w:val="nil"/>
              <w:bottom w:val="nil"/>
              <w:right w:val="nil"/>
            </w:tcBorders>
            <w:shd w:val="clear" w:color="auto" w:fill="FFFFFF"/>
            <w:vAlign w:val="center"/>
          </w:tcPr>
          <w:p w14:paraId="0DE9F23F"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FF106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XII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2473F6"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45.pants, 46.pants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81A7F2"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14A0E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3D25B084" w14:textId="77777777" w:rsidTr="007A3206">
        <w:trPr>
          <w:trHeight w:val="35"/>
        </w:trPr>
        <w:tc>
          <w:tcPr>
            <w:tcW w:w="30" w:type="dxa"/>
            <w:tcBorders>
              <w:top w:val="nil"/>
              <w:left w:val="nil"/>
              <w:bottom w:val="nil"/>
              <w:right w:val="nil"/>
            </w:tcBorders>
            <w:shd w:val="clear" w:color="auto" w:fill="FFFFFF"/>
            <w:vAlign w:val="center"/>
          </w:tcPr>
          <w:p w14:paraId="55079B9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E84393"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XIII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752AD5" w14:textId="77777777" w:rsidR="00826832" w:rsidRPr="00B42BC1" w:rsidRDefault="003C0D70"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52</w:t>
            </w:r>
            <w:r w:rsidR="00826832" w:rsidRPr="00B42BC1">
              <w:rPr>
                <w:rFonts w:ascii="Times New Roman" w:eastAsia="Times New Roman" w:hAnsi="Times New Roman"/>
                <w:color w:val="000000" w:themeColor="text1"/>
                <w:sz w:val="24"/>
                <w:szCs w:val="24"/>
                <w:lang w:val="lv-LV" w:eastAsia="lv-LV"/>
              </w:rPr>
              <w:t>.pants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F8EB5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69712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DC675A2" w14:textId="77777777" w:rsidTr="007A3206">
        <w:trPr>
          <w:trHeight w:val="35"/>
        </w:trPr>
        <w:tc>
          <w:tcPr>
            <w:tcW w:w="30" w:type="dxa"/>
            <w:tcBorders>
              <w:top w:val="nil"/>
              <w:left w:val="nil"/>
              <w:bottom w:val="nil"/>
              <w:right w:val="nil"/>
            </w:tcBorders>
            <w:shd w:val="clear" w:color="auto" w:fill="FFFFFF"/>
            <w:vAlign w:val="center"/>
          </w:tcPr>
          <w:p w14:paraId="69F1944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3D1C626"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XIV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AB8AA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2.pielikums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F3036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D68559"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E89CDC2" w14:textId="77777777" w:rsidTr="007A3206">
        <w:trPr>
          <w:trHeight w:val="35"/>
        </w:trPr>
        <w:tc>
          <w:tcPr>
            <w:tcW w:w="30" w:type="dxa"/>
            <w:tcBorders>
              <w:top w:val="nil"/>
              <w:left w:val="nil"/>
              <w:bottom w:val="nil"/>
              <w:right w:val="nil"/>
            </w:tcBorders>
            <w:shd w:val="clear" w:color="auto" w:fill="FFFFFF"/>
            <w:vAlign w:val="center"/>
          </w:tcPr>
          <w:p w14:paraId="319B9A9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985C14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2014/24/ES XV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53E23B"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1AE8CC"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619B2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431D9AB3" w14:textId="77777777" w:rsidTr="007A3206">
        <w:trPr>
          <w:trHeight w:val="35"/>
        </w:trPr>
        <w:tc>
          <w:tcPr>
            <w:tcW w:w="30" w:type="dxa"/>
            <w:tcBorders>
              <w:top w:val="nil"/>
              <w:left w:val="nil"/>
              <w:bottom w:val="nil"/>
              <w:right w:val="nil"/>
            </w:tcBorders>
            <w:shd w:val="clear" w:color="auto" w:fill="FFFFFF"/>
            <w:vAlign w:val="center"/>
          </w:tcPr>
          <w:p w14:paraId="57A753EE"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4BC41A" w14:textId="77777777" w:rsidR="00826832" w:rsidRPr="00B42BC1"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2012/27/ES 2.panta 8.punkts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AEEFD6" w14:textId="77777777" w:rsidR="00826832" w:rsidRPr="00B42BC1"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19.punkts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33CF24"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9E6F3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412F3F44" w14:textId="77777777" w:rsidTr="007A3206">
        <w:trPr>
          <w:trHeight w:val="35"/>
        </w:trPr>
        <w:tc>
          <w:tcPr>
            <w:tcW w:w="30" w:type="dxa"/>
            <w:tcBorders>
              <w:top w:val="nil"/>
              <w:left w:val="nil"/>
              <w:bottom w:val="nil"/>
              <w:right w:val="nil"/>
            </w:tcBorders>
            <w:shd w:val="clear" w:color="auto" w:fill="FFFFFF"/>
            <w:vAlign w:val="center"/>
          </w:tcPr>
          <w:p w14:paraId="61C49978"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E4085A2" w14:textId="77777777" w:rsidR="00826832" w:rsidRPr="00B42BC1"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2012/27/ES 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53670E" w14:textId="77777777" w:rsidR="00826832" w:rsidRPr="00B42BC1" w:rsidRDefault="00826832" w:rsidP="00826832">
            <w:pPr>
              <w:widowControl/>
              <w:spacing w:line="253" w:lineRule="atLeast"/>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55.pants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A5375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48C15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2913EEA3" w14:textId="77777777" w:rsidTr="007A3206">
        <w:trPr>
          <w:trHeight w:val="35"/>
        </w:trPr>
        <w:tc>
          <w:tcPr>
            <w:tcW w:w="30" w:type="dxa"/>
            <w:tcBorders>
              <w:top w:val="nil"/>
              <w:left w:val="nil"/>
              <w:bottom w:val="nil"/>
              <w:right w:val="nil"/>
            </w:tcBorders>
            <w:shd w:val="clear" w:color="auto" w:fill="FFFFFF"/>
            <w:vAlign w:val="center"/>
          </w:tcPr>
          <w:p w14:paraId="4C9AE0CE"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CAF1527"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2009/52/EK 7.panta pirmā punkta b) apakšpunkts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CB5C9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42.panta pirmās daļas 7.punkts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AC34E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77055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5FDFFD0" w14:textId="77777777" w:rsidTr="007A3206">
        <w:trPr>
          <w:trHeight w:val="35"/>
        </w:trPr>
        <w:tc>
          <w:tcPr>
            <w:tcW w:w="30" w:type="dxa"/>
            <w:tcBorders>
              <w:top w:val="nil"/>
              <w:left w:val="nil"/>
              <w:bottom w:val="nil"/>
              <w:right w:val="nil"/>
            </w:tcBorders>
            <w:shd w:val="clear" w:color="auto" w:fill="FFFFFF"/>
            <w:vAlign w:val="center"/>
          </w:tcPr>
          <w:p w14:paraId="7CB6A081"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538650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88BA99"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6B5F7E"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3B2B6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42BC1" w:rsidRPr="00B42BC1" w14:paraId="16128E94" w14:textId="77777777" w:rsidTr="007A3206">
        <w:trPr>
          <w:trHeight w:val="35"/>
        </w:trPr>
        <w:tc>
          <w:tcPr>
            <w:tcW w:w="30" w:type="dxa"/>
            <w:tcBorders>
              <w:top w:val="nil"/>
              <w:left w:val="nil"/>
              <w:bottom w:val="nil"/>
              <w:right w:val="nil"/>
            </w:tcBorders>
            <w:shd w:val="clear" w:color="auto" w:fill="FFFFFF"/>
            <w:vAlign w:val="center"/>
          </w:tcPr>
          <w:p w14:paraId="0C4BBB2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056F439"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E405A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Netiek pārņemts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B8999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Netiek pārņemts, dalībvalsts izvēle</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E87D0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27A13DB6" w14:textId="77777777" w:rsidTr="007A3206">
        <w:trPr>
          <w:trHeight w:val="35"/>
        </w:trPr>
        <w:tc>
          <w:tcPr>
            <w:tcW w:w="30" w:type="dxa"/>
            <w:tcBorders>
              <w:top w:val="nil"/>
              <w:left w:val="nil"/>
              <w:bottom w:val="nil"/>
              <w:right w:val="nil"/>
            </w:tcBorders>
            <w:shd w:val="clear" w:color="auto" w:fill="FFFFFF"/>
            <w:vAlign w:val="center"/>
          </w:tcPr>
          <w:p w14:paraId="60F48D6B"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E230EB"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7B6231"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Regulējums paredzēts Publisko iepirkumu likumā</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72BBD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9C9F8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42BC1" w:rsidRPr="00B42BC1" w14:paraId="5D81CF4C" w14:textId="77777777" w:rsidTr="007A3206">
        <w:trPr>
          <w:trHeight w:val="35"/>
        </w:trPr>
        <w:tc>
          <w:tcPr>
            <w:tcW w:w="30" w:type="dxa"/>
            <w:tcBorders>
              <w:top w:val="nil"/>
              <w:left w:val="nil"/>
              <w:bottom w:val="nil"/>
              <w:right w:val="nil"/>
            </w:tcBorders>
            <w:shd w:val="clear" w:color="auto" w:fill="FFFFFF"/>
            <w:vAlign w:val="center"/>
          </w:tcPr>
          <w:p w14:paraId="6FC93B04"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5EA08BC"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5DC69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1.panta 19.punkts, 54.pants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97CAAB"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46F71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42BC1" w:rsidRPr="00B42BC1" w14:paraId="5DE068E7" w14:textId="77777777" w:rsidTr="007A3206">
        <w:trPr>
          <w:trHeight w:val="35"/>
        </w:trPr>
        <w:tc>
          <w:tcPr>
            <w:tcW w:w="30" w:type="dxa"/>
            <w:tcBorders>
              <w:top w:val="nil"/>
              <w:left w:val="nil"/>
              <w:bottom w:val="nil"/>
              <w:right w:val="nil"/>
            </w:tcBorders>
            <w:shd w:val="clear" w:color="auto" w:fill="FFFFFF"/>
            <w:vAlign w:val="center"/>
          </w:tcPr>
          <w:p w14:paraId="57FA7B50"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598AB3"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2AB85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54.pants</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EDB340"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025E18"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42BC1" w:rsidRPr="00B42BC1" w14:paraId="44E63459" w14:textId="77777777" w:rsidTr="007A3206">
        <w:trPr>
          <w:trHeight w:val="35"/>
        </w:trPr>
        <w:tc>
          <w:tcPr>
            <w:tcW w:w="30" w:type="dxa"/>
            <w:tcBorders>
              <w:top w:val="nil"/>
              <w:left w:val="nil"/>
              <w:bottom w:val="nil"/>
              <w:right w:val="nil"/>
            </w:tcBorders>
            <w:shd w:val="clear" w:color="auto" w:fill="FFFFFF"/>
            <w:vAlign w:val="center"/>
          </w:tcPr>
          <w:p w14:paraId="052549E0"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28FD5B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05AD6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54.pants, pants pilnībā tiek pārņemts ar Ministru kabineta noteikumiem, kas paredz aprēķinu metodiku</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DB55C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7613E6"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42BC1" w:rsidRPr="00B42BC1" w14:paraId="463911C5" w14:textId="77777777" w:rsidTr="007A3206">
        <w:trPr>
          <w:trHeight w:val="35"/>
        </w:trPr>
        <w:tc>
          <w:tcPr>
            <w:tcW w:w="30" w:type="dxa"/>
            <w:tcBorders>
              <w:top w:val="nil"/>
              <w:left w:val="nil"/>
              <w:bottom w:val="nil"/>
              <w:right w:val="nil"/>
            </w:tcBorders>
            <w:shd w:val="clear" w:color="auto" w:fill="FFFFFF"/>
            <w:vAlign w:val="center"/>
          </w:tcPr>
          <w:p w14:paraId="4E731359"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FBA0F15"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E152A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2B8E3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FC398F"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08D24621" w14:textId="77777777" w:rsidTr="007A3206">
        <w:trPr>
          <w:trHeight w:val="35"/>
        </w:trPr>
        <w:tc>
          <w:tcPr>
            <w:tcW w:w="30" w:type="dxa"/>
            <w:tcBorders>
              <w:top w:val="nil"/>
              <w:left w:val="nil"/>
              <w:bottom w:val="nil"/>
              <w:right w:val="nil"/>
            </w:tcBorders>
            <w:shd w:val="clear" w:color="auto" w:fill="FFFFFF"/>
            <w:vAlign w:val="center"/>
          </w:tcPr>
          <w:p w14:paraId="166B7EEC"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4F0DABC"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041E3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07D52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885930"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3277932A" w14:textId="77777777" w:rsidTr="007A3206">
        <w:trPr>
          <w:trHeight w:val="35"/>
        </w:trPr>
        <w:tc>
          <w:tcPr>
            <w:tcW w:w="30" w:type="dxa"/>
            <w:tcBorders>
              <w:top w:val="nil"/>
              <w:left w:val="nil"/>
              <w:bottom w:val="nil"/>
              <w:right w:val="nil"/>
            </w:tcBorders>
            <w:shd w:val="clear" w:color="auto" w:fill="FFFFFF"/>
            <w:vAlign w:val="center"/>
          </w:tcPr>
          <w:p w14:paraId="05D9229A"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61133C7"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FC3E3A"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EBDDF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AEE44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3507784F" w14:textId="77777777" w:rsidTr="007A3206">
        <w:trPr>
          <w:trHeight w:val="35"/>
        </w:trPr>
        <w:tc>
          <w:tcPr>
            <w:tcW w:w="30" w:type="dxa"/>
            <w:tcBorders>
              <w:top w:val="nil"/>
              <w:left w:val="nil"/>
              <w:bottom w:val="nil"/>
              <w:right w:val="nil"/>
            </w:tcBorders>
            <w:shd w:val="clear" w:color="auto" w:fill="FFFFFF"/>
            <w:vAlign w:val="center"/>
          </w:tcPr>
          <w:p w14:paraId="30558E45"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D3FC901"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10.pants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0F005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8C95F9"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6223E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32A0217F" w14:textId="77777777" w:rsidTr="007A3206">
        <w:trPr>
          <w:trHeight w:val="35"/>
        </w:trPr>
        <w:tc>
          <w:tcPr>
            <w:tcW w:w="30" w:type="dxa"/>
            <w:tcBorders>
              <w:top w:val="nil"/>
              <w:left w:val="nil"/>
              <w:bottom w:val="nil"/>
              <w:right w:val="nil"/>
            </w:tcBorders>
            <w:shd w:val="clear" w:color="auto" w:fill="FFFFFF"/>
            <w:vAlign w:val="center"/>
          </w:tcPr>
          <w:p w14:paraId="7A9F350E"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8C3496E"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2009/33/EK 11.pants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E4D7CE"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Pārņemts spēkā esošajā Publisko iepirkumu likumā</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37C15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Pārņemts spēkā esošajā Publisko iepirkumu likumā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002534"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78FDEFC1" w14:textId="77777777" w:rsidTr="007A3206">
        <w:trPr>
          <w:trHeight w:val="35"/>
        </w:trPr>
        <w:tc>
          <w:tcPr>
            <w:tcW w:w="30" w:type="dxa"/>
            <w:tcBorders>
              <w:top w:val="nil"/>
              <w:left w:val="nil"/>
              <w:bottom w:val="nil"/>
              <w:right w:val="nil"/>
            </w:tcBorders>
            <w:shd w:val="clear" w:color="auto" w:fill="FFFFFF"/>
            <w:vAlign w:val="center"/>
          </w:tcPr>
          <w:p w14:paraId="4431C44D"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4449C88"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2007/66/EK 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35F01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2.panta 2.punkts, 30.pants, 37.pants, IX nodaļa, XI nodaļa, XII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485E4D"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ieviesta daļēji, ņemot vērā dalībvalstīm paredzētās izvēles iespējas un jau pastāvošo tiesisko regulējumu, kas regulē administratīvo procesu, netiek ieviesta alternatīvā sankcija – soda naudas piemērošanas pasūtītājam.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566F6F"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 regulējums jau pastāv spēkā esošajā Publisko iepirkumu likumā</w:t>
            </w:r>
          </w:p>
        </w:tc>
      </w:tr>
      <w:tr w:rsidR="00B42BC1" w:rsidRPr="00B42BC1" w14:paraId="65FD177F" w14:textId="77777777" w:rsidTr="007A3206">
        <w:trPr>
          <w:trHeight w:val="35"/>
        </w:trPr>
        <w:tc>
          <w:tcPr>
            <w:tcW w:w="30" w:type="dxa"/>
            <w:tcBorders>
              <w:top w:val="nil"/>
              <w:left w:val="nil"/>
              <w:bottom w:val="nil"/>
              <w:right w:val="nil"/>
            </w:tcBorders>
            <w:shd w:val="clear" w:color="auto" w:fill="FFFFFF"/>
            <w:vAlign w:val="center"/>
          </w:tcPr>
          <w:p w14:paraId="40E3B7D3"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0FE51A"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2007/66/EK 2. – 5.pants </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D5134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5155F3"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5B05DF" w14:textId="77777777" w:rsidR="00826832" w:rsidRPr="00B42BC1" w:rsidRDefault="00826832" w:rsidP="00826832">
            <w:pPr>
              <w:widowControl/>
              <w:spacing w:after="0" w:line="240" w:lineRule="auto"/>
              <w:rPr>
                <w:rFonts w:eastAsia="Times New Roman"/>
                <w:color w:val="000000" w:themeColor="text1"/>
                <w:lang w:val="lv-LV" w:eastAsia="lv-LV"/>
              </w:rPr>
            </w:pPr>
          </w:p>
        </w:tc>
      </w:tr>
      <w:tr w:rsidR="00B42BC1" w:rsidRPr="00B42BC1" w14:paraId="6955CDEE" w14:textId="77777777" w:rsidTr="007A3206">
        <w:trPr>
          <w:trHeight w:val="35"/>
        </w:trPr>
        <w:tc>
          <w:tcPr>
            <w:tcW w:w="30" w:type="dxa"/>
            <w:tcBorders>
              <w:top w:val="nil"/>
              <w:left w:val="nil"/>
              <w:bottom w:val="nil"/>
              <w:right w:val="nil"/>
            </w:tcBorders>
            <w:shd w:val="clear" w:color="auto" w:fill="FFFFFF"/>
            <w:vAlign w:val="center"/>
          </w:tcPr>
          <w:p w14:paraId="397B5B06"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C5FC0A2"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Direktīvas 89/665/EEK 1. – 4.pants grozīts ar Direktīvas 2007/66/EK 1.pantu</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6DDD52"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2.panta 2.punkts, 30.pants, 37.pants, IX nodaļa, XI nodaļa, XII nodaļa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D05DCA"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 xml:space="preserve">ES tiesību akta vienība tiek pārņemta/ ieviesta daļēji, ņemot vērā dalībvalstīm paredzētās izvēles iespējas un jau pastāvošo tiesisko regulējumu, kas regulē </w:t>
            </w:r>
            <w:r w:rsidRPr="00B42BC1">
              <w:rPr>
                <w:rFonts w:ascii="Times New Roman" w:eastAsia="Times New Roman" w:hAnsi="Times New Roman"/>
                <w:color w:val="000000" w:themeColor="text1"/>
                <w:sz w:val="24"/>
                <w:szCs w:val="24"/>
                <w:lang w:val="lv-LV" w:eastAsia="lv-LV"/>
              </w:rPr>
              <w:lastRenderedPageBreak/>
              <w:t xml:space="preserve">administratīvo procesu, netiek ieviesta alternatīvā sankcija – soda naudas piemērošanas pasūtītājam.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AB07C5" w14:textId="77777777" w:rsidR="00826832" w:rsidRPr="00B42BC1" w:rsidRDefault="00826832" w:rsidP="00826832">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lastRenderedPageBreak/>
              <w:t>Likumprojekts stingrākas prasības neparedz, regulējums jau pastāv spēkā esošajā Publisko iepirkumu likumā</w:t>
            </w:r>
          </w:p>
        </w:tc>
      </w:tr>
      <w:tr w:rsidR="00B42BC1" w:rsidRPr="00B42BC1" w14:paraId="38E631B5" w14:textId="77777777" w:rsidTr="007A3206">
        <w:trPr>
          <w:trHeight w:val="35"/>
        </w:trPr>
        <w:tc>
          <w:tcPr>
            <w:tcW w:w="30" w:type="dxa"/>
            <w:tcBorders>
              <w:top w:val="nil"/>
              <w:left w:val="nil"/>
              <w:bottom w:val="nil"/>
              <w:right w:val="nil"/>
            </w:tcBorders>
            <w:shd w:val="clear" w:color="auto" w:fill="FFFFFF"/>
            <w:vAlign w:val="center"/>
          </w:tcPr>
          <w:p w14:paraId="1BCA1A99" w14:textId="77777777" w:rsidR="00826832" w:rsidRPr="00B42BC1" w:rsidRDefault="00826832"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36B3214" w14:textId="77777777" w:rsidR="00826832" w:rsidRPr="00B42BC1" w:rsidRDefault="00826832"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Direktīvas 89/665/EEK 5. – 6.pants </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6D0295"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08D563"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EF06D7" w14:textId="77777777" w:rsidR="00826832" w:rsidRPr="00B42BC1" w:rsidRDefault="00826832" w:rsidP="00826832">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7E301DFF" w14:textId="77777777" w:rsidTr="007A3206">
        <w:trPr>
          <w:trHeight w:val="35"/>
        </w:trPr>
        <w:tc>
          <w:tcPr>
            <w:tcW w:w="30" w:type="dxa"/>
            <w:tcBorders>
              <w:top w:val="nil"/>
              <w:left w:val="nil"/>
              <w:bottom w:val="nil"/>
              <w:right w:val="nil"/>
            </w:tcBorders>
            <w:shd w:val="clear" w:color="auto" w:fill="FFFFFF"/>
            <w:vAlign w:val="center"/>
          </w:tcPr>
          <w:p w14:paraId="2D990FC7" w14:textId="77777777" w:rsidR="00024C69" w:rsidRPr="00B42BC1" w:rsidRDefault="00024C69" w:rsidP="00826832">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FF17B6" w14:textId="73DC433A" w:rsidR="00024C69" w:rsidRPr="00B42BC1" w:rsidRDefault="00024C69" w:rsidP="00826832">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2016/7</w:t>
            </w:r>
            <w:r w:rsidR="001A3DE3" w:rsidRPr="00B42BC1">
              <w:rPr>
                <w:rFonts w:ascii="Times New Roman" w:eastAsia="Times New Roman" w:hAnsi="Times New Roman"/>
                <w:color w:val="000000" w:themeColor="text1"/>
                <w:sz w:val="24"/>
                <w:szCs w:val="24"/>
                <w:lang w:val="lv-LV" w:eastAsia="lv-LV"/>
              </w:rPr>
              <w:t xml:space="preserve"> 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3D99D4" w14:textId="41F4E5CF" w:rsidR="00024C69" w:rsidRPr="00B42BC1" w:rsidRDefault="001A3DE3"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49.panta ceturtā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432564" w14:textId="2D868B11" w:rsidR="00024C69" w:rsidRPr="00B42BC1" w:rsidRDefault="001A3DE3" w:rsidP="001A3DE3">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Īstenošanas regula ir tieši piemērojama, taču ir paredzēts, ka veidlapas tieši Latvijas situācijai tiks pielāgotas ar Ministru kabineta noteikumiem un paredzēta to aizpildīšanas kārtība. </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FE6331" w14:textId="25BB5F7B" w:rsidR="00024C69" w:rsidRPr="00B42BC1" w:rsidRDefault="001A3DE3" w:rsidP="00826832">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5530139C" w14:textId="77777777" w:rsidTr="007A3206">
        <w:trPr>
          <w:trHeight w:val="35"/>
        </w:trPr>
        <w:tc>
          <w:tcPr>
            <w:tcW w:w="30" w:type="dxa"/>
            <w:tcBorders>
              <w:top w:val="nil"/>
              <w:left w:val="nil"/>
              <w:bottom w:val="nil"/>
              <w:right w:val="nil"/>
            </w:tcBorders>
            <w:shd w:val="clear" w:color="auto" w:fill="FFFFFF"/>
            <w:vAlign w:val="center"/>
          </w:tcPr>
          <w:p w14:paraId="77B35A2B" w14:textId="77777777" w:rsidR="007E0951" w:rsidRPr="00B42BC1" w:rsidRDefault="007E0951" w:rsidP="007E0951">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697288B" w14:textId="7A52383F" w:rsidR="007E0951" w:rsidRPr="00B42BC1" w:rsidRDefault="007E0951" w:rsidP="007E0951">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2016/7 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FB3F53" w14:textId="6170E6FA" w:rsidR="007E0951" w:rsidRPr="00B42BC1" w:rsidRDefault="007E0951" w:rsidP="007E095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B94365" w14:textId="4359F7D6" w:rsidR="007E0951" w:rsidRPr="00B42BC1" w:rsidRDefault="007E0951" w:rsidP="007E095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5B5748" w14:textId="77777777" w:rsidR="007E0951" w:rsidRPr="00B42BC1" w:rsidRDefault="007E0951" w:rsidP="007E0951">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02AC2709" w14:textId="77777777" w:rsidTr="007A3206">
        <w:trPr>
          <w:trHeight w:val="35"/>
        </w:trPr>
        <w:tc>
          <w:tcPr>
            <w:tcW w:w="30" w:type="dxa"/>
            <w:tcBorders>
              <w:top w:val="nil"/>
              <w:left w:val="nil"/>
              <w:bottom w:val="nil"/>
              <w:right w:val="nil"/>
            </w:tcBorders>
            <w:shd w:val="clear" w:color="auto" w:fill="FFFFFF"/>
            <w:vAlign w:val="center"/>
          </w:tcPr>
          <w:p w14:paraId="513821AD" w14:textId="77777777" w:rsidR="000028AD" w:rsidRPr="00B42BC1" w:rsidRDefault="000028AD" w:rsidP="000028AD">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170C70E" w14:textId="39216C2D" w:rsidR="000028AD" w:rsidRPr="00B42BC1" w:rsidRDefault="000028AD" w:rsidP="000028AD">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2016/7 1.pielikums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9162CB" w14:textId="3A519328" w:rsidR="000028AD" w:rsidRPr="00B42BC1" w:rsidRDefault="000028AD" w:rsidP="000028AD">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87BF36" w14:textId="668748F6" w:rsidR="000028AD" w:rsidRPr="00B42BC1" w:rsidRDefault="000028AD" w:rsidP="000028AD">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 ir tieši piemērojama, taču ir paredzēts, ka veidlapas tieši Latvijas situācijai tiks pielāgotas ar Ministru kabineta noteikumiem un paredzēta to aizpildīšanas kārtība.</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BF8708" w14:textId="77777777" w:rsidR="000028AD" w:rsidRPr="00B42BC1" w:rsidRDefault="000028AD" w:rsidP="000028AD">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08F99B71" w14:textId="77777777" w:rsidTr="007A3206">
        <w:trPr>
          <w:trHeight w:val="35"/>
        </w:trPr>
        <w:tc>
          <w:tcPr>
            <w:tcW w:w="30" w:type="dxa"/>
            <w:tcBorders>
              <w:top w:val="nil"/>
              <w:left w:val="nil"/>
              <w:bottom w:val="nil"/>
              <w:right w:val="nil"/>
            </w:tcBorders>
            <w:shd w:val="clear" w:color="auto" w:fill="FFFFFF"/>
            <w:vAlign w:val="center"/>
          </w:tcPr>
          <w:p w14:paraId="4132AAEB" w14:textId="77777777" w:rsidR="006E2CD8" w:rsidRPr="00B42BC1" w:rsidRDefault="006E2CD8" w:rsidP="007E0951">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FD3C1AD" w14:textId="411134F8" w:rsidR="006E2CD8" w:rsidRPr="00B42BC1" w:rsidRDefault="006F12A0" w:rsidP="007E0951">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w:t>
            </w:r>
            <w:r w:rsidR="000566E0" w:rsidRPr="00B42BC1">
              <w:rPr>
                <w:rFonts w:ascii="Times New Roman" w:eastAsia="Times New Roman" w:hAnsi="Times New Roman"/>
                <w:color w:val="000000" w:themeColor="text1"/>
                <w:sz w:val="24"/>
                <w:szCs w:val="24"/>
                <w:lang w:val="lv-LV" w:eastAsia="lv-LV"/>
              </w:rPr>
              <w:t xml:space="preserve"> 1.pants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B9EE8E" w14:textId="7EF2E871" w:rsidR="006E2CD8" w:rsidRPr="00B42BC1" w:rsidRDefault="000566E0" w:rsidP="000566E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27.pants, 28.pants, 29.panta pirmā daļa, 31.pants, 32.pants,  34.panta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0175DC" w14:textId="03E7206F" w:rsidR="006E2CD8" w:rsidRPr="00B42BC1" w:rsidRDefault="000566E0" w:rsidP="007E095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Īstenošanas regula tiks </w:t>
            </w:r>
            <w:r w:rsidR="00363F9A" w:rsidRPr="00B42BC1">
              <w:rPr>
                <w:rFonts w:ascii="Times New Roman" w:eastAsia="Times New Roman" w:hAnsi="Times New Roman"/>
                <w:color w:val="000000" w:themeColor="text1"/>
                <w:sz w:val="24"/>
                <w:szCs w:val="24"/>
                <w:lang w:val="lv-LV" w:eastAsia="lv-LV"/>
              </w:rPr>
              <w:t xml:space="preserve">pilnībā </w:t>
            </w:r>
            <w:r w:rsidRPr="00B42BC1">
              <w:rPr>
                <w:rFonts w:ascii="Times New Roman" w:eastAsia="Times New Roman" w:hAnsi="Times New Roman"/>
                <w:color w:val="000000" w:themeColor="text1"/>
                <w:sz w:val="24"/>
                <w:szCs w:val="24"/>
                <w:lang w:val="lv-LV" w:eastAsia="lv-LV"/>
              </w:rPr>
              <w:t>pārņemta ar Ministru kabineta noteikumiem, ar kuriem tiks apstiprinātas veidlapas.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C133C34" w14:textId="36D25DCA" w:rsidR="006E2CD8" w:rsidRPr="00B42BC1" w:rsidRDefault="000566E0" w:rsidP="007E095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E1F47C5" w14:textId="77777777" w:rsidTr="007A3206">
        <w:trPr>
          <w:trHeight w:val="35"/>
        </w:trPr>
        <w:tc>
          <w:tcPr>
            <w:tcW w:w="30" w:type="dxa"/>
            <w:tcBorders>
              <w:top w:val="nil"/>
              <w:left w:val="nil"/>
              <w:bottom w:val="nil"/>
              <w:right w:val="nil"/>
            </w:tcBorders>
            <w:shd w:val="clear" w:color="auto" w:fill="FFFFFF"/>
            <w:vAlign w:val="center"/>
          </w:tcPr>
          <w:p w14:paraId="1A63BBFD" w14:textId="77777777" w:rsidR="000566E0" w:rsidRPr="00B42BC1" w:rsidRDefault="000566E0" w:rsidP="000566E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F2F9945" w14:textId="50677C98" w:rsidR="000566E0" w:rsidRPr="00B42BC1" w:rsidRDefault="000566E0" w:rsidP="000566E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2.pants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17ED64" w14:textId="349F7E4B" w:rsidR="000566E0" w:rsidRPr="00B42BC1" w:rsidRDefault="000566E0" w:rsidP="000566E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FB02F4" w14:textId="0B3827CA" w:rsidR="000566E0" w:rsidRPr="00B42BC1" w:rsidRDefault="00EC6CE3" w:rsidP="00C50F5C">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Tiks pārņemts ar Sabiedrisko pakalpojumu sniedzēju iepirkumu likumu</w:t>
            </w:r>
            <w:r w:rsidR="00C50F5C" w:rsidRPr="00B42BC1">
              <w:rPr>
                <w:rFonts w:ascii="Times New Roman" w:eastAsia="Times New Roman" w:hAnsi="Times New Roman"/>
                <w:color w:val="000000" w:themeColor="text1"/>
                <w:sz w:val="24"/>
                <w:szCs w:val="24"/>
                <w:lang w:val="lv-LV" w:eastAsia="lv-LV"/>
              </w:rPr>
              <w:t xml:space="preserve"> un ar Ministru kabineta noteikumiem, ar kuriem tiks apstiprinātas veidlapas.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ACF428" w14:textId="77777777" w:rsidR="000566E0" w:rsidRPr="00B42BC1" w:rsidRDefault="000566E0" w:rsidP="000566E0">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07FEBF91" w14:textId="77777777" w:rsidTr="007A3206">
        <w:trPr>
          <w:trHeight w:val="35"/>
        </w:trPr>
        <w:tc>
          <w:tcPr>
            <w:tcW w:w="30" w:type="dxa"/>
            <w:tcBorders>
              <w:top w:val="nil"/>
              <w:left w:val="nil"/>
              <w:bottom w:val="nil"/>
              <w:right w:val="nil"/>
            </w:tcBorders>
            <w:shd w:val="clear" w:color="auto" w:fill="FFFFFF"/>
            <w:vAlign w:val="center"/>
          </w:tcPr>
          <w:p w14:paraId="225F81FA" w14:textId="77777777" w:rsidR="00C50F5C" w:rsidRPr="00B42BC1" w:rsidRDefault="00C50F5C" w:rsidP="000566E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0A0B1E" w14:textId="3269A0E7" w:rsidR="00C50F5C" w:rsidRPr="00B42BC1" w:rsidRDefault="00C50F5C" w:rsidP="000566E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3.pants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5959B0" w14:textId="77777777" w:rsidR="00C50F5C" w:rsidRPr="00B42BC1" w:rsidRDefault="00C50F5C" w:rsidP="000566E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7D27BF8" w14:textId="1FB8C5F3" w:rsidR="00C50F5C" w:rsidRPr="00B42BC1" w:rsidRDefault="006C0D7F" w:rsidP="006C0D7F">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Tiks pārņemts ar grozījumiem Aizsardzības un drošības jomas iepirkumu likumā un ar </w:t>
            </w:r>
            <w:r w:rsidR="00C50F5C" w:rsidRPr="00B42BC1">
              <w:rPr>
                <w:rFonts w:ascii="Times New Roman" w:eastAsia="Times New Roman" w:hAnsi="Times New Roman"/>
                <w:color w:val="000000" w:themeColor="text1"/>
                <w:sz w:val="24"/>
                <w:szCs w:val="24"/>
                <w:lang w:val="lv-LV" w:eastAsia="lv-LV"/>
              </w:rPr>
              <w:lastRenderedPageBreak/>
              <w:t>Ministru kabineta noteikumiem, ar kuriem tiks apstiprinātas veidlapas.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EABA6D" w14:textId="77777777" w:rsidR="00C50F5C" w:rsidRPr="00B42BC1" w:rsidRDefault="00C50F5C" w:rsidP="000566E0">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4BF9E373" w14:textId="77777777" w:rsidTr="007A3206">
        <w:trPr>
          <w:trHeight w:val="35"/>
        </w:trPr>
        <w:tc>
          <w:tcPr>
            <w:tcW w:w="30" w:type="dxa"/>
            <w:tcBorders>
              <w:top w:val="nil"/>
              <w:left w:val="nil"/>
              <w:bottom w:val="nil"/>
              <w:right w:val="nil"/>
            </w:tcBorders>
            <w:shd w:val="clear" w:color="auto" w:fill="FFFFFF"/>
            <w:vAlign w:val="center"/>
          </w:tcPr>
          <w:p w14:paraId="30EC58BD" w14:textId="77777777" w:rsidR="00640EE1" w:rsidRPr="00B42BC1" w:rsidRDefault="00640EE1" w:rsidP="000566E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6150ED8" w14:textId="258AFEB5" w:rsidR="00640EE1" w:rsidRPr="00B42BC1" w:rsidRDefault="00640EE1" w:rsidP="000566E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4.pants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E7598D" w14:textId="77777777" w:rsidR="00640EE1" w:rsidRPr="00B42BC1" w:rsidRDefault="00640EE1" w:rsidP="000566E0">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632B0C" w14:textId="324B0BE5" w:rsidR="00640EE1" w:rsidRPr="00B42BC1" w:rsidRDefault="00640EE1" w:rsidP="00640EE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Tiks pārņemts ar grozījumiem Publiskās un privātās partnerības likumā un ar Ministru kabineta noteikumiem, ar kuriem tiks apstiprinātas veidlapas.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774760" w14:textId="77777777" w:rsidR="00640EE1" w:rsidRPr="00B42BC1" w:rsidRDefault="00640EE1" w:rsidP="000566E0">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0E520E86" w14:textId="77777777" w:rsidTr="007A3206">
        <w:trPr>
          <w:trHeight w:val="35"/>
        </w:trPr>
        <w:tc>
          <w:tcPr>
            <w:tcW w:w="30" w:type="dxa"/>
            <w:tcBorders>
              <w:top w:val="nil"/>
              <w:left w:val="nil"/>
              <w:bottom w:val="nil"/>
              <w:right w:val="nil"/>
            </w:tcBorders>
            <w:shd w:val="clear" w:color="auto" w:fill="FFFFFF"/>
            <w:vAlign w:val="center"/>
          </w:tcPr>
          <w:p w14:paraId="49D98445" w14:textId="77777777" w:rsidR="002E0A78" w:rsidRPr="00B42BC1" w:rsidRDefault="002E0A78" w:rsidP="000566E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8B42E92" w14:textId="7E8E5063" w:rsidR="002E0A78" w:rsidRPr="00B42BC1" w:rsidRDefault="002E0A78" w:rsidP="000566E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5.pants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6B7944" w14:textId="5A304022" w:rsidR="002E0A78" w:rsidRPr="00B42BC1" w:rsidRDefault="00363F9A" w:rsidP="000566E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30.panta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182AEC" w14:textId="2C7F1C10" w:rsidR="002E0A78" w:rsidRPr="00B42BC1" w:rsidRDefault="00363F9A" w:rsidP="00640EE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 pilnībā tiks pārņemta ar Ministru kabineta noteikumiem, ar kuriem tiks apstiprinātas veidlapas.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339E71" w14:textId="29EE7B0F" w:rsidR="002E0A78" w:rsidRPr="00B42BC1" w:rsidRDefault="00363F9A" w:rsidP="000566E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04C5D087" w14:textId="77777777" w:rsidTr="007A3206">
        <w:trPr>
          <w:trHeight w:val="35"/>
        </w:trPr>
        <w:tc>
          <w:tcPr>
            <w:tcW w:w="30" w:type="dxa"/>
            <w:tcBorders>
              <w:top w:val="nil"/>
              <w:left w:val="nil"/>
              <w:bottom w:val="nil"/>
              <w:right w:val="nil"/>
            </w:tcBorders>
            <w:shd w:val="clear" w:color="auto" w:fill="FFFFFF"/>
            <w:vAlign w:val="center"/>
          </w:tcPr>
          <w:p w14:paraId="7AF4DFEF" w14:textId="77777777" w:rsidR="00363F9A" w:rsidRPr="00B42BC1" w:rsidRDefault="00363F9A" w:rsidP="000566E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3FD41B" w14:textId="20BF50E1" w:rsidR="00363F9A" w:rsidRPr="00B42BC1" w:rsidRDefault="00363F9A" w:rsidP="000566E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6.pants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B8C215" w14:textId="550EC00B" w:rsidR="00363F9A" w:rsidRPr="00B42BC1" w:rsidRDefault="00363F9A" w:rsidP="000566E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34.panta trešā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FA9B43" w14:textId="20A9D124" w:rsidR="00363F9A" w:rsidRPr="00B42BC1" w:rsidRDefault="00363F9A" w:rsidP="00640EE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ES tiesību akta vienība tiek pārņemta/ ieviesta pilnībā</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232816" w14:textId="1BC71367" w:rsidR="00363F9A" w:rsidRPr="00B42BC1" w:rsidRDefault="00363F9A" w:rsidP="000566E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60353D42" w14:textId="77777777" w:rsidTr="007A3206">
        <w:trPr>
          <w:trHeight w:val="35"/>
        </w:trPr>
        <w:tc>
          <w:tcPr>
            <w:tcW w:w="30" w:type="dxa"/>
            <w:tcBorders>
              <w:top w:val="nil"/>
              <w:left w:val="nil"/>
              <w:bottom w:val="nil"/>
              <w:right w:val="nil"/>
            </w:tcBorders>
            <w:shd w:val="clear" w:color="auto" w:fill="FFFFFF"/>
            <w:vAlign w:val="center"/>
          </w:tcPr>
          <w:p w14:paraId="632056DC" w14:textId="77777777" w:rsidR="0061426E" w:rsidRPr="00B42BC1" w:rsidRDefault="0061426E" w:rsidP="000566E0">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AB12078" w14:textId="45B399B4" w:rsidR="0061426E" w:rsidRPr="00B42BC1" w:rsidRDefault="0061426E" w:rsidP="000566E0">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7.pants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3780AC" w14:textId="21A367B1" w:rsidR="0061426E" w:rsidRPr="00B42BC1" w:rsidRDefault="0061426E" w:rsidP="000566E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34.panta pirmā daļa</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502198" w14:textId="399F3E80" w:rsidR="0061426E" w:rsidRPr="00B42BC1" w:rsidRDefault="0061426E" w:rsidP="00640EE1">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 pilnībā tiks pārņemta ar Ministru kabineta noteikumiem, ar kuriem tiks apstiprinātas veidlapas.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25BFA0" w14:textId="0E28A501" w:rsidR="0061426E" w:rsidRPr="00B42BC1" w:rsidRDefault="0061426E" w:rsidP="000566E0">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Likumprojekts stingrākas prasības neparedz</w:t>
            </w:r>
          </w:p>
        </w:tc>
      </w:tr>
      <w:tr w:rsidR="00B42BC1" w:rsidRPr="00B42BC1" w14:paraId="1B7E1989" w14:textId="77777777" w:rsidTr="007A3206">
        <w:trPr>
          <w:trHeight w:val="35"/>
        </w:trPr>
        <w:tc>
          <w:tcPr>
            <w:tcW w:w="30" w:type="dxa"/>
            <w:tcBorders>
              <w:top w:val="nil"/>
              <w:left w:val="nil"/>
              <w:bottom w:val="nil"/>
              <w:right w:val="nil"/>
            </w:tcBorders>
            <w:shd w:val="clear" w:color="auto" w:fill="FFFFFF"/>
            <w:vAlign w:val="center"/>
          </w:tcPr>
          <w:p w14:paraId="32A9ED08" w14:textId="77777777" w:rsidR="0061426E" w:rsidRPr="00B42BC1" w:rsidRDefault="0061426E" w:rsidP="0061426E">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BF72D3D" w14:textId="3226E1D9" w:rsidR="0061426E" w:rsidRPr="00B42BC1" w:rsidRDefault="0061426E" w:rsidP="0061426E">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8.pants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8F5521" w14:textId="2F04899A" w:rsidR="0061426E" w:rsidRPr="00B42BC1" w:rsidRDefault="0061426E" w:rsidP="0061426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C18FE7" w14:textId="5C1FB674" w:rsidR="0061426E" w:rsidRPr="00B42BC1" w:rsidRDefault="0061426E" w:rsidP="0061426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BA849B" w14:textId="77777777" w:rsidR="0061426E" w:rsidRPr="00B42BC1" w:rsidRDefault="0061426E" w:rsidP="0061426E">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2CFB2347" w14:textId="77777777" w:rsidTr="007A3206">
        <w:trPr>
          <w:trHeight w:val="35"/>
        </w:trPr>
        <w:tc>
          <w:tcPr>
            <w:tcW w:w="30" w:type="dxa"/>
            <w:tcBorders>
              <w:top w:val="nil"/>
              <w:left w:val="nil"/>
              <w:bottom w:val="nil"/>
              <w:right w:val="nil"/>
            </w:tcBorders>
            <w:shd w:val="clear" w:color="auto" w:fill="FFFFFF"/>
            <w:vAlign w:val="center"/>
          </w:tcPr>
          <w:p w14:paraId="77DAFF55" w14:textId="77777777" w:rsidR="0061426E" w:rsidRPr="00B42BC1" w:rsidRDefault="0061426E" w:rsidP="0061426E">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7824855" w14:textId="06A82BE4" w:rsidR="0061426E" w:rsidRPr="00B42BC1" w:rsidRDefault="0061426E" w:rsidP="0061426E">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9.pants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1DA072" w14:textId="66899665" w:rsidR="0061426E" w:rsidRPr="00B42BC1" w:rsidRDefault="0061426E" w:rsidP="0061426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A11EC4" w14:textId="475B9727" w:rsidR="0061426E" w:rsidRPr="00B42BC1" w:rsidRDefault="0061426E" w:rsidP="0061426E">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 jāpārņem</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260783" w14:textId="77777777" w:rsidR="0061426E" w:rsidRPr="00B42BC1" w:rsidRDefault="0061426E" w:rsidP="0061426E">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794C174D" w14:textId="77777777" w:rsidTr="007A3206">
        <w:trPr>
          <w:trHeight w:val="35"/>
        </w:trPr>
        <w:tc>
          <w:tcPr>
            <w:tcW w:w="30" w:type="dxa"/>
            <w:tcBorders>
              <w:top w:val="nil"/>
              <w:left w:val="nil"/>
              <w:bottom w:val="nil"/>
              <w:right w:val="nil"/>
            </w:tcBorders>
            <w:shd w:val="clear" w:color="auto" w:fill="FFFFFF"/>
            <w:vAlign w:val="center"/>
          </w:tcPr>
          <w:p w14:paraId="5E5D53C3" w14:textId="77777777" w:rsidR="00EA6D27" w:rsidRPr="00B42BC1" w:rsidRDefault="00EA6D27" w:rsidP="00EA6D27">
            <w:pPr>
              <w:widowControl/>
              <w:spacing w:line="253" w:lineRule="atLeast"/>
              <w:rPr>
                <w:rFonts w:eastAsia="Times New Roman"/>
                <w:color w:val="000000" w:themeColor="text1"/>
                <w:lang w:val="lv-LV" w:eastAsia="lv-LV"/>
              </w:rPr>
            </w:pP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D6347FE" w14:textId="234A8913" w:rsidR="00EA6D27" w:rsidRPr="00B42BC1" w:rsidRDefault="00EA6D27" w:rsidP="00EA6D27">
            <w:pPr>
              <w:widowControl/>
              <w:spacing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(ES) 2015/1986 I līdz XXII pielikums</w:t>
            </w:r>
          </w:p>
        </w:tc>
        <w:tc>
          <w:tcPr>
            <w:tcW w:w="193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CDA12F" w14:textId="77777777" w:rsidR="00EA6D27" w:rsidRPr="00B42BC1" w:rsidRDefault="00EA6D27" w:rsidP="00EA6D27">
            <w:pPr>
              <w:widowControl/>
              <w:spacing w:after="0" w:line="240" w:lineRule="auto"/>
              <w:rPr>
                <w:rFonts w:ascii="Times New Roman" w:eastAsia="Times New Roman" w:hAnsi="Times New Roman"/>
                <w:color w:val="000000" w:themeColor="text1"/>
                <w:sz w:val="24"/>
                <w:szCs w:val="24"/>
                <w:lang w:val="lv-LV" w:eastAsia="lv-LV"/>
              </w:rPr>
            </w:pPr>
          </w:p>
        </w:tc>
        <w:tc>
          <w:tcPr>
            <w:tcW w:w="2365"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AD4D9B" w14:textId="704A1FCE" w:rsidR="00EA6D27" w:rsidRPr="00B42BC1" w:rsidRDefault="00EA6D27" w:rsidP="00EA6D27">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Īstenošanas regulas pielikumi tiks pārņemti ar Ministru kabineta noteikumiem, ar kuriem tiks apstiprinātas veidlapas.</w:t>
            </w:r>
          </w:p>
        </w:tc>
        <w:tc>
          <w:tcPr>
            <w:tcW w:w="279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8722BA" w14:textId="77777777" w:rsidR="00EA6D27" w:rsidRPr="00B42BC1" w:rsidRDefault="00EA6D27" w:rsidP="00EA6D27">
            <w:pPr>
              <w:widowControl/>
              <w:spacing w:after="0" w:line="240" w:lineRule="auto"/>
              <w:rPr>
                <w:rFonts w:ascii="Times New Roman" w:eastAsia="Times New Roman" w:hAnsi="Times New Roman"/>
                <w:color w:val="000000" w:themeColor="text1"/>
                <w:sz w:val="24"/>
                <w:szCs w:val="24"/>
                <w:lang w:val="lv-LV" w:eastAsia="lv-LV"/>
              </w:rPr>
            </w:pPr>
          </w:p>
        </w:tc>
      </w:tr>
      <w:tr w:rsidR="00B42BC1" w:rsidRPr="00B42BC1" w14:paraId="73EBE907" w14:textId="77777777" w:rsidTr="007A3206">
        <w:tc>
          <w:tcPr>
            <w:tcW w:w="30" w:type="dxa"/>
            <w:tcBorders>
              <w:top w:val="nil"/>
              <w:left w:val="nil"/>
              <w:bottom w:val="nil"/>
              <w:right w:val="nil"/>
            </w:tcBorders>
            <w:shd w:val="clear" w:color="auto" w:fill="FFFFFF"/>
            <w:vAlign w:val="center"/>
            <w:hideMark/>
          </w:tcPr>
          <w:p w14:paraId="720DD128" w14:textId="77777777" w:rsidR="00EA6D27" w:rsidRPr="00B42BC1" w:rsidRDefault="00EA6D27" w:rsidP="00EA6D2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71DD4A9" w14:textId="77777777" w:rsidR="00EA6D27" w:rsidRPr="00B42BC1" w:rsidRDefault="00EA6D27" w:rsidP="00EA6D27">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Kā ir izmantota ES tiesību aktā paredzētā rīcības brīvība dalībvalstij pārņemt vai ieviest noteiktas ES tiesību akta normas?</w:t>
            </w:r>
            <w:r w:rsidRPr="00B42BC1">
              <w:rPr>
                <w:rFonts w:ascii="Times New Roman" w:eastAsia="Times New Roman" w:hAnsi="Times New Roman"/>
                <w:color w:val="000000" w:themeColor="text1"/>
                <w:sz w:val="24"/>
                <w:szCs w:val="24"/>
                <w:lang w:val="lv-LV" w:eastAsia="lv-LV"/>
              </w:rPr>
              <w:br/>
              <w:t>Kādēļ?</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FEA20C2" w14:textId="77777777" w:rsidR="00EA6D27" w:rsidRPr="00FA4B07" w:rsidRDefault="00EA6D27" w:rsidP="007430DD">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Sk. aprakstu anotācijas I sadaļas 2.punktā un V sadaļas 1.tabulā.</w:t>
            </w:r>
          </w:p>
          <w:p w14:paraId="480D0DA7" w14:textId="77777777" w:rsidR="00DD4A09" w:rsidRPr="00FA4B07" w:rsidRDefault="00DD4A09" w:rsidP="007430DD">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Direktīva 2014/24/ES paredz dalībvalsts izvēli šādos jautājumos:</w:t>
            </w:r>
          </w:p>
          <w:p w14:paraId="6EC334A7" w14:textId="63E4404D" w:rsidR="0088350D" w:rsidRPr="00FA4B07" w:rsidRDefault="0088350D"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Direktīvas 19.panta 2.punkta otrajā daļā ir noteikts, ka dalībvalstis var noteikt standarta noteikumus par to, kādā veidā piegādātāju apvienībām ir jāizpilda prasības attiecībā uz saimniecisko un finansiālo stāvokli vai tehniskajām un profesionālajām spējām;</w:t>
            </w:r>
          </w:p>
          <w:p w14:paraId="7BF7C227" w14:textId="63E675E4" w:rsidR="0088350D" w:rsidRPr="00FA4B07" w:rsidRDefault="00E209BD" w:rsidP="007430DD">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Likumprojektā nav paredzēti citi pasākumi kā vien tie, ko nosaka Direktīva, izņemot </w:t>
            </w:r>
            <w:r w:rsidR="00847798" w:rsidRPr="00FA4B07">
              <w:rPr>
                <w:rFonts w:ascii="Times New Roman" w:eastAsia="Times New Roman" w:hAnsi="Times New Roman"/>
                <w:color w:val="000000" w:themeColor="text1"/>
                <w:sz w:val="24"/>
                <w:szCs w:val="24"/>
                <w:lang w:val="lv-LV" w:eastAsia="lv-LV"/>
              </w:rPr>
              <w:t xml:space="preserve">attiecībā uz būvdarbiem, kur būvdarbu veicējiem ir </w:t>
            </w:r>
            <w:r w:rsidR="00847798" w:rsidRPr="00FA4B07">
              <w:rPr>
                <w:rFonts w:ascii="Times New Roman" w:eastAsia="Times New Roman" w:hAnsi="Times New Roman"/>
                <w:color w:val="000000" w:themeColor="text1"/>
                <w:sz w:val="24"/>
                <w:szCs w:val="24"/>
                <w:lang w:val="lv-LV" w:eastAsia="lv-LV"/>
              </w:rPr>
              <w:lastRenderedPageBreak/>
              <w:t xml:space="preserve">jātiek klasificētiem, lai varētu veikt noteiktu veidu būvdarbus. Taču šāda klasifikācija netiek prasīta uz pieteikuma vai piedāvājuma iesniegšanas dienu, bet gan uz iepirkuma līguma slēgšanas brīdi. </w:t>
            </w:r>
          </w:p>
          <w:p w14:paraId="75AF169F" w14:textId="7655A0F6" w:rsidR="00474E56" w:rsidRPr="00FA4B07" w:rsidRDefault="00474E56"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Direktīvas 20.panta pirmajā punktā ir noteiktas tiesības dalībvalstij rezervēt tiesības piedalīties publiskā iepirkuma procedūrās aizsargātām darbnīcām un ekonomikas dalībniekiem, kuru galvenais mērķis ir personu ar invaliditāti vai nelabvēlīgā situācijā nonākušu personu sociālā un profesionālā integrācija, vai var paredzēt šādu līgumu izpildi aizsargātu nodarbinātības programmu ietvaros ar noteikumu, ka vismaz 30 % no šo darbnīcu, ekonomikas dalībnieku vai programmu darbiniekiem ir personas ar invaliditāti vai nelabvēlīgā situācijā nonākušas personas;</w:t>
            </w:r>
          </w:p>
          <w:p w14:paraId="4E0CF10E" w14:textId="398367B1" w:rsidR="00474E56" w:rsidRPr="00FA4B07" w:rsidRDefault="00474E56" w:rsidP="007430DD">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Likumprojektā izvēles iespēja ir dota pasūtītājam, ņemot vērā, ka šādu piegādātāju skaits šobrīd nav liels, līdz ar to katrā atsevišķā gadījumā būtu jāvērtē, vai izmantojot šo iespēju, tiks nodrošināta konkurence un saņemti piedāvājumi. </w:t>
            </w:r>
          </w:p>
          <w:p w14:paraId="1B528761" w14:textId="48205BCB" w:rsidR="00474E56" w:rsidRPr="00FA4B07" w:rsidRDefault="00474E56"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Direktīvas 22.panta 4.punktā ir paredzēts, ka publisku būvdarbu līgumu un metu konkursu gadījumā dalībvalstis var prasīt, lai tiktu izmantoti specifiski elektroniski rīki, piemēram, ēku informācijas elektroniskās modelēšanas vai līdzīgi rīki.</w:t>
            </w:r>
          </w:p>
          <w:p w14:paraId="1A8E9085" w14:textId="77DDEA02" w:rsidR="00474E56" w:rsidRPr="00FA4B07" w:rsidRDefault="007430DD" w:rsidP="007430DD">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Likumprojektā šis jautājums tiek atstāts pasūtītāja ziņā, jo valstiskā līmenī netiks paredzēti konkrēti risinājumi. Katrs pasūtītājs var izvēlēties, ņemot vērā tam pieejamos resursus, kādas prasības izvirzīt piegādātājiem, ņemot vērā Direktīvā noteiktās atrunas. </w:t>
            </w:r>
          </w:p>
          <w:p w14:paraId="42B9323F" w14:textId="77777777" w:rsidR="00A65B50" w:rsidRPr="00FA4B07" w:rsidRDefault="00A65B50"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Direktīvā vairākās vietās ir paredzēta dalībvalstīm rīcības brīvība paredzēt atšķirīgus risinājumus tiešās pārvaldes iestāžu veiktajiem iepirkumiem;</w:t>
            </w:r>
          </w:p>
          <w:p w14:paraId="6388E5E4" w14:textId="6B0FB9D9" w:rsidR="00A65B50" w:rsidRPr="00FA4B07" w:rsidRDefault="00A65B50" w:rsidP="00A65B50">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Likumprojektā šādas iespējas, kas izriet no Direktīvas 2014/24/ES netiek paredzētas, jo līdz šim arī netiek veidota atšķirīga iepirkumu kārtība tiešās pārvaldes iestādēm un citiem pasūtītājiem. Drīzāk līdzekļu ekonomiskas izlietošanas nodrošināšanai, tiešās pārvaldes iestādēm tiek noteiktas striktākas prasības (piemēram, iegādāties preces no centralizēto iepirkumu sistēmas no zemāka sliekšņa).  </w:t>
            </w:r>
          </w:p>
          <w:p w14:paraId="55599F49" w14:textId="07E57C7F" w:rsidR="00A65B50" w:rsidRPr="00FA4B07" w:rsidRDefault="00A65B50" w:rsidP="00A65B50">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Direktīvas 32.panta 1.punkts paredz, ka dalībvalstis var noteikt, ka pasūtītāji Direktīvā 2014/24/ES noteiktajos gadījumos publisku līgumu slēgšanas tiesības var piešķirt sarunu procedūrā bez iepriekšējas publicēšanas;</w:t>
            </w:r>
          </w:p>
          <w:p w14:paraId="09E5C48B" w14:textId="335F1D0B" w:rsidR="00A65B50" w:rsidRPr="00FA4B07" w:rsidRDefault="00A65B50" w:rsidP="00A65B50">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Likumprojektā šī izvēles iespēja ir izmantot, ņemot vērā, ka Direktīvā 2014/24/ES noteiktajos gadījumos arī līdz šim ir bijusi analoga kārtība, turklāt šādas sarunu procedūras izmantošana ļauj pasūtītājam ietaupīt laiku un resursus, lai noslēgtu iepirkuma līgumu vai iegādātos papildu nepieciešamos darbus, pakalpojumus vai preces no sākotnējā piegādātāja. </w:t>
            </w:r>
          </w:p>
          <w:p w14:paraId="62EA0217" w14:textId="3915CAF9" w:rsidR="00A65B50" w:rsidRPr="00FA4B07" w:rsidRDefault="00A65B50"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Direktīvas 36.panta 1.punkta otrajā daļā </w:t>
            </w:r>
            <w:r w:rsidR="00093A95" w:rsidRPr="00FA4B07">
              <w:rPr>
                <w:rFonts w:ascii="Times New Roman" w:eastAsia="Times New Roman" w:hAnsi="Times New Roman"/>
                <w:color w:val="000000" w:themeColor="text1"/>
                <w:sz w:val="24"/>
                <w:szCs w:val="24"/>
                <w:lang w:val="lv-LV" w:eastAsia="lv-LV"/>
              </w:rPr>
              <w:t>ir paredzēts, ka dalībvalstis var noteikt, ka elektronisko katalogu izmantošana konkrētiem iepirkumu veidiem ir obligāta.</w:t>
            </w:r>
          </w:p>
          <w:p w14:paraId="7ED71404" w14:textId="35AA5649" w:rsidR="00093A95" w:rsidRPr="00FA4B07" w:rsidRDefault="00093A95" w:rsidP="00093A95">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Likumprojektā šāds noteikums nav ietverts, jo elektronisko katalogu izmantošana nav šobrīd plaša, līdz ar to izvēle tiek atstāta pasūtītāja ziņā, </w:t>
            </w:r>
            <w:r w:rsidRPr="00FA4B07">
              <w:rPr>
                <w:rFonts w:ascii="Times New Roman" w:eastAsia="Times New Roman" w:hAnsi="Times New Roman"/>
                <w:color w:val="000000" w:themeColor="text1"/>
                <w:sz w:val="24"/>
                <w:szCs w:val="24"/>
                <w:lang w:val="lv-LV" w:eastAsia="lv-LV"/>
              </w:rPr>
              <w:lastRenderedPageBreak/>
              <w:t xml:space="preserve">lai tas atbilstoši savām iespējām un darbinieku kapacitātei, var izvēlēties piemērotu iepirkuma instrumentu. </w:t>
            </w:r>
          </w:p>
          <w:p w14:paraId="2D5BD59D" w14:textId="75C29A93" w:rsidR="00EB28B0" w:rsidRPr="00FA4B07" w:rsidRDefault="00EB28B0"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Direktīvas 37.pantā ir paredzēts, ka dalībvalsts var paredzēt, ka pasūtītāji var iegādāties centralizēto iepirkumu institūciju rīkoto iepirkumu rezultātā </w:t>
            </w:r>
            <w:r w:rsidR="009A3889" w:rsidRPr="00FA4B07">
              <w:rPr>
                <w:rFonts w:ascii="Times New Roman" w:eastAsia="Times New Roman" w:hAnsi="Times New Roman"/>
                <w:color w:val="000000" w:themeColor="text1"/>
                <w:sz w:val="24"/>
                <w:szCs w:val="24"/>
                <w:lang w:val="lv-LV" w:eastAsia="lv-LV"/>
              </w:rPr>
              <w:t>iepirktos pakalpojumus un preces;</w:t>
            </w:r>
          </w:p>
          <w:p w14:paraId="184C3251" w14:textId="17F1F31B" w:rsidR="009A3889" w:rsidRPr="00FA4B07" w:rsidRDefault="00E90CFC" w:rsidP="009A3889">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Likumprojektā ir noteikts pienākums noteiktām pasūtītāju grupām izmantot obligāti centralizēto iepirkumu institūciju rīkoto iepirkumu rezultātā iepirktos pakalpojumus un preces. </w:t>
            </w:r>
            <w:r w:rsidR="001E1010" w:rsidRPr="00FA4B07">
              <w:rPr>
                <w:rFonts w:ascii="Times New Roman" w:eastAsia="Times New Roman" w:hAnsi="Times New Roman"/>
                <w:color w:val="000000" w:themeColor="text1"/>
                <w:sz w:val="24"/>
                <w:szCs w:val="24"/>
                <w:lang w:val="lv-LV" w:eastAsia="lv-LV"/>
              </w:rPr>
              <w:t xml:space="preserve">Izvēle noteikta kā obligāta lielākajām pasūtītāju grupām (tiešās pārvaldes iestādes un pašvaldības un to iestādes), lai mazinātu iepirkumu veikšanas izdevumus. </w:t>
            </w:r>
            <w:r w:rsidR="009219CF" w:rsidRPr="00FA4B07">
              <w:rPr>
                <w:rFonts w:ascii="Times New Roman" w:eastAsia="Times New Roman" w:hAnsi="Times New Roman"/>
                <w:color w:val="000000" w:themeColor="text1"/>
                <w:sz w:val="24"/>
                <w:szCs w:val="24"/>
                <w:lang w:val="lv-LV" w:eastAsia="lv-LV"/>
              </w:rPr>
              <w:t xml:space="preserve">Pārējie pasūtītāji var izmantot šo sistēmu brīvprātīgi. </w:t>
            </w:r>
          </w:p>
          <w:p w14:paraId="3808120D" w14:textId="0A4195D5" w:rsidR="009219CF" w:rsidRPr="00FA4B07" w:rsidRDefault="009219CF" w:rsidP="009219CF">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Direktīvas 46.panta trešajā punktā ir noteikts, ka dalībvalstis var paredzēt ka gadījumā, ja vienam un tam pašam pretendentam var piešķirt vairāk nekā vienu daļu, pasūtītāji var piešķirt iepirkuma līguma slēgšanas tiesības, apvienojot vairākas vai visas daļas, ja paziņojumā par līgumu tās norāda, ka patur iespēju tā darīt, un norāda tās daļas vai daļu grupas, kuras var apvienot;</w:t>
            </w:r>
          </w:p>
          <w:p w14:paraId="2F5219E6" w14:textId="1D5F0128" w:rsidR="009219CF" w:rsidRPr="00FA4B07" w:rsidRDefault="00900F6B" w:rsidP="009219CF">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Paredzēt attiecīgo izvēli veikt Ministru kabinetu noteikumu par iepirkumu veikšanas kārtību  izstrādes laikā. Taču konceptuāli jau šobrīd praksē šāda iespēja tiek izmantota, līdz ar to ir paredzams, ka arī šāds regulējums tiks paredzēts, jo tas </w:t>
            </w:r>
            <w:r w:rsidR="003A0B3D" w:rsidRPr="00FA4B07">
              <w:rPr>
                <w:rFonts w:ascii="Times New Roman" w:eastAsia="Times New Roman" w:hAnsi="Times New Roman"/>
                <w:color w:val="000000" w:themeColor="text1"/>
                <w:sz w:val="24"/>
                <w:szCs w:val="24"/>
                <w:lang w:val="lv-LV" w:eastAsia="lv-LV"/>
              </w:rPr>
              <w:t xml:space="preserve">samazina iepirkuma līgumu administrēšanas izmaksas. </w:t>
            </w:r>
          </w:p>
          <w:p w14:paraId="3F35901C" w14:textId="3D35FB67" w:rsidR="0035637E" w:rsidRPr="00FA4B07" w:rsidRDefault="0035637E" w:rsidP="0035637E">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Direktīvā tiek paredzēts, ka pasūtītāji var grupēt pa ceturkšņiem noslēgtos iepirkuma līgumus vispārīgās vienošanās </w:t>
            </w:r>
            <w:r w:rsidR="00CD1B32" w:rsidRPr="00FA4B07">
              <w:rPr>
                <w:rFonts w:ascii="Times New Roman" w:eastAsia="Times New Roman" w:hAnsi="Times New Roman"/>
                <w:color w:val="000000" w:themeColor="text1"/>
                <w:sz w:val="24"/>
                <w:szCs w:val="24"/>
                <w:lang w:val="lv-LV" w:eastAsia="lv-LV"/>
              </w:rPr>
              <w:t xml:space="preserve">un dinamiskās iepirkuma sistēmas </w:t>
            </w:r>
            <w:r w:rsidRPr="00FA4B07">
              <w:rPr>
                <w:rFonts w:ascii="Times New Roman" w:eastAsia="Times New Roman" w:hAnsi="Times New Roman"/>
                <w:color w:val="000000" w:themeColor="text1"/>
                <w:sz w:val="24"/>
                <w:szCs w:val="24"/>
                <w:lang w:val="lv-LV" w:eastAsia="lv-LV"/>
              </w:rPr>
              <w:t>ietvaros un publicēt paziņojumus par iepirkuma līguma slēgšanas tiesību piešķiršanu pēc attiecīgā ceturkšņa beigām;</w:t>
            </w:r>
          </w:p>
          <w:p w14:paraId="238F04CB" w14:textId="4147C866" w:rsidR="0035637E" w:rsidRPr="00FA4B07" w:rsidRDefault="00CD1B32" w:rsidP="0035637E">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Likumprojekts paredz šādu iespēju pasūtītājam. Pasūtītājs var izvēlēties, vai izmantot šādu publicēšanas veidu. </w:t>
            </w:r>
          </w:p>
          <w:p w14:paraId="035EA564" w14:textId="7E02D2B3" w:rsidR="00641F36" w:rsidRPr="00FA4B07" w:rsidRDefault="00B164A7"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Direktīvas 57. pants paredz obligātos izslēgšanas gadījumus un neobligātos (pastāv izvēle, vai paredzēt šos kā piegādātāju izslēgšanas gadījumus);</w:t>
            </w:r>
          </w:p>
          <w:p w14:paraId="4D5A0A0C" w14:textId="2EB160E9" w:rsidR="00B164A7" w:rsidRPr="00FA4B07" w:rsidRDefault="002B467C" w:rsidP="00B164A7">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Ņemot vērā līdzšinējo regulējumu, atsevišķi Direktīvas neobligātie izslēgšanas gadījumi tiek noteikti kā obligāti (piemēram, konkurences tiesību pārkāpumi, darba tiesību pārkāpumi), bet pārējo izmantošana tiek atstāta pasūtītāja izvēles ziņā. Šāda izvēle ir veikta, ņemot vērā to, ka</w:t>
            </w:r>
            <w:r w:rsidR="003F5C0D" w:rsidRPr="00FA4B07">
              <w:rPr>
                <w:rFonts w:ascii="Times New Roman" w:eastAsia="Times New Roman" w:hAnsi="Times New Roman"/>
                <w:color w:val="000000" w:themeColor="text1"/>
                <w:sz w:val="24"/>
                <w:szCs w:val="24"/>
                <w:lang w:val="lv-LV" w:eastAsia="lv-LV"/>
              </w:rPr>
              <w:t xml:space="preserve"> atsevišķi Direktīvas neobligātie izslēgšanas gadījumi ir tādi, kas norāda uz to, ka piegādātāja izdarītais pārkāpums vai noziedzīgais nodarījums ir būtisks un šādam piegādātājam nebūtu piešķiramas iepirkuma līguma slēgšanas tiesības. </w:t>
            </w:r>
          </w:p>
          <w:p w14:paraId="507FFEF1" w14:textId="5FE3E99D" w:rsidR="00DD4A09" w:rsidRPr="00FA4B07" w:rsidRDefault="007F7A1B" w:rsidP="007430DD">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D</w:t>
            </w:r>
            <w:r w:rsidR="008A2980" w:rsidRPr="00FA4B07">
              <w:rPr>
                <w:rFonts w:ascii="Times New Roman" w:eastAsia="Times New Roman" w:hAnsi="Times New Roman"/>
                <w:color w:val="000000" w:themeColor="text1"/>
                <w:sz w:val="24"/>
                <w:szCs w:val="24"/>
                <w:lang w:val="lv-LV" w:eastAsia="lv-LV"/>
              </w:rPr>
              <w:t>irektīvā</w:t>
            </w:r>
            <w:r w:rsidRPr="00FA4B07">
              <w:rPr>
                <w:rFonts w:ascii="Times New Roman" w:eastAsia="Times New Roman" w:hAnsi="Times New Roman"/>
                <w:color w:val="000000" w:themeColor="text1"/>
                <w:sz w:val="24"/>
                <w:szCs w:val="24"/>
                <w:lang w:val="lv-LV" w:eastAsia="lv-LV"/>
              </w:rPr>
              <w:t xml:space="preserve"> ir dota izvēle dalībvalstij prasīt, lai pasūtītājs aizstātu personu, uz kuras iespējām pretendents vai kandidāts balstās</w:t>
            </w:r>
            <w:r w:rsidR="00E2270E" w:rsidRPr="00FA4B07">
              <w:rPr>
                <w:rFonts w:ascii="Times New Roman" w:eastAsia="Times New Roman" w:hAnsi="Times New Roman"/>
                <w:color w:val="000000" w:themeColor="text1"/>
                <w:sz w:val="24"/>
                <w:szCs w:val="24"/>
                <w:lang w:val="lv-LV" w:eastAsia="lv-LV"/>
              </w:rPr>
              <w:t>, vai apakšuzņēmēju</w:t>
            </w:r>
            <w:r w:rsidRPr="00FA4B07">
              <w:rPr>
                <w:rFonts w:ascii="Times New Roman" w:eastAsia="Times New Roman" w:hAnsi="Times New Roman"/>
                <w:color w:val="000000" w:themeColor="text1"/>
                <w:sz w:val="24"/>
                <w:szCs w:val="24"/>
                <w:lang w:val="lv-LV" w:eastAsia="lv-LV"/>
              </w:rPr>
              <w:t>, ja tā atbilst Direktīvas izpratnē neobligātajiem izslēgšanas iemesliem;</w:t>
            </w:r>
          </w:p>
          <w:p w14:paraId="76EFC759" w14:textId="4919C651" w:rsidR="007F7A1B" w:rsidRPr="0088350D" w:rsidRDefault="007F7A1B" w:rsidP="00FA4B07">
            <w:pPr>
              <w:widowControl/>
              <w:spacing w:after="120" w:line="240" w:lineRule="auto"/>
              <w:jc w:val="both"/>
              <w:rPr>
                <w:rFonts w:ascii="Times New Roman" w:eastAsia="Times New Roman" w:hAnsi="Times New Roman"/>
                <w:color w:val="000000" w:themeColor="text1"/>
                <w:sz w:val="24"/>
                <w:szCs w:val="24"/>
                <w:lang w:val="lv-LV" w:eastAsia="lv-LV"/>
              </w:rPr>
            </w:pPr>
            <w:r w:rsidRPr="0088350D">
              <w:rPr>
                <w:rFonts w:ascii="Times New Roman" w:eastAsia="Times New Roman" w:hAnsi="Times New Roman"/>
                <w:color w:val="000000" w:themeColor="text1"/>
                <w:sz w:val="24"/>
                <w:szCs w:val="24"/>
                <w:lang w:val="lv-LV" w:eastAsia="lv-LV"/>
              </w:rPr>
              <w:t>Likumprojektā ir paredzēta šāda izslēdzama subjekta nomaiņa</w:t>
            </w:r>
            <w:r w:rsidR="0088350D" w:rsidRPr="0088350D">
              <w:rPr>
                <w:rFonts w:ascii="Times New Roman" w:eastAsia="Times New Roman" w:hAnsi="Times New Roman"/>
                <w:color w:val="000000" w:themeColor="text1"/>
                <w:sz w:val="24"/>
                <w:szCs w:val="24"/>
                <w:lang w:val="lv-LV" w:eastAsia="lv-LV"/>
              </w:rPr>
              <w:t>, lai pasūtītājam tomēr būtu iespēja nestrādāt ar izslēgšanas gadījumiem atbilstošām personām.</w:t>
            </w:r>
            <w:r w:rsidRPr="0088350D">
              <w:rPr>
                <w:rFonts w:ascii="Times New Roman" w:eastAsia="Times New Roman" w:hAnsi="Times New Roman"/>
                <w:color w:val="000000" w:themeColor="text1"/>
                <w:sz w:val="24"/>
                <w:szCs w:val="24"/>
                <w:lang w:val="lv-LV" w:eastAsia="lv-LV"/>
              </w:rPr>
              <w:t xml:space="preserve"> </w:t>
            </w:r>
          </w:p>
          <w:p w14:paraId="234511F5" w14:textId="787AE2B1" w:rsidR="007F7A1B" w:rsidRPr="00FA4B07" w:rsidRDefault="00FA4B07" w:rsidP="001C4920">
            <w:pPr>
              <w:pStyle w:val="ListParagraph"/>
              <w:widowControl/>
              <w:numPr>
                <w:ilvl w:val="0"/>
                <w:numId w:val="23"/>
              </w:numPr>
              <w:spacing w:after="120" w:line="240" w:lineRule="auto"/>
              <w:contextualSpacing w:val="0"/>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lastRenderedPageBreak/>
              <w:t xml:space="preserve">Direktīvā ir dota iespēja dalībvalstīm noteikt, ka pasūtītāji nevar izmantot tikai cenu vai tikai izmaksas kā vienīgo piešķiršanas kritēriju, vai paredzēt, ka tos izmanto tikai noteiktas līgumslēdzēju iestāžu kategorijas </w:t>
            </w:r>
            <w:r w:rsidR="00D30F9D">
              <w:rPr>
                <w:rFonts w:ascii="Times New Roman" w:eastAsia="Times New Roman" w:hAnsi="Times New Roman"/>
                <w:color w:val="000000" w:themeColor="text1"/>
                <w:sz w:val="24"/>
                <w:szCs w:val="24"/>
                <w:lang w:val="lv-LV" w:eastAsia="lv-LV"/>
              </w:rPr>
              <w:t>vai tikai noteikta tipa līgumos.</w:t>
            </w:r>
          </w:p>
          <w:p w14:paraId="6E7404E0" w14:textId="4D56E902" w:rsidR="00FA4B07" w:rsidRPr="00FA4B07" w:rsidRDefault="00FA4B07" w:rsidP="001C4920">
            <w:pPr>
              <w:widowControl/>
              <w:spacing w:after="120" w:line="240" w:lineRule="auto"/>
              <w:jc w:val="both"/>
              <w:rPr>
                <w:rFonts w:ascii="Times New Roman" w:eastAsia="Times New Roman" w:hAnsi="Times New Roman"/>
                <w:color w:val="000000" w:themeColor="text1"/>
                <w:sz w:val="24"/>
                <w:szCs w:val="24"/>
                <w:lang w:val="lv-LV" w:eastAsia="lv-LV"/>
              </w:rPr>
            </w:pPr>
            <w:r w:rsidRPr="00FA4B07">
              <w:rPr>
                <w:rFonts w:ascii="Times New Roman" w:eastAsia="Times New Roman" w:hAnsi="Times New Roman"/>
                <w:color w:val="000000" w:themeColor="text1"/>
                <w:sz w:val="24"/>
                <w:szCs w:val="24"/>
                <w:lang w:val="lv-LV" w:eastAsia="lv-LV"/>
              </w:rPr>
              <w:t xml:space="preserve">Ņemot vērā, ka </w:t>
            </w:r>
            <w:r w:rsidR="001C4920">
              <w:rPr>
                <w:rFonts w:ascii="Times New Roman" w:eastAsia="Times New Roman" w:hAnsi="Times New Roman"/>
                <w:color w:val="000000" w:themeColor="text1"/>
                <w:sz w:val="24"/>
                <w:szCs w:val="24"/>
                <w:lang w:val="lv-LV" w:eastAsia="lv-LV"/>
              </w:rPr>
              <w:t>cenas kritērija izmantošana ir atbalstāma tādos gadījumos, kur citu kritēriju izmantošana</w:t>
            </w:r>
            <w:r w:rsidR="00CF543A">
              <w:rPr>
                <w:rFonts w:ascii="Times New Roman" w:eastAsia="Times New Roman" w:hAnsi="Times New Roman"/>
                <w:color w:val="000000" w:themeColor="text1"/>
                <w:sz w:val="24"/>
                <w:szCs w:val="24"/>
                <w:lang w:val="lv-LV" w:eastAsia="lv-LV"/>
              </w:rPr>
              <w:t xml:space="preserve"> nav objektīvi nepieciešama, likumprojekts paredz iespēju izmantot cenas kritēriju “mazajiem iepirkumiem” un iepirkumiem ar atvieglotu veikšanas kārtību, kā arī tajos gadījumos, kad specifikācijas ir tik detalizētas, ka cenu var objektīvi noteikt un citiem kritērijiem nav būtiskas nozīmes piedāvājuma izvēlē. Šādā veidā tiek saglabāta iespēja gadījumos, kad nav racionāli veikt piedāvājumu izvēli balstoties vēl uz citiem kritērijiem. </w:t>
            </w:r>
          </w:p>
        </w:tc>
      </w:tr>
      <w:tr w:rsidR="00B42BC1" w:rsidRPr="00B42BC1" w14:paraId="2E41EB3C" w14:textId="77777777" w:rsidTr="007A3206">
        <w:trPr>
          <w:trHeight w:val="803"/>
        </w:trPr>
        <w:tc>
          <w:tcPr>
            <w:tcW w:w="30" w:type="dxa"/>
            <w:tcBorders>
              <w:top w:val="nil"/>
              <w:left w:val="nil"/>
              <w:bottom w:val="nil"/>
              <w:right w:val="nil"/>
            </w:tcBorders>
            <w:shd w:val="clear" w:color="auto" w:fill="FFFFFF"/>
            <w:vAlign w:val="center"/>
            <w:hideMark/>
          </w:tcPr>
          <w:p w14:paraId="3C57A1DC" w14:textId="2BCEA172" w:rsidR="00EA6D27" w:rsidRPr="00B42BC1" w:rsidRDefault="00EA6D27" w:rsidP="00EA6D2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lastRenderedPageBreak/>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E9598E" w14:textId="77777777" w:rsidR="00EA6D27" w:rsidRPr="00B42BC1" w:rsidRDefault="00EA6D27" w:rsidP="00EA6D27">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B1D4DE3" w14:textId="77777777" w:rsidR="00EA6D27" w:rsidRPr="00B42BC1" w:rsidRDefault="00EA6D27" w:rsidP="00EA6D27">
            <w:pPr>
              <w:widowControl/>
              <w:spacing w:after="0" w:line="240" w:lineRule="auto"/>
              <w:rPr>
                <w:rFonts w:eastAsia="Times New Roman"/>
                <w:color w:val="000000" w:themeColor="text1"/>
                <w:lang w:val="lv-LV" w:eastAsia="lv-LV"/>
              </w:rPr>
            </w:pPr>
            <w:r w:rsidRPr="00B42BC1">
              <w:rPr>
                <w:rFonts w:ascii="Times New Roman" w:eastAsia="Times New Roman" w:hAnsi="Times New Roman"/>
                <w:iCs/>
                <w:color w:val="000000" w:themeColor="text1"/>
                <w:sz w:val="24"/>
                <w:szCs w:val="24"/>
                <w:lang w:val="lv-LV" w:eastAsia="lv-LV"/>
              </w:rPr>
              <w:t>Projekts šo jomu neskar.</w:t>
            </w:r>
          </w:p>
        </w:tc>
      </w:tr>
      <w:tr w:rsidR="00B42BC1" w:rsidRPr="00B42BC1" w14:paraId="28E18FBD" w14:textId="77777777" w:rsidTr="007A3206">
        <w:tc>
          <w:tcPr>
            <w:tcW w:w="30" w:type="dxa"/>
            <w:tcBorders>
              <w:top w:val="nil"/>
              <w:left w:val="nil"/>
              <w:bottom w:val="nil"/>
              <w:right w:val="nil"/>
            </w:tcBorders>
            <w:shd w:val="clear" w:color="auto" w:fill="FFFFFF"/>
            <w:vAlign w:val="center"/>
            <w:hideMark/>
          </w:tcPr>
          <w:p w14:paraId="31EA3AAF" w14:textId="77777777" w:rsidR="00EA6D27" w:rsidRPr="00B42BC1" w:rsidRDefault="00EA6D27" w:rsidP="00EA6D27">
            <w:pPr>
              <w:widowControl/>
              <w:spacing w:line="253" w:lineRule="atLeast"/>
              <w:rPr>
                <w:rFonts w:eastAsia="Times New Roman"/>
                <w:color w:val="000000" w:themeColor="text1"/>
                <w:lang w:val="lv-LV" w:eastAsia="lv-LV"/>
              </w:rPr>
            </w:pPr>
            <w:r w:rsidRPr="00B42BC1">
              <w:rPr>
                <w:rFonts w:eastAsia="Times New Roman"/>
                <w:color w:val="000000" w:themeColor="text1"/>
                <w:lang w:val="lv-LV" w:eastAsia="lv-LV"/>
              </w:rPr>
              <w:t> </w:t>
            </w:r>
          </w:p>
        </w:tc>
        <w:tc>
          <w:tcPr>
            <w:tcW w:w="2224"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1DA15E8" w14:textId="77777777" w:rsidR="00EA6D27" w:rsidRPr="00B42BC1" w:rsidRDefault="00EA6D27" w:rsidP="00EA6D27">
            <w:pPr>
              <w:widowControl/>
              <w:spacing w:after="0" w:line="240" w:lineRule="auto"/>
              <w:rPr>
                <w:rFonts w:eastAsia="Times New Roman"/>
                <w:color w:val="000000" w:themeColor="text1"/>
                <w:lang w:val="lv-LV" w:eastAsia="lv-LV"/>
              </w:rPr>
            </w:pPr>
            <w:r w:rsidRPr="00B42BC1">
              <w:rPr>
                <w:rFonts w:ascii="Times New Roman" w:eastAsia="Times New Roman" w:hAnsi="Times New Roman"/>
                <w:color w:val="000000" w:themeColor="text1"/>
                <w:sz w:val="24"/>
                <w:szCs w:val="24"/>
                <w:lang w:val="lv-LV" w:eastAsia="lv-LV"/>
              </w:rPr>
              <w:t>Cita informācija</w:t>
            </w:r>
          </w:p>
        </w:tc>
        <w:tc>
          <w:tcPr>
            <w:tcW w:w="7102"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6871FF4" w14:textId="77777777" w:rsidR="00EA6D27" w:rsidRPr="00B42BC1" w:rsidRDefault="00EA6D27" w:rsidP="00EA6D27">
            <w:pPr>
              <w:widowControl/>
              <w:spacing w:after="0" w:line="240" w:lineRule="auto"/>
              <w:rPr>
                <w:rFonts w:eastAsia="Times New Roman"/>
                <w:color w:val="000000" w:themeColor="text1"/>
                <w:lang w:val="lv-LV" w:eastAsia="lv-LV"/>
              </w:rPr>
            </w:pPr>
            <w:r w:rsidRPr="00B42BC1">
              <w:rPr>
                <w:rFonts w:ascii="Times New Roman" w:eastAsia="Times New Roman" w:hAnsi="Times New Roman"/>
                <w:i/>
                <w:iCs/>
                <w:color w:val="000000" w:themeColor="text1"/>
                <w:sz w:val="24"/>
                <w:szCs w:val="24"/>
                <w:lang w:val="lv-LV" w:eastAsia="lv-LV"/>
              </w:rPr>
              <w:t>Nav</w:t>
            </w:r>
          </w:p>
        </w:tc>
      </w:tr>
      <w:tr w:rsidR="00B42BC1" w:rsidRPr="00B42BC1" w14:paraId="621ED326" w14:textId="77777777" w:rsidTr="007A3206">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403B3" w14:textId="77777777" w:rsidR="00EA6D27" w:rsidRPr="00B42BC1" w:rsidRDefault="00EA6D27" w:rsidP="00EA6D27">
            <w:pPr>
              <w:widowControl/>
              <w:spacing w:before="100" w:beforeAutospacing="1" w:after="100" w:afterAutospacing="1" w:line="293" w:lineRule="atLeast"/>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b/>
                <w:bCs/>
                <w:color w:val="000000" w:themeColor="text1"/>
                <w:sz w:val="24"/>
                <w:szCs w:val="24"/>
                <w:lang w:val="lv-LV" w:eastAsia="lv-LV"/>
              </w:rPr>
              <w:t>2.tabula</w:t>
            </w:r>
            <w:r w:rsidRPr="00B42BC1">
              <w:rPr>
                <w:rFonts w:ascii="Times New Roman" w:eastAsia="Times New Roman" w:hAnsi="Times New Roman"/>
                <w:b/>
                <w:bCs/>
                <w:color w:val="000000" w:themeColor="text1"/>
                <w:sz w:val="24"/>
                <w:szCs w:val="24"/>
                <w:lang w:val="lv-LV" w:eastAsia="lv-LV"/>
              </w:rPr>
              <w:br/>
              <w:t>Ar tiesību akta projektu izpildītās vai uzņemtās saistības, kas izriet no starptautiskajiem tiesību aktiem vai starptautiskas institūcijas vai organizācijas dokumentiem.</w:t>
            </w:r>
            <w:r w:rsidRPr="00B42BC1">
              <w:rPr>
                <w:rFonts w:ascii="Times New Roman" w:eastAsia="Times New Roman" w:hAnsi="Times New Roman"/>
                <w:b/>
                <w:bCs/>
                <w:color w:val="000000" w:themeColor="text1"/>
                <w:sz w:val="24"/>
                <w:szCs w:val="24"/>
                <w:lang w:val="lv-LV" w:eastAsia="lv-LV"/>
              </w:rPr>
              <w:br/>
              <w:t>Pasākumi šo saistību izpildei</w:t>
            </w:r>
          </w:p>
        </w:tc>
      </w:tr>
      <w:tr w:rsidR="00B42BC1" w:rsidRPr="00B42BC1" w14:paraId="6F587DBE" w14:textId="77777777" w:rsidTr="007A3206">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7"/>
            <w:tcBorders>
              <w:top w:val="outset" w:sz="6" w:space="0" w:color="414142"/>
              <w:left w:val="outset" w:sz="6" w:space="0" w:color="414142"/>
              <w:bottom w:val="outset" w:sz="6" w:space="0" w:color="414142"/>
              <w:right w:val="outset" w:sz="6" w:space="0" w:color="414142"/>
            </w:tcBorders>
            <w:shd w:val="clear" w:color="auto" w:fill="FFFFFF"/>
            <w:vAlign w:val="center"/>
          </w:tcPr>
          <w:p w14:paraId="53975303" w14:textId="77777777" w:rsidR="00EA6D27" w:rsidRPr="00B42BC1" w:rsidRDefault="00EA6D27" w:rsidP="00EA6D27">
            <w:pPr>
              <w:widowControl/>
              <w:spacing w:before="100" w:beforeAutospacing="1" w:after="100" w:afterAutospacing="1" w:line="293" w:lineRule="atLeast"/>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iCs/>
                <w:color w:val="000000" w:themeColor="text1"/>
                <w:sz w:val="24"/>
                <w:szCs w:val="24"/>
                <w:lang w:val="lv-LV" w:eastAsia="lv-LV"/>
              </w:rPr>
              <w:t>Projekts šo jomu neskar.</w:t>
            </w:r>
          </w:p>
        </w:tc>
      </w:tr>
    </w:tbl>
    <w:p w14:paraId="30DCD231" w14:textId="77777777" w:rsidR="006B2EB6" w:rsidRPr="00B42BC1"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p w14:paraId="2278787F" w14:textId="77777777" w:rsidR="005533E2" w:rsidRPr="00B42BC1" w:rsidRDefault="005533E2" w:rsidP="006B2EB6">
      <w:pPr>
        <w:widowControl/>
        <w:spacing w:after="0" w:line="240" w:lineRule="auto"/>
        <w:rPr>
          <w:rFonts w:ascii="Times New Roman" w:eastAsia="Times New Roman" w:hAnsi="Times New Roman"/>
          <w:vanish/>
          <w:color w:val="000000" w:themeColor="text1"/>
          <w:sz w:val="24"/>
          <w:szCs w:val="24"/>
          <w:lang w:val="lv-LV" w:eastAsia="lv-LV"/>
        </w:rPr>
      </w:pPr>
    </w:p>
    <w:p w14:paraId="02B359B0" w14:textId="77777777" w:rsidR="006B2EB6" w:rsidRPr="00B42BC1"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94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2"/>
        <w:gridCol w:w="2828"/>
        <w:gridCol w:w="6129"/>
      </w:tblGrid>
      <w:tr w:rsidR="00B42BC1" w:rsidRPr="00B42BC1" w14:paraId="30C69D4A" w14:textId="77777777" w:rsidTr="00244C96">
        <w:trPr>
          <w:trHeight w:val="420"/>
        </w:trPr>
        <w:tc>
          <w:tcPr>
            <w:tcW w:w="9072" w:type="dxa"/>
            <w:gridSpan w:val="3"/>
            <w:tcBorders>
              <w:top w:val="outset" w:sz="6" w:space="0" w:color="414142"/>
              <w:left w:val="outset" w:sz="6" w:space="0" w:color="414142"/>
              <w:bottom w:val="outset" w:sz="6" w:space="0" w:color="414142"/>
              <w:right w:val="outset" w:sz="6" w:space="0" w:color="414142"/>
            </w:tcBorders>
            <w:hideMark/>
          </w:tcPr>
          <w:p w14:paraId="3584553C" w14:textId="77777777" w:rsidR="006B2EB6" w:rsidRPr="00B42BC1" w:rsidRDefault="006B2EB6" w:rsidP="00244C96">
            <w:pPr>
              <w:widowControl/>
              <w:spacing w:after="0" w:line="240" w:lineRule="auto"/>
              <w:ind w:firstLine="300"/>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b/>
                <w:bCs/>
                <w:color w:val="000000" w:themeColor="text1"/>
                <w:sz w:val="24"/>
                <w:szCs w:val="24"/>
                <w:lang w:val="lv-LV" w:eastAsia="lv-LV"/>
              </w:rPr>
              <w:t>VI. Sabiedrības līdzdalība un komunikācijas aktivitātes</w:t>
            </w:r>
          </w:p>
        </w:tc>
      </w:tr>
      <w:tr w:rsidR="00B42BC1" w:rsidRPr="00B42BC1" w14:paraId="0FCB7957" w14:textId="77777777" w:rsidTr="00244C96">
        <w:trPr>
          <w:trHeight w:val="540"/>
        </w:trPr>
        <w:tc>
          <w:tcPr>
            <w:tcW w:w="472" w:type="dxa"/>
            <w:tcBorders>
              <w:top w:val="outset" w:sz="6" w:space="0" w:color="414142"/>
              <w:left w:val="outset" w:sz="6" w:space="0" w:color="414142"/>
              <w:bottom w:val="outset" w:sz="6" w:space="0" w:color="414142"/>
              <w:right w:val="outset" w:sz="6" w:space="0" w:color="414142"/>
            </w:tcBorders>
            <w:hideMark/>
          </w:tcPr>
          <w:p w14:paraId="4E8CFD18"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1.</w:t>
            </w:r>
          </w:p>
        </w:tc>
        <w:tc>
          <w:tcPr>
            <w:tcW w:w="2828" w:type="dxa"/>
            <w:tcBorders>
              <w:top w:val="outset" w:sz="6" w:space="0" w:color="414142"/>
              <w:left w:val="outset" w:sz="6" w:space="0" w:color="414142"/>
              <w:bottom w:val="outset" w:sz="6" w:space="0" w:color="414142"/>
              <w:right w:val="outset" w:sz="6" w:space="0" w:color="414142"/>
            </w:tcBorders>
            <w:hideMark/>
          </w:tcPr>
          <w:p w14:paraId="11D65A10"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Plānotās sabiedrības līdzdalības un komunikācijas aktivitātes saistībā ar projektu</w:t>
            </w:r>
          </w:p>
        </w:tc>
        <w:tc>
          <w:tcPr>
            <w:tcW w:w="6128" w:type="dxa"/>
            <w:tcBorders>
              <w:top w:val="outset" w:sz="6" w:space="0" w:color="414142"/>
              <w:left w:val="outset" w:sz="6" w:space="0" w:color="414142"/>
              <w:bottom w:val="outset" w:sz="6" w:space="0" w:color="414142"/>
              <w:right w:val="outset" w:sz="6" w:space="0" w:color="414142"/>
            </w:tcBorders>
            <w:hideMark/>
          </w:tcPr>
          <w:p w14:paraId="6749D135" w14:textId="77DA4F00" w:rsidR="006B2EB6" w:rsidRPr="00B42BC1" w:rsidRDefault="001534E3" w:rsidP="0043340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Sabiedrības līdzdalība </w:t>
            </w:r>
            <w:r w:rsidR="00CB1645" w:rsidRPr="00B42BC1">
              <w:rPr>
                <w:rFonts w:ascii="Times New Roman" w:eastAsia="Times New Roman" w:hAnsi="Times New Roman"/>
                <w:color w:val="000000" w:themeColor="text1"/>
                <w:sz w:val="24"/>
                <w:szCs w:val="24"/>
                <w:lang w:val="lv-LV" w:eastAsia="lv-LV"/>
              </w:rPr>
              <w:t xml:space="preserve">plānota ar nevalstisko organizāciju starpniecību, izskatot likumprojektu un tā izmaiņas tiesību akta pieņemšanas procesā darba grupā. </w:t>
            </w:r>
            <w:r w:rsidR="001E6781" w:rsidRPr="00B42BC1">
              <w:rPr>
                <w:rFonts w:ascii="Times New Roman" w:eastAsia="Times New Roman" w:hAnsi="Times New Roman"/>
                <w:color w:val="000000" w:themeColor="text1"/>
                <w:sz w:val="24"/>
                <w:szCs w:val="24"/>
                <w:lang w:val="lv-LV" w:eastAsia="lv-LV"/>
              </w:rPr>
              <w:t xml:space="preserve">Tiks sagatavotas preses relizes masu medijos un Finanšu ministrijas mājaslapā, jau ir tikušas sniegtas intervijas masu mediju pārstāvjiem par likumprojekta saturu. </w:t>
            </w:r>
          </w:p>
          <w:p w14:paraId="15EBBD57" w14:textId="77777777" w:rsidR="00433404" w:rsidRPr="00B42BC1" w:rsidRDefault="00433404" w:rsidP="00433404">
            <w:pPr>
              <w:widowControl/>
              <w:spacing w:after="12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Finanšu ministrijas mājaslapā sadaļā “Sabiedrības līdzdalība” ir ievietota uzziņa par likumprojektu. </w:t>
            </w:r>
          </w:p>
        </w:tc>
      </w:tr>
      <w:tr w:rsidR="00B42BC1" w:rsidRPr="00B42BC1" w14:paraId="480D4EAD" w14:textId="77777777" w:rsidTr="00244C96">
        <w:trPr>
          <w:trHeight w:val="25"/>
        </w:trPr>
        <w:tc>
          <w:tcPr>
            <w:tcW w:w="472" w:type="dxa"/>
            <w:tcBorders>
              <w:top w:val="outset" w:sz="6" w:space="0" w:color="414142"/>
              <w:left w:val="outset" w:sz="6" w:space="0" w:color="414142"/>
              <w:bottom w:val="outset" w:sz="6" w:space="0" w:color="414142"/>
              <w:right w:val="outset" w:sz="6" w:space="0" w:color="414142"/>
            </w:tcBorders>
            <w:hideMark/>
          </w:tcPr>
          <w:p w14:paraId="0BFAC411"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2.</w:t>
            </w:r>
          </w:p>
        </w:tc>
        <w:tc>
          <w:tcPr>
            <w:tcW w:w="2828" w:type="dxa"/>
            <w:tcBorders>
              <w:top w:val="outset" w:sz="6" w:space="0" w:color="414142"/>
              <w:left w:val="outset" w:sz="6" w:space="0" w:color="414142"/>
              <w:bottom w:val="outset" w:sz="6" w:space="0" w:color="414142"/>
              <w:right w:val="outset" w:sz="6" w:space="0" w:color="414142"/>
            </w:tcBorders>
            <w:hideMark/>
          </w:tcPr>
          <w:p w14:paraId="2E408244"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Sabiedrības līdzdalība projekta izstrādē</w:t>
            </w:r>
          </w:p>
        </w:tc>
        <w:tc>
          <w:tcPr>
            <w:tcW w:w="6128" w:type="dxa"/>
            <w:tcBorders>
              <w:top w:val="outset" w:sz="6" w:space="0" w:color="414142"/>
              <w:left w:val="outset" w:sz="6" w:space="0" w:color="414142"/>
              <w:bottom w:val="outset" w:sz="6" w:space="0" w:color="414142"/>
              <w:right w:val="outset" w:sz="6" w:space="0" w:color="414142"/>
            </w:tcBorders>
            <w:hideMark/>
          </w:tcPr>
          <w:p w14:paraId="7BD2261E" w14:textId="1FCD6428" w:rsidR="006B2EB6" w:rsidRPr="00B42BC1" w:rsidRDefault="000144DE" w:rsidP="00A030D7">
            <w:pPr>
              <w:widowControl/>
              <w:spacing w:after="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Sabiedrības līdzdalība plānota ar nevalstisko organizāciju starpniecību, izskatot likumprojektu un tā izmaiņas tiesību akta </w:t>
            </w:r>
            <w:r w:rsidR="00A27A90" w:rsidRPr="00B42BC1">
              <w:rPr>
                <w:rFonts w:ascii="Times New Roman" w:eastAsia="Times New Roman" w:hAnsi="Times New Roman"/>
                <w:color w:val="000000" w:themeColor="text1"/>
                <w:sz w:val="24"/>
                <w:szCs w:val="24"/>
                <w:lang w:val="lv-LV" w:eastAsia="lv-LV"/>
              </w:rPr>
              <w:t>pieņemšanas procesā darba grupā</w:t>
            </w:r>
            <w:r w:rsidR="00A030D7" w:rsidRPr="00B42BC1">
              <w:rPr>
                <w:rFonts w:ascii="Times New Roman" w:eastAsia="Times New Roman" w:hAnsi="Times New Roman"/>
                <w:color w:val="000000" w:themeColor="text1"/>
                <w:sz w:val="24"/>
                <w:szCs w:val="24"/>
                <w:lang w:val="lv-LV" w:eastAsia="lv-LV"/>
              </w:rPr>
              <w:t xml:space="preserve"> (kopumā organizētas vairāk </w:t>
            </w:r>
            <w:r w:rsidR="00A030D7" w:rsidRPr="00B42BC1">
              <w:rPr>
                <w:rFonts w:ascii="Times New Roman" w:eastAsia="Times New Roman" w:hAnsi="Times New Roman"/>
                <w:color w:val="000000" w:themeColor="text1"/>
                <w:sz w:val="24"/>
                <w:szCs w:val="24"/>
                <w:lang w:val="lv-LV" w:eastAsia="lv-LV"/>
              </w:rPr>
              <w:lastRenderedPageBreak/>
              <w:t xml:space="preserve">kā 20 darba grupas sēdes) </w:t>
            </w:r>
            <w:r w:rsidR="00A27A90" w:rsidRPr="00B42BC1">
              <w:rPr>
                <w:rFonts w:ascii="Times New Roman" w:eastAsia="Times New Roman" w:hAnsi="Times New Roman"/>
                <w:color w:val="000000" w:themeColor="text1"/>
                <w:sz w:val="24"/>
                <w:szCs w:val="24"/>
                <w:lang w:val="lv-LV" w:eastAsia="lv-LV"/>
              </w:rPr>
              <w:t>un starpinstitūciju sanāksmēs.</w:t>
            </w:r>
            <w:r w:rsidR="00077760" w:rsidRPr="00B42BC1">
              <w:rPr>
                <w:rFonts w:ascii="Times New Roman" w:eastAsia="Times New Roman" w:hAnsi="Times New Roman"/>
                <w:color w:val="000000" w:themeColor="text1"/>
                <w:sz w:val="24"/>
                <w:szCs w:val="24"/>
                <w:lang w:val="lv-LV" w:eastAsia="lv-LV"/>
              </w:rPr>
              <w:t xml:space="preserve"> Kopš likumprojektu izstrādes pirmsākumiem to izstrādē plaši tika iesaistītas ne vien valsts pārvaldes iestādes, bet arī nevalstiskās organizācijas un sociālie partneri. Tāpat darba grupā tika aicināti piedalīties arī darba grupas sastāvā neiekļauto nevalstisko organizāciju pārstāvji, kas izradīja šādu interesi likumprojektu izstrādes gaitā. Līdz ar to darba grupas sēdēs piedalījās pārstāvji no Iepirkumu uzraudzības biroja, Valsts kancelejas, Tieslietu ministrijas, Ekonomikas ministrijas, Iekšlietu ministrijas, Labklājības ministrijas, Zemkopības ministrijas, Satiksmes ministrijas, Nodrošinājuma valsts aģentūras, Valsts reģionālās attīstības aģentūras, Valsts ugunsdzēsības un glābšanas dienesta, Valsts darba inspekcijas, Pilsonības un migrācijas lietu pārvaldes, Rīgas brīvostas pārvaldes, Liepājas speciālās ekonomiskās zonas pārvaldes, VAS “Latvijas Valsts meži”, Latvijas Pašvaldību savienības, Ārvalstu investoru padomes Latvijā, Latvijas Darba devēju konfederācijas, Latvijas Tirdzniecības un rūpniecības kameras, Latvijas Arhitektu Savienības, biedrības “Būvniecības attīstības stratēģiskā partnerība”, biedrības “Latvijas celtnieku arodbiedrība”, biedrības “Latvijas Informācijas un komunikācijas tehnoloģijas asociācija”, Latvijas Zvērinātu revidentu asociācijas, Latvijas būvnieku asociācijas, Latvijas Brīvo Arodbiedrību Savienības un biedrības “Latvijas būvuzņēmēju partnerība”.</w:t>
            </w:r>
          </w:p>
        </w:tc>
      </w:tr>
      <w:tr w:rsidR="00B42BC1" w:rsidRPr="00B42BC1" w14:paraId="78A761AC" w14:textId="77777777" w:rsidTr="00244C96">
        <w:trPr>
          <w:trHeight w:val="465"/>
        </w:trPr>
        <w:tc>
          <w:tcPr>
            <w:tcW w:w="472" w:type="dxa"/>
            <w:tcBorders>
              <w:top w:val="outset" w:sz="6" w:space="0" w:color="414142"/>
              <w:left w:val="outset" w:sz="6" w:space="0" w:color="414142"/>
              <w:bottom w:val="outset" w:sz="6" w:space="0" w:color="414142"/>
              <w:right w:val="outset" w:sz="6" w:space="0" w:color="414142"/>
            </w:tcBorders>
            <w:hideMark/>
          </w:tcPr>
          <w:p w14:paraId="41900D67"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3.</w:t>
            </w:r>
          </w:p>
        </w:tc>
        <w:tc>
          <w:tcPr>
            <w:tcW w:w="2828" w:type="dxa"/>
            <w:tcBorders>
              <w:top w:val="outset" w:sz="6" w:space="0" w:color="414142"/>
              <w:left w:val="outset" w:sz="6" w:space="0" w:color="414142"/>
              <w:bottom w:val="outset" w:sz="6" w:space="0" w:color="414142"/>
              <w:right w:val="outset" w:sz="6" w:space="0" w:color="414142"/>
            </w:tcBorders>
            <w:hideMark/>
          </w:tcPr>
          <w:p w14:paraId="4E5EF7FE"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Sabiedrības līdzdalības rezultāti</w:t>
            </w:r>
          </w:p>
        </w:tc>
        <w:tc>
          <w:tcPr>
            <w:tcW w:w="6128" w:type="dxa"/>
            <w:tcBorders>
              <w:top w:val="outset" w:sz="6" w:space="0" w:color="414142"/>
              <w:left w:val="outset" w:sz="6" w:space="0" w:color="414142"/>
              <w:bottom w:val="outset" w:sz="6" w:space="0" w:color="414142"/>
              <w:right w:val="outset" w:sz="6" w:space="0" w:color="414142"/>
            </w:tcBorders>
            <w:hideMark/>
          </w:tcPr>
          <w:p w14:paraId="2C5CA15E" w14:textId="0635FF91" w:rsidR="006B2EB6" w:rsidRPr="00B42BC1" w:rsidRDefault="00295244" w:rsidP="00172ED2">
            <w:pPr>
              <w:widowControl/>
              <w:spacing w:after="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Likumprojektā ietverti darba devē</w:t>
            </w:r>
            <w:r w:rsidR="00527AE1" w:rsidRPr="00B42BC1">
              <w:rPr>
                <w:rFonts w:ascii="Times New Roman" w:eastAsia="Times New Roman" w:hAnsi="Times New Roman"/>
                <w:color w:val="000000" w:themeColor="text1"/>
                <w:sz w:val="24"/>
                <w:szCs w:val="24"/>
                <w:lang w:val="lv-LV" w:eastAsia="lv-LV"/>
              </w:rPr>
              <w:t>ju un arodbiedrību priekšlikumi</w:t>
            </w:r>
            <w:r w:rsidR="00172ED2" w:rsidRPr="00B42BC1">
              <w:rPr>
                <w:rFonts w:ascii="Times New Roman" w:eastAsia="Times New Roman" w:hAnsi="Times New Roman"/>
                <w:color w:val="000000" w:themeColor="text1"/>
                <w:sz w:val="24"/>
                <w:szCs w:val="24"/>
                <w:lang w:val="lv-LV" w:eastAsia="lv-LV"/>
              </w:rPr>
              <w:t>.</w:t>
            </w:r>
            <w:r w:rsidRPr="00B42BC1">
              <w:rPr>
                <w:rFonts w:ascii="Times New Roman" w:eastAsia="Times New Roman" w:hAnsi="Times New Roman"/>
                <w:color w:val="000000" w:themeColor="text1"/>
                <w:sz w:val="24"/>
                <w:szCs w:val="24"/>
                <w:lang w:val="lv-LV" w:eastAsia="lv-LV"/>
              </w:rPr>
              <w:t xml:space="preserve"> </w:t>
            </w:r>
            <w:r w:rsidR="006F4A6D" w:rsidRPr="00B42BC1">
              <w:rPr>
                <w:rFonts w:ascii="Times New Roman" w:eastAsia="Times New Roman" w:hAnsi="Times New Roman"/>
                <w:color w:val="000000" w:themeColor="text1"/>
                <w:sz w:val="24"/>
                <w:szCs w:val="24"/>
                <w:lang w:val="lv-LV" w:eastAsia="lv-LV"/>
              </w:rPr>
              <w:t xml:space="preserve">Jautājumos, kuros kompromiss netika panākts, plānots, ka tiks turpinātas diskusijas </w:t>
            </w:r>
            <w:r w:rsidR="00172ED2" w:rsidRPr="00B42BC1">
              <w:rPr>
                <w:rFonts w:ascii="Times New Roman" w:eastAsia="Times New Roman" w:hAnsi="Times New Roman"/>
                <w:color w:val="000000" w:themeColor="text1"/>
                <w:sz w:val="24"/>
                <w:szCs w:val="24"/>
                <w:lang w:val="lv-LV" w:eastAsia="lv-LV"/>
              </w:rPr>
              <w:t>likumprojekta pieņemšanas gaitā.</w:t>
            </w:r>
            <w:r w:rsidR="006F4A6D" w:rsidRPr="00B42BC1">
              <w:rPr>
                <w:rFonts w:ascii="Times New Roman" w:eastAsia="Times New Roman" w:hAnsi="Times New Roman"/>
                <w:color w:val="000000" w:themeColor="text1"/>
                <w:sz w:val="24"/>
                <w:szCs w:val="24"/>
                <w:lang w:val="lv-LV" w:eastAsia="lv-LV"/>
              </w:rPr>
              <w:t xml:space="preserve"> </w:t>
            </w:r>
          </w:p>
        </w:tc>
      </w:tr>
      <w:tr w:rsidR="006B2EB6" w:rsidRPr="00B42BC1" w14:paraId="5965756B" w14:textId="77777777" w:rsidTr="00244C96">
        <w:trPr>
          <w:trHeight w:val="465"/>
        </w:trPr>
        <w:tc>
          <w:tcPr>
            <w:tcW w:w="472" w:type="dxa"/>
            <w:tcBorders>
              <w:top w:val="outset" w:sz="6" w:space="0" w:color="414142"/>
              <w:left w:val="outset" w:sz="6" w:space="0" w:color="414142"/>
              <w:bottom w:val="outset" w:sz="6" w:space="0" w:color="414142"/>
              <w:right w:val="outset" w:sz="6" w:space="0" w:color="414142"/>
            </w:tcBorders>
            <w:hideMark/>
          </w:tcPr>
          <w:p w14:paraId="485AEB1C"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4.</w:t>
            </w:r>
          </w:p>
        </w:tc>
        <w:tc>
          <w:tcPr>
            <w:tcW w:w="2828" w:type="dxa"/>
            <w:tcBorders>
              <w:top w:val="outset" w:sz="6" w:space="0" w:color="414142"/>
              <w:left w:val="outset" w:sz="6" w:space="0" w:color="414142"/>
              <w:bottom w:val="outset" w:sz="6" w:space="0" w:color="414142"/>
              <w:right w:val="outset" w:sz="6" w:space="0" w:color="414142"/>
            </w:tcBorders>
            <w:hideMark/>
          </w:tcPr>
          <w:p w14:paraId="62FA731A"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Cita informācija</w:t>
            </w:r>
          </w:p>
        </w:tc>
        <w:tc>
          <w:tcPr>
            <w:tcW w:w="6128" w:type="dxa"/>
            <w:tcBorders>
              <w:top w:val="outset" w:sz="6" w:space="0" w:color="414142"/>
              <w:left w:val="outset" w:sz="6" w:space="0" w:color="414142"/>
              <w:bottom w:val="outset" w:sz="6" w:space="0" w:color="414142"/>
              <w:right w:val="outset" w:sz="6" w:space="0" w:color="414142"/>
            </w:tcBorders>
            <w:hideMark/>
          </w:tcPr>
          <w:p w14:paraId="3D1E95CC" w14:textId="77777777" w:rsidR="006B2EB6" w:rsidRPr="00B42BC1" w:rsidRDefault="006B2EB6" w:rsidP="00244C96">
            <w:pPr>
              <w:widowControl/>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w:t>
            </w:r>
          </w:p>
        </w:tc>
      </w:tr>
    </w:tbl>
    <w:p w14:paraId="2456808F" w14:textId="77777777" w:rsidR="006B2EB6" w:rsidRPr="00B42BC1" w:rsidRDefault="006B2EB6" w:rsidP="006B2EB6">
      <w:pPr>
        <w:widowControl/>
        <w:spacing w:after="0" w:line="240" w:lineRule="auto"/>
        <w:rPr>
          <w:rFonts w:ascii="Times New Roman" w:eastAsia="Times New Roman" w:hAnsi="Times New Roman"/>
          <w:color w:val="000000" w:themeColor="text1"/>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B42BC1" w:rsidRPr="00B42BC1" w14:paraId="6FF574AD" w14:textId="77777777" w:rsidTr="007B582E">
        <w:trPr>
          <w:trHeight w:val="37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58EBD00" w14:textId="77777777" w:rsidR="00E266F9" w:rsidRPr="00B42BC1" w:rsidRDefault="00E266F9" w:rsidP="007B582E">
            <w:pPr>
              <w:spacing w:after="0" w:line="240" w:lineRule="auto"/>
              <w:ind w:firstLine="300"/>
              <w:jc w:val="center"/>
              <w:rPr>
                <w:rFonts w:ascii="Times New Roman" w:eastAsia="Times New Roman" w:hAnsi="Times New Roman"/>
                <w:b/>
                <w:bCs/>
                <w:color w:val="000000" w:themeColor="text1"/>
                <w:sz w:val="24"/>
                <w:szCs w:val="24"/>
                <w:lang w:val="lv-LV" w:eastAsia="lv-LV"/>
              </w:rPr>
            </w:pPr>
            <w:r w:rsidRPr="00B42BC1">
              <w:rPr>
                <w:rFonts w:ascii="Times New Roman" w:eastAsia="Times New Roman" w:hAnsi="Times New Roman"/>
                <w:b/>
                <w:bCs/>
                <w:color w:val="000000" w:themeColor="text1"/>
                <w:sz w:val="24"/>
                <w:szCs w:val="24"/>
                <w:lang w:val="lv-LV" w:eastAsia="lv-LV"/>
              </w:rPr>
              <w:t>VII. Tiesību akta projekta izpildes nodrošināšana un tās ietekme uz institūcijām</w:t>
            </w:r>
          </w:p>
        </w:tc>
      </w:tr>
      <w:tr w:rsidR="00B42BC1" w:rsidRPr="00B42BC1" w14:paraId="50116B59" w14:textId="77777777" w:rsidTr="007B582E">
        <w:trPr>
          <w:trHeight w:val="420"/>
        </w:trPr>
        <w:tc>
          <w:tcPr>
            <w:tcW w:w="1900" w:type="pct"/>
            <w:tcBorders>
              <w:top w:val="outset" w:sz="6" w:space="0" w:color="414142"/>
              <w:left w:val="outset" w:sz="6" w:space="0" w:color="414142"/>
              <w:bottom w:val="outset" w:sz="6" w:space="0" w:color="414142"/>
              <w:right w:val="outset" w:sz="6" w:space="0" w:color="414142"/>
            </w:tcBorders>
            <w:hideMark/>
          </w:tcPr>
          <w:p w14:paraId="3689FC39" w14:textId="77777777" w:rsidR="00E266F9" w:rsidRPr="00B42BC1" w:rsidRDefault="00E266F9" w:rsidP="007B582E">
            <w:pPr>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69DD56C" w14:textId="77777777" w:rsidR="00E266F9" w:rsidRPr="00B42BC1" w:rsidRDefault="00410E69" w:rsidP="007B582E">
            <w:pPr>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Iepirkumu uzraudzības birojs, Valsts reģionālās attīstības aģentūra</w:t>
            </w:r>
            <w:r w:rsidR="0025295E" w:rsidRPr="00B42BC1">
              <w:rPr>
                <w:rFonts w:ascii="Times New Roman" w:eastAsia="Times New Roman" w:hAnsi="Times New Roman"/>
                <w:color w:val="000000" w:themeColor="text1"/>
                <w:sz w:val="24"/>
                <w:szCs w:val="24"/>
                <w:lang w:val="lv-LV" w:eastAsia="lv-LV"/>
              </w:rPr>
              <w:t>, Valsts ieņēmumu dienests</w:t>
            </w:r>
          </w:p>
        </w:tc>
      </w:tr>
      <w:tr w:rsidR="00B42BC1" w:rsidRPr="00B42BC1" w14:paraId="04C7DA7D" w14:textId="77777777" w:rsidTr="007B582E">
        <w:trPr>
          <w:trHeight w:val="450"/>
        </w:trPr>
        <w:tc>
          <w:tcPr>
            <w:tcW w:w="1900" w:type="pct"/>
            <w:tcBorders>
              <w:top w:val="outset" w:sz="6" w:space="0" w:color="414142"/>
              <w:left w:val="outset" w:sz="6" w:space="0" w:color="414142"/>
              <w:bottom w:val="outset" w:sz="6" w:space="0" w:color="414142"/>
              <w:right w:val="outset" w:sz="6" w:space="0" w:color="414142"/>
            </w:tcBorders>
            <w:hideMark/>
          </w:tcPr>
          <w:p w14:paraId="47500A60" w14:textId="77777777" w:rsidR="00E266F9" w:rsidRPr="00B42BC1" w:rsidRDefault="00E266F9" w:rsidP="007B582E">
            <w:pPr>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Projekta izpildes ietekme uz pārvaldes funkcijām un institucionālo struktūru. </w:t>
            </w:r>
          </w:p>
          <w:p w14:paraId="64AAE4EE" w14:textId="77777777" w:rsidR="00E266F9" w:rsidRPr="00B42BC1" w:rsidRDefault="00E266F9" w:rsidP="007B582E">
            <w:pPr>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B1D796C" w14:textId="7DA3E147" w:rsidR="00E266F9" w:rsidRPr="00B42BC1" w:rsidRDefault="00E266F9" w:rsidP="006E2A4E">
            <w:pPr>
              <w:spacing w:after="0" w:line="240" w:lineRule="auto"/>
              <w:jc w:val="both"/>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 xml:space="preserve">Jaunas institūcijas veidotas netiek; </w:t>
            </w:r>
            <w:r w:rsidR="00FD736E" w:rsidRPr="00B42BC1">
              <w:rPr>
                <w:rFonts w:ascii="Times New Roman" w:eastAsia="Times New Roman" w:hAnsi="Times New Roman"/>
                <w:color w:val="000000" w:themeColor="text1"/>
                <w:sz w:val="24"/>
                <w:szCs w:val="24"/>
                <w:lang w:val="lv-LV" w:eastAsia="lv-LV"/>
              </w:rPr>
              <w:t xml:space="preserve">Iepirkumu uzraudzības birojam un Valsts ieņēmumu dienestam </w:t>
            </w:r>
            <w:r w:rsidRPr="00B42BC1">
              <w:rPr>
                <w:rFonts w:ascii="Times New Roman" w:eastAsia="Times New Roman" w:hAnsi="Times New Roman"/>
                <w:color w:val="000000" w:themeColor="text1"/>
                <w:sz w:val="24"/>
                <w:szCs w:val="24"/>
                <w:lang w:val="lv-LV" w:eastAsia="lv-LV"/>
              </w:rPr>
              <w:t>funkc</w:t>
            </w:r>
            <w:r w:rsidR="001E41A1" w:rsidRPr="00B42BC1">
              <w:rPr>
                <w:rFonts w:ascii="Times New Roman" w:eastAsia="Times New Roman" w:hAnsi="Times New Roman"/>
                <w:color w:val="000000" w:themeColor="text1"/>
                <w:sz w:val="24"/>
                <w:szCs w:val="24"/>
                <w:lang w:val="lv-LV" w:eastAsia="lv-LV"/>
              </w:rPr>
              <w:t>iju un uzdevumu apjoms nemainās, taču atsevišķi uzdevumi tiek precizēti.</w:t>
            </w:r>
            <w:r w:rsidRPr="00B42BC1">
              <w:rPr>
                <w:rFonts w:ascii="Times New Roman" w:eastAsia="Times New Roman" w:hAnsi="Times New Roman"/>
                <w:color w:val="000000" w:themeColor="text1"/>
                <w:sz w:val="24"/>
                <w:szCs w:val="24"/>
                <w:lang w:val="lv-LV" w:eastAsia="lv-LV"/>
              </w:rPr>
              <w:t xml:space="preserve"> </w:t>
            </w:r>
            <w:r w:rsidR="006E2A4E" w:rsidRPr="00B42BC1">
              <w:rPr>
                <w:rFonts w:ascii="Times New Roman" w:eastAsia="Times New Roman" w:hAnsi="Times New Roman"/>
                <w:color w:val="000000" w:themeColor="text1"/>
                <w:sz w:val="24"/>
                <w:szCs w:val="24"/>
                <w:lang w:val="lv-LV" w:eastAsia="lv-LV"/>
              </w:rPr>
              <w:t xml:space="preserve">Tiek paplašinātas Valsts reģionālās attīstības aģentūras funkcijas ar elektroniskās informācijas sistēmas nodrošināšanu pieteikumu un piedāvājumu elektroniskai iesniegšanai. Minētās funkcijas pilnīgai ieviešanai </w:t>
            </w:r>
            <w:r w:rsidR="00CE39D5" w:rsidRPr="00B42BC1">
              <w:rPr>
                <w:rFonts w:ascii="Times New Roman" w:eastAsia="Times New Roman" w:hAnsi="Times New Roman"/>
                <w:color w:val="000000" w:themeColor="text1"/>
                <w:sz w:val="24"/>
                <w:szCs w:val="24"/>
                <w:lang w:val="lv-LV" w:eastAsia="lv-LV"/>
              </w:rPr>
              <w:t xml:space="preserve">ir nepieciešami papildu cilvēkresursi (tiks nodrošināti Vides aizsardzības un reģionālās attīstības ministrijas resora ietvaros, nepalielinot amata vietu skaitu resorā) un finansējums, kurš tiks </w:t>
            </w:r>
            <w:r w:rsidR="00A96480" w:rsidRPr="00B42BC1">
              <w:rPr>
                <w:rFonts w:ascii="Times New Roman" w:eastAsia="Times New Roman" w:hAnsi="Times New Roman"/>
                <w:color w:val="000000" w:themeColor="text1"/>
                <w:sz w:val="24"/>
                <w:szCs w:val="24"/>
                <w:lang w:val="lv-LV" w:eastAsia="lv-LV"/>
              </w:rPr>
              <w:t xml:space="preserve">pieprasīts Ministru kabinetā likumprojekta „Par vidēja termiņa budžeta ietvaru 2017., 2018. un 2019.gadam” un likumprojekta „Par valsts budžetu 2017.gadam”  sagatavošanas procesā  kopā ar visu ministriju un citu centrālo valsts iestāžu jauno </w:t>
            </w:r>
            <w:r w:rsidR="00A96480" w:rsidRPr="00B42BC1">
              <w:rPr>
                <w:rFonts w:ascii="Times New Roman" w:eastAsia="Times New Roman" w:hAnsi="Times New Roman"/>
                <w:color w:val="000000" w:themeColor="text1"/>
                <w:sz w:val="24"/>
                <w:szCs w:val="24"/>
                <w:lang w:val="lv-LV" w:eastAsia="lv-LV"/>
              </w:rPr>
              <w:lastRenderedPageBreak/>
              <w:t>politikas iniciatīvu pieteikumiem, ievērojot valsts budžeta finansiālās iespējas.</w:t>
            </w:r>
            <w:r w:rsidR="006E2A4E" w:rsidRPr="00B42BC1">
              <w:rPr>
                <w:rFonts w:ascii="Times New Roman" w:eastAsia="Times New Roman" w:hAnsi="Times New Roman"/>
                <w:color w:val="000000" w:themeColor="text1"/>
                <w:sz w:val="24"/>
                <w:szCs w:val="24"/>
                <w:lang w:val="lv-LV" w:eastAsia="lv-LV"/>
              </w:rPr>
              <w:t xml:space="preserve"> </w:t>
            </w:r>
          </w:p>
        </w:tc>
      </w:tr>
      <w:tr w:rsidR="00E266F9" w:rsidRPr="00B42BC1" w14:paraId="5BA439A8" w14:textId="77777777" w:rsidTr="007B582E">
        <w:trPr>
          <w:trHeight w:val="138"/>
        </w:trPr>
        <w:tc>
          <w:tcPr>
            <w:tcW w:w="1900" w:type="pct"/>
            <w:tcBorders>
              <w:top w:val="outset" w:sz="6" w:space="0" w:color="414142"/>
              <w:left w:val="outset" w:sz="6" w:space="0" w:color="414142"/>
              <w:bottom w:val="outset" w:sz="6" w:space="0" w:color="414142"/>
              <w:right w:val="outset" w:sz="6" w:space="0" w:color="414142"/>
            </w:tcBorders>
            <w:hideMark/>
          </w:tcPr>
          <w:p w14:paraId="02158E02" w14:textId="77777777" w:rsidR="00E266F9" w:rsidRPr="00B42BC1" w:rsidRDefault="00E266F9" w:rsidP="007B582E">
            <w:pPr>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lastRenderedPageBreak/>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FF596BB" w14:textId="77777777" w:rsidR="00E266F9" w:rsidRPr="00B42BC1" w:rsidRDefault="00E266F9" w:rsidP="007B582E">
            <w:pPr>
              <w:spacing w:after="0" w:line="240" w:lineRule="auto"/>
              <w:rPr>
                <w:rFonts w:ascii="Times New Roman" w:eastAsia="Times New Roman" w:hAnsi="Times New Roman"/>
                <w:color w:val="000000" w:themeColor="text1"/>
                <w:sz w:val="24"/>
                <w:szCs w:val="24"/>
                <w:lang w:val="lv-LV" w:eastAsia="lv-LV"/>
              </w:rPr>
            </w:pPr>
            <w:r w:rsidRPr="00B42BC1">
              <w:rPr>
                <w:rFonts w:ascii="Times New Roman" w:eastAsia="Times New Roman" w:hAnsi="Times New Roman"/>
                <w:color w:val="000000" w:themeColor="text1"/>
                <w:sz w:val="24"/>
                <w:szCs w:val="24"/>
                <w:lang w:val="lv-LV" w:eastAsia="lv-LV"/>
              </w:rPr>
              <w:t>Nav.</w:t>
            </w:r>
          </w:p>
        </w:tc>
      </w:tr>
    </w:tbl>
    <w:p w14:paraId="4644DBF1" w14:textId="77777777" w:rsidR="00E266F9" w:rsidRPr="00B42BC1" w:rsidRDefault="00E266F9" w:rsidP="006B2EB6">
      <w:pPr>
        <w:widowControl/>
        <w:spacing w:after="0" w:line="240" w:lineRule="auto"/>
        <w:rPr>
          <w:rFonts w:ascii="Times New Roman" w:eastAsia="Times New Roman" w:hAnsi="Times New Roman"/>
          <w:color w:val="000000" w:themeColor="text1"/>
          <w:sz w:val="24"/>
          <w:szCs w:val="24"/>
          <w:lang w:val="lv-LV" w:eastAsia="lv-LV"/>
        </w:rPr>
      </w:pPr>
    </w:p>
    <w:p w14:paraId="5AB67455" w14:textId="77777777" w:rsidR="00EB3F20" w:rsidRPr="00B42BC1" w:rsidRDefault="00EB3F20" w:rsidP="00954A9E">
      <w:pPr>
        <w:pStyle w:val="NoSpacing"/>
        <w:jc w:val="both"/>
        <w:rPr>
          <w:rFonts w:ascii="Times New Roman" w:hAnsi="Times New Roman"/>
          <w:color w:val="000000" w:themeColor="text1"/>
          <w:sz w:val="24"/>
          <w:szCs w:val="24"/>
        </w:rPr>
      </w:pPr>
    </w:p>
    <w:p w14:paraId="0369037D" w14:textId="42753B0A" w:rsidR="00BC285E" w:rsidRPr="00BC285E" w:rsidRDefault="00BC285E" w:rsidP="00BC285E">
      <w:pPr>
        <w:pStyle w:val="NoSpacing"/>
        <w:jc w:val="both"/>
        <w:rPr>
          <w:rFonts w:ascii="Times New Roman" w:eastAsia="Times New Roman" w:hAnsi="Times New Roman"/>
          <w:bCs/>
          <w:color w:val="000000" w:themeColor="text1"/>
          <w:sz w:val="24"/>
          <w:szCs w:val="24"/>
          <w:lang w:eastAsia="lv-LV"/>
        </w:rPr>
      </w:pPr>
      <w:r>
        <w:rPr>
          <w:rFonts w:ascii="Times New Roman" w:eastAsia="Times New Roman" w:hAnsi="Times New Roman"/>
          <w:bCs/>
          <w:color w:val="000000" w:themeColor="text1"/>
          <w:sz w:val="24"/>
          <w:szCs w:val="24"/>
          <w:lang w:eastAsia="lv-LV"/>
        </w:rPr>
        <w:t>F</w:t>
      </w:r>
      <w:r w:rsidRPr="00BC285E">
        <w:rPr>
          <w:rFonts w:ascii="Times New Roman" w:eastAsia="Times New Roman" w:hAnsi="Times New Roman"/>
          <w:bCs/>
          <w:color w:val="000000" w:themeColor="text1"/>
          <w:sz w:val="24"/>
          <w:szCs w:val="24"/>
          <w:lang w:eastAsia="lv-LV"/>
        </w:rPr>
        <w:t xml:space="preserve">inanšu ministres vietā – </w:t>
      </w:r>
    </w:p>
    <w:p w14:paraId="38AE35BE" w14:textId="3E540C0C" w:rsidR="00E266F9" w:rsidRPr="00B42BC1" w:rsidRDefault="00BC285E" w:rsidP="00BC285E">
      <w:pPr>
        <w:pStyle w:val="NoSpacing"/>
        <w:jc w:val="both"/>
        <w:rPr>
          <w:rFonts w:ascii="Times New Roman" w:hAnsi="Times New Roman"/>
          <w:color w:val="000000" w:themeColor="text1"/>
          <w:sz w:val="24"/>
          <w:szCs w:val="24"/>
        </w:rPr>
      </w:pPr>
      <w:r w:rsidRPr="00BC285E">
        <w:rPr>
          <w:rFonts w:ascii="Times New Roman" w:eastAsia="Times New Roman" w:hAnsi="Times New Roman"/>
          <w:bCs/>
          <w:color w:val="000000" w:themeColor="text1"/>
          <w:sz w:val="24"/>
          <w:szCs w:val="24"/>
          <w:lang w:eastAsia="lv-LV"/>
        </w:rPr>
        <w:t xml:space="preserve">aizsardzības ministrs </w:t>
      </w:r>
      <w:r w:rsidRPr="00BC285E">
        <w:rPr>
          <w:rFonts w:ascii="Times New Roman" w:eastAsia="Times New Roman" w:hAnsi="Times New Roman"/>
          <w:bCs/>
          <w:color w:val="000000" w:themeColor="text1"/>
          <w:sz w:val="24"/>
          <w:szCs w:val="24"/>
          <w:lang w:eastAsia="lv-LV"/>
        </w:rPr>
        <w:tab/>
      </w:r>
      <w:r w:rsidRPr="00BC285E">
        <w:rPr>
          <w:rFonts w:ascii="Times New Roman" w:eastAsia="Times New Roman" w:hAnsi="Times New Roman"/>
          <w:bCs/>
          <w:color w:val="000000" w:themeColor="text1"/>
          <w:sz w:val="24"/>
          <w:szCs w:val="24"/>
          <w:lang w:eastAsia="lv-LV"/>
        </w:rPr>
        <w:tab/>
      </w:r>
      <w:r w:rsidRPr="00BC285E">
        <w:rPr>
          <w:rFonts w:ascii="Times New Roman" w:eastAsia="Times New Roman" w:hAnsi="Times New Roman"/>
          <w:bCs/>
          <w:color w:val="000000" w:themeColor="text1"/>
          <w:sz w:val="24"/>
          <w:szCs w:val="24"/>
          <w:lang w:eastAsia="lv-LV"/>
        </w:rPr>
        <w:tab/>
      </w:r>
      <w:r w:rsidRPr="00BC285E">
        <w:rPr>
          <w:rFonts w:ascii="Times New Roman" w:eastAsia="Times New Roman" w:hAnsi="Times New Roman"/>
          <w:bCs/>
          <w:color w:val="000000" w:themeColor="text1"/>
          <w:sz w:val="24"/>
          <w:szCs w:val="24"/>
          <w:lang w:eastAsia="lv-LV"/>
        </w:rPr>
        <w:tab/>
      </w:r>
      <w:r w:rsidRPr="00BC285E">
        <w:rPr>
          <w:rFonts w:ascii="Times New Roman" w:eastAsia="Times New Roman" w:hAnsi="Times New Roman"/>
          <w:bCs/>
          <w:color w:val="000000" w:themeColor="text1"/>
          <w:sz w:val="24"/>
          <w:szCs w:val="24"/>
          <w:lang w:eastAsia="lv-LV"/>
        </w:rPr>
        <w:tab/>
        <w:t xml:space="preserve">           </w:t>
      </w:r>
      <w:r w:rsidR="004E271B">
        <w:rPr>
          <w:rFonts w:ascii="Times New Roman" w:eastAsia="Times New Roman" w:hAnsi="Times New Roman"/>
          <w:bCs/>
          <w:color w:val="000000" w:themeColor="text1"/>
          <w:sz w:val="24"/>
          <w:szCs w:val="24"/>
          <w:lang w:eastAsia="lv-LV"/>
        </w:rPr>
        <w:t xml:space="preserve">                             R. </w:t>
      </w:r>
      <w:bookmarkStart w:id="0" w:name="_GoBack"/>
      <w:bookmarkEnd w:id="0"/>
      <w:r w:rsidRPr="00BC285E">
        <w:rPr>
          <w:rFonts w:ascii="Times New Roman" w:eastAsia="Times New Roman" w:hAnsi="Times New Roman"/>
          <w:bCs/>
          <w:color w:val="000000" w:themeColor="text1"/>
          <w:sz w:val="24"/>
          <w:szCs w:val="24"/>
          <w:lang w:eastAsia="lv-LV"/>
        </w:rPr>
        <w:t>Bergmanis</w:t>
      </w:r>
    </w:p>
    <w:p w14:paraId="0E507AB1" w14:textId="77777777" w:rsidR="00E266F9" w:rsidRPr="00B42BC1" w:rsidRDefault="00E266F9" w:rsidP="00954A9E">
      <w:pPr>
        <w:shd w:val="clear" w:color="auto" w:fill="FFFFFF" w:themeFill="background1"/>
        <w:spacing w:after="0" w:line="240" w:lineRule="auto"/>
        <w:jc w:val="both"/>
        <w:rPr>
          <w:rFonts w:ascii="Times New Roman" w:eastAsia="Times New Roman" w:hAnsi="Times New Roman"/>
          <w:color w:val="000000" w:themeColor="text1"/>
          <w:sz w:val="24"/>
          <w:szCs w:val="24"/>
          <w:lang w:val="lv-LV" w:eastAsia="lv-LV"/>
        </w:rPr>
      </w:pPr>
    </w:p>
    <w:p w14:paraId="407F8269" w14:textId="77777777" w:rsidR="00E266F9" w:rsidRPr="00B42BC1" w:rsidRDefault="00E266F9" w:rsidP="00954A9E">
      <w:pPr>
        <w:spacing w:after="0" w:line="240" w:lineRule="auto"/>
        <w:rPr>
          <w:rFonts w:ascii="Times New Roman" w:eastAsia="Times New Roman" w:hAnsi="Times New Roman"/>
          <w:color w:val="000000" w:themeColor="text1"/>
          <w:sz w:val="24"/>
          <w:szCs w:val="24"/>
          <w:lang w:val="lv-LV" w:eastAsia="lv-LV"/>
        </w:rPr>
      </w:pPr>
    </w:p>
    <w:p w14:paraId="76BAD321" w14:textId="77777777" w:rsidR="00E266F9" w:rsidRPr="00B42BC1" w:rsidRDefault="00E266F9" w:rsidP="00954A9E">
      <w:pPr>
        <w:spacing w:after="0" w:line="240" w:lineRule="auto"/>
        <w:rPr>
          <w:rFonts w:ascii="Times New Roman" w:eastAsia="Times New Roman" w:hAnsi="Times New Roman"/>
          <w:color w:val="000000" w:themeColor="text1"/>
          <w:sz w:val="24"/>
          <w:szCs w:val="24"/>
          <w:lang w:val="lv-LV" w:eastAsia="lv-LV"/>
        </w:rPr>
      </w:pPr>
    </w:p>
    <w:p w14:paraId="784282C9" w14:textId="65B6A028" w:rsidR="00E266F9" w:rsidRPr="00B42BC1" w:rsidRDefault="001077A7" w:rsidP="00E266F9">
      <w:pPr>
        <w:spacing w:after="0" w:line="240" w:lineRule="auto"/>
        <w:rPr>
          <w:rFonts w:ascii="Times New Roman" w:eastAsia="Times New Roman" w:hAnsi="Times New Roman"/>
          <w:color w:val="000000" w:themeColor="text1"/>
          <w:sz w:val="20"/>
          <w:szCs w:val="20"/>
          <w:lang w:val="lv-LV" w:eastAsia="lv-LV"/>
        </w:rPr>
      </w:pPr>
      <w:r>
        <w:rPr>
          <w:rFonts w:ascii="Times New Roman" w:eastAsia="Times New Roman" w:hAnsi="Times New Roman"/>
          <w:color w:val="000000" w:themeColor="text1"/>
          <w:sz w:val="20"/>
          <w:szCs w:val="20"/>
          <w:lang w:val="lv-LV" w:eastAsia="lv-LV"/>
        </w:rPr>
        <w:t>16.06</w:t>
      </w:r>
      <w:r w:rsidR="00806003" w:rsidRPr="00B42BC1">
        <w:rPr>
          <w:rFonts w:ascii="Times New Roman" w:eastAsia="Times New Roman" w:hAnsi="Times New Roman"/>
          <w:color w:val="000000" w:themeColor="text1"/>
          <w:sz w:val="20"/>
          <w:szCs w:val="20"/>
          <w:lang w:val="lv-LV" w:eastAsia="lv-LV"/>
        </w:rPr>
        <w:t>.2016</w:t>
      </w:r>
      <w:r w:rsidR="00E266F9" w:rsidRPr="00B42BC1">
        <w:rPr>
          <w:rFonts w:ascii="Times New Roman" w:eastAsia="Times New Roman" w:hAnsi="Times New Roman"/>
          <w:color w:val="000000" w:themeColor="text1"/>
          <w:sz w:val="20"/>
          <w:szCs w:val="20"/>
          <w:lang w:val="lv-LV" w:eastAsia="lv-LV"/>
        </w:rPr>
        <w:t xml:space="preserve">. </w:t>
      </w:r>
      <w:r w:rsidR="00B328BB" w:rsidRPr="00B42BC1">
        <w:rPr>
          <w:rFonts w:ascii="Times New Roman" w:eastAsia="Times New Roman" w:hAnsi="Times New Roman"/>
          <w:color w:val="000000" w:themeColor="text1"/>
          <w:sz w:val="20"/>
          <w:szCs w:val="20"/>
          <w:lang w:val="lv-LV" w:eastAsia="lv-LV"/>
        </w:rPr>
        <w:t xml:space="preserve"> </w:t>
      </w:r>
      <w:r w:rsidR="00DC380E">
        <w:rPr>
          <w:rFonts w:ascii="Times New Roman" w:eastAsia="Times New Roman" w:hAnsi="Times New Roman"/>
          <w:color w:val="000000" w:themeColor="text1"/>
          <w:sz w:val="20"/>
          <w:szCs w:val="20"/>
          <w:lang w:val="lv-LV" w:eastAsia="lv-LV"/>
        </w:rPr>
        <w:t>15</w:t>
      </w:r>
      <w:r>
        <w:rPr>
          <w:rFonts w:ascii="Times New Roman" w:eastAsia="Times New Roman" w:hAnsi="Times New Roman"/>
          <w:color w:val="000000" w:themeColor="text1"/>
          <w:sz w:val="20"/>
          <w:szCs w:val="20"/>
          <w:lang w:val="lv-LV" w:eastAsia="lv-LV"/>
        </w:rPr>
        <w:t>:</w:t>
      </w:r>
      <w:r w:rsidR="00BC285E">
        <w:rPr>
          <w:rFonts w:ascii="Times New Roman" w:eastAsia="Times New Roman" w:hAnsi="Times New Roman"/>
          <w:color w:val="000000" w:themeColor="text1"/>
          <w:sz w:val="20"/>
          <w:szCs w:val="20"/>
          <w:lang w:val="lv-LV" w:eastAsia="lv-LV"/>
        </w:rPr>
        <w:t>5</w:t>
      </w:r>
      <w:r w:rsidR="00DC380E">
        <w:rPr>
          <w:rFonts w:ascii="Times New Roman" w:eastAsia="Times New Roman" w:hAnsi="Times New Roman"/>
          <w:color w:val="000000" w:themeColor="text1"/>
          <w:sz w:val="20"/>
          <w:szCs w:val="20"/>
          <w:lang w:val="lv-LV" w:eastAsia="lv-LV"/>
        </w:rPr>
        <w:t>9</w:t>
      </w:r>
    </w:p>
    <w:p w14:paraId="2AA04525" w14:textId="4E7F0EA4" w:rsidR="00806003" w:rsidRPr="00B42BC1" w:rsidRDefault="00BC285E" w:rsidP="00E266F9">
      <w:pPr>
        <w:spacing w:after="0" w:line="240" w:lineRule="auto"/>
        <w:rPr>
          <w:rFonts w:ascii="Times New Roman" w:eastAsia="Times New Roman" w:hAnsi="Times New Roman"/>
          <w:color w:val="000000" w:themeColor="text1"/>
          <w:sz w:val="20"/>
          <w:szCs w:val="20"/>
          <w:lang w:val="lv-LV" w:eastAsia="lv-LV"/>
        </w:rPr>
      </w:pPr>
      <w:r>
        <w:rPr>
          <w:rFonts w:ascii="Times New Roman" w:eastAsia="Times New Roman" w:hAnsi="Times New Roman"/>
          <w:color w:val="000000" w:themeColor="text1"/>
          <w:sz w:val="20"/>
          <w:szCs w:val="20"/>
          <w:lang w:val="lv-LV" w:eastAsia="lv-LV"/>
        </w:rPr>
        <w:t>18808</w:t>
      </w:r>
    </w:p>
    <w:p w14:paraId="6189541D" w14:textId="77777777" w:rsidR="00E266F9" w:rsidRPr="00B42BC1" w:rsidRDefault="00E266F9" w:rsidP="00E266F9">
      <w:pPr>
        <w:spacing w:after="0" w:line="240" w:lineRule="auto"/>
        <w:rPr>
          <w:rFonts w:ascii="Times New Roman" w:eastAsia="Times New Roman" w:hAnsi="Times New Roman"/>
          <w:color w:val="000000" w:themeColor="text1"/>
          <w:sz w:val="20"/>
          <w:szCs w:val="20"/>
          <w:lang w:val="lv-LV" w:eastAsia="lv-LV"/>
        </w:rPr>
      </w:pPr>
      <w:r w:rsidRPr="00B42BC1">
        <w:rPr>
          <w:rFonts w:ascii="Times New Roman" w:eastAsia="Times New Roman" w:hAnsi="Times New Roman"/>
          <w:color w:val="000000" w:themeColor="text1"/>
          <w:sz w:val="20"/>
          <w:szCs w:val="20"/>
          <w:lang w:val="lv-LV" w:eastAsia="lv-LV"/>
        </w:rPr>
        <w:t>L.Neilande</w:t>
      </w:r>
    </w:p>
    <w:p w14:paraId="6C6CB4CC" w14:textId="77777777" w:rsidR="00E266F9" w:rsidRPr="00B42BC1" w:rsidRDefault="00E266F9" w:rsidP="00E266F9">
      <w:pPr>
        <w:spacing w:after="0" w:line="240" w:lineRule="auto"/>
        <w:rPr>
          <w:rFonts w:ascii="Times New Roman" w:eastAsia="Times New Roman" w:hAnsi="Times New Roman"/>
          <w:color w:val="000000" w:themeColor="text1"/>
          <w:sz w:val="20"/>
          <w:szCs w:val="20"/>
          <w:lang w:val="lv-LV" w:eastAsia="lv-LV"/>
        </w:rPr>
      </w:pPr>
      <w:r w:rsidRPr="00B42BC1">
        <w:rPr>
          <w:rFonts w:ascii="Times New Roman" w:eastAsia="Times New Roman" w:hAnsi="Times New Roman"/>
          <w:color w:val="000000" w:themeColor="text1"/>
          <w:sz w:val="20"/>
          <w:szCs w:val="20"/>
          <w:lang w:val="lv-LV" w:eastAsia="lv-LV"/>
        </w:rPr>
        <w:t>67095640, liga.neilande@fm.gov.lv</w:t>
      </w:r>
    </w:p>
    <w:sectPr w:rsidR="00E266F9" w:rsidRPr="00B42BC1" w:rsidSect="00E266F9">
      <w:headerReference w:type="default" r:id="rId8"/>
      <w:footerReference w:type="default" r:id="rId9"/>
      <w:footerReference w:type="first" r:id="rId1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BD780" w14:textId="77777777" w:rsidR="006E79B5" w:rsidRDefault="006E79B5" w:rsidP="00E266F9">
      <w:pPr>
        <w:spacing w:after="0" w:line="240" w:lineRule="auto"/>
      </w:pPr>
      <w:r>
        <w:separator/>
      </w:r>
    </w:p>
  </w:endnote>
  <w:endnote w:type="continuationSeparator" w:id="0">
    <w:p w14:paraId="658DE93D" w14:textId="77777777" w:rsidR="006E79B5" w:rsidRDefault="006E79B5" w:rsidP="00E2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_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323D0" w14:textId="056E596F" w:rsidR="00DC380E" w:rsidRPr="00806003" w:rsidRDefault="00DC380E" w:rsidP="00806003">
    <w:pPr>
      <w:pStyle w:val="Footer"/>
      <w:rPr>
        <w:rFonts w:ascii="Times New Roman" w:hAnsi="Times New Roman"/>
        <w:sz w:val="20"/>
        <w:szCs w:val="20"/>
        <w:lang w:val="lv-LV"/>
      </w:rPr>
    </w:pPr>
    <w:r w:rsidRPr="00806003">
      <w:rPr>
        <w:rFonts w:ascii="Times New Roman" w:hAnsi="Times New Roman"/>
        <w:sz w:val="20"/>
        <w:szCs w:val="20"/>
        <w:lang w:val="lv-LV"/>
      </w:rPr>
      <w:t>FMAnot_</w:t>
    </w:r>
    <w:r>
      <w:rPr>
        <w:rFonts w:ascii="Times New Roman" w:hAnsi="Times New Roman"/>
        <w:sz w:val="20"/>
        <w:szCs w:val="20"/>
        <w:lang w:val="lv-LV"/>
      </w:rPr>
      <w:t>1606</w:t>
    </w:r>
    <w:r w:rsidRPr="00806003">
      <w:rPr>
        <w:rFonts w:ascii="Times New Roman" w:hAnsi="Times New Roman"/>
        <w:sz w:val="20"/>
        <w:szCs w:val="20"/>
        <w:lang w:val="lv-LV"/>
      </w:rPr>
      <w:t xml:space="preserve">16_PIL; </w:t>
    </w:r>
    <w:r w:rsidRPr="00806003">
      <w:rPr>
        <w:rFonts w:ascii="Times New Roman" w:hAnsi="Times New Roman"/>
        <w:color w:val="000000" w:themeColor="text1"/>
        <w:sz w:val="20"/>
        <w:szCs w:val="20"/>
        <w:lang w:val="lv-LV"/>
      </w:rPr>
      <w:t xml:space="preserve">Likumprojekta „Publisko iepirkumu likums ” </w:t>
    </w:r>
    <w:r w:rsidRPr="00806003">
      <w:rPr>
        <w:rFonts w:ascii="Times New Roman" w:eastAsia="Times New Roman" w:hAnsi="Times New Roman"/>
        <w:bCs/>
        <w:color w:val="000000" w:themeColor="text1"/>
        <w:sz w:val="20"/>
        <w:szCs w:val="20"/>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82A1" w14:textId="08EAFEAF" w:rsidR="00DC380E" w:rsidRPr="00806003" w:rsidRDefault="00DC380E">
    <w:pPr>
      <w:pStyle w:val="Footer"/>
      <w:rPr>
        <w:rFonts w:ascii="Times New Roman" w:hAnsi="Times New Roman"/>
        <w:sz w:val="20"/>
        <w:szCs w:val="20"/>
        <w:lang w:val="lv-LV"/>
      </w:rPr>
    </w:pPr>
    <w:r w:rsidRPr="00806003">
      <w:rPr>
        <w:rFonts w:ascii="Times New Roman" w:hAnsi="Times New Roman"/>
        <w:sz w:val="20"/>
        <w:szCs w:val="20"/>
        <w:lang w:val="lv-LV"/>
      </w:rPr>
      <w:t>FMAnot_</w:t>
    </w:r>
    <w:r>
      <w:rPr>
        <w:rFonts w:ascii="Times New Roman" w:hAnsi="Times New Roman"/>
        <w:sz w:val="20"/>
        <w:szCs w:val="20"/>
        <w:lang w:val="lv-LV"/>
      </w:rPr>
      <w:t>16</w:t>
    </w:r>
    <w:r w:rsidRPr="00806003">
      <w:rPr>
        <w:rFonts w:ascii="Times New Roman" w:hAnsi="Times New Roman"/>
        <w:sz w:val="20"/>
        <w:szCs w:val="20"/>
        <w:lang w:val="lv-LV"/>
      </w:rPr>
      <w:t>0</w:t>
    </w:r>
    <w:r>
      <w:rPr>
        <w:rFonts w:ascii="Times New Roman" w:hAnsi="Times New Roman"/>
        <w:sz w:val="20"/>
        <w:szCs w:val="20"/>
        <w:lang w:val="lv-LV"/>
      </w:rPr>
      <w:t>6</w:t>
    </w:r>
    <w:r w:rsidRPr="00806003">
      <w:rPr>
        <w:rFonts w:ascii="Times New Roman" w:hAnsi="Times New Roman"/>
        <w:sz w:val="20"/>
        <w:szCs w:val="20"/>
        <w:lang w:val="lv-LV"/>
      </w:rPr>
      <w:t xml:space="preserve">16_PIL; </w:t>
    </w:r>
    <w:r w:rsidRPr="00806003">
      <w:rPr>
        <w:rFonts w:ascii="Times New Roman" w:hAnsi="Times New Roman"/>
        <w:color w:val="000000" w:themeColor="text1"/>
        <w:sz w:val="20"/>
        <w:szCs w:val="20"/>
        <w:lang w:val="lv-LV"/>
      </w:rPr>
      <w:t xml:space="preserve">Likumprojekta „Publisko iepirkumu likums ” </w:t>
    </w:r>
    <w:r w:rsidRPr="00806003">
      <w:rPr>
        <w:rFonts w:ascii="Times New Roman" w:eastAsia="Times New Roman" w:hAnsi="Times New Roman"/>
        <w:bCs/>
        <w:color w:val="000000" w:themeColor="text1"/>
        <w:sz w:val="20"/>
        <w:szCs w:val="20"/>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D8D3E" w14:textId="77777777" w:rsidR="006E79B5" w:rsidRDefault="006E79B5" w:rsidP="00E266F9">
      <w:pPr>
        <w:spacing w:after="0" w:line="240" w:lineRule="auto"/>
      </w:pPr>
      <w:r>
        <w:separator/>
      </w:r>
    </w:p>
  </w:footnote>
  <w:footnote w:type="continuationSeparator" w:id="0">
    <w:p w14:paraId="2D8E92EC" w14:textId="77777777" w:rsidR="006E79B5" w:rsidRDefault="006E79B5" w:rsidP="00E266F9">
      <w:pPr>
        <w:spacing w:after="0" w:line="240" w:lineRule="auto"/>
      </w:pPr>
      <w:r>
        <w:continuationSeparator/>
      </w:r>
    </w:p>
  </w:footnote>
  <w:footnote w:id="1">
    <w:p w14:paraId="37F88577" w14:textId="11DF2334" w:rsidR="00DC380E" w:rsidRPr="001077A7" w:rsidRDefault="00DC380E" w:rsidP="001077A7">
      <w:pPr>
        <w:spacing w:after="0" w:line="240" w:lineRule="auto"/>
        <w:ind w:firstLine="720"/>
        <w:jc w:val="both"/>
        <w:rPr>
          <w:rFonts w:ascii="Times New Roman" w:eastAsiaTheme="minorHAnsi" w:hAnsi="Times New Roman"/>
          <w:b/>
          <w:bCs/>
          <w:sz w:val="20"/>
          <w:szCs w:val="20"/>
          <w:lang w:val="lv-LV"/>
        </w:rPr>
      </w:pPr>
      <w:r w:rsidRPr="001077A7">
        <w:rPr>
          <w:rStyle w:val="FootnoteReference"/>
          <w:rFonts w:ascii="Times New Roman" w:hAnsi="Times New Roman"/>
          <w:lang w:val="lv-LV"/>
        </w:rPr>
        <w:t>[1]</w:t>
      </w:r>
      <w:r w:rsidRPr="001077A7">
        <w:rPr>
          <w:rFonts w:ascii="Times New Roman" w:hAnsi="Times New Roman"/>
          <w:sz w:val="20"/>
          <w:szCs w:val="20"/>
          <w:lang w:val="lv-LV"/>
        </w:rPr>
        <w:t xml:space="preserve"> Atbilstoši minētajai normai, finanšu ministram ir tiesības pārdalīt šajā likumā noteikto apropriāciju budžeta resora "74. Gadskārtējā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ievērojot šādus nosacījumus: 1) projekts ir pilnībā pabeigts un par to ir veikts galīgā norēķina maksājums; 2) 2016. gadā projekta uzturēšanai apropriācija nav piešķirta.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24732"/>
      <w:docPartObj>
        <w:docPartGallery w:val="Page Numbers (Top of Page)"/>
        <w:docPartUnique/>
      </w:docPartObj>
    </w:sdtPr>
    <w:sdtEndPr>
      <w:rPr>
        <w:noProof/>
      </w:rPr>
    </w:sdtEndPr>
    <w:sdtContent>
      <w:p w14:paraId="2CA14360" w14:textId="1241C935" w:rsidR="00DC380E" w:rsidRDefault="00DC380E">
        <w:pPr>
          <w:pStyle w:val="Header"/>
          <w:jc w:val="center"/>
        </w:pPr>
        <w:r w:rsidRPr="00E266F9">
          <w:rPr>
            <w:rFonts w:ascii="Times New Roman" w:hAnsi="Times New Roman"/>
            <w:sz w:val="24"/>
            <w:szCs w:val="24"/>
          </w:rPr>
          <w:fldChar w:fldCharType="begin"/>
        </w:r>
        <w:r w:rsidRPr="00E266F9">
          <w:rPr>
            <w:rFonts w:ascii="Times New Roman" w:hAnsi="Times New Roman"/>
            <w:sz w:val="24"/>
            <w:szCs w:val="24"/>
          </w:rPr>
          <w:instrText xml:space="preserve"> PAGE   \* MERGEFORMAT </w:instrText>
        </w:r>
        <w:r w:rsidRPr="00E266F9">
          <w:rPr>
            <w:rFonts w:ascii="Times New Roman" w:hAnsi="Times New Roman"/>
            <w:sz w:val="24"/>
            <w:szCs w:val="24"/>
          </w:rPr>
          <w:fldChar w:fldCharType="separate"/>
        </w:r>
        <w:r w:rsidR="004E271B">
          <w:rPr>
            <w:rFonts w:ascii="Times New Roman" w:hAnsi="Times New Roman"/>
            <w:noProof/>
            <w:sz w:val="24"/>
            <w:szCs w:val="24"/>
          </w:rPr>
          <w:t>70</w:t>
        </w:r>
        <w:r w:rsidRPr="00E266F9">
          <w:rPr>
            <w:rFonts w:ascii="Times New Roman" w:hAnsi="Times New Roman"/>
            <w:noProof/>
            <w:sz w:val="24"/>
            <w:szCs w:val="24"/>
          </w:rPr>
          <w:fldChar w:fldCharType="end"/>
        </w:r>
      </w:p>
    </w:sdtContent>
  </w:sdt>
  <w:p w14:paraId="41A278D1" w14:textId="77777777" w:rsidR="00DC380E" w:rsidRDefault="00DC3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7B477C5"/>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2"/>
  </w:num>
  <w:num w:numId="5">
    <w:abstractNumId w:val="4"/>
  </w:num>
  <w:num w:numId="6">
    <w:abstractNumId w:val="2"/>
  </w:num>
  <w:num w:numId="7">
    <w:abstractNumId w:val="23"/>
  </w:num>
  <w:num w:numId="8">
    <w:abstractNumId w:val="11"/>
  </w:num>
  <w:num w:numId="9">
    <w:abstractNumId w:val="18"/>
  </w:num>
  <w:num w:numId="10">
    <w:abstractNumId w:val="5"/>
  </w:num>
  <w:num w:numId="11">
    <w:abstractNumId w:val="7"/>
  </w:num>
  <w:num w:numId="12">
    <w:abstractNumId w:val="19"/>
  </w:num>
  <w:num w:numId="13">
    <w:abstractNumId w:val="21"/>
  </w:num>
  <w:num w:numId="14">
    <w:abstractNumId w:val="17"/>
  </w:num>
  <w:num w:numId="15">
    <w:abstractNumId w:val="0"/>
  </w:num>
  <w:num w:numId="16">
    <w:abstractNumId w:val="1"/>
  </w:num>
  <w:num w:numId="17">
    <w:abstractNumId w:val="20"/>
  </w:num>
  <w:num w:numId="18">
    <w:abstractNumId w:val="22"/>
  </w:num>
  <w:num w:numId="19">
    <w:abstractNumId w:val="16"/>
  </w:num>
  <w:num w:numId="20">
    <w:abstractNumId w:val="3"/>
  </w:num>
  <w:num w:numId="21">
    <w:abstractNumId w:val="13"/>
  </w:num>
  <w:num w:numId="22">
    <w:abstractNumId w:val="10"/>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7B"/>
    <w:rsid w:val="000028AD"/>
    <w:rsid w:val="00007926"/>
    <w:rsid w:val="000144DE"/>
    <w:rsid w:val="00016191"/>
    <w:rsid w:val="00023725"/>
    <w:rsid w:val="00024C69"/>
    <w:rsid w:val="00025E50"/>
    <w:rsid w:val="00026079"/>
    <w:rsid w:val="00031DB6"/>
    <w:rsid w:val="000352BD"/>
    <w:rsid w:val="00041128"/>
    <w:rsid w:val="00044D5E"/>
    <w:rsid w:val="000522A6"/>
    <w:rsid w:val="000566E0"/>
    <w:rsid w:val="00064823"/>
    <w:rsid w:val="00071D25"/>
    <w:rsid w:val="00077760"/>
    <w:rsid w:val="00077DEF"/>
    <w:rsid w:val="00080F7C"/>
    <w:rsid w:val="00085ED0"/>
    <w:rsid w:val="000918CA"/>
    <w:rsid w:val="00093A95"/>
    <w:rsid w:val="000973CA"/>
    <w:rsid w:val="000B61ED"/>
    <w:rsid w:val="000C2DD0"/>
    <w:rsid w:val="000C2F91"/>
    <w:rsid w:val="000C3B95"/>
    <w:rsid w:val="000C3F7D"/>
    <w:rsid w:val="000C6C54"/>
    <w:rsid w:val="000C6FA4"/>
    <w:rsid w:val="000E3389"/>
    <w:rsid w:val="000E49E2"/>
    <w:rsid w:val="000E7C35"/>
    <w:rsid w:val="000F1C43"/>
    <w:rsid w:val="000F28F1"/>
    <w:rsid w:val="001037C4"/>
    <w:rsid w:val="00104145"/>
    <w:rsid w:val="00106D9F"/>
    <w:rsid w:val="001077A7"/>
    <w:rsid w:val="0011641E"/>
    <w:rsid w:val="001170F4"/>
    <w:rsid w:val="00127B04"/>
    <w:rsid w:val="0013023A"/>
    <w:rsid w:val="00134E27"/>
    <w:rsid w:val="00137E44"/>
    <w:rsid w:val="00140ABB"/>
    <w:rsid w:val="0014757E"/>
    <w:rsid w:val="00147B92"/>
    <w:rsid w:val="001534E3"/>
    <w:rsid w:val="001559B7"/>
    <w:rsid w:val="00160ADA"/>
    <w:rsid w:val="00161A07"/>
    <w:rsid w:val="00170F00"/>
    <w:rsid w:val="00172917"/>
    <w:rsid w:val="00172ED2"/>
    <w:rsid w:val="00181275"/>
    <w:rsid w:val="00181F8B"/>
    <w:rsid w:val="00183CE3"/>
    <w:rsid w:val="001868E4"/>
    <w:rsid w:val="00191562"/>
    <w:rsid w:val="00192D7E"/>
    <w:rsid w:val="00195B3E"/>
    <w:rsid w:val="001963AC"/>
    <w:rsid w:val="00196F4C"/>
    <w:rsid w:val="001A1902"/>
    <w:rsid w:val="001A3DE3"/>
    <w:rsid w:val="001A6EE5"/>
    <w:rsid w:val="001B2B99"/>
    <w:rsid w:val="001B678D"/>
    <w:rsid w:val="001C4920"/>
    <w:rsid w:val="001C5486"/>
    <w:rsid w:val="001D0FD3"/>
    <w:rsid w:val="001D1678"/>
    <w:rsid w:val="001D36B9"/>
    <w:rsid w:val="001E1010"/>
    <w:rsid w:val="001E2E74"/>
    <w:rsid w:val="001E3022"/>
    <w:rsid w:val="001E41A1"/>
    <w:rsid w:val="001E6781"/>
    <w:rsid w:val="001E78DF"/>
    <w:rsid w:val="001F267E"/>
    <w:rsid w:val="001F5F7C"/>
    <w:rsid w:val="002005B5"/>
    <w:rsid w:val="00202485"/>
    <w:rsid w:val="00206330"/>
    <w:rsid w:val="002140A8"/>
    <w:rsid w:val="00215548"/>
    <w:rsid w:val="0022201D"/>
    <w:rsid w:val="0022758C"/>
    <w:rsid w:val="00232962"/>
    <w:rsid w:val="002361D7"/>
    <w:rsid w:val="00236E31"/>
    <w:rsid w:val="00237EE6"/>
    <w:rsid w:val="00243D00"/>
    <w:rsid w:val="00244C96"/>
    <w:rsid w:val="002464FD"/>
    <w:rsid w:val="0025295E"/>
    <w:rsid w:val="002530A7"/>
    <w:rsid w:val="00261F75"/>
    <w:rsid w:val="002670BA"/>
    <w:rsid w:val="002778C5"/>
    <w:rsid w:val="002822E7"/>
    <w:rsid w:val="00282D84"/>
    <w:rsid w:val="00284BEC"/>
    <w:rsid w:val="0028503B"/>
    <w:rsid w:val="00291C61"/>
    <w:rsid w:val="00292FB6"/>
    <w:rsid w:val="00295244"/>
    <w:rsid w:val="0029772B"/>
    <w:rsid w:val="002A3C3D"/>
    <w:rsid w:val="002B467C"/>
    <w:rsid w:val="002B4E36"/>
    <w:rsid w:val="002C2685"/>
    <w:rsid w:val="002C7905"/>
    <w:rsid w:val="002D2751"/>
    <w:rsid w:val="002D6E95"/>
    <w:rsid w:val="002D703E"/>
    <w:rsid w:val="002E0A78"/>
    <w:rsid w:val="002E4242"/>
    <w:rsid w:val="002F3B9E"/>
    <w:rsid w:val="00302076"/>
    <w:rsid w:val="003024FB"/>
    <w:rsid w:val="0031061A"/>
    <w:rsid w:val="00315703"/>
    <w:rsid w:val="003246C8"/>
    <w:rsid w:val="0032653C"/>
    <w:rsid w:val="00326673"/>
    <w:rsid w:val="00333A62"/>
    <w:rsid w:val="00336258"/>
    <w:rsid w:val="003370C0"/>
    <w:rsid w:val="00337737"/>
    <w:rsid w:val="00341ABD"/>
    <w:rsid w:val="00344968"/>
    <w:rsid w:val="00344D36"/>
    <w:rsid w:val="00353DF3"/>
    <w:rsid w:val="00355740"/>
    <w:rsid w:val="0035637E"/>
    <w:rsid w:val="00363F9A"/>
    <w:rsid w:val="003643C1"/>
    <w:rsid w:val="00370E76"/>
    <w:rsid w:val="00371A12"/>
    <w:rsid w:val="00374B8E"/>
    <w:rsid w:val="00380C37"/>
    <w:rsid w:val="0038701E"/>
    <w:rsid w:val="00393184"/>
    <w:rsid w:val="003A0B3D"/>
    <w:rsid w:val="003A3D3A"/>
    <w:rsid w:val="003B469A"/>
    <w:rsid w:val="003B62BC"/>
    <w:rsid w:val="003C0D70"/>
    <w:rsid w:val="003C40B7"/>
    <w:rsid w:val="003D0785"/>
    <w:rsid w:val="003D2CC2"/>
    <w:rsid w:val="003D63DF"/>
    <w:rsid w:val="003D7903"/>
    <w:rsid w:val="003E06A6"/>
    <w:rsid w:val="003F5C0D"/>
    <w:rsid w:val="003F5CF9"/>
    <w:rsid w:val="00400F1C"/>
    <w:rsid w:val="004070D8"/>
    <w:rsid w:val="00410BA0"/>
    <w:rsid w:val="00410E69"/>
    <w:rsid w:val="004118EE"/>
    <w:rsid w:val="004123E9"/>
    <w:rsid w:val="00423523"/>
    <w:rsid w:val="00424EE6"/>
    <w:rsid w:val="00432E92"/>
    <w:rsid w:val="00433404"/>
    <w:rsid w:val="00435EED"/>
    <w:rsid w:val="004417E1"/>
    <w:rsid w:val="00441C9F"/>
    <w:rsid w:val="00441F8D"/>
    <w:rsid w:val="004459C7"/>
    <w:rsid w:val="00447E70"/>
    <w:rsid w:val="004534AD"/>
    <w:rsid w:val="00454FB3"/>
    <w:rsid w:val="004573DA"/>
    <w:rsid w:val="004617A5"/>
    <w:rsid w:val="00462F8D"/>
    <w:rsid w:val="00463DC9"/>
    <w:rsid w:val="00471915"/>
    <w:rsid w:val="00474E56"/>
    <w:rsid w:val="00475589"/>
    <w:rsid w:val="004811CB"/>
    <w:rsid w:val="0048782D"/>
    <w:rsid w:val="00491D34"/>
    <w:rsid w:val="004941BD"/>
    <w:rsid w:val="004A3315"/>
    <w:rsid w:val="004B6EC8"/>
    <w:rsid w:val="004C2471"/>
    <w:rsid w:val="004D2804"/>
    <w:rsid w:val="004E271B"/>
    <w:rsid w:val="004E3FEC"/>
    <w:rsid w:val="004E613B"/>
    <w:rsid w:val="004F017D"/>
    <w:rsid w:val="004F02FF"/>
    <w:rsid w:val="00507243"/>
    <w:rsid w:val="00512635"/>
    <w:rsid w:val="00513F59"/>
    <w:rsid w:val="0051415A"/>
    <w:rsid w:val="0051422C"/>
    <w:rsid w:val="00514338"/>
    <w:rsid w:val="00521BCA"/>
    <w:rsid w:val="00527AE1"/>
    <w:rsid w:val="00546FB2"/>
    <w:rsid w:val="00547767"/>
    <w:rsid w:val="005533E2"/>
    <w:rsid w:val="00567A05"/>
    <w:rsid w:val="00574751"/>
    <w:rsid w:val="00575981"/>
    <w:rsid w:val="0057605F"/>
    <w:rsid w:val="00583281"/>
    <w:rsid w:val="005841FE"/>
    <w:rsid w:val="005909D6"/>
    <w:rsid w:val="00590C9F"/>
    <w:rsid w:val="0059291A"/>
    <w:rsid w:val="005954A8"/>
    <w:rsid w:val="00595F26"/>
    <w:rsid w:val="005A0BFA"/>
    <w:rsid w:val="005A17D7"/>
    <w:rsid w:val="005A5298"/>
    <w:rsid w:val="005B3322"/>
    <w:rsid w:val="005C5846"/>
    <w:rsid w:val="005D510A"/>
    <w:rsid w:val="005D6D36"/>
    <w:rsid w:val="005D6E74"/>
    <w:rsid w:val="005E54FD"/>
    <w:rsid w:val="005E574E"/>
    <w:rsid w:val="005F0FA6"/>
    <w:rsid w:val="005F2358"/>
    <w:rsid w:val="00606E7C"/>
    <w:rsid w:val="006135FF"/>
    <w:rsid w:val="0061426E"/>
    <w:rsid w:val="00616088"/>
    <w:rsid w:val="00640043"/>
    <w:rsid w:val="00640EE1"/>
    <w:rsid w:val="00641F36"/>
    <w:rsid w:val="00645FC6"/>
    <w:rsid w:val="00650AC5"/>
    <w:rsid w:val="00652A89"/>
    <w:rsid w:val="00655E9B"/>
    <w:rsid w:val="00657A94"/>
    <w:rsid w:val="0066180E"/>
    <w:rsid w:val="006628D3"/>
    <w:rsid w:val="00667BFC"/>
    <w:rsid w:val="00671312"/>
    <w:rsid w:val="0067729A"/>
    <w:rsid w:val="00680506"/>
    <w:rsid w:val="00682A12"/>
    <w:rsid w:val="00692C91"/>
    <w:rsid w:val="006A440E"/>
    <w:rsid w:val="006A73C5"/>
    <w:rsid w:val="006B0CF1"/>
    <w:rsid w:val="006B2EB6"/>
    <w:rsid w:val="006C0D7F"/>
    <w:rsid w:val="006C48A8"/>
    <w:rsid w:val="006C4E40"/>
    <w:rsid w:val="006E1610"/>
    <w:rsid w:val="006E2A4E"/>
    <w:rsid w:val="006E2CD8"/>
    <w:rsid w:val="006E69E3"/>
    <w:rsid w:val="006E79B5"/>
    <w:rsid w:val="006F12A0"/>
    <w:rsid w:val="006F4A6D"/>
    <w:rsid w:val="006F52AC"/>
    <w:rsid w:val="006F53C6"/>
    <w:rsid w:val="00701A21"/>
    <w:rsid w:val="00702B06"/>
    <w:rsid w:val="0070348D"/>
    <w:rsid w:val="007046DC"/>
    <w:rsid w:val="00706AC6"/>
    <w:rsid w:val="00707269"/>
    <w:rsid w:val="00715382"/>
    <w:rsid w:val="00717549"/>
    <w:rsid w:val="00720408"/>
    <w:rsid w:val="00726A35"/>
    <w:rsid w:val="007335F7"/>
    <w:rsid w:val="0073518A"/>
    <w:rsid w:val="00736976"/>
    <w:rsid w:val="00737218"/>
    <w:rsid w:val="007428C6"/>
    <w:rsid w:val="007430DD"/>
    <w:rsid w:val="00756EE0"/>
    <w:rsid w:val="0076236B"/>
    <w:rsid w:val="007A0624"/>
    <w:rsid w:val="007A3206"/>
    <w:rsid w:val="007A5779"/>
    <w:rsid w:val="007A77E9"/>
    <w:rsid w:val="007A7A54"/>
    <w:rsid w:val="007B40E4"/>
    <w:rsid w:val="007B42AD"/>
    <w:rsid w:val="007B582E"/>
    <w:rsid w:val="007C1604"/>
    <w:rsid w:val="007C7F07"/>
    <w:rsid w:val="007D170F"/>
    <w:rsid w:val="007D3CBB"/>
    <w:rsid w:val="007D457F"/>
    <w:rsid w:val="007E0951"/>
    <w:rsid w:val="007F3057"/>
    <w:rsid w:val="007F72C0"/>
    <w:rsid w:val="007F7A1B"/>
    <w:rsid w:val="007F7EEC"/>
    <w:rsid w:val="008048F3"/>
    <w:rsid w:val="00806003"/>
    <w:rsid w:val="008108CE"/>
    <w:rsid w:val="00812670"/>
    <w:rsid w:val="008134BB"/>
    <w:rsid w:val="008134C9"/>
    <w:rsid w:val="0081645A"/>
    <w:rsid w:val="00820053"/>
    <w:rsid w:val="00820DAD"/>
    <w:rsid w:val="00822D05"/>
    <w:rsid w:val="00825192"/>
    <w:rsid w:val="0082672C"/>
    <w:rsid w:val="00826832"/>
    <w:rsid w:val="00826A11"/>
    <w:rsid w:val="00827F41"/>
    <w:rsid w:val="008336C0"/>
    <w:rsid w:val="00833BCB"/>
    <w:rsid w:val="00835569"/>
    <w:rsid w:val="00836F0C"/>
    <w:rsid w:val="00840EB4"/>
    <w:rsid w:val="00844029"/>
    <w:rsid w:val="00844376"/>
    <w:rsid w:val="00847798"/>
    <w:rsid w:val="00847BB7"/>
    <w:rsid w:val="0085329F"/>
    <w:rsid w:val="00853EB3"/>
    <w:rsid w:val="00856E68"/>
    <w:rsid w:val="00872B7A"/>
    <w:rsid w:val="00875FF0"/>
    <w:rsid w:val="00877C3D"/>
    <w:rsid w:val="0088350D"/>
    <w:rsid w:val="008846C5"/>
    <w:rsid w:val="00884988"/>
    <w:rsid w:val="00885F96"/>
    <w:rsid w:val="00891AFB"/>
    <w:rsid w:val="008A06A4"/>
    <w:rsid w:val="008A1BB6"/>
    <w:rsid w:val="008A1C24"/>
    <w:rsid w:val="008A2980"/>
    <w:rsid w:val="008A6275"/>
    <w:rsid w:val="008B06E2"/>
    <w:rsid w:val="008B6C22"/>
    <w:rsid w:val="008B7CC4"/>
    <w:rsid w:val="008C0C11"/>
    <w:rsid w:val="008C51F1"/>
    <w:rsid w:val="008C701B"/>
    <w:rsid w:val="008C7FE2"/>
    <w:rsid w:val="008D00F1"/>
    <w:rsid w:val="008D18F3"/>
    <w:rsid w:val="008D1AC6"/>
    <w:rsid w:val="008E021F"/>
    <w:rsid w:val="008E7D80"/>
    <w:rsid w:val="008E7FC1"/>
    <w:rsid w:val="009005E5"/>
    <w:rsid w:val="00900F6B"/>
    <w:rsid w:val="009038E1"/>
    <w:rsid w:val="00904756"/>
    <w:rsid w:val="009052FF"/>
    <w:rsid w:val="00912900"/>
    <w:rsid w:val="00913055"/>
    <w:rsid w:val="0091389B"/>
    <w:rsid w:val="009157BF"/>
    <w:rsid w:val="009219CF"/>
    <w:rsid w:val="009246EB"/>
    <w:rsid w:val="009341A9"/>
    <w:rsid w:val="009371EE"/>
    <w:rsid w:val="00940742"/>
    <w:rsid w:val="00941B3C"/>
    <w:rsid w:val="009466CD"/>
    <w:rsid w:val="00950310"/>
    <w:rsid w:val="0095225A"/>
    <w:rsid w:val="009532D1"/>
    <w:rsid w:val="00954557"/>
    <w:rsid w:val="00954A9E"/>
    <w:rsid w:val="009562FB"/>
    <w:rsid w:val="00957840"/>
    <w:rsid w:val="00970015"/>
    <w:rsid w:val="00974AA3"/>
    <w:rsid w:val="009775F3"/>
    <w:rsid w:val="0098136A"/>
    <w:rsid w:val="009837E1"/>
    <w:rsid w:val="00983EA0"/>
    <w:rsid w:val="00987119"/>
    <w:rsid w:val="009908A3"/>
    <w:rsid w:val="009946F0"/>
    <w:rsid w:val="0099511F"/>
    <w:rsid w:val="009A28E9"/>
    <w:rsid w:val="009A3889"/>
    <w:rsid w:val="009A4B8A"/>
    <w:rsid w:val="009A4C84"/>
    <w:rsid w:val="009C00D0"/>
    <w:rsid w:val="009C19A7"/>
    <w:rsid w:val="009C351B"/>
    <w:rsid w:val="009C779B"/>
    <w:rsid w:val="009D2F64"/>
    <w:rsid w:val="009D7039"/>
    <w:rsid w:val="009D75D4"/>
    <w:rsid w:val="009D7E93"/>
    <w:rsid w:val="009E0492"/>
    <w:rsid w:val="009E3F6E"/>
    <w:rsid w:val="009E5A5B"/>
    <w:rsid w:val="009F2B4E"/>
    <w:rsid w:val="009F3F6B"/>
    <w:rsid w:val="009F66A1"/>
    <w:rsid w:val="009F7184"/>
    <w:rsid w:val="00A030D7"/>
    <w:rsid w:val="00A162C3"/>
    <w:rsid w:val="00A224D7"/>
    <w:rsid w:val="00A2358D"/>
    <w:rsid w:val="00A2718E"/>
    <w:rsid w:val="00A27A90"/>
    <w:rsid w:val="00A30BBB"/>
    <w:rsid w:val="00A32C96"/>
    <w:rsid w:val="00A3444F"/>
    <w:rsid w:val="00A40149"/>
    <w:rsid w:val="00A403C3"/>
    <w:rsid w:val="00A40F02"/>
    <w:rsid w:val="00A47426"/>
    <w:rsid w:val="00A526D2"/>
    <w:rsid w:val="00A53BE4"/>
    <w:rsid w:val="00A62AB9"/>
    <w:rsid w:val="00A65B50"/>
    <w:rsid w:val="00A661A1"/>
    <w:rsid w:val="00A715F4"/>
    <w:rsid w:val="00A726DC"/>
    <w:rsid w:val="00A72BD3"/>
    <w:rsid w:val="00A81A96"/>
    <w:rsid w:val="00A87C4A"/>
    <w:rsid w:val="00A95D5A"/>
    <w:rsid w:val="00A95DF3"/>
    <w:rsid w:val="00A960CF"/>
    <w:rsid w:val="00A96480"/>
    <w:rsid w:val="00AA09F6"/>
    <w:rsid w:val="00AB1C02"/>
    <w:rsid w:val="00AB6EC5"/>
    <w:rsid w:val="00AC2041"/>
    <w:rsid w:val="00AD23A9"/>
    <w:rsid w:val="00AD4557"/>
    <w:rsid w:val="00AE4488"/>
    <w:rsid w:val="00AE485F"/>
    <w:rsid w:val="00B02B68"/>
    <w:rsid w:val="00B07F1F"/>
    <w:rsid w:val="00B164A7"/>
    <w:rsid w:val="00B170C9"/>
    <w:rsid w:val="00B2029A"/>
    <w:rsid w:val="00B20C58"/>
    <w:rsid w:val="00B2304C"/>
    <w:rsid w:val="00B311F0"/>
    <w:rsid w:val="00B328BB"/>
    <w:rsid w:val="00B34058"/>
    <w:rsid w:val="00B40BD3"/>
    <w:rsid w:val="00B4141C"/>
    <w:rsid w:val="00B42BC1"/>
    <w:rsid w:val="00B454C1"/>
    <w:rsid w:val="00B464B0"/>
    <w:rsid w:val="00B53696"/>
    <w:rsid w:val="00B53EC4"/>
    <w:rsid w:val="00B564ED"/>
    <w:rsid w:val="00B577FF"/>
    <w:rsid w:val="00B62871"/>
    <w:rsid w:val="00B6563A"/>
    <w:rsid w:val="00B70E28"/>
    <w:rsid w:val="00B712A8"/>
    <w:rsid w:val="00B725FA"/>
    <w:rsid w:val="00B737EB"/>
    <w:rsid w:val="00B7399B"/>
    <w:rsid w:val="00B813D9"/>
    <w:rsid w:val="00B82800"/>
    <w:rsid w:val="00B83582"/>
    <w:rsid w:val="00B8615D"/>
    <w:rsid w:val="00B867E6"/>
    <w:rsid w:val="00B90CB3"/>
    <w:rsid w:val="00B9130E"/>
    <w:rsid w:val="00B96BC5"/>
    <w:rsid w:val="00BA0851"/>
    <w:rsid w:val="00BA1DE7"/>
    <w:rsid w:val="00BB0979"/>
    <w:rsid w:val="00BB240E"/>
    <w:rsid w:val="00BB6EFF"/>
    <w:rsid w:val="00BC285E"/>
    <w:rsid w:val="00BC69DB"/>
    <w:rsid w:val="00BD2D5A"/>
    <w:rsid w:val="00BD4E99"/>
    <w:rsid w:val="00BD5CA9"/>
    <w:rsid w:val="00BD66DC"/>
    <w:rsid w:val="00BD7D59"/>
    <w:rsid w:val="00BE2CC1"/>
    <w:rsid w:val="00BE5622"/>
    <w:rsid w:val="00BF4C15"/>
    <w:rsid w:val="00BF536D"/>
    <w:rsid w:val="00BF63B8"/>
    <w:rsid w:val="00BF70A6"/>
    <w:rsid w:val="00C0099B"/>
    <w:rsid w:val="00C04FA5"/>
    <w:rsid w:val="00C06532"/>
    <w:rsid w:val="00C073AC"/>
    <w:rsid w:val="00C10E34"/>
    <w:rsid w:val="00C15AF6"/>
    <w:rsid w:val="00C230D9"/>
    <w:rsid w:val="00C233BC"/>
    <w:rsid w:val="00C2622F"/>
    <w:rsid w:val="00C30D3E"/>
    <w:rsid w:val="00C30FED"/>
    <w:rsid w:val="00C35193"/>
    <w:rsid w:val="00C36787"/>
    <w:rsid w:val="00C42E48"/>
    <w:rsid w:val="00C47AAD"/>
    <w:rsid w:val="00C47F58"/>
    <w:rsid w:val="00C50A46"/>
    <w:rsid w:val="00C50F5C"/>
    <w:rsid w:val="00C5607F"/>
    <w:rsid w:val="00C575F6"/>
    <w:rsid w:val="00C62BD7"/>
    <w:rsid w:val="00C66103"/>
    <w:rsid w:val="00C766AA"/>
    <w:rsid w:val="00C77064"/>
    <w:rsid w:val="00C800C6"/>
    <w:rsid w:val="00C8130C"/>
    <w:rsid w:val="00C834EE"/>
    <w:rsid w:val="00C91637"/>
    <w:rsid w:val="00C9167C"/>
    <w:rsid w:val="00C94620"/>
    <w:rsid w:val="00C94A9A"/>
    <w:rsid w:val="00C96B34"/>
    <w:rsid w:val="00CA0861"/>
    <w:rsid w:val="00CA27AA"/>
    <w:rsid w:val="00CA309D"/>
    <w:rsid w:val="00CB1645"/>
    <w:rsid w:val="00CD1B32"/>
    <w:rsid w:val="00CD4A5D"/>
    <w:rsid w:val="00CE0D44"/>
    <w:rsid w:val="00CE1798"/>
    <w:rsid w:val="00CE39D5"/>
    <w:rsid w:val="00CF1C23"/>
    <w:rsid w:val="00CF543A"/>
    <w:rsid w:val="00D017E8"/>
    <w:rsid w:val="00D020A9"/>
    <w:rsid w:val="00D0507E"/>
    <w:rsid w:val="00D10580"/>
    <w:rsid w:val="00D10B33"/>
    <w:rsid w:val="00D12098"/>
    <w:rsid w:val="00D259D3"/>
    <w:rsid w:val="00D30F9D"/>
    <w:rsid w:val="00D315AD"/>
    <w:rsid w:val="00D31B81"/>
    <w:rsid w:val="00D321AB"/>
    <w:rsid w:val="00D40429"/>
    <w:rsid w:val="00D45A7F"/>
    <w:rsid w:val="00D47A80"/>
    <w:rsid w:val="00D514C0"/>
    <w:rsid w:val="00D5217B"/>
    <w:rsid w:val="00D54080"/>
    <w:rsid w:val="00D60A0A"/>
    <w:rsid w:val="00D61EE3"/>
    <w:rsid w:val="00D704BB"/>
    <w:rsid w:val="00D73865"/>
    <w:rsid w:val="00D75D0D"/>
    <w:rsid w:val="00D80402"/>
    <w:rsid w:val="00D85698"/>
    <w:rsid w:val="00D87AAC"/>
    <w:rsid w:val="00D90A6D"/>
    <w:rsid w:val="00D9306E"/>
    <w:rsid w:val="00D93400"/>
    <w:rsid w:val="00D94E10"/>
    <w:rsid w:val="00DA096E"/>
    <w:rsid w:val="00DA1663"/>
    <w:rsid w:val="00DA22E5"/>
    <w:rsid w:val="00DA2641"/>
    <w:rsid w:val="00DA39DA"/>
    <w:rsid w:val="00DB3361"/>
    <w:rsid w:val="00DB3639"/>
    <w:rsid w:val="00DC380E"/>
    <w:rsid w:val="00DD0E57"/>
    <w:rsid w:val="00DD4A09"/>
    <w:rsid w:val="00DD5FB3"/>
    <w:rsid w:val="00DE0F56"/>
    <w:rsid w:val="00DE4C38"/>
    <w:rsid w:val="00E015F1"/>
    <w:rsid w:val="00E11AEB"/>
    <w:rsid w:val="00E12C78"/>
    <w:rsid w:val="00E1312C"/>
    <w:rsid w:val="00E209BD"/>
    <w:rsid w:val="00E2270E"/>
    <w:rsid w:val="00E238BF"/>
    <w:rsid w:val="00E266F9"/>
    <w:rsid w:val="00E341F3"/>
    <w:rsid w:val="00E42C96"/>
    <w:rsid w:val="00E458E1"/>
    <w:rsid w:val="00E52EB2"/>
    <w:rsid w:val="00E546F8"/>
    <w:rsid w:val="00E54FF7"/>
    <w:rsid w:val="00E57C0C"/>
    <w:rsid w:val="00E70511"/>
    <w:rsid w:val="00E71C42"/>
    <w:rsid w:val="00E73BBC"/>
    <w:rsid w:val="00E748A0"/>
    <w:rsid w:val="00E74BC1"/>
    <w:rsid w:val="00E760C8"/>
    <w:rsid w:val="00E90CFC"/>
    <w:rsid w:val="00E93883"/>
    <w:rsid w:val="00E93965"/>
    <w:rsid w:val="00E94CB9"/>
    <w:rsid w:val="00E969D5"/>
    <w:rsid w:val="00EA3C5D"/>
    <w:rsid w:val="00EA6D27"/>
    <w:rsid w:val="00EA701E"/>
    <w:rsid w:val="00EA7DD8"/>
    <w:rsid w:val="00EB28B0"/>
    <w:rsid w:val="00EB2C34"/>
    <w:rsid w:val="00EB3F20"/>
    <w:rsid w:val="00EB6A38"/>
    <w:rsid w:val="00EC6CE3"/>
    <w:rsid w:val="00EC6D82"/>
    <w:rsid w:val="00ED06C8"/>
    <w:rsid w:val="00ED08EC"/>
    <w:rsid w:val="00ED756F"/>
    <w:rsid w:val="00EE3261"/>
    <w:rsid w:val="00EE495A"/>
    <w:rsid w:val="00EE4EE7"/>
    <w:rsid w:val="00EF0EDA"/>
    <w:rsid w:val="00EF34BF"/>
    <w:rsid w:val="00EF4052"/>
    <w:rsid w:val="00EF55E1"/>
    <w:rsid w:val="00EF643A"/>
    <w:rsid w:val="00F01729"/>
    <w:rsid w:val="00F06980"/>
    <w:rsid w:val="00F157C3"/>
    <w:rsid w:val="00F21F04"/>
    <w:rsid w:val="00F22788"/>
    <w:rsid w:val="00F231C4"/>
    <w:rsid w:val="00F27980"/>
    <w:rsid w:val="00F3172A"/>
    <w:rsid w:val="00F31C4B"/>
    <w:rsid w:val="00F34652"/>
    <w:rsid w:val="00F458A7"/>
    <w:rsid w:val="00F47936"/>
    <w:rsid w:val="00F51050"/>
    <w:rsid w:val="00F52280"/>
    <w:rsid w:val="00F53754"/>
    <w:rsid w:val="00F54C9A"/>
    <w:rsid w:val="00F56E77"/>
    <w:rsid w:val="00F57CD4"/>
    <w:rsid w:val="00F61F69"/>
    <w:rsid w:val="00F65304"/>
    <w:rsid w:val="00F75C93"/>
    <w:rsid w:val="00F7692C"/>
    <w:rsid w:val="00F816B2"/>
    <w:rsid w:val="00F83BCF"/>
    <w:rsid w:val="00F85B82"/>
    <w:rsid w:val="00FA2A73"/>
    <w:rsid w:val="00FA4B07"/>
    <w:rsid w:val="00FB075F"/>
    <w:rsid w:val="00FB49BE"/>
    <w:rsid w:val="00FB5F37"/>
    <w:rsid w:val="00FC78F0"/>
    <w:rsid w:val="00FD5F71"/>
    <w:rsid w:val="00FD66C1"/>
    <w:rsid w:val="00FD736E"/>
    <w:rsid w:val="00FE1CF4"/>
    <w:rsid w:val="00FE59D6"/>
    <w:rsid w:val="00FF11A3"/>
    <w:rsid w:val="00FF3E52"/>
    <w:rsid w:val="00FF3E6A"/>
    <w:rsid w:val="00FF700D"/>
    <w:rsid w:val="00FF7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D118"/>
  <w15:chartTrackingRefBased/>
  <w15:docId w15:val="{736F67CD-85AB-457B-899C-F2C943E3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B6"/>
    <w:pPr>
      <w:widowControl w:val="0"/>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954A9E"/>
    <w:pPr>
      <w:widowControl/>
      <w:spacing w:before="100" w:beforeAutospacing="1" w:after="100" w:afterAutospacing="1" w:line="240" w:lineRule="auto"/>
      <w:outlineLvl w:val="1"/>
    </w:pPr>
    <w:rPr>
      <w:rFonts w:ascii="Times New Roman" w:eastAsia="Times New Roman" w:hAnsi="Times New Roman"/>
      <w:b/>
      <w:bCs/>
      <w:sz w:val="36"/>
      <w:szCs w:val="36"/>
      <w:lang w:val="lv-LV" w:eastAsia="lv-LV"/>
    </w:rPr>
  </w:style>
  <w:style w:type="paragraph" w:styleId="Heading3">
    <w:name w:val="heading 3"/>
    <w:basedOn w:val="Normal"/>
    <w:next w:val="Normal"/>
    <w:link w:val="Heading3Char"/>
    <w:uiPriority w:val="9"/>
    <w:semiHidden/>
    <w:unhideWhenUsed/>
    <w:qFormat/>
    <w:rsid w:val="00C15A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A4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820053"/>
    <w:pPr>
      <w:ind w:left="720"/>
      <w:contextualSpacing/>
    </w:pPr>
  </w:style>
  <w:style w:type="paragraph" w:customStyle="1" w:styleId="naisf">
    <w:name w:val="naisf"/>
    <w:basedOn w:val="Normal"/>
    <w:rsid w:val="005533E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htmlmktable">
    <w:name w:val="tv_html mk_table"/>
    <w:basedOn w:val="Normal"/>
    <w:rsid w:val="005533E2"/>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Spacing">
    <w:name w:val="No Spacing"/>
    <w:basedOn w:val="Normal"/>
    <w:uiPriority w:val="1"/>
    <w:qFormat/>
    <w:rsid w:val="005533E2"/>
    <w:pPr>
      <w:widowControl/>
      <w:spacing w:after="0" w:line="240" w:lineRule="auto"/>
    </w:pPr>
    <w:rPr>
      <w:lang w:val="lv-LV"/>
    </w:rPr>
  </w:style>
  <w:style w:type="numbering" w:customStyle="1" w:styleId="NoList1">
    <w:name w:val="No List1"/>
    <w:next w:val="NoList"/>
    <w:uiPriority w:val="99"/>
    <w:semiHidden/>
    <w:unhideWhenUsed/>
    <w:rsid w:val="00244C96"/>
  </w:style>
  <w:style w:type="character" w:customStyle="1" w:styleId="apple-converted-space">
    <w:name w:val="apple-converted-space"/>
    <w:basedOn w:val="DefaultParagraphFont"/>
    <w:rsid w:val="00244C96"/>
  </w:style>
  <w:style w:type="paragraph" w:customStyle="1" w:styleId="tvhtml">
    <w:name w:val="tv_html"/>
    <w:basedOn w:val="Normal"/>
    <w:rsid w:val="00244C96"/>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uiPriority w:val="99"/>
    <w:semiHidden/>
    <w:unhideWhenUsed/>
    <w:rsid w:val="00244C96"/>
    <w:rPr>
      <w:color w:val="0000FF"/>
      <w:u w:val="single"/>
    </w:rPr>
  </w:style>
  <w:style w:type="paragraph" w:styleId="Header">
    <w:name w:val="header"/>
    <w:basedOn w:val="Normal"/>
    <w:link w:val="HeaderChar"/>
    <w:uiPriority w:val="99"/>
    <w:unhideWhenUsed/>
    <w:rsid w:val="00E266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6F9"/>
    <w:rPr>
      <w:rFonts w:ascii="Calibri" w:eastAsia="Calibri" w:hAnsi="Calibri" w:cs="Times New Roman"/>
      <w:lang w:val="en-US"/>
    </w:rPr>
  </w:style>
  <w:style w:type="paragraph" w:styleId="Footer">
    <w:name w:val="footer"/>
    <w:basedOn w:val="Normal"/>
    <w:link w:val="FooterChar"/>
    <w:uiPriority w:val="99"/>
    <w:unhideWhenUsed/>
    <w:rsid w:val="00E266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6F9"/>
    <w:rPr>
      <w:rFonts w:ascii="Calibri" w:eastAsia="Calibri" w:hAnsi="Calibri" w:cs="Times New Roman"/>
      <w:lang w:val="en-US"/>
    </w:rPr>
  </w:style>
  <w:style w:type="paragraph" w:customStyle="1" w:styleId="naiskr">
    <w:name w:val="naiskr"/>
    <w:basedOn w:val="Normal"/>
    <w:rsid w:val="00B170C9"/>
    <w:pPr>
      <w:widowControl/>
      <w:spacing w:before="75" w:after="75" w:line="240" w:lineRule="auto"/>
    </w:pPr>
    <w:rPr>
      <w:rFonts w:ascii="Times New Roman" w:eastAsia="Times New Roman" w:hAnsi="Times New Roman"/>
      <w:sz w:val="24"/>
      <w:szCs w:val="24"/>
      <w:lang w:val="lv-LV" w:eastAsia="lv-LV"/>
    </w:rPr>
  </w:style>
  <w:style w:type="paragraph" w:customStyle="1" w:styleId="tv213">
    <w:name w:val="tv213"/>
    <w:basedOn w:val="Normal"/>
    <w:rsid w:val="006B0CF1"/>
    <w:pPr>
      <w:widowControl/>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46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CD"/>
    <w:rPr>
      <w:rFonts w:ascii="Segoe UI" w:eastAsia="Calibri" w:hAnsi="Segoe UI" w:cs="Segoe UI"/>
      <w:sz w:val="18"/>
      <w:szCs w:val="18"/>
      <w:lang w:val="en-US"/>
    </w:rPr>
  </w:style>
  <w:style w:type="paragraph" w:styleId="Revision">
    <w:name w:val="Revision"/>
    <w:hidden/>
    <w:uiPriority w:val="99"/>
    <w:semiHidden/>
    <w:rsid w:val="008D00F1"/>
    <w:pPr>
      <w:spacing w:after="0" w:line="240" w:lineRule="auto"/>
    </w:pPr>
    <w:rPr>
      <w:rFonts w:ascii="Calibri" w:eastAsia="Calibri" w:hAnsi="Calibri" w:cs="Times New Roman"/>
      <w:lang w:val="en-US"/>
    </w:rPr>
  </w:style>
  <w:style w:type="character" w:customStyle="1" w:styleId="Heading2Char">
    <w:name w:val="Heading 2 Char"/>
    <w:basedOn w:val="DefaultParagraphFont"/>
    <w:link w:val="Heading2"/>
    <w:uiPriority w:val="9"/>
    <w:rsid w:val="00954A9E"/>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C15AF6"/>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D514C0"/>
    <w:rPr>
      <w:sz w:val="16"/>
      <w:szCs w:val="16"/>
    </w:rPr>
  </w:style>
  <w:style w:type="paragraph" w:styleId="CommentText">
    <w:name w:val="annotation text"/>
    <w:basedOn w:val="Normal"/>
    <w:link w:val="CommentTextChar"/>
    <w:uiPriority w:val="99"/>
    <w:semiHidden/>
    <w:unhideWhenUsed/>
    <w:rsid w:val="00D514C0"/>
    <w:pPr>
      <w:spacing w:line="240" w:lineRule="auto"/>
    </w:pPr>
    <w:rPr>
      <w:sz w:val="20"/>
      <w:szCs w:val="20"/>
    </w:rPr>
  </w:style>
  <w:style w:type="character" w:customStyle="1" w:styleId="CommentTextChar">
    <w:name w:val="Comment Text Char"/>
    <w:basedOn w:val="DefaultParagraphFont"/>
    <w:link w:val="CommentText"/>
    <w:uiPriority w:val="99"/>
    <w:semiHidden/>
    <w:rsid w:val="00D514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14C0"/>
    <w:rPr>
      <w:b/>
      <w:bCs/>
    </w:rPr>
  </w:style>
  <w:style w:type="character" w:customStyle="1" w:styleId="CommentSubjectChar">
    <w:name w:val="Comment Subject Char"/>
    <w:basedOn w:val="CommentTextChar"/>
    <w:link w:val="CommentSubject"/>
    <w:uiPriority w:val="99"/>
    <w:semiHidden/>
    <w:rsid w:val="00D514C0"/>
    <w:rPr>
      <w:rFonts w:ascii="Calibri" w:eastAsia="Calibri" w:hAnsi="Calibri" w:cs="Times New Roman"/>
      <w:b/>
      <w:bCs/>
      <w:sz w:val="20"/>
      <w:szCs w:val="20"/>
      <w:lang w:val="en-US"/>
    </w:rPr>
  </w:style>
  <w:style w:type="paragraph" w:styleId="FootnoteText">
    <w:name w:val="footnote text"/>
    <w:basedOn w:val="Normal"/>
    <w:link w:val="FootnoteTextChar"/>
    <w:uiPriority w:val="99"/>
    <w:semiHidden/>
    <w:unhideWhenUsed/>
    <w:rsid w:val="00F83BCF"/>
    <w:pPr>
      <w:widowControl/>
      <w:spacing w:after="0" w:line="240" w:lineRule="auto"/>
    </w:pPr>
    <w:rPr>
      <w:rFonts w:eastAsiaTheme="minorHAnsi"/>
      <w:sz w:val="20"/>
      <w:szCs w:val="20"/>
      <w:lang w:val="lv-LV" w:eastAsia="lv-LV"/>
    </w:rPr>
  </w:style>
  <w:style w:type="character" w:customStyle="1" w:styleId="FootnoteTextChar">
    <w:name w:val="Footnote Text Char"/>
    <w:basedOn w:val="DefaultParagraphFont"/>
    <w:link w:val="FootnoteText"/>
    <w:uiPriority w:val="99"/>
    <w:semiHidden/>
    <w:rsid w:val="00F83BCF"/>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F83B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027">
      <w:bodyDiv w:val="1"/>
      <w:marLeft w:val="0"/>
      <w:marRight w:val="0"/>
      <w:marTop w:val="0"/>
      <w:marBottom w:val="0"/>
      <w:divBdr>
        <w:top w:val="none" w:sz="0" w:space="0" w:color="auto"/>
        <w:left w:val="none" w:sz="0" w:space="0" w:color="auto"/>
        <w:bottom w:val="none" w:sz="0" w:space="0" w:color="auto"/>
        <w:right w:val="none" w:sz="0" w:space="0" w:color="auto"/>
      </w:divBdr>
    </w:div>
    <w:div w:id="385842040">
      <w:bodyDiv w:val="1"/>
      <w:marLeft w:val="0"/>
      <w:marRight w:val="0"/>
      <w:marTop w:val="0"/>
      <w:marBottom w:val="0"/>
      <w:divBdr>
        <w:top w:val="none" w:sz="0" w:space="0" w:color="auto"/>
        <w:left w:val="none" w:sz="0" w:space="0" w:color="auto"/>
        <w:bottom w:val="none" w:sz="0" w:space="0" w:color="auto"/>
        <w:right w:val="none" w:sz="0" w:space="0" w:color="auto"/>
      </w:divBdr>
      <w:divsChild>
        <w:div w:id="1871719694">
          <w:marLeft w:val="0"/>
          <w:marRight w:val="0"/>
          <w:marTop w:val="100"/>
          <w:marBottom w:val="100"/>
          <w:divBdr>
            <w:top w:val="none" w:sz="0" w:space="0" w:color="auto"/>
            <w:left w:val="none" w:sz="0" w:space="0" w:color="auto"/>
            <w:bottom w:val="none" w:sz="0" w:space="0" w:color="auto"/>
            <w:right w:val="none" w:sz="0" w:space="0" w:color="auto"/>
          </w:divBdr>
          <w:divsChild>
            <w:div w:id="1352606532">
              <w:marLeft w:val="0"/>
              <w:marRight w:val="0"/>
              <w:marTop w:val="0"/>
              <w:marBottom w:val="0"/>
              <w:divBdr>
                <w:top w:val="none" w:sz="0" w:space="0" w:color="auto"/>
                <w:left w:val="none" w:sz="0" w:space="0" w:color="auto"/>
                <w:bottom w:val="none" w:sz="0" w:space="0" w:color="auto"/>
                <w:right w:val="none" w:sz="0" w:space="0" w:color="auto"/>
              </w:divBdr>
              <w:divsChild>
                <w:div w:id="2068068902">
                  <w:marLeft w:val="0"/>
                  <w:marRight w:val="0"/>
                  <w:marTop w:val="0"/>
                  <w:marBottom w:val="0"/>
                  <w:divBdr>
                    <w:top w:val="none" w:sz="0" w:space="0" w:color="auto"/>
                    <w:left w:val="none" w:sz="0" w:space="0" w:color="auto"/>
                    <w:bottom w:val="none" w:sz="0" w:space="0" w:color="auto"/>
                    <w:right w:val="none" w:sz="0" w:space="0" w:color="auto"/>
                  </w:divBdr>
                  <w:divsChild>
                    <w:div w:id="487863496">
                      <w:marLeft w:val="0"/>
                      <w:marRight w:val="0"/>
                      <w:marTop w:val="0"/>
                      <w:marBottom w:val="0"/>
                      <w:divBdr>
                        <w:top w:val="none" w:sz="0" w:space="0" w:color="auto"/>
                        <w:left w:val="none" w:sz="0" w:space="0" w:color="auto"/>
                        <w:bottom w:val="none" w:sz="0" w:space="0" w:color="auto"/>
                        <w:right w:val="none" w:sz="0" w:space="0" w:color="auto"/>
                      </w:divBdr>
                      <w:divsChild>
                        <w:div w:id="2092770244">
                          <w:marLeft w:val="0"/>
                          <w:marRight w:val="0"/>
                          <w:marTop w:val="0"/>
                          <w:marBottom w:val="0"/>
                          <w:divBdr>
                            <w:top w:val="none" w:sz="0" w:space="0" w:color="auto"/>
                            <w:left w:val="none" w:sz="0" w:space="0" w:color="auto"/>
                            <w:bottom w:val="none" w:sz="0" w:space="0" w:color="auto"/>
                            <w:right w:val="none" w:sz="0" w:space="0" w:color="auto"/>
                          </w:divBdr>
                          <w:divsChild>
                            <w:div w:id="365329763">
                              <w:marLeft w:val="0"/>
                              <w:marRight w:val="0"/>
                              <w:marTop w:val="0"/>
                              <w:marBottom w:val="0"/>
                              <w:divBdr>
                                <w:top w:val="none" w:sz="0" w:space="0" w:color="auto"/>
                                <w:left w:val="none" w:sz="0" w:space="0" w:color="auto"/>
                                <w:bottom w:val="none" w:sz="0" w:space="0" w:color="auto"/>
                                <w:right w:val="none" w:sz="0" w:space="0" w:color="auto"/>
                              </w:divBdr>
                              <w:divsChild>
                                <w:div w:id="1323658985">
                                  <w:marLeft w:val="0"/>
                                  <w:marRight w:val="0"/>
                                  <w:marTop w:val="0"/>
                                  <w:marBottom w:val="0"/>
                                  <w:divBdr>
                                    <w:top w:val="none" w:sz="0" w:space="0" w:color="auto"/>
                                    <w:left w:val="none" w:sz="0" w:space="0" w:color="auto"/>
                                    <w:bottom w:val="none" w:sz="0" w:space="0" w:color="auto"/>
                                    <w:right w:val="none" w:sz="0" w:space="0" w:color="auto"/>
                                  </w:divBdr>
                                  <w:divsChild>
                                    <w:div w:id="607275369">
                                      <w:marLeft w:val="0"/>
                                      <w:marRight w:val="0"/>
                                      <w:marTop w:val="0"/>
                                      <w:marBottom w:val="150"/>
                                      <w:divBdr>
                                        <w:top w:val="none" w:sz="0" w:space="0" w:color="auto"/>
                                        <w:left w:val="none" w:sz="0" w:space="0" w:color="auto"/>
                                        <w:bottom w:val="none" w:sz="0" w:space="0" w:color="auto"/>
                                        <w:right w:val="none" w:sz="0" w:space="0" w:color="auto"/>
                                      </w:divBdr>
                                      <w:divsChild>
                                        <w:div w:id="60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4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0556-D678-40A9-95B5-BE9B06FB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97666</Words>
  <Characters>55670</Characters>
  <Application>Microsoft Office Word</Application>
  <DocSecurity>0</DocSecurity>
  <Lines>463</Lines>
  <Paragraphs>306</Paragraphs>
  <ScaleCrop>false</ScaleCrop>
  <HeadingPairs>
    <vt:vector size="2" baseType="variant">
      <vt:variant>
        <vt:lpstr>Title</vt:lpstr>
      </vt:variant>
      <vt:variant>
        <vt:i4>1</vt:i4>
      </vt:variant>
    </vt:vector>
  </HeadingPairs>
  <TitlesOfParts>
    <vt:vector size="1" baseType="lpstr">
      <vt:lpstr>Likumprojekta "Publisko iepirkumu likums" sākotnējās ietekmes novērtējuma ziņojums (anotācija)</vt:lpstr>
    </vt:vector>
  </TitlesOfParts>
  <Company>Finanšu ministrija</Company>
  <LinksUpToDate>false</LinksUpToDate>
  <CharactersWithSpaces>153030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"Publisko iepirkumu likums" sākotnējās ietekmes novērtējuma ziņojums (anotācija)</dc:title>
  <dc:subject>Likumprojekta anotācija</dc:subject>
  <dc:creator>Līga Neilande</dc:creator>
  <cp:keywords/>
  <dc:description>67095640,_x000d_
liga.neilande@fm.gov.lv</dc:description>
  <cp:lastModifiedBy>Gunta Puidīte</cp:lastModifiedBy>
  <cp:revision>6</cp:revision>
  <cp:lastPrinted>2016-06-16T12:39:00Z</cp:lastPrinted>
  <dcterms:created xsi:type="dcterms:W3CDTF">2016-06-16T12:37:00Z</dcterms:created>
  <dcterms:modified xsi:type="dcterms:W3CDTF">2016-06-17T07:50:00Z</dcterms:modified>
</cp:coreProperties>
</file>