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3C" w:rsidRDefault="00B50EEA" w:rsidP="006C7B8C">
      <w:pPr>
        <w:spacing w:after="0" w:line="240" w:lineRule="auto"/>
        <w:ind w:right="709"/>
        <w:jc w:val="right"/>
        <w:rPr>
          <w:rFonts w:ascii="Times New Roman" w:hAnsi="Times New Roman"/>
          <w:sz w:val="28"/>
          <w:szCs w:val="28"/>
        </w:rPr>
      </w:pPr>
      <w:r>
        <w:rPr>
          <w:rFonts w:ascii="Times New Roman" w:hAnsi="Times New Roman"/>
          <w:sz w:val="28"/>
          <w:szCs w:val="28"/>
        </w:rPr>
        <w:t>4.pielikums</w:t>
      </w:r>
      <w:r>
        <w:rPr>
          <w:rFonts w:ascii="Times New Roman" w:hAnsi="Times New Roman"/>
          <w:sz w:val="28"/>
          <w:szCs w:val="28"/>
        </w:rPr>
        <w:br/>
        <w:t>Ministru kabineta</w:t>
      </w:r>
      <w:r w:rsidR="009B653C">
        <w:rPr>
          <w:rFonts w:ascii="Times New Roman" w:hAnsi="Times New Roman"/>
          <w:sz w:val="28"/>
          <w:szCs w:val="28"/>
        </w:rPr>
        <w:br/>
        <w:t>2016.</w:t>
      </w:r>
      <w:r w:rsidR="009B653C" w:rsidRPr="002F7F0F">
        <w:rPr>
          <w:rFonts w:ascii="Times New Roman" w:hAnsi="Times New Roman"/>
          <w:sz w:val="28"/>
          <w:szCs w:val="28"/>
        </w:rPr>
        <w:t xml:space="preserve">gada </w:t>
      </w:r>
      <w:r w:rsidR="002F7F0F" w:rsidRPr="002F7F0F">
        <w:rPr>
          <w:rFonts w:ascii="Times New Roman" w:hAnsi="Times New Roman"/>
          <w:sz w:val="28"/>
          <w:szCs w:val="28"/>
        </w:rPr>
        <w:t xml:space="preserve">   </w:t>
      </w:r>
      <w:r w:rsidR="009B653C" w:rsidRPr="002F7F0F">
        <w:rPr>
          <w:rFonts w:ascii="Times New Roman" w:hAnsi="Times New Roman"/>
          <w:sz w:val="28"/>
          <w:szCs w:val="28"/>
        </w:rPr>
        <w:t>.j</w:t>
      </w:r>
      <w:r>
        <w:rPr>
          <w:rFonts w:ascii="Times New Roman" w:hAnsi="Times New Roman"/>
          <w:sz w:val="28"/>
          <w:szCs w:val="28"/>
        </w:rPr>
        <w:t>ūlija</w:t>
      </w:r>
      <w:r w:rsidR="009B653C">
        <w:rPr>
          <w:rFonts w:ascii="Times New Roman" w:hAnsi="Times New Roman"/>
          <w:sz w:val="28"/>
          <w:szCs w:val="28"/>
        </w:rPr>
        <w:t xml:space="preserve"> noteikumiem Nr.</w:t>
      </w:r>
      <w:r>
        <w:rPr>
          <w:rFonts w:ascii="Times New Roman" w:hAnsi="Times New Roman"/>
          <w:sz w:val="28"/>
          <w:szCs w:val="28"/>
        </w:rPr>
        <w:t xml:space="preserve"> </w:t>
      </w:r>
    </w:p>
    <w:p w:rsidR="009B653C" w:rsidRDefault="009B653C" w:rsidP="009B653C">
      <w:pPr>
        <w:spacing w:after="0"/>
        <w:ind w:right="708"/>
        <w:jc w:val="center"/>
        <w:rPr>
          <w:rFonts w:ascii="Times New Roman" w:hAnsi="Times New Roman"/>
          <w:b/>
          <w:sz w:val="28"/>
          <w:szCs w:val="28"/>
        </w:rPr>
      </w:pPr>
    </w:p>
    <w:p w:rsidR="009B653C" w:rsidRDefault="009B653C" w:rsidP="009B653C">
      <w:pPr>
        <w:spacing w:after="0"/>
        <w:ind w:right="708"/>
        <w:jc w:val="center"/>
        <w:rPr>
          <w:rFonts w:ascii="Times New Roman" w:hAnsi="Times New Roman"/>
          <w:b/>
          <w:sz w:val="28"/>
          <w:szCs w:val="28"/>
        </w:rPr>
      </w:pPr>
      <w:r>
        <w:rPr>
          <w:rFonts w:ascii="Times New Roman" w:hAnsi="Times New Roman"/>
          <w:b/>
          <w:sz w:val="28"/>
          <w:szCs w:val="28"/>
        </w:rPr>
        <w:t xml:space="preserve">Ar akcīzes nodokli apliekamo naftas produktu </w:t>
      </w:r>
      <w:r>
        <w:rPr>
          <w:rFonts w:ascii="Times New Roman" w:hAnsi="Times New Roman"/>
          <w:b/>
          <w:i/>
          <w:iCs/>
          <w:sz w:val="28"/>
          <w:szCs w:val="28"/>
        </w:rPr>
        <w:t>TARIC</w:t>
      </w:r>
      <w:r>
        <w:rPr>
          <w:rFonts w:ascii="Times New Roman" w:hAnsi="Times New Roman"/>
          <w:b/>
          <w:sz w:val="28"/>
          <w:szCs w:val="28"/>
        </w:rPr>
        <w:t xml:space="preserve"> nacionālo</w:t>
      </w:r>
    </w:p>
    <w:p w:rsidR="009B653C" w:rsidRDefault="009B653C" w:rsidP="009B653C">
      <w:pPr>
        <w:spacing w:after="0"/>
        <w:ind w:right="708"/>
        <w:jc w:val="center"/>
        <w:rPr>
          <w:rFonts w:ascii="Times New Roman" w:hAnsi="Times New Roman"/>
          <w:b/>
          <w:sz w:val="28"/>
          <w:szCs w:val="28"/>
        </w:rPr>
      </w:pPr>
      <w:r>
        <w:rPr>
          <w:rFonts w:ascii="Times New Roman" w:hAnsi="Times New Roman"/>
          <w:b/>
          <w:sz w:val="28"/>
          <w:szCs w:val="28"/>
        </w:rPr>
        <w:t>papildkodu saraksts</w:t>
      </w:r>
    </w:p>
    <w:p w:rsidR="009B653C" w:rsidRDefault="009B653C" w:rsidP="009B653C">
      <w:pPr>
        <w:pStyle w:val="labojumupamats"/>
        <w:spacing w:before="0" w:beforeAutospacing="0" w:after="0" w:afterAutospacing="0"/>
        <w:jc w:val="center"/>
        <w:rPr>
          <w:sz w:val="22"/>
          <w:szCs w:val="22"/>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
        <w:gridCol w:w="565"/>
        <w:gridCol w:w="1470"/>
        <w:gridCol w:w="1282"/>
        <w:gridCol w:w="98"/>
        <w:gridCol w:w="2758"/>
        <w:gridCol w:w="1711"/>
        <w:gridCol w:w="1468"/>
      </w:tblGrid>
      <w:tr w:rsidR="009B653C" w:rsidTr="009B653C">
        <w:trPr>
          <w:tblCellSpacing w:w="15" w:type="dxa"/>
        </w:trPr>
        <w:tc>
          <w:tcPr>
            <w:tcW w:w="1393" w:type="pct"/>
            <w:gridSpan w:val="3"/>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Eiropas Savienības kombinētās nomenklatūras kods</w:t>
            </w:r>
          </w:p>
        </w:tc>
        <w:tc>
          <w:tcPr>
            <w:tcW w:w="652" w:type="pct"/>
            <w:gridSpan w:val="2"/>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i/>
                <w:iCs/>
                <w:sz w:val="24"/>
                <w:szCs w:val="24"/>
              </w:rPr>
              <w:t>TARIC</w:t>
            </w:r>
            <w:r>
              <w:rPr>
                <w:rFonts w:ascii="Times New Roman" w:hAnsi="Times New Roman"/>
                <w:sz w:val="24"/>
                <w:szCs w:val="24"/>
              </w:rPr>
              <w:t xml:space="preserve"> nacionālais papildkods (VAD 33. ailes 19.–22. zīme), kuru uztur ITVS</w:t>
            </w:r>
          </w:p>
        </w:tc>
        <w:tc>
          <w:tcPr>
            <w:tcW w:w="1345" w:type="pct"/>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 xml:space="preserve">Eiropas Savienības kombinētās nomenklatūras un </w:t>
            </w:r>
            <w:r>
              <w:rPr>
                <w:rFonts w:ascii="Times New Roman" w:hAnsi="Times New Roman"/>
                <w:i/>
                <w:iCs/>
                <w:sz w:val="24"/>
                <w:szCs w:val="24"/>
              </w:rPr>
              <w:t>TARIC</w:t>
            </w:r>
            <w:r>
              <w:rPr>
                <w:rFonts w:ascii="Times New Roman" w:hAnsi="Times New Roman"/>
                <w:sz w:val="24"/>
                <w:szCs w:val="24"/>
              </w:rPr>
              <w:t xml:space="preserve"> nacionālā papildkoda apraksts</w:t>
            </w:r>
          </w:p>
        </w:tc>
        <w:tc>
          <w:tcPr>
            <w:tcW w:w="829" w:type="pct"/>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Akcīzes nodokļa likme</w:t>
            </w:r>
          </w:p>
        </w:tc>
        <w:tc>
          <w:tcPr>
            <w:tcW w:w="694" w:type="pct"/>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Valsts pamatbudžeta ieņēmumu konts*</w:t>
            </w:r>
          </w:p>
        </w:tc>
      </w:tr>
      <w:tr w:rsidR="009B653C" w:rsidTr="009B653C">
        <w:trPr>
          <w:tblCellSpacing w:w="15" w:type="dxa"/>
        </w:trPr>
        <w:tc>
          <w:tcPr>
            <w:tcW w:w="1393" w:type="pct"/>
            <w:gridSpan w:val="3"/>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1</w:t>
            </w:r>
          </w:p>
        </w:tc>
        <w:tc>
          <w:tcPr>
            <w:tcW w:w="652" w:type="pct"/>
            <w:gridSpan w:val="2"/>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2</w:t>
            </w:r>
          </w:p>
        </w:tc>
        <w:tc>
          <w:tcPr>
            <w:tcW w:w="1345" w:type="pct"/>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3</w:t>
            </w:r>
          </w:p>
        </w:tc>
        <w:tc>
          <w:tcPr>
            <w:tcW w:w="829" w:type="pct"/>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4</w:t>
            </w:r>
          </w:p>
        </w:tc>
        <w:tc>
          <w:tcPr>
            <w:tcW w:w="694" w:type="pct"/>
            <w:tcBorders>
              <w:top w:val="outset" w:sz="6" w:space="0" w:color="auto"/>
              <w:left w:val="outset" w:sz="6" w:space="0" w:color="auto"/>
              <w:bottom w:val="outset" w:sz="6" w:space="0" w:color="auto"/>
              <w:right w:val="outset" w:sz="6" w:space="0" w:color="auto"/>
            </w:tcBorders>
            <w:vAlign w:val="center"/>
            <w:hideMark/>
          </w:tcPr>
          <w:p w:rsidR="009B653C" w:rsidRDefault="009B653C">
            <w:pPr>
              <w:spacing w:after="0" w:line="240" w:lineRule="auto"/>
              <w:jc w:val="center"/>
              <w:rPr>
                <w:rFonts w:ascii="Times New Roman" w:hAnsi="Times New Roman"/>
                <w:sz w:val="24"/>
                <w:szCs w:val="24"/>
              </w:rPr>
            </w:pPr>
            <w:r>
              <w:rPr>
                <w:rFonts w:ascii="Times New Roman" w:hAnsi="Times New Roman"/>
                <w:sz w:val="24"/>
                <w:szCs w:val="24"/>
              </w:rPr>
              <w:t>5</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tcPr>
          <w:p w:rsidR="009B653C" w:rsidRPr="00B57944" w:rsidRDefault="009B653C">
            <w:pPr>
              <w:spacing w:after="0" w:line="240" w:lineRule="auto"/>
              <w:rPr>
                <w:rFonts w:ascii="Times New Roman" w:hAnsi="Times New Roman"/>
                <w:b/>
                <w:bCs/>
                <w:color w:val="000000" w:themeColor="text1"/>
                <w:sz w:val="24"/>
                <w:szCs w:val="24"/>
              </w:rPr>
            </w:pPr>
          </w:p>
        </w:tc>
        <w:tc>
          <w:tcPr>
            <w:tcW w:w="265" w:type="pct"/>
            <w:tcBorders>
              <w:top w:val="outset" w:sz="6" w:space="0" w:color="auto"/>
              <w:left w:val="outset" w:sz="6" w:space="0" w:color="auto"/>
              <w:bottom w:val="outset" w:sz="6" w:space="0" w:color="auto"/>
              <w:right w:val="outset" w:sz="6" w:space="0" w:color="auto"/>
            </w:tcBorders>
          </w:tcPr>
          <w:p w:rsidR="009B653C" w:rsidRPr="00B57944" w:rsidRDefault="009B653C">
            <w:pPr>
              <w:spacing w:after="0" w:line="240" w:lineRule="auto"/>
              <w:rPr>
                <w:rFonts w:ascii="Times New Roman" w:hAnsi="Times New Roman"/>
                <w:color w:val="000000" w:themeColor="text1"/>
                <w:sz w:val="24"/>
                <w:szCs w:val="24"/>
              </w:rPr>
            </w:pPr>
          </w:p>
        </w:tc>
        <w:tc>
          <w:tcPr>
            <w:tcW w:w="681" w:type="pct"/>
            <w:tcBorders>
              <w:top w:val="outset" w:sz="6" w:space="0" w:color="auto"/>
              <w:left w:val="outset" w:sz="6" w:space="0" w:color="auto"/>
              <w:bottom w:val="outset" w:sz="6" w:space="0" w:color="auto"/>
              <w:right w:val="outset" w:sz="6" w:space="0" w:color="auto"/>
            </w:tcBorders>
          </w:tcPr>
          <w:p w:rsidR="009B653C" w:rsidRPr="00B57944" w:rsidRDefault="009B653C">
            <w:pPr>
              <w:spacing w:after="0" w:line="240" w:lineRule="auto"/>
              <w:rPr>
                <w:rFonts w:ascii="Times New Roman" w:hAnsi="Times New Roman"/>
                <w:color w:val="000000" w:themeColor="text1"/>
                <w:sz w:val="24"/>
                <w:szCs w:val="24"/>
              </w:rPr>
            </w:pPr>
          </w:p>
        </w:tc>
        <w:tc>
          <w:tcPr>
            <w:tcW w:w="618" w:type="pct"/>
            <w:tcBorders>
              <w:top w:val="outset" w:sz="6" w:space="0" w:color="auto"/>
              <w:left w:val="outset" w:sz="6" w:space="0" w:color="auto"/>
              <w:bottom w:val="outset" w:sz="6" w:space="0" w:color="auto"/>
              <w:right w:val="outset" w:sz="6" w:space="0" w:color="auto"/>
            </w:tcBorders>
          </w:tcPr>
          <w:p w:rsidR="009B653C" w:rsidRPr="00B57944" w:rsidRDefault="009B653C">
            <w:pPr>
              <w:spacing w:after="0" w:line="240" w:lineRule="auto"/>
              <w:rPr>
                <w:rFonts w:ascii="Times New Roman" w:hAnsi="Times New Roman"/>
                <w:color w:val="000000" w:themeColor="text1"/>
                <w:sz w:val="24"/>
                <w:szCs w:val="24"/>
              </w:rPr>
            </w:pP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color w:val="000000" w:themeColor="text1"/>
                <w:sz w:val="24"/>
                <w:szCs w:val="24"/>
              </w:rPr>
              <w:t>DZĪVNIEKU UN AUGU TAUKI UN EĻĻAS UN TO ŠĶELŠANĀS PRODUKTI; GATAVI PĀRTIKAS TAUKI; DZĪVNIEKU VAI AUGU VASKI</w:t>
            </w:r>
          </w:p>
        </w:tc>
        <w:tc>
          <w:tcPr>
            <w:tcW w:w="829" w:type="pct"/>
            <w:tcBorders>
              <w:top w:val="outset" w:sz="6" w:space="0" w:color="auto"/>
              <w:left w:val="outset" w:sz="6" w:space="0" w:color="auto"/>
              <w:bottom w:val="outset" w:sz="6" w:space="0" w:color="auto"/>
              <w:right w:val="outset" w:sz="6" w:space="0" w:color="auto"/>
            </w:tcBorders>
          </w:tcPr>
          <w:p w:rsidR="009B653C" w:rsidRPr="00B57944" w:rsidRDefault="009B653C">
            <w:pPr>
              <w:spacing w:after="0" w:line="240" w:lineRule="auto"/>
              <w:rPr>
                <w:rFonts w:ascii="Times New Roman" w:hAnsi="Times New Roman"/>
                <w:color w:val="000000" w:themeColor="text1"/>
                <w:sz w:val="24"/>
                <w:szCs w:val="24"/>
              </w:rPr>
            </w:pPr>
          </w:p>
        </w:tc>
        <w:tc>
          <w:tcPr>
            <w:tcW w:w="694" w:type="pct"/>
            <w:tcBorders>
              <w:top w:val="outset" w:sz="6" w:space="0" w:color="auto"/>
              <w:left w:val="outset" w:sz="6" w:space="0" w:color="auto"/>
              <w:bottom w:val="outset" w:sz="6" w:space="0" w:color="auto"/>
              <w:right w:val="outset" w:sz="6" w:space="0" w:color="auto"/>
            </w:tcBorders>
          </w:tcPr>
          <w:p w:rsidR="009B653C" w:rsidRPr="00B57944" w:rsidRDefault="009B653C">
            <w:pPr>
              <w:spacing w:after="0" w:line="240" w:lineRule="auto"/>
              <w:rPr>
                <w:rFonts w:ascii="Times New Roman" w:hAnsi="Times New Roman"/>
                <w:color w:val="000000" w:themeColor="text1"/>
                <w:sz w:val="24"/>
                <w:szCs w:val="24"/>
              </w:rPr>
            </w:pP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Sojas pupu eļļa un tās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 attīrīta vai neattīrīta no līmvielām: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--tehniskām vai rūpnieciskām vajadzībām, izņemot pārtikas produktu </w:t>
            </w:r>
            <w:r w:rsidRPr="00B57944">
              <w:rPr>
                <w:rFonts w:ascii="Times New Roman" w:hAnsi="Times New Roman"/>
                <w:color w:val="000000" w:themeColor="text1"/>
                <w:sz w:val="24"/>
                <w:szCs w:val="24"/>
              </w:rPr>
              <w:lastRenderedPageBreak/>
              <w:t>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Zemesriekstu eļļa un tās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Olīveļļa un tās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--spīdīgā olīveļļa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 eļļas un to frakcijas, kas iegūtas tikai no olīvām, arī rafinētas, bet ķīmiski nepārveidotas, ieskaitot šo eļļu vai frakciju maisījumus ar eļļām vai frakcijām, kas minētas pozīcijā 1509:</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Palmu eļļa un tās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--cietās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Saulespuķu eļļa, saflora eļļa vai kokvilnas eļļa un to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-saulespuķu vai saflora 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----saulespuķu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----saflora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-kokvilnas 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 ar atdalītu vai neatdalītu gosipolu: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Kokosriekstu (kopras) eļļa, palmu kodolu eļļa vai babasū eļļa un to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kokosriekstu (kopras) 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---cietās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tiešajā iepakojumā, ar tīro svaru līdz 1 kg</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 xml:space="preserve">tehniskām vai rūpnieciskām vajadzībām, izņemot pārtikas produktu </w:t>
            </w:r>
            <w:r w:rsidRPr="00B57944">
              <w:rPr>
                <w:rFonts w:ascii="Times New Roman" w:hAnsi="Times New Roman"/>
                <w:color w:val="000000" w:themeColor="text1"/>
                <w:sz w:val="24"/>
                <w:szCs w:val="24"/>
              </w:rPr>
              <w:lastRenderedPageBreak/>
              <w:t>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palmu kodolu eļļa vai babasū eļļa un to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---cietās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tiešajā iepakojumā, ar tīro svaru līdz 1 kg</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Rapšu, ripšu vai sinepju eļļa un to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rapšu eļļa ar zemu erukskābes saturu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 negaistošās augu eļļas un tauki (ieskaitot jojobas eļļu) un to frakcijas, rafinētas vai nerafinētas, bet ķīmiski nepārveidotas: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-linsēklu 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-kukurūzas 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-rīcineļļa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-sezama 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 xml:space="preserve">tehniskām vai rūpnieciskām vajadzībām, </w:t>
            </w:r>
            <w:r w:rsidRPr="00B57944">
              <w:rPr>
                <w:rFonts w:ascii="Times New Roman" w:hAnsi="Times New Roman"/>
                <w:color w:val="000000" w:themeColor="text1"/>
                <w:sz w:val="24"/>
                <w:szCs w:val="24"/>
              </w:rPr>
              <w:lastRenderedPageBreak/>
              <w:t>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--tungas koku eļļa; jojobas eļļa un oitisiku eļļa; miršu vasks un sumahu vasks; to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--tabakas sēklu eļļa un tās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 eļļa: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Izmantošanai par degvielu </w:t>
            </w:r>
            <w:r w:rsidRPr="00B57944">
              <w:rPr>
                <w:rFonts w:ascii="Times New Roman" w:hAnsi="Times New Roman"/>
                <w:color w:val="000000" w:themeColor="text1"/>
                <w:sz w:val="24"/>
                <w:szCs w:val="24"/>
              </w:rPr>
              <w:lastRenderedPageBreak/>
              <w:t>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--citas eļļas un to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Dzīvnieku vai augu tauki un eļļas un to frakcijas, pilnīgi vai daļēji hidrogenētas, esterificētas, pāresterificētas vai elaidinētas, rafinētas vai nerafinētas, bet tālāk neapstrādātas: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-dzīvnieku tauki un eļļas un to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-augu tauki un eļļas un to frakcijas: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--hidrogenēta rīcineļļa, t. s. opālvasks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----rapšu, linsēklu, ripšu, saulespuķu sēklu, illipju, sviestkoku, makoru sēklu, andirobu riekstu vai babasū eļļa tehniskām un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-----zemesriekstu, kokvilnas sēklu, sojas pupu vai saulespuķu eļļa; citādas eļļas, kas satur mazāk par 50 % no svara brīvās taukskābes, izņemot palmu kodolu, illipju, kokosriekstu (kopras), rapšu, ripšu un kopaivas eļļu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Izmantošanai par degvielu </w:t>
            </w:r>
            <w:r w:rsidRPr="00B57944">
              <w:rPr>
                <w:rFonts w:ascii="Times New Roman" w:hAnsi="Times New Roman"/>
                <w:color w:val="000000" w:themeColor="text1"/>
                <w:sz w:val="24"/>
                <w:szCs w:val="24"/>
              </w:rPr>
              <w:lastRenderedPageBreak/>
              <w:t>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Margarīns; pārtikas maisījumi vai pārstrādes produkti, kuri iegūti no dzīvnieku vai augu taukiem vai eļļām, vai dažādu šajā nodaļā uzskaitīto tauku vai eļļu frakcijām, kas nav pārtikas tauki un eļļas vai to frakcijas, kuras iekļautas pozīcijā 1516:</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-margarīns, izņemot šķidro margarīnu: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piena tauku saturu vairāk nekā 10 %, bet ne vairāk kā 15 % no svara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piena tauku saturu vairāk nekā 10 %, bet ne vairāk kā 15 % no svara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---jauktas negaistošas augu eļļas šķidruma veidā:</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---pārtikas maisījumi vai pārstrādes produkti, ko izmanto veidņu eļļām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Dzīvnieku vai augu tauki un eļļas un to frakcijas, kausētas, oksidētas, dehidrētas, sulfurētas, caurpūstas, polimerizētas ar siltumu vakuumā vai inertā gāzē vai ķīmiski pārveidotas ar kādu citu paņēmienu, izņemot pozīcijas 1516 izstrādājumus; dzīvnieku vai augu tauku un eļļu vai šās nodaļas dažādo tauku un eļļu frakciju nepārtikas maisījumi vai izstrādājumi, kas citur nav minēti un iekļauti: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-linoksīns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-šķidras, jauktas negaistošas augu eļļas tehniskām vai rūpnieciskām vajadzībām, izņemot pārtikas produktu ražošanu: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--dzīvnieku vai augu tauki un eļļas un to frakcijas, kausētas, oksidētas, dehidrētas, sulfurētas, caurpūstas, polimerizētas ar </w:t>
            </w:r>
            <w:r w:rsidRPr="00B57944">
              <w:rPr>
                <w:rFonts w:ascii="Times New Roman" w:hAnsi="Times New Roman"/>
                <w:color w:val="000000" w:themeColor="text1"/>
                <w:sz w:val="24"/>
                <w:szCs w:val="24"/>
              </w:rPr>
              <w:lastRenderedPageBreak/>
              <w:t>siltumu vakuumā vai inertā gāzē vai ķīmiski pārveidotas ar kādu citu paņēmienu, izņemot pozīcijas 1516 izstrādājumus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---dzīvnieku vai dzīvnieku un augu tauku un eļļu vai to frakciju nepārtikas maisījumi vai izstrādājumi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before="100" w:beforeAutospacing="1" w:after="100" w:afterAutospacing="1" w:line="240" w:lineRule="auto"/>
              <w:jc w:val="center"/>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NAFTAS PRODUKTI;</w:t>
            </w:r>
            <w:r w:rsidRPr="00B57944">
              <w:rPr>
                <w:rFonts w:ascii="Times New Roman" w:hAnsi="Times New Roman"/>
                <w:b/>
                <w:bCs/>
                <w:color w:val="000000" w:themeColor="text1"/>
                <w:sz w:val="24"/>
                <w:szCs w:val="24"/>
              </w:rPr>
              <w:br/>
              <w:t>JAUKTA SASTĀVA ĶĪMISKIE PRODUKTI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Darva, destilēta no akmeņoglēm, lignīta vai kūdras, citādas minerāldarvas, atūdeņotas vai neatūdeņotas vai daļēji destilētas, ieskaitot reģenerētas darvas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05379</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Akmeņogļu darvas eļļas un citi produkti, kas iegūti augsttemperatūras pārtvaicē; tamlīdzīgi produkti, kuros aromātisko sastāvdaļu svars pārsniedz nearomātisko sastāvdaļu svaru: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0 316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-benzols: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0 317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-toluols: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0 322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-ksilols: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0 314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 aromātisko ogļūdeņražu maisījumi, no kuru tilpuma vismaz 65 % (ieskaitot zudumus) destilējas 250 °C temperatūrā (metode ASTM D 86)</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----neattīrītas vieglās eļļas, no kuru tilpuma 90 % vai vairāk destilējas līdz 200 °C temperatūrai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05379</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Neapstrādātas naftas eļļas un no bitumenminerāliem iegūtas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dabasgāzes kondensāti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Naftas eļļas un no bitumenminerāliem iegūtas eļļas, izņemot neapstrādātas eļļas; citur neminēti vai neiekļauti pārstrādes produkti, kas satur 70 % no svara vai vairāk naftas eļļas vai no bitumenminerāliem iegūtas eļļas, ja šīs eļļas ir pārstrādes produktu pamatsastāvdaļas; eļļas atkritumi: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 naftas eļļas un no bitumenminerāliem iegūtas eļļas (izņemot neapstrādātas), un citur neminēti un neiekļauti naftas produkti, kas satur 70 % vai vairāk naftas </w:t>
            </w:r>
            <w:r w:rsidRPr="00B57944">
              <w:rPr>
                <w:rFonts w:ascii="Times New Roman" w:hAnsi="Times New Roman"/>
                <w:b/>
                <w:bCs/>
                <w:color w:val="000000" w:themeColor="text1"/>
                <w:sz w:val="24"/>
                <w:szCs w:val="24"/>
              </w:rPr>
              <w:lastRenderedPageBreak/>
              <w:t>eļļas vai no bitumenminerāliem iegūtas eļļas, ja šīs eļļas ir produktu pamata sastāvdaļas, izņemot eļļas, kuras satur biodīzeli, un izņemot eļļas atkritumus: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--vieglās naftas eļļas un vieglie naftas produkti: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0 221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---ķīmiskām pārvērtībām procesos, kas nav minēti apakšpozīcijā 2710 12 11</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----speciālie benzīni: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0 222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-----lakbenzīns (vaitspirts)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-----benzīns: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------aviācijas benzīns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kuru svina saturs: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-------nepārsniedz 0,013 g litrā:</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0 603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mazāks par 95</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ir 95 vai lielāks, bet mazāks par 98</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ir 98 vai lielāks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-------pārsniedz 0,013 g litrā:</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mazāks par 98</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etilspirta vai etiltretbutilētera (ETBE) piedevu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--------kuru oktānskaitlis </w:t>
            </w:r>
            <w:r w:rsidRPr="00B57944">
              <w:rPr>
                <w:rFonts w:ascii="Times New Roman" w:hAnsi="Times New Roman"/>
                <w:color w:val="000000" w:themeColor="text1"/>
                <w:sz w:val="24"/>
                <w:szCs w:val="24"/>
              </w:rPr>
              <w:lastRenderedPageBreak/>
              <w:t>(RON) ir 98 vai lielāks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etilspirta vai etiltretbutilētera (ETBE) piedevu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-----benzīna tipa (gaistošā) reaktīvo dzinēju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vieglās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---vidējās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1 03</w:t>
            </w:r>
            <w:r w:rsidR="00390F33" w:rsidRPr="00FE0087">
              <w:rPr>
                <w:rFonts w:ascii="Times New Roman" w:hAnsi="Times New Roman"/>
                <w:color w:val="000000" w:themeColor="text1"/>
                <w:sz w:val="24"/>
                <w:szCs w:val="24"/>
              </w:rPr>
              <w:t>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05374</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----ķīmiskām pārvērtībām procesos, kas nav minēti apakšpozīcijā 2710 19 11</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rsidP="00390F33">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xml:space="preserve">1 </w:t>
            </w:r>
            <w:r w:rsidR="00390F33" w:rsidRPr="00FE0087">
              <w:rPr>
                <w:rFonts w:ascii="Times New Roman" w:hAnsi="Times New Roman"/>
                <w:color w:val="000000" w:themeColor="text1"/>
                <w:sz w:val="24"/>
                <w:szCs w:val="24"/>
              </w:rPr>
              <w:t>037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05374</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-----petroleja: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------reaktīvo dzinēju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1 03</w:t>
            </w:r>
            <w:r w:rsidR="00390F33" w:rsidRPr="00FE0087">
              <w:rPr>
                <w:rFonts w:ascii="Times New Roman" w:hAnsi="Times New Roman"/>
                <w:color w:val="000000" w:themeColor="text1"/>
                <w:sz w:val="24"/>
                <w:szCs w:val="24"/>
              </w:rPr>
              <w:t>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xml:space="preserve">Iezīmēta (marķēta) degviela, kurā rapšu sēklu eļļa vai no rapšu sēklu eļļas iegūta pievienotā </w:t>
            </w:r>
            <w:r w:rsidRPr="00FE0087">
              <w:rPr>
                <w:rFonts w:ascii="Times New Roman" w:hAnsi="Times New Roman"/>
                <w:color w:val="000000" w:themeColor="text1"/>
                <w:sz w:val="24"/>
                <w:szCs w:val="24"/>
              </w:rPr>
              <w:lastRenderedPageBreak/>
              <w:t>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lastRenderedPageBreak/>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05374</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1 03</w:t>
            </w:r>
            <w:r w:rsidR="00390F33" w:rsidRPr="00FE0087">
              <w:rPr>
                <w:rFonts w:ascii="Times New Roman" w:hAnsi="Times New Roman"/>
                <w:color w:val="000000" w:themeColor="text1"/>
                <w:sz w:val="24"/>
                <w:szCs w:val="24"/>
              </w:rPr>
              <w:t>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05374</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1 03</w:t>
            </w:r>
            <w:r w:rsidR="00390F33" w:rsidRPr="00FE0087">
              <w:rPr>
                <w:rFonts w:ascii="Times New Roman" w:hAnsi="Times New Roman"/>
                <w:color w:val="000000" w:themeColor="text1"/>
                <w:sz w:val="24"/>
                <w:szCs w:val="24"/>
              </w:rPr>
              <w:t>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05377</w:t>
            </w:r>
          </w:p>
        </w:tc>
      </w:tr>
      <w:tr w:rsidR="009131C3" w:rsidRPr="00FE0087"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0 204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05374</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FE0087" w:rsidRDefault="009B653C">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FE0087">
              <w:rPr>
                <w:rFonts w:ascii="Times New Roman" w:hAnsi="Times New Roman"/>
                <w:b/>
                <w:bCs/>
                <w:color w:val="000000" w:themeColor="text1"/>
                <w:sz w:val="24"/>
                <w:szCs w:val="24"/>
              </w:rPr>
              <w:t>---smagās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----gāzeļļas (vieglā dīzeļdegviela):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-----ķīmiskām pārvērtībām procesos, kas nav minēti apakšpozīcijā 2710 19 31</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nepārsniedz 0,001 %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0,001 % no kopējās masas, bet nepārsniedz 0,002 %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0,002 % no kopējās masas, bet nepārsniedz 0,1 %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----degvieleļļas: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-----ķīmiskām pārvērtībām procesos, kas nav minēti apakšpozīcijā 2710 19 51</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nepārsniedz 0,1 %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64</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0,1 % no kopējās masas, bet nepārsniedz 1 %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64</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64</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68</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68</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Degvieleļļa, kuras kolorimetriskais indekss ir mazāks par 2,0 un kinemātiskā viskozitāte 50 </w:t>
            </w:r>
            <w:r w:rsidRPr="00B57944">
              <w:rPr>
                <w:rFonts w:ascii="Times New Roman" w:hAnsi="Times New Roman"/>
                <w:color w:val="000000" w:themeColor="text1"/>
                <w:sz w:val="24"/>
                <w:szCs w:val="24"/>
              </w:rPr>
              <w:lastRenderedPageBreak/>
              <w:t>°C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68</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----ziežeļļas; citādas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------metālapstrādes vielas, veidņu eļļas, pretkorozijas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1 050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iezīmēta (marķēta) degviela,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05379</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kuru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Produkti slēgtā iepakojumā, kuras tilpums nepārsniedz 250 litrus un netiek izmantoti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ziežeļļas un citādas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1 050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iezīmēta (marķēta) degviela,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05379</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kuru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 xml:space="preserve">/s </w:t>
            </w:r>
            <w:r w:rsidRPr="00B57944">
              <w:rPr>
                <w:rFonts w:ascii="Times New Roman" w:hAnsi="Times New Roman"/>
                <w:color w:val="000000" w:themeColor="text1"/>
                <w:sz w:val="24"/>
                <w:szCs w:val="24"/>
              </w:rPr>
              <w:lastRenderedPageBreak/>
              <w:t>vai lielāka)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Produkti slēgtā iepakojumā, kuras tilpums nepārsniedz 250 litrus un netiek izmantoti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Naftas eļļas un no bitumenminerāliem iegūtas eļļas (izņemot neapstrādātas), un citur neminēti un neiekļauti naftas produkti, kas satur 70 % vai vairāk naftas eļļas vai no bitumenminerāliem iegūtas eļļas, ja šīs eļļas ir produktu pamata sastāvdaļas, un kas satur biodīzeli, izņemot eļļas atkritumus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gāzeļļas (vieglā dīzeļdegviela):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kuru sēra saturs nepārsniedz 0,001 %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0,001 % no kopējās masas, bet nepārsniedz 0,002 %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EUR </w:t>
            </w:r>
            <w:r w:rsidRPr="00B57944">
              <w:rPr>
                <w:rFonts w:ascii="Times New Roman" w:hAnsi="Times New Roman"/>
                <w:color w:val="000000" w:themeColor="text1"/>
                <w:sz w:val="24"/>
                <w:szCs w:val="24"/>
              </w:rPr>
              <w:lastRenderedPageBreak/>
              <w:t>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0,002 % no kopējās masas, bet nepārsniedz 0,1 %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kuru sēra saturs pārsniedz 0,1 %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kuru sēra saturs nepārsniedz 0,1 %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0,1 % no kopējās masas, bet nepārsniedz 1 %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1 % no kopējās masas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0 223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iezīmēta (marķēta) degviela, kurā  no rapšu sēklu eļļas iegūta pievienotā biodīzeļdegviela veido vismaz 5 % no kopējā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05379</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05378</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-eļļas atkritumi: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--kas satur polihlordifenilus (PCB), polihlortrifenilus (PCT) vai polibromdifenilus (PBB)</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nesaturošu benzīnu, tā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saturošu benzīnu, tā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petroleju,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dīzeļdegvielu (gāzeļļu),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tiek realizēti vai paredzēti realizācijai, izmantoti vai paredzēti izmantošanai par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Kas tiek realizēti vai paredzēti realizācijai, izmantoti vai paredzēti izmantošanai par kurināmo un kurā rapšu sēklu eļļa vai no rapšu sēklu eļļas iegūta </w:t>
            </w:r>
            <w:r w:rsidRPr="00B57944">
              <w:rPr>
                <w:rFonts w:ascii="Times New Roman" w:hAnsi="Times New Roman"/>
                <w:color w:val="000000" w:themeColor="text1"/>
                <w:sz w:val="24"/>
                <w:szCs w:val="24"/>
              </w:rPr>
              <w:lastRenderedPageBreak/>
              <w:t>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nesaturošu benzīnu, tā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saturošu benzīnu, tā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petroleju,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dīzeļdegvielu (gāzeļļu),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0 508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tiek realizēti vai paredzēti realizācijai, izmantoti vai paredzēti izmantošanai par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tiek realizēti vai paredzēti realizācijai, izmantoti vai paredzēti izmantošanai par kurināmo un kurā rapšu sēklu eļļa vai no rapšu sēklu eļļas iegūta pievienotā biodīzeļdegviela veido vismaz 5 %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Naftas gāzes un citādi gāzveida ogļūdeņraži: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-sašķidrināti: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--dabasgāze</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(galalietotājs)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17,07/1000 m</w:t>
            </w:r>
            <w:r w:rsidRPr="00B57944">
              <w:rPr>
                <w:rFonts w:ascii="Times New Roman" w:hAnsi="Times New Roman"/>
                <w:color w:val="000000" w:themeColor="text1"/>
                <w:sz w:val="24"/>
                <w:szCs w:val="24"/>
                <w:vertAlign w:val="superscript"/>
              </w:rPr>
              <w:t>3</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(galalietotājs)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99,6/1000 m</w:t>
            </w:r>
            <w:r w:rsidRPr="00B57944">
              <w:rPr>
                <w:rFonts w:ascii="Times New Roman" w:hAnsi="Times New Roman"/>
                <w:color w:val="000000" w:themeColor="text1"/>
                <w:sz w:val="24"/>
                <w:szCs w:val="24"/>
                <w:vertAlign w:val="superscript"/>
              </w:rPr>
              <w:t>3</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1 051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5,65/1000 m</w:t>
            </w:r>
            <w:r w:rsidRPr="00B57944">
              <w:rPr>
                <w:rFonts w:ascii="Times New Roman" w:hAnsi="Times New Roman"/>
                <w:color w:val="000000" w:themeColor="text1"/>
                <w:sz w:val="24"/>
                <w:szCs w:val="24"/>
                <w:vertAlign w:val="superscript"/>
              </w:rPr>
              <w:t>3</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Piegādei galalietotājiem, izmantošanai likuma "</w:t>
            </w:r>
            <w:hyperlink r:id="rId8" w:tgtFrame="_blank" w:history="1">
              <w:r w:rsidRPr="00B57944">
                <w:rPr>
                  <w:rStyle w:val="Hyperlink"/>
                  <w:color w:val="000000" w:themeColor="text1"/>
                  <w:sz w:val="24"/>
                  <w:szCs w:val="24"/>
                </w:rPr>
                <w:t>Par akcīzes nodokli</w:t>
              </w:r>
            </w:hyperlink>
            <w:r w:rsidRPr="00B57944">
              <w:rPr>
                <w:rFonts w:ascii="Times New Roman" w:hAnsi="Times New Roman"/>
                <w:color w:val="000000" w:themeColor="text1"/>
                <w:sz w:val="24"/>
                <w:szCs w:val="24"/>
              </w:rPr>
              <w:t>" 6.</w:t>
            </w:r>
            <w:r w:rsidRPr="00B57944">
              <w:rPr>
                <w:rFonts w:ascii="Times New Roman" w:hAnsi="Times New Roman"/>
                <w:color w:val="000000" w:themeColor="text1"/>
                <w:sz w:val="24"/>
                <w:szCs w:val="24"/>
                <w:vertAlign w:val="superscript"/>
              </w:rPr>
              <w:t>1</w:t>
            </w:r>
            <w:r w:rsidRPr="00B57944">
              <w:rPr>
                <w:rFonts w:ascii="Times New Roman" w:hAnsi="Times New Roman"/>
                <w:color w:val="000000" w:themeColor="text1"/>
                <w:sz w:val="24"/>
                <w:szCs w:val="24"/>
              </w:rPr>
              <w:t xml:space="preserve"> panta otrajā daļā noteiktiem mērķiem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saskaņā ar Ministru kabineta noteikumiem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--propāns: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---propāns ar tīrību ne mazāk kā 99 %: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motordegvielu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----ķīmiskām pārvērtībām procesos, kas nav minēti apakšpozīcijā 2711 12 91</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-----kura tīrības pakāpe pārsniedz 90 %, bet nepārsniedz 99 %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--butāni: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0 607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---ķīmiskām pārvērtībām procesos, kas nav minēti apakšpozīcijā 2711 13 10</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tīrības pakāpe pārsniedz 90 %, bet nepārsniedz 95 %</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--etilēns, propilēns, butilēns un butadiēns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--gāzveida stāvoklī:</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---dabasgāze</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(galalietotājs)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17,07/1000 m</w:t>
            </w:r>
            <w:r w:rsidRPr="00B57944">
              <w:rPr>
                <w:rFonts w:ascii="Times New Roman" w:hAnsi="Times New Roman"/>
                <w:color w:val="000000" w:themeColor="text1"/>
                <w:sz w:val="24"/>
                <w:szCs w:val="24"/>
                <w:vertAlign w:val="superscript"/>
              </w:rPr>
              <w:t>3</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(galalietotājs)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99,6/1000 m</w:t>
            </w:r>
            <w:r w:rsidRPr="00B57944">
              <w:rPr>
                <w:rFonts w:ascii="Times New Roman" w:hAnsi="Times New Roman"/>
                <w:color w:val="000000" w:themeColor="text1"/>
                <w:sz w:val="24"/>
                <w:szCs w:val="24"/>
                <w:vertAlign w:val="superscript"/>
              </w:rPr>
              <w:t>3</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1 051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5,65/1000 m</w:t>
            </w:r>
            <w:r w:rsidRPr="00B57944">
              <w:rPr>
                <w:rFonts w:ascii="Times New Roman" w:hAnsi="Times New Roman"/>
                <w:color w:val="000000" w:themeColor="text1"/>
                <w:sz w:val="24"/>
                <w:szCs w:val="24"/>
                <w:vertAlign w:val="superscript"/>
              </w:rPr>
              <w:t>3</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Piegādei galalietotājiem, izmantošanai likuma "</w:t>
            </w:r>
            <w:hyperlink r:id="rId9" w:tgtFrame="_blank" w:history="1">
              <w:r w:rsidRPr="00B57944">
                <w:rPr>
                  <w:rStyle w:val="Hyperlink"/>
                  <w:rFonts w:ascii="Times New Roman" w:hAnsi="Times New Roman"/>
                  <w:color w:val="000000" w:themeColor="text1"/>
                  <w:sz w:val="24"/>
                  <w:szCs w:val="24"/>
                </w:rPr>
                <w:t>Par akcīzes nodokli</w:t>
              </w:r>
            </w:hyperlink>
            <w:r w:rsidRPr="00B57944">
              <w:rPr>
                <w:rFonts w:ascii="Times New Roman" w:hAnsi="Times New Roman"/>
                <w:color w:val="000000" w:themeColor="text1"/>
                <w:sz w:val="24"/>
                <w:szCs w:val="24"/>
              </w:rPr>
              <w:t>" 6.</w:t>
            </w:r>
            <w:r w:rsidRPr="00B57944">
              <w:rPr>
                <w:rFonts w:ascii="Times New Roman" w:hAnsi="Times New Roman"/>
                <w:color w:val="000000" w:themeColor="text1"/>
                <w:sz w:val="24"/>
                <w:szCs w:val="24"/>
                <w:vertAlign w:val="superscript"/>
              </w:rPr>
              <w:t>1</w:t>
            </w:r>
            <w:r w:rsidRPr="00B57944">
              <w:rPr>
                <w:rFonts w:ascii="Times New Roman" w:hAnsi="Times New Roman"/>
                <w:color w:val="000000" w:themeColor="text1"/>
                <w:sz w:val="24"/>
                <w:szCs w:val="24"/>
              </w:rPr>
              <w:t xml:space="preserve"> panta otrajā daļā noteiktiem mērķiem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1 043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saskaņā ar Ministru kabineta noteikumiem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before="100" w:beforeAutospacing="1" w:after="100" w:afterAutospacing="1" w:line="240" w:lineRule="auto"/>
              <w:jc w:val="center"/>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OGĻŪDEŅRAŽI UN TO HALOGENĒTIE, </w:t>
            </w:r>
            <w:r w:rsidRPr="00B57944">
              <w:rPr>
                <w:rFonts w:ascii="Times New Roman" w:hAnsi="Times New Roman"/>
                <w:b/>
                <w:bCs/>
                <w:color w:val="000000" w:themeColor="text1"/>
                <w:sz w:val="24"/>
                <w:szCs w:val="24"/>
              </w:rPr>
              <w:lastRenderedPageBreak/>
              <w:t>SULFURĒTIE, NITRĒTIE UN NITROZĒTIE ATVASINĀJUMI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Acikliskie ogļūdeņraži: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-piesātinātie</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nesaturoša benzīna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saturoša benzīna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petrolejas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dīzeļdegvielas (gāzeļļas)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degvieleļļas, kuras kolorimetriskais indekss ir mazāks par 2,0 un kinemātiskā viskozitāte 50 °C ir mazāka par 25 mm2/s,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gāzveida ogļūdeņražus saturošu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-nepiesātinātie:</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--etilēns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--propēns (propilēns)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EUR 206/1000 </w:t>
            </w:r>
            <w:r w:rsidRPr="00B57944">
              <w:rPr>
                <w:rFonts w:ascii="Times New Roman" w:hAnsi="Times New Roman"/>
                <w:color w:val="000000" w:themeColor="text1"/>
                <w:sz w:val="24"/>
                <w:szCs w:val="24"/>
              </w:rPr>
              <w:lastRenderedPageBreak/>
              <w:t>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--butēns (butilēns) un tā izomēri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--buta-1,3-diēns un izoprēns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nesaturoša benzīna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saturoša benzīna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petrolejas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dīzeļdegvielas (gāzeļļas)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degvieleļļas, kuras kolorimetriskais indekss ir mazāks par 2,0 un kinemātiskā viskozitāte 50 °C ir mazāka par 25 mm2/s, aizstājējproduktiem un komponentiem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gāzveida ogļūdeņražus saturošu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05376</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Cikliskie ogļūdeņraži: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-benzols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-toluols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-ksiloli: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--o-ksilols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42</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--m-ksilols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0 320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--p-ksilols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44</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0 321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--ksilola izomēru maisījumi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before="100" w:beforeAutospacing="1" w:after="100" w:afterAutospacing="1" w:line="240" w:lineRule="auto"/>
              <w:jc w:val="center"/>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SPIRTI UN TO HALOGENĒTIE, SULFURĒTIE, NITRĒTIE VAI NITROZĒTIE ATVASINĀJUMI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Acikliskie spirti un to halogenētie, sulfurētie, nitrētie vai nitrozētie atvasinājumi: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-piesātinātie vienvērtīgie spirti: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--metanols (metilspirts)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piedevu degvielai vai kurināmajam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2905</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0 315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(sintētiskas izcelsmes produktiem)***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Ēteri, hidroksiēteri, alkoksifenoli, alkoksifenolspirti, spirtu peroksīdi, ēteru peroksīdi, ketonu peroksīdi (noteikta vai nenoteikta ķīmiskā sastāva) un to halogenētie, sulfurētie, nitrētie vai nitrozētie atvasinājumi: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-acikliskie ēteri un to halogenētie, sulfurētie, </w:t>
            </w:r>
            <w:r w:rsidRPr="00B57944">
              <w:rPr>
                <w:rFonts w:ascii="Times New Roman" w:hAnsi="Times New Roman"/>
                <w:b/>
                <w:bCs/>
                <w:color w:val="000000" w:themeColor="text1"/>
                <w:sz w:val="24"/>
                <w:szCs w:val="24"/>
              </w:rPr>
              <w:lastRenderedPageBreak/>
              <w:t>nitrētie vai nitrozētie atvasinājumi: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terc-butiletilēteris (etil-terc-butil-ēteris, ETBE)</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piedevu degvielai vai kurināmajam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Zemākie alkiltretbutilēteri un metiltretbutilēteris (MTBE)</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1 027</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piedevu degvielai vai kurināmajam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-antidetonatori: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--uz svina savienojumu bāzes: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---uz tetraetilsvina bāzes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-piedevas ziežeļļām: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--kas satur naftas eļļas vai eļļas, kuras iegūtas no bitumenmateriāliem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nesaturošam benzīnam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saturošam benzīnam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dīzeļdegvielai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petrolejai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05374</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piedevas**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nesaturošam benzīnam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saturošam benzīnam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0 404</w:t>
            </w:r>
          </w:p>
        </w:tc>
        <w:tc>
          <w:tcPr>
            <w:tcW w:w="1379" w:type="pct"/>
            <w:gridSpan w:val="2"/>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dīzeļdegvielai</w:t>
            </w:r>
          </w:p>
        </w:tc>
        <w:tc>
          <w:tcPr>
            <w:tcW w:w="829"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1 038</w:t>
            </w:r>
          </w:p>
        </w:tc>
        <w:tc>
          <w:tcPr>
            <w:tcW w:w="1379" w:type="pct"/>
            <w:gridSpan w:val="2"/>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petrolejai</w:t>
            </w:r>
          </w:p>
        </w:tc>
        <w:tc>
          <w:tcPr>
            <w:tcW w:w="829"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05374</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piedevas**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nesaturošam benzīnam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0 403</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saturošam benzīnam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0 404</w:t>
            </w:r>
          </w:p>
        </w:tc>
        <w:tc>
          <w:tcPr>
            <w:tcW w:w="1379" w:type="pct"/>
            <w:gridSpan w:val="2"/>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dīzeļdegvielai</w:t>
            </w:r>
          </w:p>
        </w:tc>
        <w:tc>
          <w:tcPr>
            <w:tcW w:w="829"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nil"/>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1 038</w:t>
            </w:r>
          </w:p>
        </w:tc>
        <w:tc>
          <w:tcPr>
            <w:tcW w:w="1379" w:type="pct"/>
            <w:gridSpan w:val="2"/>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petrolejai</w:t>
            </w:r>
          </w:p>
        </w:tc>
        <w:tc>
          <w:tcPr>
            <w:tcW w:w="829"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nil"/>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05374</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piedevas**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Jaukti organiskie šķīdinātāji un atšķaidītāji, kas citur nav minēti un iekļauti; gatavi sastāvi krāsu un laku noņemšanai: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-uz butilacetāta bāzes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Lietošanai gatavas saistvielas lietņu veidnēm un serdeņiem; ķīmijas vai saskarnozaru rūpniecības ķīmiskie produkti un preparāti (arī produkti un preparāti, kas satur dabīgu produktu maisījumus), kas nav </w:t>
            </w:r>
            <w:r w:rsidRPr="00B57944">
              <w:rPr>
                <w:rFonts w:ascii="Times New Roman" w:hAnsi="Times New Roman"/>
                <w:b/>
                <w:bCs/>
                <w:color w:val="000000" w:themeColor="text1"/>
                <w:sz w:val="24"/>
                <w:szCs w:val="24"/>
              </w:rPr>
              <w:lastRenderedPageBreak/>
              <w:t>minēti vai iekļauti citur:</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ķīmiskie produkti vai preparāti, kas galvenokārt sastāv no organiskajiem savienojumiem, kuri nav minēti vai iekļauti citur:</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 šķidrā veidā 20 </w:t>
            </w:r>
            <w:r w:rsidRPr="00B57944">
              <w:rPr>
                <w:rFonts w:ascii="Times New Roman" w:hAnsi="Times New Roman"/>
                <w:color w:val="000000" w:themeColor="text1"/>
                <w:sz w:val="24"/>
                <w:szCs w:val="24"/>
                <w:vertAlign w:val="superscript"/>
              </w:rPr>
              <w:t>o</w:t>
            </w:r>
            <w:r w:rsidRPr="00B57944">
              <w:rPr>
                <w:rFonts w:ascii="Times New Roman" w:hAnsi="Times New Roman"/>
                <w:color w:val="000000" w:themeColor="text1"/>
                <w:sz w:val="24"/>
                <w:szCs w:val="24"/>
              </w:rPr>
              <w:t>C temperatūrā:</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Q 014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tilpumprocentus (ieskaitot) no kopējā produktu daudzuma, ja etilspirts ir pievienots akcīzes preču noliktavā Latvijas Republikā vai produkts un etilspirta maisījums ir ievests no dalībvalsts****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131/1000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0 616</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tilpumprocentus (ieskaitot) no kopējā produktu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436,00/1000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Lietošanai gatavās saistvielas, ķīmiskie produkti (arī produkti, kas satur dabīgu produktu maisījumus), kas nav minēti vai iekļauti </w:t>
            </w:r>
            <w:r w:rsidRPr="00B57944">
              <w:rPr>
                <w:rFonts w:ascii="Times New Roman" w:hAnsi="Times New Roman"/>
                <w:b/>
                <w:bCs/>
                <w:color w:val="000000" w:themeColor="text1"/>
                <w:sz w:val="24"/>
                <w:szCs w:val="24"/>
              </w:rPr>
              <w:lastRenderedPageBreak/>
              <w:t>citur:</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0 608</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nesaturošu benzīnu, tā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0 609</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saturošu benzīnu, tā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05373</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0 610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petroleju,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05374</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0 611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dīzeļdegvielu (gāzeļļu),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1 030</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341,00/1000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05391</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vienāds ar 2,0 vai lielāks, vai kinemātiskā viskozitāte 50 °C ir vienāda 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 tās aizstājējproduktus un komponentus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05375</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002</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3826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Biodīzelis un tā maisījumi, kuri nesatur vai satur mazāk par 70 % no svara naftas eļļas vai eļļas, kas iegūtas no bitumenminerāliem:</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-taukskābju monoalkilesteri, kas satur 96,5 tilp.% vai vairāk esteru (FAMAE)</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1 021</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Biodīzeļdegviela, kas iegūta no augu eļļas</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0 614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Biodīzeļdegviela, kas pilnībā iegūta no rapšu sēklu eļļas, paredzēta izmantošanai par degvielu </w:t>
            </w:r>
            <w:r w:rsidRPr="00B57944">
              <w:rPr>
                <w:rFonts w:ascii="Times New Roman" w:hAnsi="Times New Roman"/>
                <w:color w:val="000000" w:themeColor="text1"/>
                <w:sz w:val="24"/>
                <w:szCs w:val="24"/>
              </w:rPr>
              <w:lastRenderedPageBreak/>
              <w:t>vai kurināmo</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3826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1 034</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Biodīzeļdegviela, kas iegūta no augu eļļas, kura veido no 30 līdz 96,5 (neieskaitot) tilp.% no kopējā produkta daudzuma</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05372</w:t>
            </w:r>
          </w:p>
        </w:tc>
      </w:tr>
      <w:tr w:rsidR="009131C3" w:rsidRPr="00B57944" w:rsidTr="009B653C">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265"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8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18"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0 615</w:t>
            </w:r>
          </w:p>
        </w:tc>
        <w:tc>
          <w:tcPr>
            <w:tcW w:w="1379" w:type="pct"/>
            <w:gridSpan w:val="2"/>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Dīzeļdegviela (gāzeļļa) ar rapšu sēklu eļļas vai no rapšu sēklu eļļas iegūtas biodīzeļdegvielas piedevu</w:t>
            </w:r>
          </w:p>
        </w:tc>
        <w:tc>
          <w:tcPr>
            <w:tcW w:w="82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69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05395</w:t>
            </w:r>
          </w:p>
        </w:tc>
      </w:tr>
    </w:tbl>
    <w:p w:rsidR="009B653C" w:rsidRDefault="009B653C" w:rsidP="004C032D">
      <w:pPr>
        <w:tabs>
          <w:tab w:val="left" w:pos="10348"/>
        </w:tabs>
        <w:spacing w:after="0" w:line="240" w:lineRule="auto"/>
        <w:ind w:right="425"/>
        <w:rPr>
          <w:rFonts w:ascii="Times New Roman" w:hAnsi="Times New Roman"/>
          <w:sz w:val="24"/>
          <w:szCs w:val="24"/>
        </w:rPr>
      </w:pPr>
      <w:r>
        <w:rPr>
          <w:rFonts w:ascii="Times New Roman" w:hAnsi="Times New Roman"/>
          <w:sz w:val="24"/>
          <w:szCs w:val="24"/>
        </w:rPr>
        <w:t>Piezīmes.</w:t>
      </w:r>
      <w:r>
        <w:rPr>
          <w:rFonts w:ascii="Times New Roman" w:hAnsi="Times New Roman"/>
          <w:sz w:val="24"/>
          <w:szCs w:val="24"/>
        </w:rPr>
        <w:br/>
        <w:t>1. * Konta numura piecpadsmitā, sešpadsmitā, septiņpadsmitā, astoņpadsmitā un deviņpadsmitā zīme, piemēram, konts LV89TREL1060000538000 – "05380".</w:t>
      </w:r>
      <w:r>
        <w:rPr>
          <w:rFonts w:ascii="Times New Roman" w:hAnsi="Times New Roman"/>
          <w:sz w:val="24"/>
          <w:szCs w:val="24"/>
        </w:rPr>
        <w:br/>
        <w:t xml:space="preserve">2. ** Prece nav ar akcīzes nodokli apliekamais </w:t>
      </w:r>
      <w:r w:rsidRPr="007A6E64">
        <w:rPr>
          <w:rFonts w:ascii="Times New Roman" w:hAnsi="Times New Roman"/>
          <w:sz w:val="24"/>
          <w:szCs w:val="24"/>
        </w:rPr>
        <w:t>objekts.</w:t>
      </w:r>
      <w:r w:rsidRPr="007A6E64">
        <w:rPr>
          <w:rFonts w:ascii="Times New Roman" w:hAnsi="Times New Roman"/>
          <w:sz w:val="24"/>
          <w:szCs w:val="24"/>
        </w:rPr>
        <w:br/>
        <w:t>3. *** Saskaņā ar likuma "</w:t>
      </w:r>
      <w:hyperlink r:id="rId10" w:tgtFrame="_blank" w:history="1">
        <w:r w:rsidRPr="007A6E64">
          <w:rPr>
            <w:rStyle w:val="Hyperlink"/>
            <w:rFonts w:ascii="Times New Roman" w:hAnsi="Times New Roman"/>
            <w:sz w:val="24"/>
            <w:szCs w:val="24"/>
          </w:rPr>
          <w:t>Par akcīzes nodokli</w:t>
        </w:r>
      </w:hyperlink>
      <w:r w:rsidRPr="007A6E64">
        <w:rPr>
          <w:rFonts w:ascii="Times New Roman" w:hAnsi="Times New Roman"/>
          <w:sz w:val="24"/>
          <w:szCs w:val="24"/>
        </w:rPr>
        <w:t xml:space="preserve">" </w:t>
      </w:r>
      <w:hyperlink r:id="rId11" w:anchor="p18" w:tgtFrame="_blank" w:history="1">
        <w:r w:rsidRPr="007A6E64">
          <w:rPr>
            <w:rStyle w:val="Hyperlink"/>
            <w:rFonts w:ascii="Times New Roman" w:hAnsi="Times New Roman"/>
            <w:sz w:val="24"/>
            <w:szCs w:val="24"/>
          </w:rPr>
          <w:t>18. panta</w:t>
        </w:r>
      </w:hyperlink>
      <w:r w:rsidRPr="007A6E64">
        <w:rPr>
          <w:rFonts w:ascii="Times New Roman" w:hAnsi="Times New Roman"/>
          <w:sz w:val="24"/>
          <w:szCs w:val="24"/>
        </w:rPr>
        <w:t xml:space="preserve"> pirmās daļas 1. punktu un Ministru kabineta 2007. gada 31. jūlija noteikumu Nr.525 "</w:t>
      </w:r>
      <w:hyperlink r:id="rId12" w:tgtFrame="_blank" w:history="1">
        <w:r w:rsidRPr="007A6E64">
          <w:rPr>
            <w:rStyle w:val="Hyperlink"/>
            <w:rFonts w:ascii="Times New Roman" w:hAnsi="Times New Roman"/>
            <w:sz w:val="24"/>
            <w:szCs w:val="24"/>
          </w:rPr>
          <w:t>Kārtība, kādā atsevišķiem naftas produktiem piemēro samazinātu akcīzes nodokļa likmi vai atbrīvojumu no akcīzes nodokļa</w:t>
        </w:r>
      </w:hyperlink>
      <w:r w:rsidRPr="007A6E64">
        <w:rPr>
          <w:rFonts w:ascii="Times New Roman" w:hAnsi="Times New Roman"/>
          <w:sz w:val="24"/>
          <w:szCs w:val="24"/>
        </w:rPr>
        <w:t>"</w:t>
      </w:r>
      <w:hyperlink r:id="rId13" w:anchor="n5" w:tgtFrame="_blank" w:history="1">
        <w:r w:rsidRPr="007A6E64">
          <w:rPr>
            <w:rStyle w:val="Hyperlink"/>
            <w:rFonts w:ascii="Times New Roman" w:hAnsi="Times New Roman"/>
            <w:sz w:val="24"/>
            <w:szCs w:val="24"/>
          </w:rPr>
          <w:t xml:space="preserve"> V </w:t>
        </w:r>
      </w:hyperlink>
      <w:r w:rsidRPr="007A6E64">
        <w:rPr>
          <w:rFonts w:ascii="Times New Roman" w:hAnsi="Times New Roman"/>
          <w:sz w:val="24"/>
          <w:szCs w:val="24"/>
        </w:rPr>
        <w:t>nodaļu.</w:t>
      </w:r>
      <w:r w:rsidRPr="007A6E64">
        <w:rPr>
          <w:rFonts w:ascii="Times New Roman" w:hAnsi="Times New Roman"/>
          <w:sz w:val="24"/>
          <w:szCs w:val="24"/>
        </w:rPr>
        <w:br/>
        <w:t>4 **** Paredzēts izmantot tikai iekšzemes darījumos akcīzes preču</w:t>
      </w:r>
      <w:r>
        <w:rPr>
          <w:rFonts w:ascii="Times New Roman" w:hAnsi="Times New Roman"/>
          <w:sz w:val="24"/>
          <w:szCs w:val="24"/>
        </w:rPr>
        <w:t xml:space="preserve"> noliktavā Latvijas Republikā. Muitas vajadzībām netiek izmantots.</w:t>
      </w:r>
    </w:p>
    <w:p w:rsidR="009B653C" w:rsidRPr="006C7B8C" w:rsidRDefault="009B653C" w:rsidP="009B653C">
      <w:pPr>
        <w:pStyle w:val="naisf"/>
        <w:spacing w:before="0" w:after="0"/>
        <w:ind w:left="284" w:firstLine="1134"/>
        <w:rPr>
          <w:sz w:val="28"/>
          <w:szCs w:val="28"/>
        </w:rPr>
      </w:pPr>
    </w:p>
    <w:p w:rsidR="009B653C" w:rsidRPr="006C7B8C" w:rsidRDefault="009B653C" w:rsidP="009B653C">
      <w:pPr>
        <w:pStyle w:val="naisf"/>
        <w:spacing w:before="0" w:after="0"/>
        <w:ind w:left="284" w:firstLine="1134"/>
        <w:rPr>
          <w:sz w:val="28"/>
          <w:szCs w:val="28"/>
        </w:rPr>
      </w:pPr>
    </w:p>
    <w:p w:rsidR="009B653C" w:rsidRPr="006C7B8C" w:rsidRDefault="009B653C" w:rsidP="006C7B8C">
      <w:pPr>
        <w:pStyle w:val="naisf"/>
        <w:tabs>
          <w:tab w:val="left" w:pos="7371"/>
        </w:tabs>
        <w:spacing w:before="0" w:after="0"/>
        <w:rPr>
          <w:sz w:val="28"/>
          <w:szCs w:val="28"/>
        </w:rPr>
      </w:pPr>
      <w:r w:rsidRPr="00B50EEA">
        <w:rPr>
          <w:sz w:val="28"/>
          <w:szCs w:val="28"/>
        </w:rPr>
        <w:t>Ministru prezidents</w:t>
      </w:r>
      <w:r w:rsidRPr="00B50EEA">
        <w:rPr>
          <w:sz w:val="28"/>
          <w:szCs w:val="28"/>
        </w:rPr>
        <w:tab/>
        <w:t>M</w:t>
      </w:r>
      <w:r w:rsidR="002F4A79" w:rsidRPr="00B50EEA">
        <w:rPr>
          <w:sz w:val="28"/>
          <w:szCs w:val="28"/>
        </w:rPr>
        <w:t>.</w:t>
      </w:r>
      <w:r w:rsidRPr="00B50EEA">
        <w:rPr>
          <w:sz w:val="28"/>
          <w:szCs w:val="28"/>
        </w:rPr>
        <w:t>Kučinskis</w:t>
      </w:r>
    </w:p>
    <w:p w:rsidR="009B653C" w:rsidRPr="006C7B8C" w:rsidRDefault="009B653C" w:rsidP="009B653C">
      <w:pPr>
        <w:pStyle w:val="naisf"/>
        <w:tabs>
          <w:tab w:val="left" w:pos="6521"/>
        </w:tabs>
        <w:spacing w:before="0" w:after="0"/>
        <w:ind w:left="284" w:firstLine="1134"/>
        <w:rPr>
          <w:sz w:val="28"/>
          <w:szCs w:val="28"/>
        </w:rPr>
      </w:pPr>
    </w:p>
    <w:p w:rsidR="009B653C" w:rsidRPr="006C7B8C" w:rsidRDefault="009B653C" w:rsidP="009B653C">
      <w:pPr>
        <w:pStyle w:val="naisf"/>
        <w:tabs>
          <w:tab w:val="left" w:pos="6521"/>
        </w:tabs>
        <w:spacing w:before="0" w:after="0"/>
        <w:ind w:left="284" w:firstLine="1134"/>
        <w:rPr>
          <w:sz w:val="28"/>
          <w:szCs w:val="28"/>
        </w:rPr>
      </w:pPr>
    </w:p>
    <w:p w:rsidR="009B653C" w:rsidRPr="00B50EEA" w:rsidRDefault="009B653C" w:rsidP="00675A97">
      <w:pPr>
        <w:pStyle w:val="naisf"/>
        <w:tabs>
          <w:tab w:val="left" w:pos="7371"/>
        </w:tabs>
        <w:spacing w:before="0" w:after="0"/>
        <w:rPr>
          <w:sz w:val="28"/>
          <w:szCs w:val="28"/>
        </w:rPr>
      </w:pPr>
      <w:r w:rsidRPr="00B50EEA">
        <w:rPr>
          <w:sz w:val="28"/>
          <w:szCs w:val="28"/>
        </w:rPr>
        <w:t>Finanšu ministre</w:t>
      </w:r>
      <w:r w:rsidRPr="00B50EEA">
        <w:rPr>
          <w:sz w:val="28"/>
          <w:szCs w:val="28"/>
        </w:rPr>
        <w:tab/>
        <w:t>D</w:t>
      </w:r>
      <w:r w:rsidR="00A719A6" w:rsidRPr="00B50EEA">
        <w:rPr>
          <w:sz w:val="28"/>
          <w:szCs w:val="28"/>
        </w:rPr>
        <w:t>.</w:t>
      </w:r>
      <w:r w:rsidRPr="00B50EEA">
        <w:rPr>
          <w:sz w:val="28"/>
          <w:szCs w:val="28"/>
        </w:rPr>
        <w:t>Reizniece-Ozola</w:t>
      </w:r>
    </w:p>
    <w:p w:rsidR="009B653C" w:rsidRPr="006C7B8C" w:rsidRDefault="009B653C" w:rsidP="009B653C">
      <w:pPr>
        <w:pStyle w:val="naisf"/>
        <w:tabs>
          <w:tab w:val="left" w:pos="7371"/>
        </w:tabs>
        <w:spacing w:before="0" w:after="0"/>
        <w:ind w:left="284" w:firstLine="1134"/>
        <w:rPr>
          <w:sz w:val="28"/>
          <w:szCs w:val="28"/>
        </w:rPr>
      </w:pPr>
    </w:p>
    <w:p w:rsidR="009B653C" w:rsidRPr="006C7B8C" w:rsidRDefault="009B653C" w:rsidP="009B653C">
      <w:pPr>
        <w:pStyle w:val="naisf"/>
        <w:tabs>
          <w:tab w:val="left" w:pos="7371"/>
        </w:tabs>
        <w:spacing w:before="0" w:after="0"/>
        <w:ind w:left="284" w:firstLine="1134"/>
        <w:rPr>
          <w:sz w:val="28"/>
          <w:szCs w:val="28"/>
        </w:rPr>
      </w:pPr>
    </w:p>
    <w:p w:rsidR="00B50EEA" w:rsidRDefault="00785683" w:rsidP="00675A97">
      <w:pPr>
        <w:tabs>
          <w:tab w:val="left" w:pos="7040"/>
        </w:tabs>
        <w:spacing w:after="0" w:line="240" w:lineRule="auto"/>
        <w:ind w:right="708" w:firstLine="426"/>
        <w:jc w:val="both"/>
        <w:rPr>
          <w:rFonts w:ascii="Times New Roman" w:hAnsi="Times New Roman"/>
          <w:sz w:val="20"/>
          <w:szCs w:val="20"/>
        </w:rPr>
      </w:pPr>
      <w:r>
        <w:rPr>
          <w:rFonts w:ascii="Times New Roman" w:hAnsi="Times New Roman"/>
          <w:sz w:val="20"/>
          <w:szCs w:val="20"/>
        </w:rPr>
        <w:t>30.06.2016 9:26</w:t>
      </w:r>
      <w:bookmarkStart w:id="0" w:name="_GoBack"/>
      <w:bookmarkEnd w:id="0"/>
    </w:p>
    <w:p w:rsidR="009B653C" w:rsidRDefault="004465C0" w:rsidP="00675A97">
      <w:pPr>
        <w:tabs>
          <w:tab w:val="left" w:pos="7040"/>
        </w:tabs>
        <w:spacing w:after="0" w:line="240" w:lineRule="auto"/>
        <w:ind w:right="708" w:firstLine="426"/>
        <w:jc w:val="both"/>
        <w:rPr>
          <w:rFonts w:ascii="Times New Roman" w:hAnsi="Times New Roman"/>
          <w:sz w:val="20"/>
          <w:szCs w:val="20"/>
        </w:rPr>
      </w:pPr>
      <w:r>
        <w:rPr>
          <w:rFonts w:ascii="Times New Roman" w:hAnsi="Times New Roman"/>
          <w:sz w:val="20"/>
          <w:szCs w:val="20"/>
        </w:rPr>
        <w:t>8087</w:t>
      </w:r>
    </w:p>
    <w:p w:rsidR="009B653C" w:rsidRDefault="009B653C" w:rsidP="00675A97">
      <w:pPr>
        <w:tabs>
          <w:tab w:val="left" w:pos="7040"/>
        </w:tabs>
        <w:spacing w:after="0" w:line="240" w:lineRule="auto"/>
        <w:ind w:right="708" w:firstLine="426"/>
        <w:jc w:val="both"/>
        <w:rPr>
          <w:rFonts w:ascii="Times New Roman" w:hAnsi="Times New Roman"/>
          <w:sz w:val="20"/>
          <w:szCs w:val="20"/>
        </w:rPr>
      </w:pPr>
      <w:r>
        <w:rPr>
          <w:rFonts w:ascii="Times New Roman" w:hAnsi="Times New Roman"/>
          <w:sz w:val="20"/>
          <w:szCs w:val="20"/>
        </w:rPr>
        <w:t>J.Eberšteins</w:t>
      </w:r>
    </w:p>
    <w:p w:rsidR="005F0B98" w:rsidRPr="005F0B98" w:rsidRDefault="009B653C" w:rsidP="00675A97">
      <w:pPr>
        <w:ind w:firstLine="426"/>
      </w:pPr>
      <w:r>
        <w:rPr>
          <w:rFonts w:ascii="Times New Roman" w:hAnsi="Times New Roman"/>
          <w:color w:val="000000"/>
          <w:sz w:val="20"/>
          <w:szCs w:val="20"/>
        </w:rPr>
        <w:t>67121013</w:t>
      </w:r>
      <w:r>
        <w:rPr>
          <w:rFonts w:ascii="Times New Roman" w:hAnsi="Times New Roman"/>
          <w:sz w:val="20"/>
          <w:szCs w:val="20"/>
        </w:rPr>
        <w:t>, janis.ebersteins@vid.gov.lv</w:t>
      </w:r>
      <w:r>
        <w:rPr>
          <w:rFonts w:ascii="Times New Roman" w:hAnsi="Times New Roman"/>
          <w:sz w:val="20"/>
          <w:szCs w:val="20"/>
        </w:rPr>
        <w:tab/>
      </w:r>
    </w:p>
    <w:sectPr w:rsidR="005F0B98" w:rsidRPr="005F0B98" w:rsidSect="004B5A5B">
      <w:headerReference w:type="default" r:id="rId14"/>
      <w:footerReference w:type="default" r:id="rId15"/>
      <w:headerReference w:type="first" r:id="rId16"/>
      <w:footerReference w:type="first" r:id="rId17"/>
      <w:pgSz w:w="11906" w:h="16838" w:code="9"/>
      <w:pgMar w:top="1135" w:right="42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2B" w:rsidRPr="008728E9" w:rsidRDefault="0034712B" w:rsidP="008728E9">
      <w:pPr>
        <w:pStyle w:val="naisnod"/>
        <w:spacing w:before="0" w:after="0"/>
        <w:rPr>
          <w:rFonts w:ascii="Calibri" w:hAnsi="Calibri"/>
          <w:b w:val="0"/>
          <w:bCs w:val="0"/>
          <w:sz w:val="22"/>
          <w:szCs w:val="22"/>
        </w:rPr>
      </w:pPr>
      <w:r>
        <w:separator/>
      </w:r>
    </w:p>
  </w:endnote>
  <w:endnote w:type="continuationSeparator" w:id="0">
    <w:p w:rsidR="0034712B" w:rsidRPr="008728E9" w:rsidRDefault="0034712B"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D" w:rsidRDefault="00574FF9" w:rsidP="004465C0">
    <w:pPr>
      <w:pStyle w:val="Footer"/>
      <w:ind w:right="425"/>
      <w:jc w:val="both"/>
    </w:pPr>
    <w:r w:rsidRPr="00574FF9">
      <w:rPr>
        <w:color w:val="000000" w:themeColor="text1"/>
        <w:sz w:val="16"/>
        <w:szCs w:val="16"/>
      </w:rPr>
      <w:t>FMp4</w:t>
    </w:r>
    <w:r w:rsidR="009A1B4C" w:rsidRPr="003F45CD">
      <w:rPr>
        <w:color w:val="000000" w:themeColor="text1"/>
        <w:sz w:val="16"/>
        <w:szCs w:val="16"/>
      </w:rPr>
      <w:t>_</w:t>
    </w:r>
    <w:r w:rsidR="00637C5C">
      <w:rPr>
        <w:color w:val="000000" w:themeColor="text1"/>
        <w:sz w:val="16"/>
        <w:szCs w:val="16"/>
      </w:rPr>
      <w:t>30</w:t>
    </w:r>
    <w:r w:rsidR="009A1B4C" w:rsidRPr="003F45CD">
      <w:rPr>
        <w:color w:val="000000" w:themeColor="text1"/>
        <w:sz w:val="16"/>
        <w:szCs w:val="16"/>
      </w:rPr>
      <w:t>0</w:t>
    </w:r>
    <w:r w:rsidR="00B420FA">
      <w:rPr>
        <w:color w:val="000000" w:themeColor="text1"/>
        <w:sz w:val="16"/>
        <w:szCs w:val="16"/>
      </w:rPr>
      <w:t>6</w:t>
    </w:r>
    <w:r w:rsidR="009A1B4C" w:rsidRPr="003F45CD">
      <w:rPr>
        <w:color w:val="000000" w:themeColor="text1"/>
        <w:sz w:val="16"/>
        <w:szCs w:val="16"/>
      </w:rPr>
      <w:t>16_TARIC; Ministru kabineta noteikumu projekts „</w:t>
    </w:r>
    <w:r w:rsidR="00801ABB" w:rsidRPr="00637C5C">
      <w:rPr>
        <w:color w:val="000000" w:themeColor="text1"/>
        <w:sz w:val="16"/>
        <w:szCs w:val="16"/>
      </w:rPr>
      <w:t>Akcīzes preču Eiropas Savienības kopējā muitas tarifa (TARIC) nacionālie papildkodi un to piemērošanas kārtība</w:t>
    </w:r>
    <w:r w:rsidR="009A1B4C" w:rsidRPr="003F45CD">
      <w:rPr>
        <w:color w:val="000000" w:themeColor="text1"/>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D" w:rsidRPr="003F45CD" w:rsidRDefault="00574FF9" w:rsidP="004465C0">
    <w:pPr>
      <w:pStyle w:val="Footer"/>
      <w:ind w:right="425"/>
      <w:jc w:val="both"/>
      <w:rPr>
        <w:color w:val="000000" w:themeColor="text1"/>
      </w:rPr>
    </w:pPr>
    <w:r w:rsidRPr="00574FF9">
      <w:rPr>
        <w:color w:val="000000" w:themeColor="text1"/>
        <w:sz w:val="16"/>
        <w:szCs w:val="16"/>
      </w:rPr>
      <w:t>FMp4</w:t>
    </w:r>
    <w:r w:rsidR="003F45CD" w:rsidRPr="003F45CD">
      <w:rPr>
        <w:color w:val="000000" w:themeColor="text1"/>
        <w:sz w:val="16"/>
        <w:szCs w:val="16"/>
      </w:rPr>
      <w:t>_</w:t>
    </w:r>
    <w:r w:rsidR="00637C5C">
      <w:rPr>
        <w:color w:val="000000" w:themeColor="text1"/>
        <w:sz w:val="16"/>
        <w:szCs w:val="16"/>
      </w:rPr>
      <w:t>30</w:t>
    </w:r>
    <w:r w:rsidR="003F45CD" w:rsidRPr="003F45CD">
      <w:rPr>
        <w:color w:val="000000" w:themeColor="text1"/>
        <w:sz w:val="16"/>
        <w:szCs w:val="16"/>
      </w:rPr>
      <w:t>0</w:t>
    </w:r>
    <w:r w:rsidR="00B420FA">
      <w:rPr>
        <w:color w:val="000000" w:themeColor="text1"/>
        <w:sz w:val="16"/>
        <w:szCs w:val="16"/>
      </w:rPr>
      <w:t>6</w:t>
    </w:r>
    <w:r w:rsidR="003F45CD" w:rsidRPr="003F45CD">
      <w:rPr>
        <w:color w:val="000000" w:themeColor="text1"/>
        <w:sz w:val="16"/>
        <w:szCs w:val="16"/>
      </w:rPr>
      <w:t>16_TARIC; Ministru kabineta noteikumu projekts „</w:t>
    </w:r>
    <w:r w:rsidR="00801ABB" w:rsidRPr="00637C5C">
      <w:rPr>
        <w:color w:val="000000" w:themeColor="text1"/>
        <w:sz w:val="16"/>
        <w:szCs w:val="16"/>
      </w:rPr>
      <w:t>Akcīzes preču Eiropas Savienības kopējā muitas tarifa (TARIC) nacionālie papildkodi un to piemērošanas kārtība</w:t>
    </w:r>
    <w:r w:rsidR="003F45CD" w:rsidRPr="003F45CD">
      <w:rPr>
        <w:color w:val="000000" w:themeColor="text1"/>
        <w:sz w:val="16"/>
        <w:szCs w:val="16"/>
      </w:rPr>
      <w:t>”</w:t>
    </w:r>
  </w:p>
  <w:p w:rsidR="003F45CD" w:rsidRPr="003F45CD" w:rsidRDefault="003F45CD">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2B" w:rsidRPr="008728E9" w:rsidRDefault="0034712B" w:rsidP="008728E9">
      <w:pPr>
        <w:pStyle w:val="naisnod"/>
        <w:spacing w:before="0" w:after="0"/>
        <w:rPr>
          <w:rFonts w:ascii="Calibri" w:hAnsi="Calibri"/>
          <w:b w:val="0"/>
          <w:bCs w:val="0"/>
          <w:sz w:val="22"/>
          <w:szCs w:val="22"/>
        </w:rPr>
      </w:pPr>
      <w:r>
        <w:separator/>
      </w:r>
    </w:p>
  </w:footnote>
  <w:footnote w:type="continuationSeparator" w:id="0">
    <w:p w:rsidR="0034712B" w:rsidRPr="008728E9" w:rsidRDefault="0034712B"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16" w:rsidRDefault="003C0F16" w:rsidP="003C0F16">
    <w:pPr>
      <w:pStyle w:val="Header"/>
      <w:jc w:val="center"/>
    </w:pPr>
    <w:r>
      <w:fldChar w:fldCharType="begin"/>
    </w:r>
    <w:r>
      <w:instrText xml:space="preserve"> PAGE   \* MERGEFORMAT </w:instrText>
    </w:r>
    <w:r>
      <w:fldChar w:fldCharType="separate"/>
    </w:r>
    <w:r w:rsidR="00785683">
      <w:rPr>
        <w:noProof/>
      </w:rPr>
      <w:t>37</w:t>
    </w:r>
    <w:r>
      <w:rPr>
        <w:noProof/>
      </w:rPr>
      <w:fldChar w:fldCharType="end"/>
    </w:r>
  </w:p>
  <w:p w:rsidR="003C0F16" w:rsidRDefault="003C0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64" w:rsidRDefault="007A6E64">
    <w:pPr>
      <w:pStyle w:val="Header"/>
      <w:jc w:val="center"/>
    </w:pPr>
    <w:r>
      <w:fldChar w:fldCharType="begin"/>
    </w:r>
    <w:r>
      <w:instrText xml:space="preserve"> PAGE   \* MERGEFORMAT </w:instrText>
    </w:r>
    <w:r>
      <w:fldChar w:fldCharType="separate"/>
    </w:r>
    <w:r w:rsidR="00785683">
      <w:rPr>
        <w:noProof/>
      </w:rPr>
      <w:t>1</w:t>
    </w:r>
    <w:r>
      <w:rPr>
        <w:noProof/>
      </w:rPr>
      <w:fldChar w:fldCharType="end"/>
    </w:r>
  </w:p>
  <w:p w:rsidR="007A6E64" w:rsidRPr="00760208" w:rsidRDefault="007A6E64" w:rsidP="002F6A51">
    <w:pPr>
      <w:spacing w:after="0" w:line="240" w:lineRule="auto"/>
      <w:jc w:val="center"/>
      <w:rPr>
        <w:rFonts w:ascii="Times New Roman" w:hAnsi="Times New Roman"/>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0AA"/>
    <w:multiLevelType w:val="hybridMultilevel"/>
    <w:tmpl w:val="0602B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2">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3">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777314"/>
    <w:multiLevelType w:val="hybridMultilevel"/>
    <w:tmpl w:val="4C7CB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684DEA"/>
    <w:multiLevelType w:val="hybridMultilevel"/>
    <w:tmpl w:val="BD2CC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8">
    <w:nsid w:val="55D76FB7"/>
    <w:multiLevelType w:val="hybridMultilevel"/>
    <w:tmpl w:val="1F4E60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E7C152E"/>
    <w:multiLevelType w:val="hybridMultilevel"/>
    <w:tmpl w:val="80EE8D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2">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13">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BFE0D95"/>
    <w:multiLevelType w:val="hybridMultilevel"/>
    <w:tmpl w:val="44D40ED2"/>
    <w:lvl w:ilvl="0" w:tplc="3344251E">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6"/>
  </w:num>
  <w:num w:numId="5">
    <w:abstractNumId w:val="3"/>
  </w:num>
  <w:num w:numId="6">
    <w:abstractNumId w:val="13"/>
  </w:num>
  <w:num w:numId="7">
    <w:abstractNumId w:val="12"/>
  </w:num>
  <w:num w:numId="8">
    <w:abstractNumId w:val="10"/>
  </w:num>
  <w:num w:numId="9">
    <w:abstractNumId w:val="0"/>
  </w:num>
  <w:num w:numId="10">
    <w:abstractNumId w:val="11"/>
  </w:num>
  <w:num w:numId="11">
    <w:abstractNumId w:val="9"/>
  </w:num>
  <w:num w:numId="12">
    <w:abstractNumId w:val="5"/>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7227"/>
    <w:rsid w:val="00012323"/>
    <w:rsid w:val="00012B43"/>
    <w:rsid w:val="00014973"/>
    <w:rsid w:val="00014B0B"/>
    <w:rsid w:val="0001568C"/>
    <w:rsid w:val="0001660F"/>
    <w:rsid w:val="00016CEE"/>
    <w:rsid w:val="000173E2"/>
    <w:rsid w:val="00017D29"/>
    <w:rsid w:val="0002280A"/>
    <w:rsid w:val="00025BA4"/>
    <w:rsid w:val="00025E92"/>
    <w:rsid w:val="00026888"/>
    <w:rsid w:val="00030B14"/>
    <w:rsid w:val="00032052"/>
    <w:rsid w:val="000323F8"/>
    <w:rsid w:val="00032D32"/>
    <w:rsid w:val="0003317A"/>
    <w:rsid w:val="00033B48"/>
    <w:rsid w:val="0003652B"/>
    <w:rsid w:val="00037ECC"/>
    <w:rsid w:val="000406A1"/>
    <w:rsid w:val="0004292D"/>
    <w:rsid w:val="000458EB"/>
    <w:rsid w:val="000546D5"/>
    <w:rsid w:val="00056C91"/>
    <w:rsid w:val="000608AA"/>
    <w:rsid w:val="0006123C"/>
    <w:rsid w:val="000615FE"/>
    <w:rsid w:val="00062D3A"/>
    <w:rsid w:val="00063F03"/>
    <w:rsid w:val="00064B6D"/>
    <w:rsid w:val="00064DFA"/>
    <w:rsid w:val="00065365"/>
    <w:rsid w:val="00065DDB"/>
    <w:rsid w:val="00066C08"/>
    <w:rsid w:val="00070EFB"/>
    <w:rsid w:val="00075002"/>
    <w:rsid w:val="00077A37"/>
    <w:rsid w:val="00080911"/>
    <w:rsid w:val="00084A61"/>
    <w:rsid w:val="00084EA8"/>
    <w:rsid w:val="000854C9"/>
    <w:rsid w:val="00085B15"/>
    <w:rsid w:val="0008633B"/>
    <w:rsid w:val="000906A6"/>
    <w:rsid w:val="00094339"/>
    <w:rsid w:val="00094BF8"/>
    <w:rsid w:val="00095B6B"/>
    <w:rsid w:val="00095EFC"/>
    <w:rsid w:val="000A5E70"/>
    <w:rsid w:val="000A69A4"/>
    <w:rsid w:val="000A6D26"/>
    <w:rsid w:val="000A74CD"/>
    <w:rsid w:val="000B0822"/>
    <w:rsid w:val="000B1343"/>
    <w:rsid w:val="000B236E"/>
    <w:rsid w:val="000B5E10"/>
    <w:rsid w:val="000B5F31"/>
    <w:rsid w:val="000C39FC"/>
    <w:rsid w:val="000C4B9F"/>
    <w:rsid w:val="000C57F5"/>
    <w:rsid w:val="000C6E9D"/>
    <w:rsid w:val="000C7826"/>
    <w:rsid w:val="000D0A0D"/>
    <w:rsid w:val="000D1520"/>
    <w:rsid w:val="000D294A"/>
    <w:rsid w:val="000D438E"/>
    <w:rsid w:val="000D43FE"/>
    <w:rsid w:val="000D5DF2"/>
    <w:rsid w:val="000D68C8"/>
    <w:rsid w:val="000D7C7B"/>
    <w:rsid w:val="000E04F6"/>
    <w:rsid w:val="000E2BE5"/>
    <w:rsid w:val="000E4461"/>
    <w:rsid w:val="000F0F64"/>
    <w:rsid w:val="000F25EE"/>
    <w:rsid w:val="000F57F3"/>
    <w:rsid w:val="000F58DC"/>
    <w:rsid w:val="000F5B0B"/>
    <w:rsid w:val="000F7106"/>
    <w:rsid w:val="00100D3F"/>
    <w:rsid w:val="00102626"/>
    <w:rsid w:val="001045DF"/>
    <w:rsid w:val="00104E48"/>
    <w:rsid w:val="00105B5C"/>
    <w:rsid w:val="00113163"/>
    <w:rsid w:val="00120DFA"/>
    <w:rsid w:val="001225BC"/>
    <w:rsid w:val="001237F6"/>
    <w:rsid w:val="001238CA"/>
    <w:rsid w:val="00124F07"/>
    <w:rsid w:val="001255C4"/>
    <w:rsid w:val="00125F84"/>
    <w:rsid w:val="00131040"/>
    <w:rsid w:val="00133E73"/>
    <w:rsid w:val="00134595"/>
    <w:rsid w:val="00134BA2"/>
    <w:rsid w:val="00135E03"/>
    <w:rsid w:val="00136B15"/>
    <w:rsid w:val="00140832"/>
    <w:rsid w:val="001412A9"/>
    <w:rsid w:val="00143EEF"/>
    <w:rsid w:val="00144269"/>
    <w:rsid w:val="00144F41"/>
    <w:rsid w:val="00145E51"/>
    <w:rsid w:val="00147689"/>
    <w:rsid w:val="0015191B"/>
    <w:rsid w:val="001533E4"/>
    <w:rsid w:val="00154E30"/>
    <w:rsid w:val="00156517"/>
    <w:rsid w:val="00157FCC"/>
    <w:rsid w:val="00160066"/>
    <w:rsid w:val="00160355"/>
    <w:rsid w:val="00161FA1"/>
    <w:rsid w:val="00162570"/>
    <w:rsid w:val="001628FA"/>
    <w:rsid w:val="001651E7"/>
    <w:rsid w:val="001653DD"/>
    <w:rsid w:val="00165670"/>
    <w:rsid w:val="001665BF"/>
    <w:rsid w:val="00166A0F"/>
    <w:rsid w:val="001703CE"/>
    <w:rsid w:val="0017147E"/>
    <w:rsid w:val="00173616"/>
    <w:rsid w:val="001749C7"/>
    <w:rsid w:val="00175247"/>
    <w:rsid w:val="00175D94"/>
    <w:rsid w:val="00176C20"/>
    <w:rsid w:val="00177EA4"/>
    <w:rsid w:val="001850BF"/>
    <w:rsid w:val="00185776"/>
    <w:rsid w:val="00185A37"/>
    <w:rsid w:val="00185D34"/>
    <w:rsid w:val="001868BE"/>
    <w:rsid w:val="00187191"/>
    <w:rsid w:val="00187D58"/>
    <w:rsid w:val="00187E64"/>
    <w:rsid w:val="001902E0"/>
    <w:rsid w:val="001908D3"/>
    <w:rsid w:val="00190E58"/>
    <w:rsid w:val="0019117E"/>
    <w:rsid w:val="001915A6"/>
    <w:rsid w:val="00191B5D"/>
    <w:rsid w:val="00192416"/>
    <w:rsid w:val="00195741"/>
    <w:rsid w:val="001965BA"/>
    <w:rsid w:val="00197A0F"/>
    <w:rsid w:val="001A01F2"/>
    <w:rsid w:val="001A07DE"/>
    <w:rsid w:val="001A1AC9"/>
    <w:rsid w:val="001A25A9"/>
    <w:rsid w:val="001A2992"/>
    <w:rsid w:val="001A5A19"/>
    <w:rsid w:val="001A70F6"/>
    <w:rsid w:val="001A74B1"/>
    <w:rsid w:val="001A74E7"/>
    <w:rsid w:val="001A7F3A"/>
    <w:rsid w:val="001B0DC7"/>
    <w:rsid w:val="001B1B40"/>
    <w:rsid w:val="001B3706"/>
    <w:rsid w:val="001B372C"/>
    <w:rsid w:val="001C0945"/>
    <w:rsid w:val="001C2278"/>
    <w:rsid w:val="001C3784"/>
    <w:rsid w:val="001C423E"/>
    <w:rsid w:val="001D0711"/>
    <w:rsid w:val="001D0FBF"/>
    <w:rsid w:val="001D276E"/>
    <w:rsid w:val="001D2A04"/>
    <w:rsid w:val="001D4E23"/>
    <w:rsid w:val="001D5F77"/>
    <w:rsid w:val="001D795B"/>
    <w:rsid w:val="001E1EA0"/>
    <w:rsid w:val="001E2A24"/>
    <w:rsid w:val="001E5C4C"/>
    <w:rsid w:val="001E6169"/>
    <w:rsid w:val="001E7EC9"/>
    <w:rsid w:val="001F15CB"/>
    <w:rsid w:val="001F305B"/>
    <w:rsid w:val="001F5914"/>
    <w:rsid w:val="001F62B6"/>
    <w:rsid w:val="001F7540"/>
    <w:rsid w:val="001F75D1"/>
    <w:rsid w:val="00200F6D"/>
    <w:rsid w:val="002027CC"/>
    <w:rsid w:val="00202F44"/>
    <w:rsid w:val="00203B72"/>
    <w:rsid w:val="00203DC6"/>
    <w:rsid w:val="002044DD"/>
    <w:rsid w:val="00205597"/>
    <w:rsid w:val="00205B12"/>
    <w:rsid w:val="00207510"/>
    <w:rsid w:val="00207BB6"/>
    <w:rsid w:val="00210FAF"/>
    <w:rsid w:val="00212358"/>
    <w:rsid w:val="00213807"/>
    <w:rsid w:val="00214ED8"/>
    <w:rsid w:val="00216E37"/>
    <w:rsid w:val="00220D4E"/>
    <w:rsid w:val="0022256E"/>
    <w:rsid w:val="002228D8"/>
    <w:rsid w:val="0022292D"/>
    <w:rsid w:val="00223D56"/>
    <w:rsid w:val="00224715"/>
    <w:rsid w:val="00224CB1"/>
    <w:rsid w:val="00225F0C"/>
    <w:rsid w:val="002340B6"/>
    <w:rsid w:val="0023485F"/>
    <w:rsid w:val="00240225"/>
    <w:rsid w:val="00240770"/>
    <w:rsid w:val="00243859"/>
    <w:rsid w:val="00245AEC"/>
    <w:rsid w:val="00245C5F"/>
    <w:rsid w:val="00245D97"/>
    <w:rsid w:val="0024706C"/>
    <w:rsid w:val="002470B8"/>
    <w:rsid w:val="00247C3D"/>
    <w:rsid w:val="00250263"/>
    <w:rsid w:val="002510E6"/>
    <w:rsid w:val="00253ED5"/>
    <w:rsid w:val="002547E6"/>
    <w:rsid w:val="002553F9"/>
    <w:rsid w:val="00255903"/>
    <w:rsid w:val="002568CD"/>
    <w:rsid w:val="00256DF6"/>
    <w:rsid w:val="00261BA7"/>
    <w:rsid w:val="0027507F"/>
    <w:rsid w:val="002765DF"/>
    <w:rsid w:val="00277719"/>
    <w:rsid w:val="0028100B"/>
    <w:rsid w:val="002835B1"/>
    <w:rsid w:val="0028368B"/>
    <w:rsid w:val="00284029"/>
    <w:rsid w:val="002845EC"/>
    <w:rsid w:val="002869D1"/>
    <w:rsid w:val="0029003A"/>
    <w:rsid w:val="0029016F"/>
    <w:rsid w:val="00291B47"/>
    <w:rsid w:val="0029236C"/>
    <w:rsid w:val="00292BDB"/>
    <w:rsid w:val="00293754"/>
    <w:rsid w:val="002958EF"/>
    <w:rsid w:val="0029639F"/>
    <w:rsid w:val="002A3384"/>
    <w:rsid w:val="002A7FC3"/>
    <w:rsid w:val="002A7FEA"/>
    <w:rsid w:val="002B12CC"/>
    <w:rsid w:val="002B279B"/>
    <w:rsid w:val="002B413B"/>
    <w:rsid w:val="002B461F"/>
    <w:rsid w:val="002B54F9"/>
    <w:rsid w:val="002B699B"/>
    <w:rsid w:val="002B77B9"/>
    <w:rsid w:val="002B78AE"/>
    <w:rsid w:val="002C2729"/>
    <w:rsid w:val="002C2D8C"/>
    <w:rsid w:val="002C31D9"/>
    <w:rsid w:val="002C60A6"/>
    <w:rsid w:val="002C61C1"/>
    <w:rsid w:val="002C69C5"/>
    <w:rsid w:val="002C7CCE"/>
    <w:rsid w:val="002D3D92"/>
    <w:rsid w:val="002D40A8"/>
    <w:rsid w:val="002D5E04"/>
    <w:rsid w:val="002E0861"/>
    <w:rsid w:val="002E2072"/>
    <w:rsid w:val="002E2BDF"/>
    <w:rsid w:val="002E6CC8"/>
    <w:rsid w:val="002E76ED"/>
    <w:rsid w:val="002E7A5E"/>
    <w:rsid w:val="002F1648"/>
    <w:rsid w:val="002F41B0"/>
    <w:rsid w:val="002F4A79"/>
    <w:rsid w:val="002F4B5E"/>
    <w:rsid w:val="002F5F10"/>
    <w:rsid w:val="002F6A51"/>
    <w:rsid w:val="002F758B"/>
    <w:rsid w:val="002F7F0F"/>
    <w:rsid w:val="003009B3"/>
    <w:rsid w:val="003011CC"/>
    <w:rsid w:val="00302B77"/>
    <w:rsid w:val="00302F85"/>
    <w:rsid w:val="00304030"/>
    <w:rsid w:val="00305C22"/>
    <w:rsid w:val="00305E68"/>
    <w:rsid w:val="00306C4B"/>
    <w:rsid w:val="00307E3F"/>
    <w:rsid w:val="0031092C"/>
    <w:rsid w:val="00317CC6"/>
    <w:rsid w:val="003215B1"/>
    <w:rsid w:val="00325D9A"/>
    <w:rsid w:val="00327716"/>
    <w:rsid w:val="003310AD"/>
    <w:rsid w:val="00332FFB"/>
    <w:rsid w:val="00335030"/>
    <w:rsid w:val="003363D5"/>
    <w:rsid w:val="00336972"/>
    <w:rsid w:val="00340BF9"/>
    <w:rsid w:val="00343E62"/>
    <w:rsid w:val="00345F10"/>
    <w:rsid w:val="00346882"/>
    <w:rsid w:val="0034712B"/>
    <w:rsid w:val="00347C02"/>
    <w:rsid w:val="00347E47"/>
    <w:rsid w:val="0035011E"/>
    <w:rsid w:val="003517A2"/>
    <w:rsid w:val="00351D08"/>
    <w:rsid w:val="00351D82"/>
    <w:rsid w:val="0035371A"/>
    <w:rsid w:val="00354A86"/>
    <w:rsid w:val="00357FE8"/>
    <w:rsid w:val="00361474"/>
    <w:rsid w:val="00361E3A"/>
    <w:rsid w:val="00362F40"/>
    <w:rsid w:val="00370D27"/>
    <w:rsid w:val="00370EDC"/>
    <w:rsid w:val="0037399F"/>
    <w:rsid w:val="00376157"/>
    <w:rsid w:val="0038022C"/>
    <w:rsid w:val="0038257F"/>
    <w:rsid w:val="0038291D"/>
    <w:rsid w:val="003902F5"/>
    <w:rsid w:val="00390F33"/>
    <w:rsid w:val="00391195"/>
    <w:rsid w:val="00391E6E"/>
    <w:rsid w:val="00392BF4"/>
    <w:rsid w:val="00392CAF"/>
    <w:rsid w:val="0039457C"/>
    <w:rsid w:val="0039689F"/>
    <w:rsid w:val="003A0058"/>
    <w:rsid w:val="003A0C35"/>
    <w:rsid w:val="003A2841"/>
    <w:rsid w:val="003A2D74"/>
    <w:rsid w:val="003A5A62"/>
    <w:rsid w:val="003A6886"/>
    <w:rsid w:val="003B1FB6"/>
    <w:rsid w:val="003B3283"/>
    <w:rsid w:val="003B5113"/>
    <w:rsid w:val="003B67ED"/>
    <w:rsid w:val="003C0F16"/>
    <w:rsid w:val="003C2FC0"/>
    <w:rsid w:val="003C62C5"/>
    <w:rsid w:val="003C6868"/>
    <w:rsid w:val="003C7119"/>
    <w:rsid w:val="003C7125"/>
    <w:rsid w:val="003D095B"/>
    <w:rsid w:val="003D75B9"/>
    <w:rsid w:val="003E1DCA"/>
    <w:rsid w:val="003E2311"/>
    <w:rsid w:val="003E2669"/>
    <w:rsid w:val="003E3BAD"/>
    <w:rsid w:val="003E5440"/>
    <w:rsid w:val="003E55EB"/>
    <w:rsid w:val="003E6951"/>
    <w:rsid w:val="003F0FF5"/>
    <w:rsid w:val="003F1415"/>
    <w:rsid w:val="003F39AE"/>
    <w:rsid w:val="003F45CD"/>
    <w:rsid w:val="003F5720"/>
    <w:rsid w:val="003F6375"/>
    <w:rsid w:val="003F667A"/>
    <w:rsid w:val="003F77CA"/>
    <w:rsid w:val="00401138"/>
    <w:rsid w:val="00402B44"/>
    <w:rsid w:val="0040473D"/>
    <w:rsid w:val="00405876"/>
    <w:rsid w:val="00406D1F"/>
    <w:rsid w:val="004122EB"/>
    <w:rsid w:val="00413016"/>
    <w:rsid w:val="00414951"/>
    <w:rsid w:val="00414F55"/>
    <w:rsid w:val="004156AB"/>
    <w:rsid w:val="004162DF"/>
    <w:rsid w:val="00416340"/>
    <w:rsid w:val="00422528"/>
    <w:rsid w:val="00424246"/>
    <w:rsid w:val="0043035E"/>
    <w:rsid w:val="00430EB7"/>
    <w:rsid w:val="0043181C"/>
    <w:rsid w:val="004332CB"/>
    <w:rsid w:val="00433F39"/>
    <w:rsid w:val="0043421D"/>
    <w:rsid w:val="00435816"/>
    <w:rsid w:val="00437063"/>
    <w:rsid w:val="00443304"/>
    <w:rsid w:val="00443390"/>
    <w:rsid w:val="00443A4A"/>
    <w:rsid w:val="0044594C"/>
    <w:rsid w:val="004465C0"/>
    <w:rsid w:val="00446DA5"/>
    <w:rsid w:val="00447266"/>
    <w:rsid w:val="004523F7"/>
    <w:rsid w:val="00454B2E"/>
    <w:rsid w:val="004611F0"/>
    <w:rsid w:val="00461577"/>
    <w:rsid w:val="004627B9"/>
    <w:rsid w:val="004652F3"/>
    <w:rsid w:val="00465319"/>
    <w:rsid w:val="00465696"/>
    <w:rsid w:val="00465C07"/>
    <w:rsid w:val="00465F36"/>
    <w:rsid w:val="00466435"/>
    <w:rsid w:val="00467CCC"/>
    <w:rsid w:val="00475CDB"/>
    <w:rsid w:val="00476B16"/>
    <w:rsid w:val="00480C5F"/>
    <w:rsid w:val="00481C6D"/>
    <w:rsid w:val="00481E23"/>
    <w:rsid w:val="004836AA"/>
    <w:rsid w:val="0048527B"/>
    <w:rsid w:val="0049107D"/>
    <w:rsid w:val="00494856"/>
    <w:rsid w:val="004955B1"/>
    <w:rsid w:val="00495978"/>
    <w:rsid w:val="00496925"/>
    <w:rsid w:val="004A06DB"/>
    <w:rsid w:val="004A0B3D"/>
    <w:rsid w:val="004A1ED2"/>
    <w:rsid w:val="004A424B"/>
    <w:rsid w:val="004A4935"/>
    <w:rsid w:val="004A6CBA"/>
    <w:rsid w:val="004B2044"/>
    <w:rsid w:val="004B2D20"/>
    <w:rsid w:val="004B5397"/>
    <w:rsid w:val="004B5A5B"/>
    <w:rsid w:val="004B5ECF"/>
    <w:rsid w:val="004B7477"/>
    <w:rsid w:val="004C032D"/>
    <w:rsid w:val="004C117B"/>
    <w:rsid w:val="004C1AF1"/>
    <w:rsid w:val="004C1C9B"/>
    <w:rsid w:val="004C31CC"/>
    <w:rsid w:val="004C531E"/>
    <w:rsid w:val="004C79A9"/>
    <w:rsid w:val="004C7B3F"/>
    <w:rsid w:val="004D08F7"/>
    <w:rsid w:val="004D2F9A"/>
    <w:rsid w:val="004D2FFB"/>
    <w:rsid w:val="004D300C"/>
    <w:rsid w:val="004D32A7"/>
    <w:rsid w:val="004D4D65"/>
    <w:rsid w:val="004D6F90"/>
    <w:rsid w:val="004D7C76"/>
    <w:rsid w:val="004E25FB"/>
    <w:rsid w:val="004E5057"/>
    <w:rsid w:val="004E60E9"/>
    <w:rsid w:val="004E7AC1"/>
    <w:rsid w:val="004F0074"/>
    <w:rsid w:val="004F4657"/>
    <w:rsid w:val="0050005B"/>
    <w:rsid w:val="00500E33"/>
    <w:rsid w:val="00503E9C"/>
    <w:rsid w:val="005042B4"/>
    <w:rsid w:val="00505484"/>
    <w:rsid w:val="00506BDA"/>
    <w:rsid w:val="00510E3D"/>
    <w:rsid w:val="0051102D"/>
    <w:rsid w:val="00511B54"/>
    <w:rsid w:val="00514B12"/>
    <w:rsid w:val="005151A1"/>
    <w:rsid w:val="00517F2F"/>
    <w:rsid w:val="0052152E"/>
    <w:rsid w:val="00523ACC"/>
    <w:rsid w:val="00525FFC"/>
    <w:rsid w:val="0053037B"/>
    <w:rsid w:val="0053074F"/>
    <w:rsid w:val="00530870"/>
    <w:rsid w:val="005309A9"/>
    <w:rsid w:val="0053235E"/>
    <w:rsid w:val="00532B91"/>
    <w:rsid w:val="00533F89"/>
    <w:rsid w:val="00534FEE"/>
    <w:rsid w:val="00535F88"/>
    <w:rsid w:val="005376AD"/>
    <w:rsid w:val="00541102"/>
    <w:rsid w:val="00542528"/>
    <w:rsid w:val="00546003"/>
    <w:rsid w:val="00547240"/>
    <w:rsid w:val="00550ECC"/>
    <w:rsid w:val="00553EEF"/>
    <w:rsid w:val="00553F4A"/>
    <w:rsid w:val="0055518B"/>
    <w:rsid w:val="0055528A"/>
    <w:rsid w:val="00560082"/>
    <w:rsid w:val="00561BC5"/>
    <w:rsid w:val="00562008"/>
    <w:rsid w:val="0056547F"/>
    <w:rsid w:val="00565F08"/>
    <w:rsid w:val="00565F8F"/>
    <w:rsid w:val="0056644C"/>
    <w:rsid w:val="0056727E"/>
    <w:rsid w:val="00567FCA"/>
    <w:rsid w:val="00570C5E"/>
    <w:rsid w:val="00573E4D"/>
    <w:rsid w:val="005745D0"/>
    <w:rsid w:val="00574CFB"/>
    <w:rsid w:val="00574FF9"/>
    <w:rsid w:val="00577165"/>
    <w:rsid w:val="00580E9C"/>
    <w:rsid w:val="005811F8"/>
    <w:rsid w:val="00581A61"/>
    <w:rsid w:val="00582E3A"/>
    <w:rsid w:val="005843BD"/>
    <w:rsid w:val="00585E31"/>
    <w:rsid w:val="0058631A"/>
    <w:rsid w:val="005864D0"/>
    <w:rsid w:val="00587131"/>
    <w:rsid w:val="005871A5"/>
    <w:rsid w:val="005910D7"/>
    <w:rsid w:val="00591F9B"/>
    <w:rsid w:val="0059285C"/>
    <w:rsid w:val="005948AE"/>
    <w:rsid w:val="00594B1A"/>
    <w:rsid w:val="005960C8"/>
    <w:rsid w:val="005A1883"/>
    <w:rsid w:val="005A2296"/>
    <w:rsid w:val="005A379C"/>
    <w:rsid w:val="005A3CDF"/>
    <w:rsid w:val="005A41B3"/>
    <w:rsid w:val="005A519D"/>
    <w:rsid w:val="005A7B5B"/>
    <w:rsid w:val="005B0B13"/>
    <w:rsid w:val="005B161B"/>
    <w:rsid w:val="005B230B"/>
    <w:rsid w:val="005B282D"/>
    <w:rsid w:val="005B2F16"/>
    <w:rsid w:val="005B571C"/>
    <w:rsid w:val="005B6503"/>
    <w:rsid w:val="005B7C67"/>
    <w:rsid w:val="005C4ED6"/>
    <w:rsid w:val="005C58DE"/>
    <w:rsid w:val="005C61EE"/>
    <w:rsid w:val="005D021B"/>
    <w:rsid w:val="005D1910"/>
    <w:rsid w:val="005D68B8"/>
    <w:rsid w:val="005E0F79"/>
    <w:rsid w:val="005E4DA9"/>
    <w:rsid w:val="005E514D"/>
    <w:rsid w:val="005E6531"/>
    <w:rsid w:val="005E69C9"/>
    <w:rsid w:val="005E7B74"/>
    <w:rsid w:val="005F01AB"/>
    <w:rsid w:val="005F0B98"/>
    <w:rsid w:val="005F1C85"/>
    <w:rsid w:val="005F2F4C"/>
    <w:rsid w:val="005F544F"/>
    <w:rsid w:val="006048B3"/>
    <w:rsid w:val="006065B6"/>
    <w:rsid w:val="006073BC"/>
    <w:rsid w:val="0061027B"/>
    <w:rsid w:val="00613031"/>
    <w:rsid w:val="00615DFA"/>
    <w:rsid w:val="0061601B"/>
    <w:rsid w:val="00616965"/>
    <w:rsid w:val="00616E2E"/>
    <w:rsid w:val="00617D0C"/>
    <w:rsid w:val="006203AE"/>
    <w:rsid w:val="00621048"/>
    <w:rsid w:val="00624540"/>
    <w:rsid w:val="006257EA"/>
    <w:rsid w:val="00625B7D"/>
    <w:rsid w:val="00626ECF"/>
    <w:rsid w:val="006311F2"/>
    <w:rsid w:val="00634B06"/>
    <w:rsid w:val="00634C63"/>
    <w:rsid w:val="00635579"/>
    <w:rsid w:val="00637C5C"/>
    <w:rsid w:val="00637ECC"/>
    <w:rsid w:val="00642893"/>
    <w:rsid w:val="00642C14"/>
    <w:rsid w:val="00642EFE"/>
    <w:rsid w:val="0064406D"/>
    <w:rsid w:val="006456DD"/>
    <w:rsid w:val="00646DDD"/>
    <w:rsid w:val="006474CC"/>
    <w:rsid w:val="00647A07"/>
    <w:rsid w:val="00647D21"/>
    <w:rsid w:val="00647D38"/>
    <w:rsid w:val="0065014B"/>
    <w:rsid w:val="006507FD"/>
    <w:rsid w:val="0065395F"/>
    <w:rsid w:val="00656492"/>
    <w:rsid w:val="00656AB1"/>
    <w:rsid w:val="006623E0"/>
    <w:rsid w:val="006629A8"/>
    <w:rsid w:val="0066486F"/>
    <w:rsid w:val="00665CC8"/>
    <w:rsid w:val="00665DF6"/>
    <w:rsid w:val="00666A24"/>
    <w:rsid w:val="00670099"/>
    <w:rsid w:val="00672D75"/>
    <w:rsid w:val="00673766"/>
    <w:rsid w:val="006738FF"/>
    <w:rsid w:val="0067466F"/>
    <w:rsid w:val="0067511D"/>
    <w:rsid w:val="00675A97"/>
    <w:rsid w:val="006766A2"/>
    <w:rsid w:val="00676F9C"/>
    <w:rsid w:val="006772AE"/>
    <w:rsid w:val="006809E9"/>
    <w:rsid w:val="0068105A"/>
    <w:rsid w:val="00681537"/>
    <w:rsid w:val="00682354"/>
    <w:rsid w:val="006866F6"/>
    <w:rsid w:val="00691421"/>
    <w:rsid w:val="0069222D"/>
    <w:rsid w:val="0069384F"/>
    <w:rsid w:val="006A0237"/>
    <w:rsid w:val="006A2006"/>
    <w:rsid w:val="006A32BC"/>
    <w:rsid w:val="006A4792"/>
    <w:rsid w:val="006A5DFE"/>
    <w:rsid w:val="006A68E2"/>
    <w:rsid w:val="006A7130"/>
    <w:rsid w:val="006B3742"/>
    <w:rsid w:val="006B4181"/>
    <w:rsid w:val="006B6E63"/>
    <w:rsid w:val="006C024E"/>
    <w:rsid w:val="006C0743"/>
    <w:rsid w:val="006C28A1"/>
    <w:rsid w:val="006C2E82"/>
    <w:rsid w:val="006C3BD2"/>
    <w:rsid w:val="006C7040"/>
    <w:rsid w:val="006C7B8C"/>
    <w:rsid w:val="006D0620"/>
    <w:rsid w:val="006D3B8F"/>
    <w:rsid w:val="006D6B07"/>
    <w:rsid w:val="006D6D9D"/>
    <w:rsid w:val="006D7200"/>
    <w:rsid w:val="006E1B5F"/>
    <w:rsid w:val="006E1F43"/>
    <w:rsid w:val="006E3A04"/>
    <w:rsid w:val="006F0081"/>
    <w:rsid w:val="006F1275"/>
    <w:rsid w:val="006F24C9"/>
    <w:rsid w:val="006F27F7"/>
    <w:rsid w:val="006F3BCF"/>
    <w:rsid w:val="006F4878"/>
    <w:rsid w:val="006F6257"/>
    <w:rsid w:val="0070282E"/>
    <w:rsid w:val="00702878"/>
    <w:rsid w:val="007033AF"/>
    <w:rsid w:val="007048D9"/>
    <w:rsid w:val="00706089"/>
    <w:rsid w:val="0070681F"/>
    <w:rsid w:val="007105E2"/>
    <w:rsid w:val="007105F7"/>
    <w:rsid w:val="0071078E"/>
    <w:rsid w:val="00711607"/>
    <w:rsid w:val="00711A52"/>
    <w:rsid w:val="007127DC"/>
    <w:rsid w:val="0071321E"/>
    <w:rsid w:val="007133F4"/>
    <w:rsid w:val="0071464A"/>
    <w:rsid w:val="007154E5"/>
    <w:rsid w:val="00715827"/>
    <w:rsid w:val="00716016"/>
    <w:rsid w:val="007177CA"/>
    <w:rsid w:val="00721B04"/>
    <w:rsid w:val="00723994"/>
    <w:rsid w:val="00725866"/>
    <w:rsid w:val="0072659A"/>
    <w:rsid w:val="00732361"/>
    <w:rsid w:val="00732913"/>
    <w:rsid w:val="00733DAA"/>
    <w:rsid w:val="00734424"/>
    <w:rsid w:val="007363BF"/>
    <w:rsid w:val="007375E2"/>
    <w:rsid w:val="00741769"/>
    <w:rsid w:val="007422A3"/>
    <w:rsid w:val="00742A5F"/>
    <w:rsid w:val="007445FA"/>
    <w:rsid w:val="007448D4"/>
    <w:rsid w:val="00744A99"/>
    <w:rsid w:val="00744D5D"/>
    <w:rsid w:val="0074734C"/>
    <w:rsid w:val="00747B8C"/>
    <w:rsid w:val="00750A9E"/>
    <w:rsid w:val="00754231"/>
    <w:rsid w:val="00755601"/>
    <w:rsid w:val="007556CB"/>
    <w:rsid w:val="00756FF8"/>
    <w:rsid w:val="00757447"/>
    <w:rsid w:val="0075772D"/>
    <w:rsid w:val="00757F82"/>
    <w:rsid w:val="00760208"/>
    <w:rsid w:val="007613DB"/>
    <w:rsid w:val="00761AE2"/>
    <w:rsid w:val="00762783"/>
    <w:rsid w:val="007629D0"/>
    <w:rsid w:val="00763E72"/>
    <w:rsid w:val="00763FBF"/>
    <w:rsid w:val="00764B29"/>
    <w:rsid w:val="0076560D"/>
    <w:rsid w:val="00766ABF"/>
    <w:rsid w:val="00767B9A"/>
    <w:rsid w:val="007744DC"/>
    <w:rsid w:val="007756D3"/>
    <w:rsid w:val="00776283"/>
    <w:rsid w:val="00776DF4"/>
    <w:rsid w:val="0077778D"/>
    <w:rsid w:val="0078225B"/>
    <w:rsid w:val="0078307B"/>
    <w:rsid w:val="00785683"/>
    <w:rsid w:val="00785B5E"/>
    <w:rsid w:val="00787F7E"/>
    <w:rsid w:val="00790899"/>
    <w:rsid w:val="007910C1"/>
    <w:rsid w:val="00791B20"/>
    <w:rsid w:val="00792592"/>
    <w:rsid w:val="00793EAA"/>
    <w:rsid w:val="00794B2E"/>
    <w:rsid w:val="007957FE"/>
    <w:rsid w:val="007A07D7"/>
    <w:rsid w:val="007A0ACB"/>
    <w:rsid w:val="007A0BAA"/>
    <w:rsid w:val="007A27B6"/>
    <w:rsid w:val="007A591E"/>
    <w:rsid w:val="007A63FF"/>
    <w:rsid w:val="007A6A5F"/>
    <w:rsid w:val="007A6D8A"/>
    <w:rsid w:val="007A6E64"/>
    <w:rsid w:val="007A73AA"/>
    <w:rsid w:val="007B03D4"/>
    <w:rsid w:val="007B0F08"/>
    <w:rsid w:val="007B1153"/>
    <w:rsid w:val="007B16C8"/>
    <w:rsid w:val="007B3BF0"/>
    <w:rsid w:val="007B6476"/>
    <w:rsid w:val="007B6E26"/>
    <w:rsid w:val="007B6E37"/>
    <w:rsid w:val="007C0A74"/>
    <w:rsid w:val="007C0EFA"/>
    <w:rsid w:val="007C1A14"/>
    <w:rsid w:val="007C4E5F"/>
    <w:rsid w:val="007C74B0"/>
    <w:rsid w:val="007C7579"/>
    <w:rsid w:val="007C7A8E"/>
    <w:rsid w:val="007D1AFD"/>
    <w:rsid w:val="007D37F5"/>
    <w:rsid w:val="007D39BE"/>
    <w:rsid w:val="007D602F"/>
    <w:rsid w:val="007E03E4"/>
    <w:rsid w:val="007E175F"/>
    <w:rsid w:val="007E3D3B"/>
    <w:rsid w:val="007E3FD7"/>
    <w:rsid w:val="007E548D"/>
    <w:rsid w:val="007F1E78"/>
    <w:rsid w:val="007F36C1"/>
    <w:rsid w:val="007F786F"/>
    <w:rsid w:val="007F7B52"/>
    <w:rsid w:val="00800D38"/>
    <w:rsid w:val="00801ABB"/>
    <w:rsid w:val="008022E1"/>
    <w:rsid w:val="008028FD"/>
    <w:rsid w:val="00802BAE"/>
    <w:rsid w:val="0080353A"/>
    <w:rsid w:val="00803B0E"/>
    <w:rsid w:val="00804750"/>
    <w:rsid w:val="00805037"/>
    <w:rsid w:val="00805725"/>
    <w:rsid w:val="00807EB7"/>
    <w:rsid w:val="00813E9A"/>
    <w:rsid w:val="008154AB"/>
    <w:rsid w:val="00815922"/>
    <w:rsid w:val="00815DCE"/>
    <w:rsid w:val="00817D50"/>
    <w:rsid w:val="00820923"/>
    <w:rsid w:val="00820BD4"/>
    <w:rsid w:val="008216DE"/>
    <w:rsid w:val="00821FCD"/>
    <w:rsid w:val="008227B1"/>
    <w:rsid w:val="00824D75"/>
    <w:rsid w:val="00832A5B"/>
    <w:rsid w:val="00832AEF"/>
    <w:rsid w:val="00833C51"/>
    <w:rsid w:val="00835EC1"/>
    <w:rsid w:val="008371AD"/>
    <w:rsid w:val="0084116F"/>
    <w:rsid w:val="008456AF"/>
    <w:rsid w:val="008476A0"/>
    <w:rsid w:val="0085105D"/>
    <w:rsid w:val="0085178E"/>
    <w:rsid w:val="008536BF"/>
    <w:rsid w:val="008558E1"/>
    <w:rsid w:val="0086092F"/>
    <w:rsid w:val="00860AFF"/>
    <w:rsid w:val="008627B7"/>
    <w:rsid w:val="00864254"/>
    <w:rsid w:val="0086691D"/>
    <w:rsid w:val="00866B8E"/>
    <w:rsid w:val="00870974"/>
    <w:rsid w:val="00870AAE"/>
    <w:rsid w:val="00870C41"/>
    <w:rsid w:val="00872296"/>
    <w:rsid w:val="008728E9"/>
    <w:rsid w:val="008732A5"/>
    <w:rsid w:val="0087433F"/>
    <w:rsid w:val="00880406"/>
    <w:rsid w:val="00880856"/>
    <w:rsid w:val="00881E0A"/>
    <w:rsid w:val="00882155"/>
    <w:rsid w:val="00882214"/>
    <w:rsid w:val="00882451"/>
    <w:rsid w:val="0088253E"/>
    <w:rsid w:val="00886A68"/>
    <w:rsid w:val="00886C0F"/>
    <w:rsid w:val="00887871"/>
    <w:rsid w:val="00895AFC"/>
    <w:rsid w:val="0089620D"/>
    <w:rsid w:val="008965CD"/>
    <w:rsid w:val="0089706C"/>
    <w:rsid w:val="008A070A"/>
    <w:rsid w:val="008A35DD"/>
    <w:rsid w:val="008A70E1"/>
    <w:rsid w:val="008B2E30"/>
    <w:rsid w:val="008B4FAE"/>
    <w:rsid w:val="008B52D8"/>
    <w:rsid w:val="008C0036"/>
    <w:rsid w:val="008C1436"/>
    <w:rsid w:val="008C317C"/>
    <w:rsid w:val="008C4094"/>
    <w:rsid w:val="008C4817"/>
    <w:rsid w:val="008C5BAF"/>
    <w:rsid w:val="008D0FF8"/>
    <w:rsid w:val="008D427F"/>
    <w:rsid w:val="008D549D"/>
    <w:rsid w:val="008D70C4"/>
    <w:rsid w:val="008E34CF"/>
    <w:rsid w:val="008E3644"/>
    <w:rsid w:val="008E4410"/>
    <w:rsid w:val="008E6B17"/>
    <w:rsid w:val="008E71F5"/>
    <w:rsid w:val="008F0B96"/>
    <w:rsid w:val="008F0DFF"/>
    <w:rsid w:val="008F24E2"/>
    <w:rsid w:val="008F46F9"/>
    <w:rsid w:val="008F4DC0"/>
    <w:rsid w:val="008F5ACE"/>
    <w:rsid w:val="008F5EAC"/>
    <w:rsid w:val="008F6073"/>
    <w:rsid w:val="008F785F"/>
    <w:rsid w:val="0090137A"/>
    <w:rsid w:val="009015C1"/>
    <w:rsid w:val="00902400"/>
    <w:rsid w:val="0090374A"/>
    <w:rsid w:val="00904652"/>
    <w:rsid w:val="009047E1"/>
    <w:rsid w:val="00904BC9"/>
    <w:rsid w:val="00904D6C"/>
    <w:rsid w:val="00905303"/>
    <w:rsid w:val="00906429"/>
    <w:rsid w:val="00906BEA"/>
    <w:rsid w:val="00907887"/>
    <w:rsid w:val="00907E55"/>
    <w:rsid w:val="009131C3"/>
    <w:rsid w:val="009134EB"/>
    <w:rsid w:val="00914991"/>
    <w:rsid w:val="009153BC"/>
    <w:rsid w:val="009153ED"/>
    <w:rsid w:val="009207F3"/>
    <w:rsid w:val="00921207"/>
    <w:rsid w:val="009213D4"/>
    <w:rsid w:val="009256CD"/>
    <w:rsid w:val="00930052"/>
    <w:rsid w:val="0093014A"/>
    <w:rsid w:val="009303B0"/>
    <w:rsid w:val="00930AE2"/>
    <w:rsid w:val="00931FDB"/>
    <w:rsid w:val="009329D4"/>
    <w:rsid w:val="009346DA"/>
    <w:rsid w:val="0093539F"/>
    <w:rsid w:val="00940B6D"/>
    <w:rsid w:val="00941E3C"/>
    <w:rsid w:val="00943350"/>
    <w:rsid w:val="00943AFE"/>
    <w:rsid w:val="009441DF"/>
    <w:rsid w:val="00944469"/>
    <w:rsid w:val="009459CC"/>
    <w:rsid w:val="009471C5"/>
    <w:rsid w:val="00951CF5"/>
    <w:rsid w:val="00953404"/>
    <w:rsid w:val="009535E6"/>
    <w:rsid w:val="009562D4"/>
    <w:rsid w:val="0095635F"/>
    <w:rsid w:val="00957ABA"/>
    <w:rsid w:val="0096586A"/>
    <w:rsid w:val="0096622D"/>
    <w:rsid w:val="00966F24"/>
    <w:rsid w:val="0096713B"/>
    <w:rsid w:val="009677A8"/>
    <w:rsid w:val="009706A2"/>
    <w:rsid w:val="0097369C"/>
    <w:rsid w:val="00975CF0"/>
    <w:rsid w:val="009768A9"/>
    <w:rsid w:val="0097744E"/>
    <w:rsid w:val="0098018C"/>
    <w:rsid w:val="009816A8"/>
    <w:rsid w:val="00981CC0"/>
    <w:rsid w:val="00983615"/>
    <w:rsid w:val="00983D3F"/>
    <w:rsid w:val="00986EF1"/>
    <w:rsid w:val="0099129D"/>
    <w:rsid w:val="00992C6E"/>
    <w:rsid w:val="009943C8"/>
    <w:rsid w:val="00994518"/>
    <w:rsid w:val="009948DF"/>
    <w:rsid w:val="0099779E"/>
    <w:rsid w:val="009A1B4C"/>
    <w:rsid w:val="009A2B32"/>
    <w:rsid w:val="009A3E05"/>
    <w:rsid w:val="009A43BC"/>
    <w:rsid w:val="009A49AE"/>
    <w:rsid w:val="009A4B1A"/>
    <w:rsid w:val="009A525C"/>
    <w:rsid w:val="009A68D1"/>
    <w:rsid w:val="009B20D7"/>
    <w:rsid w:val="009B39E4"/>
    <w:rsid w:val="009B490B"/>
    <w:rsid w:val="009B653C"/>
    <w:rsid w:val="009B700D"/>
    <w:rsid w:val="009B7D26"/>
    <w:rsid w:val="009C12B2"/>
    <w:rsid w:val="009C1DA4"/>
    <w:rsid w:val="009C23CE"/>
    <w:rsid w:val="009C528E"/>
    <w:rsid w:val="009C565B"/>
    <w:rsid w:val="009C5E30"/>
    <w:rsid w:val="009C6B75"/>
    <w:rsid w:val="009C6B7B"/>
    <w:rsid w:val="009D3FC1"/>
    <w:rsid w:val="009D4228"/>
    <w:rsid w:val="009D5259"/>
    <w:rsid w:val="009D5400"/>
    <w:rsid w:val="009D6925"/>
    <w:rsid w:val="009E03A6"/>
    <w:rsid w:val="009E0F82"/>
    <w:rsid w:val="009E505F"/>
    <w:rsid w:val="009E6265"/>
    <w:rsid w:val="009E73D2"/>
    <w:rsid w:val="009E7A53"/>
    <w:rsid w:val="009F0411"/>
    <w:rsid w:val="009F100D"/>
    <w:rsid w:val="009F3A0A"/>
    <w:rsid w:val="009F45EE"/>
    <w:rsid w:val="009F472D"/>
    <w:rsid w:val="009F4B02"/>
    <w:rsid w:val="009F4E32"/>
    <w:rsid w:val="009F770A"/>
    <w:rsid w:val="00A00B55"/>
    <w:rsid w:val="00A00E23"/>
    <w:rsid w:val="00A01DAA"/>
    <w:rsid w:val="00A01E22"/>
    <w:rsid w:val="00A038FE"/>
    <w:rsid w:val="00A03E08"/>
    <w:rsid w:val="00A040DE"/>
    <w:rsid w:val="00A07453"/>
    <w:rsid w:val="00A0799F"/>
    <w:rsid w:val="00A10474"/>
    <w:rsid w:val="00A11711"/>
    <w:rsid w:val="00A12481"/>
    <w:rsid w:val="00A1259A"/>
    <w:rsid w:val="00A17A72"/>
    <w:rsid w:val="00A2307A"/>
    <w:rsid w:val="00A238E3"/>
    <w:rsid w:val="00A23B58"/>
    <w:rsid w:val="00A246CB"/>
    <w:rsid w:val="00A27663"/>
    <w:rsid w:val="00A27D0E"/>
    <w:rsid w:val="00A27FF2"/>
    <w:rsid w:val="00A31724"/>
    <w:rsid w:val="00A32EDB"/>
    <w:rsid w:val="00A33E53"/>
    <w:rsid w:val="00A36299"/>
    <w:rsid w:val="00A3669D"/>
    <w:rsid w:val="00A36843"/>
    <w:rsid w:val="00A44D4C"/>
    <w:rsid w:val="00A452FC"/>
    <w:rsid w:val="00A46C43"/>
    <w:rsid w:val="00A47ADA"/>
    <w:rsid w:val="00A50F46"/>
    <w:rsid w:val="00A52ACA"/>
    <w:rsid w:val="00A53ABF"/>
    <w:rsid w:val="00A53C3C"/>
    <w:rsid w:val="00A54605"/>
    <w:rsid w:val="00A54677"/>
    <w:rsid w:val="00A56DDB"/>
    <w:rsid w:val="00A613CF"/>
    <w:rsid w:val="00A6275C"/>
    <w:rsid w:val="00A64F42"/>
    <w:rsid w:val="00A67D40"/>
    <w:rsid w:val="00A719A6"/>
    <w:rsid w:val="00A740CC"/>
    <w:rsid w:val="00A855EC"/>
    <w:rsid w:val="00A902E2"/>
    <w:rsid w:val="00A908B2"/>
    <w:rsid w:val="00A92E84"/>
    <w:rsid w:val="00A93A57"/>
    <w:rsid w:val="00A9465A"/>
    <w:rsid w:val="00A9777B"/>
    <w:rsid w:val="00AA09B4"/>
    <w:rsid w:val="00AA0AD8"/>
    <w:rsid w:val="00AA1495"/>
    <w:rsid w:val="00AA56C1"/>
    <w:rsid w:val="00AA6AF8"/>
    <w:rsid w:val="00AA71F2"/>
    <w:rsid w:val="00AA7866"/>
    <w:rsid w:val="00AB156F"/>
    <w:rsid w:val="00AB39AA"/>
    <w:rsid w:val="00AB56AC"/>
    <w:rsid w:val="00AB7309"/>
    <w:rsid w:val="00AC6338"/>
    <w:rsid w:val="00AD0229"/>
    <w:rsid w:val="00AD05D3"/>
    <w:rsid w:val="00AD1DAF"/>
    <w:rsid w:val="00AD3463"/>
    <w:rsid w:val="00AD39FC"/>
    <w:rsid w:val="00AD61C0"/>
    <w:rsid w:val="00AD6FDD"/>
    <w:rsid w:val="00AD732D"/>
    <w:rsid w:val="00AE0138"/>
    <w:rsid w:val="00AE0D3F"/>
    <w:rsid w:val="00AE3AE0"/>
    <w:rsid w:val="00AE4065"/>
    <w:rsid w:val="00AE5BE3"/>
    <w:rsid w:val="00AE6650"/>
    <w:rsid w:val="00AE6C54"/>
    <w:rsid w:val="00AE740E"/>
    <w:rsid w:val="00AF212F"/>
    <w:rsid w:val="00AF4029"/>
    <w:rsid w:val="00AF57B5"/>
    <w:rsid w:val="00AF5E86"/>
    <w:rsid w:val="00B003C8"/>
    <w:rsid w:val="00B065B8"/>
    <w:rsid w:val="00B07622"/>
    <w:rsid w:val="00B07C0C"/>
    <w:rsid w:val="00B13814"/>
    <w:rsid w:val="00B17AD5"/>
    <w:rsid w:val="00B206F7"/>
    <w:rsid w:val="00B20BFF"/>
    <w:rsid w:val="00B20D0A"/>
    <w:rsid w:val="00B21173"/>
    <w:rsid w:val="00B23DD8"/>
    <w:rsid w:val="00B24B77"/>
    <w:rsid w:val="00B25884"/>
    <w:rsid w:val="00B26CE8"/>
    <w:rsid w:val="00B413D1"/>
    <w:rsid w:val="00B41D8E"/>
    <w:rsid w:val="00B420FA"/>
    <w:rsid w:val="00B44610"/>
    <w:rsid w:val="00B45CC0"/>
    <w:rsid w:val="00B47025"/>
    <w:rsid w:val="00B47D47"/>
    <w:rsid w:val="00B509B4"/>
    <w:rsid w:val="00B50EEA"/>
    <w:rsid w:val="00B5295F"/>
    <w:rsid w:val="00B53378"/>
    <w:rsid w:val="00B538AC"/>
    <w:rsid w:val="00B538FC"/>
    <w:rsid w:val="00B5527E"/>
    <w:rsid w:val="00B57944"/>
    <w:rsid w:val="00B57A19"/>
    <w:rsid w:val="00B57F69"/>
    <w:rsid w:val="00B618CF"/>
    <w:rsid w:val="00B61994"/>
    <w:rsid w:val="00B647FC"/>
    <w:rsid w:val="00B66E35"/>
    <w:rsid w:val="00B72C80"/>
    <w:rsid w:val="00B72E39"/>
    <w:rsid w:val="00B7604A"/>
    <w:rsid w:val="00B76788"/>
    <w:rsid w:val="00B80AD2"/>
    <w:rsid w:val="00B81056"/>
    <w:rsid w:val="00B8189C"/>
    <w:rsid w:val="00B8199A"/>
    <w:rsid w:val="00B81F56"/>
    <w:rsid w:val="00B822D3"/>
    <w:rsid w:val="00B840BB"/>
    <w:rsid w:val="00B84B12"/>
    <w:rsid w:val="00B8606A"/>
    <w:rsid w:val="00B86E40"/>
    <w:rsid w:val="00B872C8"/>
    <w:rsid w:val="00B87C38"/>
    <w:rsid w:val="00B91361"/>
    <w:rsid w:val="00B938CD"/>
    <w:rsid w:val="00B953CA"/>
    <w:rsid w:val="00B95EDF"/>
    <w:rsid w:val="00BA1632"/>
    <w:rsid w:val="00BA2E52"/>
    <w:rsid w:val="00BA3F62"/>
    <w:rsid w:val="00BA4D8A"/>
    <w:rsid w:val="00BA539E"/>
    <w:rsid w:val="00BA54D3"/>
    <w:rsid w:val="00BA7ED3"/>
    <w:rsid w:val="00BB0C5F"/>
    <w:rsid w:val="00BB0EE9"/>
    <w:rsid w:val="00BB1E6C"/>
    <w:rsid w:val="00BB2901"/>
    <w:rsid w:val="00BB3BCF"/>
    <w:rsid w:val="00BB4D1B"/>
    <w:rsid w:val="00BC028F"/>
    <w:rsid w:val="00BC3339"/>
    <w:rsid w:val="00BC34AB"/>
    <w:rsid w:val="00BC5845"/>
    <w:rsid w:val="00BC6443"/>
    <w:rsid w:val="00BD0244"/>
    <w:rsid w:val="00BD3141"/>
    <w:rsid w:val="00BD3F16"/>
    <w:rsid w:val="00BD402C"/>
    <w:rsid w:val="00BD5706"/>
    <w:rsid w:val="00BD58E4"/>
    <w:rsid w:val="00BE4920"/>
    <w:rsid w:val="00BE770C"/>
    <w:rsid w:val="00BF20FC"/>
    <w:rsid w:val="00BF3AFF"/>
    <w:rsid w:val="00BF5C5B"/>
    <w:rsid w:val="00BF6038"/>
    <w:rsid w:val="00BF6FDB"/>
    <w:rsid w:val="00BF7DB3"/>
    <w:rsid w:val="00C02371"/>
    <w:rsid w:val="00C03F25"/>
    <w:rsid w:val="00C04E10"/>
    <w:rsid w:val="00C0658E"/>
    <w:rsid w:val="00C06DAB"/>
    <w:rsid w:val="00C10955"/>
    <w:rsid w:val="00C124F0"/>
    <w:rsid w:val="00C12772"/>
    <w:rsid w:val="00C209FD"/>
    <w:rsid w:val="00C21F20"/>
    <w:rsid w:val="00C225EB"/>
    <w:rsid w:val="00C22D23"/>
    <w:rsid w:val="00C2304D"/>
    <w:rsid w:val="00C23947"/>
    <w:rsid w:val="00C24E74"/>
    <w:rsid w:val="00C24ECA"/>
    <w:rsid w:val="00C2568B"/>
    <w:rsid w:val="00C25939"/>
    <w:rsid w:val="00C27031"/>
    <w:rsid w:val="00C27102"/>
    <w:rsid w:val="00C27571"/>
    <w:rsid w:val="00C3020E"/>
    <w:rsid w:val="00C303ED"/>
    <w:rsid w:val="00C30F72"/>
    <w:rsid w:val="00C33C56"/>
    <w:rsid w:val="00C34072"/>
    <w:rsid w:val="00C40315"/>
    <w:rsid w:val="00C428B8"/>
    <w:rsid w:val="00C42CF6"/>
    <w:rsid w:val="00C43280"/>
    <w:rsid w:val="00C437C0"/>
    <w:rsid w:val="00C4479F"/>
    <w:rsid w:val="00C44C12"/>
    <w:rsid w:val="00C46F16"/>
    <w:rsid w:val="00C478A8"/>
    <w:rsid w:val="00C52B8B"/>
    <w:rsid w:val="00C5559E"/>
    <w:rsid w:val="00C5640E"/>
    <w:rsid w:val="00C56D22"/>
    <w:rsid w:val="00C57FCB"/>
    <w:rsid w:val="00C6033F"/>
    <w:rsid w:val="00C6071E"/>
    <w:rsid w:val="00C61C78"/>
    <w:rsid w:val="00C61EC8"/>
    <w:rsid w:val="00C62BF2"/>
    <w:rsid w:val="00C6520C"/>
    <w:rsid w:val="00C654A7"/>
    <w:rsid w:val="00C6675B"/>
    <w:rsid w:val="00C668F1"/>
    <w:rsid w:val="00C70C94"/>
    <w:rsid w:val="00C719D6"/>
    <w:rsid w:val="00C73468"/>
    <w:rsid w:val="00C77BA8"/>
    <w:rsid w:val="00C83C87"/>
    <w:rsid w:val="00C84031"/>
    <w:rsid w:val="00C84A92"/>
    <w:rsid w:val="00C84F1D"/>
    <w:rsid w:val="00C877EF"/>
    <w:rsid w:val="00C901E1"/>
    <w:rsid w:val="00C93354"/>
    <w:rsid w:val="00C94048"/>
    <w:rsid w:val="00C94774"/>
    <w:rsid w:val="00C9604A"/>
    <w:rsid w:val="00C973A0"/>
    <w:rsid w:val="00CA1E24"/>
    <w:rsid w:val="00CA25FF"/>
    <w:rsid w:val="00CA2BFF"/>
    <w:rsid w:val="00CA38E9"/>
    <w:rsid w:val="00CA70A8"/>
    <w:rsid w:val="00CA7F57"/>
    <w:rsid w:val="00CA7F58"/>
    <w:rsid w:val="00CB4E7A"/>
    <w:rsid w:val="00CB52E2"/>
    <w:rsid w:val="00CB6326"/>
    <w:rsid w:val="00CB75FD"/>
    <w:rsid w:val="00CC0E0C"/>
    <w:rsid w:val="00CC186B"/>
    <w:rsid w:val="00CC2E57"/>
    <w:rsid w:val="00CC3FDB"/>
    <w:rsid w:val="00CC4758"/>
    <w:rsid w:val="00CC7C4D"/>
    <w:rsid w:val="00CD07A9"/>
    <w:rsid w:val="00CD394B"/>
    <w:rsid w:val="00CD4FFE"/>
    <w:rsid w:val="00CD553B"/>
    <w:rsid w:val="00CD5C2A"/>
    <w:rsid w:val="00CD6522"/>
    <w:rsid w:val="00CD7FD0"/>
    <w:rsid w:val="00CE1326"/>
    <w:rsid w:val="00CE1B9A"/>
    <w:rsid w:val="00CE2218"/>
    <w:rsid w:val="00CE3D0A"/>
    <w:rsid w:val="00CE3D63"/>
    <w:rsid w:val="00CE56F0"/>
    <w:rsid w:val="00CE6D93"/>
    <w:rsid w:val="00CE7369"/>
    <w:rsid w:val="00CF00F6"/>
    <w:rsid w:val="00CF0131"/>
    <w:rsid w:val="00CF0341"/>
    <w:rsid w:val="00CF206A"/>
    <w:rsid w:val="00CF32CC"/>
    <w:rsid w:val="00CF4FFA"/>
    <w:rsid w:val="00CF7CA2"/>
    <w:rsid w:val="00D00AC7"/>
    <w:rsid w:val="00D00CBA"/>
    <w:rsid w:val="00D0149B"/>
    <w:rsid w:val="00D03FFA"/>
    <w:rsid w:val="00D11F2F"/>
    <w:rsid w:val="00D122C0"/>
    <w:rsid w:val="00D12349"/>
    <w:rsid w:val="00D14FBE"/>
    <w:rsid w:val="00D176C5"/>
    <w:rsid w:val="00D2069B"/>
    <w:rsid w:val="00D20F77"/>
    <w:rsid w:val="00D21A04"/>
    <w:rsid w:val="00D24ECA"/>
    <w:rsid w:val="00D269E0"/>
    <w:rsid w:val="00D307AE"/>
    <w:rsid w:val="00D3190C"/>
    <w:rsid w:val="00D32EF4"/>
    <w:rsid w:val="00D3394E"/>
    <w:rsid w:val="00D34232"/>
    <w:rsid w:val="00D34C93"/>
    <w:rsid w:val="00D352CF"/>
    <w:rsid w:val="00D35306"/>
    <w:rsid w:val="00D358C5"/>
    <w:rsid w:val="00D35D02"/>
    <w:rsid w:val="00D3627F"/>
    <w:rsid w:val="00D36E67"/>
    <w:rsid w:val="00D37CCA"/>
    <w:rsid w:val="00D40029"/>
    <w:rsid w:val="00D4233E"/>
    <w:rsid w:val="00D434F6"/>
    <w:rsid w:val="00D43EFA"/>
    <w:rsid w:val="00D441A7"/>
    <w:rsid w:val="00D4462C"/>
    <w:rsid w:val="00D44D11"/>
    <w:rsid w:val="00D45C72"/>
    <w:rsid w:val="00D476EA"/>
    <w:rsid w:val="00D47857"/>
    <w:rsid w:val="00D51464"/>
    <w:rsid w:val="00D52C9A"/>
    <w:rsid w:val="00D53FD3"/>
    <w:rsid w:val="00D54664"/>
    <w:rsid w:val="00D55A25"/>
    <w:rsid w:val="00D56A6B"/>
    <w:rsid w:val="00D56AAD"/>
    <w:rsid w:val="00D570C2"/>
    <w:rsid w:val="00D575B3"/>
    <w:rsid w:val="00D57B0D"/>
    <w:rsid w:val="00D629C8"/>
    <w:rsid w:val="00D6391A"/>
    <w:rsid w:val="00D66C7A"/>
    <w:rsid w:val="00D675B1"/>
    <w:rsid w:val="00D7061F"/>
    <w:rsid w:val="00D70FC0"/>
    <w:rsid w:val="00D72A19"/>
    <w:rsid w:val="00D7319C"/>
    <w:rsid w:val="00D74500"/>
    <w:rsid w:val="00D77AA2"/>
    <w:rsid w:val="00D81258"/>
    <w:rsid w:val="00D816A5"/>
    <w:rsid w:val="00D81C95"/>
    <w:rsid w:val="00D83526"/>
    <w:rsid w:val="00D83930"/>
    <w:rsid w:val="00D84252"/>
    <w:rsid w:val="00D9087C"/>
    <w:rsid w:val="00D90968"/>
    <w:rsid w:val="00D91CE9"/>
    <w:rsid w:val="00D94216"/>
    <w:rsid w:val="00D94ED2"/>
    <w:rsid w:val="00D96273"/>
    <w:rsid w:val="00D97FA5"/>
    <w:rsid w:val="00DA3831"/>
    <w:rsid w:val="00DA3BE7"/>
    <w:rsid w:val="00DA5E84"/>
    <w:rsid w:val="00DB0D06"/>
    <w:rsid w:val="00DB1818"/>
    <w:rsid w:val="00DB3FCB"/>
    <w:rsid w:val="00DB5C09"/>
    <w:rsid w:val="00DB6E2B"/>
    <w:rsid w:val="00DB70B4"/>
    <w:rsid w:val="00DB763C"/>
    <w:rsid w:val="00DC125F"/>
    <w:rsid w:val="00DC219D"/>
    <w:rsid w:val="00DC2916"/>
    <w:rsid w:val="00DC45F8"/>
    <w:rsid w:val="00DC6DE8"/>
    <w:rsid w:val="00DD18B3"/>
    <w:rsid w:val="00DD38E4"/>
    <w:rsid w:val="00DD40C6"/>
    <w:rsid w:val="00DD505E"/>
    <w:rsid w:val="00DD5CE5"/>
    <w:rsid w:val="00DD6BB6"/>
    <w:rsid w:val="00DD73F0"/>
    <w:rsid w:val="00DE023E"/>
    <w:rsid w:val="00DE1A33"/>
    <w:rsid w:val="00DE4568"/>
    <w:rsid w:val="00DE647D"/>
    <w:rsid w:val="00DF0BD5"/>
    <w:rsid w:val="00DF269F"/>
    <w:rsid w:val="00DF311E"/>
    <w:rsid w:val="00DF36A6"/>
    <w:rsid w:val="00E00510"/>
    <w:rsid w:val="00E02E55"/>
    <w:rsid w:val="00E032BA"/>
    <w:rsid w:val="00E06078"/>
    <w:rsid w:val="00E06CA8"/>
    <w:rsid w:val="00E116E1"/>
    <w:rsid w:val="00E1204B"/>
    <w:rsid w:val="00E14E67"/>
    <w:rsid w:val="00E20DA5"/>
    <w:rsid w:val="00E211F5"/>
    <w:rsid w:val="00E21265"/>
    <w:rsid w:val="00E22BD1"/>
    <w:rsid w:val="00E23167"/>
    <w:rsid w:val="00E276B2"/>
    <w:rsid w:val="00E27F56"/>
    <w:rsid w:val="00E31ED5"/>
    <w:rsid w:val="00E36D90"/>
    <w:rsid w:val="00E42415"/>
    <w:rsid w:val="00E42A7E"/>
    <w:rsid w:val="00E43E05"/>
    <w:rsid w:val="00E44241"/>
    <w:rsid w:val="00E47414"/>
    <w:rsid w:val="00E4741B"/>
    <w:rsid w:val="00E47A1F"/>
    <w:rsid w:val="00E47A34"/>
    <w:rsid w:val="00E5126A"/>
    <w:rsid w:val="00E515E9"/>
    <w:rsid w:val="00E52452"/>
    <w:rsid w:val="00E5412F"/>
    <w:rsid w:val="00E541A7"/>
    <w:rsid w:val="00E54482"/>
    <w:rsid w:val="00E56EAC"/>
    <w:rsid w:val="00E573A7"/>
    <w:rsid w:val="00E62117"/>
    <w:rsid w:val="00E62B00"/>
    <w:rsid w:val="00E63229"/>
    <w:rsid w:val="00E63D71"/>
    <w:rsid w:val="00E64223"/>
    <w:rsid w:val="00E660B1"/>
    <w:rsid w:val="00E66C90"/>
    <w:rsid w:val="00E70098"/>
    <w:rsid w:val="00E702A3"/>
    <w:rsid w:val="00E72ECF"/>
    <w:rsid w:val="00E739E8"/>
    <w:rsid w:val="00E7415B"/>
    <w:rsid w:val="00E7446E"/>
    <w:rsid w:val="00E77C07"/>
    <w:rsid w:val="00E77F09"/>
    <w:rsid w:val="00E82DCD"/>
    <w:rsid w:val="00E839F4"/>
    <w:rsid w:val="00E8409A"/>
    <w:rsid w:val="00E84598"/>
    <w:rsid w:val="00E84C82"/>
    <w:rsid w:val="00E8619C"/>
    <w:rsid w:val="00E94D66"/>
    <w:rsid w:val="00E9595C"/>
    <w:rsid w:val="00EA1EF0"/>
    <w:rsid w:val="00EA2C1F"/>
    <w:rsid w:val="00EA6EEE"/>
    <w:rsid w:val="00EB042A"/>
    <w:rsid w:val="00EB13DE"/>
    <w:rsid w:val="00EB243F"/>
    <w:rsid w:val="00EB42EA"/>
    <w:rsid w:val="00EB6128"/>
    <w:rsid w:val="00EB6774"/>
    <w:rsid w:val="00EC067D"/>
    <w:rsid w:val="00EC120B"/>
    <w:rsid w:val="00EC14F8"/>
    <w:rsid w:val="00EC28DE"/>
    <w:rsid w:val="00EC459D"/>
    <w:rsid w:val="00EC6B58"/>
    <w:rsid w:val="00EC7D5B"/>
    <w:rsid w:val="00ED3B39"/>
    <w:rsid w:val="00ED3FBF"/>
    <w:rsid w:val="00ED4055"/>
    <w:rsid w:val="00ED57EC"/>
    <w:rsid w:val="00EE3170"/>
    <w:rsid w:val="00EE35C0"/>
    <w:rsid w:val="00EE3FED"/>
    <w:rsid w:val="00EE5417"/>
    <w:rsid w:val="00EE5515"/>
    <w:rsid w:val="00EE5E1D"/>
    <w:rsid w:val="00EE6362"/>
    <w:rsid w:val="00EE6AFA"/>
    <w:rsid w:val="00EE7D97"/>
    <w:rsid w:val="00EF2FCB"/>
    <w:rsid w:val="00EF578B"/>
    <w:rsid w:val="00EF61AF"/>
    <w:rsid w:val="00EF7A2F"/>
    <w:rsid w:val="00EF7DE2"/>
    <w:rsid w:val="00F00A6A"/>
    <w:rsid w:val="00F02EC5"/>
    <w:rsid w:val="00F03487"/>
    <w:rsid w:val="00F053AA"/>
    <w:rsid w:val="00F06537"/>
    <w:rsid w:val="00F06EF3"/>
    <w:rsid w:val="00F10047"/>
    <w:rsid w:val="00F112B3"/>
    <w:rsid w:val="00F122EE"/>
    <w:rsid w:val="00F13344"/>
    <w:rsid w:val="00F134C7"/>
    <w:rsid w:val="00F13BC1"/>
    <w:rsid w:val="00F14206"/>
    <w:rsid w:val="00F15017"/>
    <w:rsid w:val="00F20941"/>
    <w:rsid w:val="00F217EE"/>
    <w:rsid w:val="00F23CBE"/>
    <w:rsid w:val="00F23EBB"/>
    <w:rsid w:val="00F24AC4"/>
    <w:rsid w:val="00F26174"/>
    <w:rsid w:val="00F30EEE"/>
    <w:rsid w:val="00F31D8C"/>
    <w:rsid w:val="00F33877"/>
    <w:rsid w:val="00F33EDE"/>
    <w:rsid w:val="00F366E3"/>
    <w:rsid w:val="00F40E82"/>
    <w:rsid w:val="00F50542"/>
    <w:rsid w:val="00F52CCF"/>
    <w:rsid w:val="00F53E68"/>
    <w:rsid w:val="00F55037"/>
    <w:rsid w:val="00F6045F"/>
    <w:rsid w:val="00F6084E"/>
    <w:rsid w:val="00F615E1"/>
    <w:rsid w:val="00F618A0"/>
    <w:rsid w:val="00F62685"/>
    <w:rsid w:val="00F63158"/>
    <w:rsid w:val="00F6396E"/>
    <w:rsid w:val="00F63D84"/>
    <w:rsid w:val="00F64317"/>
    <w:rsid w:val="00F643D4"/>
    <w:rsid w:val="00F64BF5"/>
    <w:rsid w:val="00F66F88"/>
    <w:rsid w:val="00F6754D"/>
    <w:rsid w:val="00F70656"/>
    <w:rsid w:val="00F73F7E"/>
    <w:rsid w:val="00F740B6"/>
    <w:rsid w:val="00F745A0"/>
    <w:rsid w:val="00F7477B"/>
    <w:rsid w:val="00F754D2"/>
    <w:rsid w:val="00F77674"/>
    <w:rsid w:val="00F8126C"/>
    <w:rsid w:val="00F84E34"/>
    <w:rsid w:val="00F852DF"/>
    <w:rsid w:val="00F855EF"/>
    <w:rsid w:val="00F86ADA"/>
    <w:rsid w:val="00F9199F"/>
    <w:rsid w:val="00F92F3F"/>
    <w:rsid w:val="00F93DA9"/>
    <w:rsid w:val="00F94818"/>
    <w:rsid w:val="00F94903"/>
    <w:rsid w:val="00F9580E"/>
    <w:rsid w:val="00F966AA"/>
    <w:rsid w:val="00F9773D"/>
    <w:rsid w:val="00FA1E6D"/>
    <w:rsid w:val="00FA2965"/>
    <w:rsid w:val="00FA5A76"/>
    <w:rsid w:val="00FA7C08"/>
    <w:rsid w:val="00FB0968"/>
    <w:rsid w:val="00FB109B"/>
    <w:rsid w:val="00FB16BD"/>
    <w:rsid w:val="00FB1A76"/>
    <w:rsid w:val="00FB5CFE"/>
    <w:rsid w:val="00FB6A21"/>
    <w:rsid w:val="00FC08AE"/>
    <w:rsid w:val="00FC1167"/>
    <w:rsid w:val="00FC1709"/>
    <w:rsid w:val="00FC3A21"/>
    <w:rsid w:val="00FC5047"/>
    <w:rsid w:val="00FC5A6C"/>
    <w:rsid w:val="00FC7DDE"/>
    <w:rsid w:val="00FD081C"/>
    <w:rsid w:val="00FD140F"/>
    <w:rsid w:val="00FD3879"/>
    <w:rsid w:val="00FD3DDB"/>
    <w:rsid w:val="00FD545F"/>
    <w:rsid w:val="00FD6599"/>
    <w:rsid w:val="00FD7FA7"/>
    <w:rsid w:val="00FE0087"/>
    <w:rsid w:val="00FE0509"/>
    <w:rsid w:val="00FE0900"/>
    <w:rsid w:val="00FE0C95"/>
    <w:rsid w:val="00FE0D3E"/>
    <w:rsid w:val="00FE1761"/>
    <w:rsid w:val="00FE2342"/>
    <w:rsid w:val="00FE2B39"/>
    <w:rsid w:val="00FE5290"/>
    <w:rsid w:val="00FE5DCB"/>
    <w:rsid w:val="00FF1D18"/>
    <w:rsid w:val="00FF5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DF6E6-B40B-41C3-86C9-D05615DE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394087754">
      <w:bodyDiv w:val="1"/>
      <w:marLeft w:val="0"/>
      <w:marRight w:val="0"/>
      <w:marTop w:val="0"/>
      <w:marBottom w:val="0"/>
      <w:divBdr>
        <w:top w:val="none" w:sz="0" w:space="0" w:color="auto"/>
        <w:left w:val="none" w:sz="0" w:space="0" w:color="auto"/>
        <w:bottom w:val="none" w:sz="0" w:space="0" w:color="auto"/>
        <w:right w:val="none" w:sz="0" w:space="0" w:color="auto"/>
      </w:divBdr>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618991544">
      <w:bodyDiv w:val="1"/>
      <w:marLeft w:val="0"/>
      <w:marRight w:val="0"/>
      <w:marTop w:val="0"/>
      <w:marBottom w:val="0"/>
      <w:divBdr>
        <w:top w:val="none" w:sz="0" w:space="0" w:color="auto"/>
        <w:left w:val="none" w:sz="0" w:space="0" w:color="auto"/>
        <w:bottom w:val="none" w:sz="0" w:space="0" w:color="auto"/>
        <w:right w:val="none" w:sz="0" w:space="0" w:color="auto"/>
      </w:divBdr>
    </w:div>
    <w:div w:id="664745993">
      <w:bodyDiv w:val="1"/>
      <w:marLeft w:val="0"/>
      <w:marRight w:val="0"/>
      <w:marTop w:val="0"/>
      <w:marBottom w:val="0"/>
      <w:divBdr>
        <w:top w:val="none" w:sz="0" w:space="0" w:color="auto"/>
        <w:left w:val="none" w:sz="0" w:space="0" w:color="auto"/>
        <w:bottom w:val="none" w:sz="0" w:space="0" w:color="auto"/>
        <w:right w:val="none" w:sz="0" w:space="0" w:color="auto"/>
      </w:divBdr>
    </w:div>
    <w:div w:id="697238798">
      <w:bodyDiv w:val="1"/>
      <w:marLeft w:val="0"/>
      <w:marRight w:val="0"/>
      <w:marTop w:val="0"/>
      <w:marBottom w:val="0"/>
      <w:divBdr>
        <w:top w:val="none" w:sz="0" w:space="0" w:color="auto"/>
        <w:left w:val="none" w:sz="0" w:space="0" w:color="auto"/>
        <w:bottom w:val="none" w:sz="0" w:space="0" w:color="auto"/>
        <w:right w:val="none" w:sz="0" w:space="0" w:color="auto"/>
      </w:divBdr>
    </w:div>
    <w:div w:id="786586003">
      <w:bodyDiv w:val="1"/>
      <w:marLeft w:val="0"/>
      <w:marRight w:val="0"/>
      <w:marTop w:val="0"/>
      <w:marBottom w:val="0"/>
      <w:divBdr>
        <w:top w:val="none" w:sz="0" w:space="0" w:color="auto"/>
        <w:left w:val="none" w:sz="0" w:space="0" w:color="auto"/>
        <w:bottom w:val="none" w:sz="0" w:space="0" w:color="auto"/>
        <w:right w:val="none" w:sz="0" w:space="0" w:color="auto"/>
      </w:divBdr>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251548230">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349142440">
      <w:bodyDiv w:val="1"/>
      <w:marLeft w:val="0"/>
      <w:marRight w:val="0"/>
      <w:marTop w:val="0"/>
      <w:marBottom w:val="0"/>
      <w:divBdr>
        <w:top w:val="none" w:sz="0" w:space="0" w:color="auto"/>
        <w:left w:val="none" w:sz="0" w:space="0" w:color="auto"/>
        <w:bottom w:val="none" w:sz="0" w:space="0" w:color="auto"/>
        <w:right w:val="none" w:sz="0" w:space="0" w:color="auto"/>
      </w:divBdr>
    </w:div>
    <w:div w:id="1517965975">
      <w:bodyDiv w:val="1"/>
      <w:marLeft w:val="0"/>
      <w:marRight w:val="0"/>
      <w:marTop w:val="0"/>
      <w:marBottom w:val="0"/>
      <w:divBdr>
        <w:top w:val="none" w:sz="0" w:space="0" w:color="auto"/>
        <w:left w:val="none" w:sz="0" w:space="0" w:color="auto"/>
        <w:bottom w:val="none" w:sz="0" w:space="0" w:color="auto"/>
        <w:right w:val="none" w:sz="0" w:space="0" w:color="auto"/>
      </w:divBdr>
    </w:div>
    <w:div w:id="1628584731">
      <w:bodyDiv w:val="1"/>
      <w:marLeft w:val="0"/>
      <w:marRight w:val="0"/>
      <w:marTop w:val="0"/>
      <w:marBottom w:val="0"/>
      <w:divBdr>
        <w:top w:val="none" w:sz="0" w:space="0" w:color="auto"/>
        <w:left w:val="none" w:sz="0" w:space="0" w:color="auto"/>
        <w:bottom w:val="none" w:sz="0" w:space="0" w:color="auto"/>
        <w:right w:val="none" w:sz="0" w:space="0" w:color="auto"/>
      </w:divBdr>
    </w:div>
    <w:div w:id="1672562164">
      <w:bodyDiv w:val="1"/>
      <w:marLeft w:val="0"/>
      <w:marRight w:val="0"/>
      <w:marTop w:val="0"/>
      <w:marBottom w:val="0"/>
      <w:divBdr>
        <w:top w:val="none" w:sz="0" w:space="0" w:color="auto"/>
        <w:left w:val="none" w:sz="0" w:space="0" w:color="auto"/>
        <w:bottom w:val="none" w:sz="0" w:space="0" w:color="auto"/>
        <w:right w:val="none" w:sz="0" w:space="0" w:color="auto"/>
      </w:divBdr>
      <w:divsChild>
        <w:div w:id="902446347">
          <w:marLeft w:val="0"/>
          <w:marRight w:val="0"/>
          <w:marTop w:val="0"/>
          <w:marBottom w:val="0"/>
          <w:divBdr>
            <w:top w:val="none" w:sz="0" w:space="0" w:color="auto"/>
            <w:left w:val="none" w:sz="0" w:space="0" w:color="auto"/>
            <w:bottom w:val="none" w:sz="0" w:space="0" w:color="auto"/>
            <w:right w:val="none" w:sz="0" w:space="0" w:color="auto"/>
          </w:divBdr>
          <w:divsChild>
            <w:div w:id="1209684836">
              <w:marLeft w:val="0"/>
              <w:marRight w:val="0"/>
              <w:marTop w:val="0"/>
              <w:marBottom w:val="0"/>
              <w:divBdr>
                <w:top w:val="none" w:sz="0" w:space="0" w:color="auto"/>
                <w:left w:val="none" w:sz="0" w:space="0" w:color="auto"/>
                <w:bottom w:val="none" w:sz="0" w:space="0" w:color="auto"/>
                <w:right w:val="none" w:sz="0" w:space="0" w:color="auto"/>
              </w:divBdr>
              <w:divsChild>
                <w:div w:id="604463910">
                  <w:marLeft w:val="0"/>
                  <w:marRight w:val="0"/>
                  <w:marTop w:val="0"/>
                  <w:marBottom w:val="0"/>
                  <w:divBdr>
                    <w:top w:val="none" w:sz="0" w:space="0" w:color="auto"/>
                    <w:left w:val="none" w:sz="0" w:space="0" w:color="auto"/>
                    <w:bottom w:val="none" w:sz="0" w:space="0" w:color="auto"/>
                    <w:right w:val="none" w:sz="0" w:space="0" w:color="auto"/>
                  </w:divBdr>
                  <w:divsChild>
                    <w:div w:id="770515090">
                      <w:marLeft w:val="0"/>
                      <w:marRight w:val="0"/>
                      <w:marTop w:val="0"/>
                      <w:marBottom w:val="0"/>
                      <w:divBdr>
                        <w:top w:val="none" w:sz="0" w:space="0" w:color="auto"/>
                        <w:left w:val="none" w:sz="0" w:space="0" w:color="auto"/>
                        <w:bottom w:val="none" w:sz="0" w:space="0" w:color="auto"/>
                        <w:right w:val="none" w:sz="0" w:space="0" w:color="auto"/>
                      </w:divBdr>
                      <w:divsChild>
                        <w:div w:id="1006395691">
                          <w:marLeft w:val="0"/>
                          <w:marRight w:val="0"/>
                          <w:marTop w:val="0"/>
                          <w:marBottom w:val="0"/>
                          <w:divBdr>
                            <w:top w:val="none" w:sz="0" w:space="0" w:color="auto"/>
                            <w:left w:val="none" w:sz="0" w:space="0" w:color="auto"/>
                            <w:bottom w:val="none" w:sz="0" w:space="0" w:color="auto"/>
                            <w:right w:val="none" w:sz="0" w:space="0" w:color="auto"/>
                          </w:divBdr>
                          <w:divsChild>
                            <w:div w:id="920942543">
                              <w:marLeft w:val="0"/>
                              <w:marRight w:val="0"/>
                              <w:marTop w:val="0"/>
                              <w:marBottom w:val="0"/>
                              <w:divBdr>
                                <w:top w:val="none" w:sz="0" w:space="0" w:color="auto"/>
                                <w:left w:val="none" w:sz="0" w:space="0" w:color="auto"/>
                                <w:bottom w:val="none" w:sz="0" w:space="0" w:color="auto"/>
                                <w:right w:val="none" w:sz="0" w:space="0" w:color="auto"/>
                              </w:divBdr>
                              <w:divsChild>
                                <w:div w:id="1033072105">
                                  <w:marLeft w:val="0"/>
                                  <w:marRight w:val="0"/>
                                  <w:marTop w:val="0"/>
                                  <w:marBottom w:val="0"/>
                                  <w:divBdr>
                                    <w:top w:val="none" w:sz="0" w:space="0" w:color="auto"/>
                                    <w:left w:val="none" w:sz="0" w:space="0" w:color="auto"/>
                                    <w:bottom w:val="none" w:sz="0" w:space="0" w:color="auto"/>
                                    <w:right w:val="none" w:sz="0" w:space="0" w:color="auto"/>
                                  </w:divBdr>
                                </w:div>
                              </w:divsChild>
                            </w:div>
                            <w:div w:id="18699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9363">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1066-par-akcizes-nodokli" TargetMode="External"/><Relationship Id="rId13" Type="http://schemas.openxmlformats.org/officeDocument/2006/relationships/hyperlink" Target="http://likumi.lv/ta/id/161883-kartiba-kada-atseviskiem-naftas-produktiem-piemero-samazinatu-akcizes-nodokla-likmi-vai-atbrivojumu-no-akcizes-nodok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161883-kartiba-kada-atseviskiem-naftas-produktiem-piemero-samazinatu-akcizes-nodokla-likmi-vai-atbrivojumu-no-akcizes-nodokl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81066-par-akcizes-nodok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81066-par-akcizes-nodok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81066-par-akcizes-nodokl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1755-3C7C-4565-BF28-5632F65C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33263</Words>
  <Characters>18961</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Ministru kabineta noteikumu projekts  „Noteikumi par akcīzes preču apvienotā Kopienas tarifa (TARIC) nacionālajiem kodiem un to piemērošanas kārtību”</vt:lpstr>
    </vt:vector>
  </TitlesOfParts>
  <Company>Finanšu ministrija/Valsts  ieņēmumu dienests</Company>
  <LinksUpToDate>false</LinksUpToDate>
  <CharactersWithSpaces>52120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Gunta Puidīte</cp:lastModifiedBy>
  <cp:revision>11</cp:revision>
  <cp:lastPrinted>2016-05-25T12:19:00Z</cp:lastPrinted>
  <dcterms:created xsi:type="dcterms:W3CDTF">2016-06-27T07:15:00Z</dcterms:created>
  <dcterms:modified xsi:type="dcterms:W3CDTF">2016-07-01T06:15:00Z</dcterms:modified>
  <cp:category>noteikumu projekts</cp:category>
</cp:coreProperties>
</file>