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F43A4" w14:textId="6C652DCD" w:rsidR="00B521EC" w:rsidRPr="00FE13CA" w:rsidRDefault="0098537F" w:rsidP="00B521EC">
      <w:pPr>
        <w:spacing w:after="120"/>
        <w:jc w:val="both"/>
        <w:rPr>
          <w:rFonts w:eastAsia="Calibri" w:cs="Times New Roman"/>
          <w:sz w:val="24"/>
          <w:szCs w:val="24"/>
          <w:lang w:eastAsia="lv-LV"/>
        </w:rPr>
      </w:pPr>
      <w:r w:rsidRPr="00FE13CA">
        <w:rPr>
          <w:rFonts w:eastAsia="Calibri" w:cs="Times New Roman"/>
          <w:sz w:val="24"/>
          <w:szCs w:val="24"/>
          <w:lang w:eastAsia="lv-LV"/>
        </w:rPr>
        <w:t>201</w:t>
      </w:r>
      <w:r>
        <w:rPr>
          <w:rFonts w:eastAsia="Calibri" w:cs="Times New Roman"/>
          <w:sz w:val="24"/>
          <w:szCs w:val="24"/>
          <w:lang w:eastAsia="lv-LV"/>
        </w:rPr>
        <w:t>6</w:t>
      </w:r>
      <w:r w:rsidR="00B521EC" w:rsidRPr="00FE13CA">
        <w:rPr>
          <w:rFonts w:eastAsia="Calibri" w:cs="Times New Roman"/>
          <w:sz w:val="24"/>
          <w:szCs w:val="24"/>
          <w:lang w:eastAsia="lv-LV"/>
        </w:rPr>
        <w:t>. gada ___._________</w:t>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t>Noteikumi Nr.</w:t>
      </w:r>
    </w:p>
    <w:p w14:paraId="5342DA98" w14:textId="77777777" w:rsidR="00B521EC" w:rsidRPr="00FE13CA" w:rsidRDefault="00B521EC" w:rsidP="00B521EC">
      <w:pPr>
        <w:spacing w:after="120"/>
        <w:jc w:val="both"/>
        <w:rPr>
          <w:rFonts w:eastAsia="Calibri" w:cs="Times New Roman"/>
          <w:sz w:val="24"/>
          <w:szCs w:val="24"/>
          <w:lang w:eastAsia="lv-LV"/>
        </w:rPr>
      </w:pPr>
      <w:r w:rsidRPr="00FE13CA">
        <w:rPr>
          <w:rFonts w:eastAsia="Calibri" w:cs="Times New Roman"/>
          <w:sz w:val="24"/>
          <w:szCs w:val="24"/>
          <w:lang w:eastAsia="lv-LV"/>
        </w:rPr>
        <w:t>Rīgā</w:t>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t>(prot.   Nr.   .§)</w:t>
      </w:r>
    </w:p>
    <w:p w14:paraId="46C8E856" w14:textId="77777777" w:rsidR="00B521EC" w:rsidRPr="00FE13CA" w:rsidRDefault="00B521EC" w:rsidP="00B521EC">
      <w:pPr>
        <w:spacing w:after="120"/>
        <w:jc w:val="center"/>
        <w:rPr>
          <w:rFonts w:eastAsia="Calibri" w:cs="Times New Roman"/>
          <w:b/>
          <w:szCs w:val="28"/>
          <w:lang w:eastAsia="lv-LV"/>
        </w:rPr>
      </w:pPr>
    </w:p>
    <w:p w14:paraId="24861365" w14:textId="77777777" w:rsidR="00B521EC" w:rsidRPr="00FE13CA" w:rsidRDefault="00B521EC" w:rsidP="00B521EC">
      <w:pPr>
        <w:spacing w:after="120"/>
        <w:jc w:val="center"/>
        <w:rPr>
          <w:rFonts w:eastAsia="Calibri" w:cs="Times New Roman"/>
          <w:b/>
          <w:sz w:val="24"/>
          <w:szCs w:val="24"/>
          <w:lang w:eastAsia="lv-LV"/>
        </w:rPr>
      </w:pPr>
      <w:r w:rsidRPr="00FE13CA">
        <w:rPr>
          <w:rFonts w:eastAsia="Calibri" w:cs="Times New Roman"/>
          <w:b/>
          <w:sz w:val="24"/>
          <w:szCs w:val="24"/>
          <w:lang w:eastAsia="lv-LV"/>
        </w:rPr>
        <w:t xml:space="preserve">Darbības programmas „Izaugsme un nodarbinātība” </w:t>
      </w:r>
      <w:r w:rsidR="00852C49" w:rsidRPr="00852C49">
        <w:rPr>
          <w:rFonts w:eastAsia="Calibri" w:cs="Times New Roman"/>
          <w:b/>
          <w:sz w:val="24"/>
          <w:szCs w:val="24"/>
          <w:lang w:eastAsia="lv-LV"/>
        </w:rPr>
        <w:t>prioritārā virziena „Ilgtspējīga transporta sistēma”</w:t>
      </w:r>
      <w:r w:rsidR="00852C49">
        <w:rPr>
          <w:rFonts w:eastAsia="Calibri" w:cs="Times New Roman"/>
          <w:b/>
          <w:sz w:val="24"/>
          <w:szCs w:val="24"/>
          <w:lang w:eastAsia="lv-LV"/>
        </w:rPr>
        <w:t xml:space="preserve"> </w:t>
      </w:r>
      <w:r w:rsidR="00852C49" w:rsidRPr="00852C49">
        <w:rPr>
          <w:rFonts w:eastAsia="Calibri" w:cs="Times New Roman"/>
          <w:b/>
          <w:sz w:val="24"/>
          <w:szCs w:val="24"/>
          <w:lang w:eastAsia="lv-LV"/>
        </w:rPr>
        <w:t>6.2.1.specifiskā atbalsta mērķa „Nodrošināt konkurētspējīgu un videi draudzīgu TEN-T dzelzceļa tīklu, veicinot tā drošību, kvalitāti un kapacitāti” 6.2.1.2.pasākuma “Dzelzceļa infrastruktūras modernizācija un izbūve”</w:t>
      </w:r>
      <w:r w:rsidRPr="00FE13CA">
        <w:rPr>
          <w:rFonts w:eastAsia="Calibri" w:cs="Times New Roman"/>
          <w:b/>
          <w:sz w:val="24"/>
          <w:szCs w:val="24"/>
          <w:lang w:eastAsia="lv-LV"/>
        </w:rPr>
        <w:t xml:space="preserve"> īstenošanas noteikumi</w:t>
      </w:r>
    </w:p>
    <w:p w14:paraId="46A2CF99" w14:textId="77777777" w:rsidR="00B521EC" w:rsidRPr="00FE13CA" w:rsidRDefault="00B521EC" w:rsidP="00B521EC">
      <w:pPr>
        <w:spacing w:after="120"/>
        <w:ind w:left="5580" w:firstLine="1440"/>
        <w:jc w:val="right"/>
        <w:rPr>
          <w:rFonts w:eastAsia="Calibri" w:cs="Times New Roman"/>
          <w:sz w:val="24"/>
          <w:szCs w:val="24"/>
          <w:lang w:eastAsia="lv-LV"/>
        </w:rPr>
      </w:pPr>
    </w:p>
    <w:p w14:paraId="6F030C7A" w14:textId="7617ABFD" w:rsidR="00B521EC" w:rsidRPr="00FE13CA" w:rsidRDefault="00B521EC" w:rsidP="00B521EC">
      <w:pPr>
        <w:spacing w:after="120"/>
        <w:ind w:left="5103"/>
        <w:rPr>
          <w:rFonts w:eastAsia="Calibri" w:cs="Times New Roman"/>
          <w:i/>
          <w:sz w:val="24"/>
          <w:szCs w:val="24"/>
          <w:lang w:eastAsia="lv-LV"/>
        </w:rPr>
      </w:pPr>
      <w:r w:rsidRPr="00FE13CA">
        <w:rPr>
          <w:rFonts w:eastAsia="Calibri" w:cs="Times New Roman"/>
          <w:i/>
          <w:sz w:val="24"/>
          <w:szCs w:val="24"/>
          <w:lang w:eastAsia="lv-LV"/>
        </w:rPr>
        <w:t xml:space="preserve">Izdoti saskaņā ar Eiropas Savienības struktūrfondu un Kohēzijas fonda 2014.–2020. gada plānošanas perioda vadības likuma 20. </w:t>
      </w:r>
      <w:r w:rsidR="00941113">
        <w:rPr>
          <w:rFonts w:eastAsia="Calibri" w:cs="Times New Roman"/>
          <w:i/>
          <w:sz w:val="24"/>
          <w:szCs w:val="24"/>
          <w:lang w:eastAsia="lv-LV"/>
        </w:rPr>
        <w:t>p</w:t>
      </w:r>
      <w:r w:rsidRPr="00FE13CA">
        <w:rPr>
          <w:rFonts w:eastAsia="Calibri" w:cs="Times New Roman"/>
          <w:i/>
          <w:sz w:val="24"/>
          <w:szCs w:val="24"/>
          <w:lang w:eastAsia="lv-LV"/>
        </w:rPr>
        <w:t>anta</w:t>
      </w:r>
      <w:r w:rsidR="00657424">
        <w:rPr>
          <w:rFonts w:eastAsia="Calibri" w:cs="Times New Roman"/>
          <w:i/>
          <w:sz w:val="24"/>
          <w:szCs w:val="24"/>
          <w:lang w:eastAsia="lv-LV"/>
        </w:rPr>
        <w:t xml:space="preserve"> 6. un</w:t>
      </w:r>
      <w:r w:rsidRPr="00FE13CA">
        <w:rPr>
          <w:rFonts w:eastAsia="Calibri" w:cs="Times New Roman"/>
          <w:i/>
          <w:sz w:val="24"/>
          <w:szCs w:val="24"/>
          <w:lang w:eastAsia="lv-LV"/>
        </w:rPr>
        <w:t xml:space="preserve"> 13. punktu</w:t>
      </w:r>
    </w:p>
    <w:p w14:paraId="630293BD" w14:textId="77777777" w:rsidR="00B521EC" w:rsidRPr="00FE13CA" w:rsidRDefault="00B521EC" w:rsidP="00B521EC">
      <w:pPr>
        <w:spacing w:before="40" w:after="40"/>
        <w:contextualSpacing/>
        <w:jc w:val="center"/>
        <w:rPr>
          <w:rFonts w:eastAsia="Calibri" w:cs="Times New Roman"/>
          <w:b/>
          <w:bCs/>
          <w:sz w:val="25"/>
          <w:szCs w:val="25"/>
        </w:rPr>
      </w:pPr>
    </w:p>
    <w:p w14:paraId="74EA9764" w14:textId="77777777" w:rsidR="00B521EC" w:rsidRPr="00FE13CA" w:rsidRDefault="00B521EC" w:rsidP="00B521EC">
      <w:pPr>
        <w:spacing w:before="40" w:after="40"/>
        <w:contextualSpacing/>
        <w:jc w:val="center"/>
        <w:rPr>
          <w:rFonts w:eastAsia="Calibri" w:cs="Times New Roman"/>
          <w:b/>
          <w:bCs/>
          <w:sz w:val="25"/>
          <w:szCs w:val="25"/>
        </w:rPr>
      </w:pPr>
      <w:r w:rsidRPr="00FE13CA">
        <w:rPr>
          <w:rFonts w:eastAsia="Calibri" w:cs="Times New Roman"/>
          <w:b/>
          <w:bCs/>
          <w:sz w:val="25"/>
          <w:szCs w:val="25"/>
        </w:rPr>
        <w:t>I. Vispārīgie jautājumi</w:t>
      </w:r>
    </w:p>
    <w:p w14:paraId="66BEE072" w14:textId="77777777" w:rsidR="00B521EC" w:rsidRPr="00FE13CA" w:rsidRDefault="00B521EC" w:rsidP="0059007F">
      <w:pPr>
        <w:numPr>
          <w:ilvl w:val="0"/>
          <w:numId w:val="1"/>
        </w:numPr>
        <w:spacing w:before="120" w:after="12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Noteikumi nosaka:</w:t>
      </w:r>
    </w:p>
    <w:p w14:paraId="43B55ED7" w14:textId="336A73A7" w:rsidR="00B521EC" w:rsidRPr="00FE13CA" w:rsidRDefault="00B521EC" w:rsidP="0059007F">
      <w:pPr>
        <w:numPr>
          <w:ilvl w:val="1"/>
          <w:numId w:val="1"/>
        </w:numPr>
        <w:tabs>
          <w:tab w:val="left" w:pos="993"/>
        </w:tabs>
        <w:spacing w:before="120" w:after="120"/>
        <w:jc w:val="both"/>
        <w:outlineLvl w:val="0"/>
        <w:rPr>
          <w:rFonts w:eastAsia="Calibri" w:cs="Times New Roman"/>
          <w:sz w:val="24"/>
          <w:szCs w:val="24"/>
          <w:lang w:eastAsia="lv-LV"/>
        </w:rPr>
      </w:pPr>
      <w:r w:rsidRPr="00FE13CA">
        <w:rPr>
          <w:rFonts w:eastAsia="Calibri" w:cs="Times New Roman"/>
          <w:sz w:val="24"/>
          <w:szCs w:val="24"/>
          <w:lang w:eastAsia="lv-LV"/>
        </w:rPr>
        <w:t xml:space="preserve">kārtību, kādā īsteno darbības programmas „Izaugsme un nodarbinātība” </w:t>
      </w:r>
      <w:r w:rsidR="00BC5421" w:rsidRPr="00FE13CA">
        <w:rPr>
          <w:rFonts w:eastAsia="Calibri" w:cs="Times New Roman"/>
          <w:bCs/>
          <w:sz w:val="24"/>
          <w:szCs w:val="24"/>
          <w:lang w:eastAsia="lv-LV"/>
        </w:rPr>
        <w:t>prioritā</w:t>
      </w:r>
      <w:r w:rsidR="008231DD" w:rsidRPr="00FE13CA">
        <w:rPr>
          <w:rFonts w:eastAsia="Calibri" w:cs="Times New Roman"/>
          <w:bCs/>
          <w:sz w:val="24"/>
          <w:szCs w:val="24"/>
          <w:lang w:eastAsia="lv-LV"/>
        </w:rPr>
        <w:t>rā virziena „Ilgtspējīga transporta sistēma”</w:t>
      </w:r>
      <w:r w:rsidR="00BC5421" w:rsidRPr="00FE13CA">
        <w:rPr>
          <w:rFonts w:eastAsia="Calibri" w:cs="Times New Roman"/>
          <w:sz w:val="24"/>
          <w:szCs w:val="24"/>
          <w:lang w:eastAsia="lv-LV"/>
        </w:rPr>
        <w:t xml:space="preserve"> </w:t>
      </w:r>
      <w:r w:rsidR="00852C49" w:rsidRPr="00852C49">
        <w:rPr>
          <w:rFonts w:eastAsia="Calibri" w:cs="Times New Roman"/>
          <w:sz w:val="24"/>
          <w:szCs w:val="24"/>
          <w:lang w:eastAsia="lv-LV"/>
        </w:rPr>
        <w:t>6.2.1.specifiskā atbalsta mērķa „Nodrošināt konkurētspējīgu un videi draudzīgu TEN-T dzelzceļa tīklu, veicinot tā drošību, kvalitāti un kapacitāti”</w:t>
      </w:r>
      <w:r w:rsidR="00E23601">
        <w:rPr>
          <w:rFonts w:eastAsia="Calibri" w:cs="Times New Roman"/>
          <w:sz w:val="24"/>
          <w:szCs w:val="24"/>
          <w:lang w:eastAsia="lv-LV"/>
        </w:rPr>
        <w:t xml:space="preserve"> (turpmāk - </w:t>
      </w:r>
      <w:r w:rsidR="00E23601" w:rsidRPr="00E23601">
        <w:rPr>
          <w:rFonts w:eastAsia="Calibri" w:cs="Times New Roman"/>
          <w:sz w:val="24"/>
          <w:szCs w:val="24"/>
          <w:lang w:eastAsia="lv-LV"/>
        </w:rPr>
        <w:t>Specifisk</w:t>
      </w:r>
      <w:r w:rsidR="00E23601">
        <w:rPr>
          <w:rFonts w:eastAsia="Calibri" w:cs="Times New Roman"/>
          <w:sz w:val="24"/>
          <w:szCs w:val="24"/>
          <w:lang w:eastAsia="lv-LV"/>
        </w:rPr>
        <w:t>ais</w:t>
      </w:r>
      <w:r w:rsidR="00E23601" w:rsidRPr="00E23601">
        <w:rPr>
          <w:rFonts w:eastAsia="Calibri" w:cs="Times New Roman"/>
          <w:sz w:val="24"/>
          <w:szCs w:val="24"/>
          <w:lang w:eastAsia="lv-LV"/>
        </w:rPr>
        <w:t xml:space="preserve"> </w:t>
      </w:r>
      <w:r w:rsidR="007A6ACB" w:rsidRPr="00E23601">
        <w:rPr>
          <w:rFonts w:eastAsia="Calibri" w:cs="Times New Roman"/>
          <w:sz w:val="24"/>
          <w:szCs w:val="24"/>
          <w:lang w:eastAsia="lv-LV"/>
        </w:rPr>
        <w:t>atbalst</w:t>
      </w:r>
      <w:r w:rsidR="007A6ACB">
        <w:rPr>
          <w:rFonts w:eastAsia="Calibri" w:cs="Times New Roman"/>
          <w:sz w:val="24"/>
          <w:szCs w:val="24"/>
          <w:lang w:eastAsia="lv-LV"/>
        </w:rPr>
        <w:t>s</w:t>
      </w:r>
      <w:r w:rsidR="00E23601">
        <w:rPr>
          <w:rFonts w:eastAsia="Calibri" w:cs="Times New Roman"/>
          <w:sz w:val="24"/>
          <w:szCs w:val="24"/>
          <w:lang w:eastAsia="lv-LV"/>
        </w:rPr>
        <w:t>)</w:t>
      </w:r>
      <w:r w:rsidR="00E23601" w:rsidRPr="00E23601">
        <w:rPr>
          <w:rFonts w:eastAsia="Calibri" w:cs="Times New Roman"/>
          <w:sz w:val="24"/>
          <w:szCs w:val="24"/>
          <w:lang w:eastAsia="lv-LV"/>
        </w:rPr>
        <w:t xml:space="preserve"> </w:t>
      </w:r>
      <w:r w:rsidR="00852C49" w:rsidRPr="00852C49">
        <w:rPr>
          <w:rFonts w:eastAsia="Calibri" w:cs="Times New Roman"/>
          <w:sz w:val="24"/>
          <w:szCs w:val="24"/>
          <w:lang w:eastAsia="lv-LV"/>
        </w:rPr>
        <w:t>6.2.1.2.pasākum</w:t>
      </w:r>
      <w:r w:rsidR="00283FDD">
        <w:rPr>
          <w:rFonts w:eastAsia="Calibri" w:cs="Times New Roman"/>
          <w:sz w:val="24"/>
          <w:szCs w:val="24"/>
          <w:lang w:eastAsia="lv-LV"/>
        </w:rPr>
        <w:t>u</w:t>
      </w:r>
      <w:r w:rsidR="00852C49" w:rsidRPr="00852C49">
        <w:rPr>
          <w:rFonts w:eastAsia="Calibri" w:cs="Times New Roman"/>
          <w:sz w:val="24"/>
          <w:szCs w:val="24"/>
          <w:lang w:eastAsia="lv-LV"/>
        </w:rPr>
        <w:t xml:space="preserve"> “Dzelzceļa infrastruktūras modernizācija un izbūve”</w:t>
      </w:r>
      <w:r w:rsidR="00BC5421" w:rsidRPr="00FE13CA">
        <w:rPr>
          <w:rFonts w:eastAsia="Calibri" w:cs="Times New Roman"/>
          <w:sz w:val="24"/>
          <w:szCs w:val="24"/>
          <w:lang w:eastAsia="lv-LV"/>
        </w:rPr>
        <w:t xml:space="preserve"> </w:t>
      </w:r>
      <w:r w:rsidRPr="00FE13CA">
        <w:rPr>
          <w:rFonts w:eastAsia="Calibri" w:cs="Times New Roman"/>
          <w:sz w:val="24"/>
          <w:szCs w:val="24"/>
          <w:lang w:eastAsia="lv-LV"/>
        </w:rPr>
        <w:t>(turpmāk –</w:t>
      </w:r>
      <w:r w:rsidR="0098537F">
        <w:rPr>
          <w:rFonts w:eastAsia="Calibri" w:cs="Times New Roman"/>
          <w:sz w:val="24"/>
          <w:szCs w:val="24"/>
          <w:lang w:eastAsia="lv-LV"/>
        </w:rPr>
        <w:t xml:space="preserve"> </w:t>
      </w:r>
      <w:r w:rsidR="00852C49">
        <w:rPr>
          <w:rFonts w:eastAsia="Calibri" w:cs="Times New Roman"/>
          <w:sz w:val="24"/>
          <w:szCs w:val="24"/>
          <w:lang w:eastAsia="lv-LV"/>
        </w:rPr>
        <w:t>pasākums</w:t>
      </w:r>
      <w:r w:rsidRPr="00FE13CA">
        <w:rPr>
          <w:rFonts w:eastAsia="Calibri" w:cs="Times New Roman"/>
          <w:sz w:val="24"/>
          <w:szCs w:val="24"/>
          <w:lang w:eastAsia="lv-LV"/>
        </w:rPr>
        <w:t>);</w:t>
      </w:r>
    </w:p>
    <w:p w14:paraId="20042763" w14:textId="1B9A0386" w:rsidR="00B521EC" w:rsidRDefault="00B524A2" w:rsidP="0059007F">
      <w:pPr>
        <w:numPr>
          <w:ilvl w:val="1"/>
          <w:numId w:val="1"/>
        </w:numPr>
        <w:tabs>
          <w:tab w:val="left" w:pos="993"/>
        </w:tabs>
        <w:spacing w:before="120" w:after="120"/>
        <w:jc w:val="both"/>
        <w:outlineLvl w:val="0"/>
        <w:rPr>
          <w:rFonts w:eastAsia="Calibri" w:cs="Times New Roman"/>
          <w:sz w:val="24"/>
          <w:szCs w:val="24"/>
          <w:lang w:eastAsia="lv-LV"/>
        </w:rPr>
      </w:pPr>
      <w:r>
        <w:rPr>
          <w:rFonts w:eastAsia="Calibri" w:cs="Times New Roman"/>
          <w:sz w:val="24"/>
          <w:szCs w:val="24"/>
          <w:lang w:eastAsia="lv-LV"/>
        </w:rPr>
        <w:t>p</w:t>
      </w:r>
      <w:r w:rsidR="00852C49">
        <w:rPr>
          <w:rFonts w:eastAsia="Calibri" w:cs="Times New Roman"/>
          <w:sz w:val="24"/>
          <w:szCs w:val="24"/>
          <w:lang w:eastAsia="lv-LV"/>
        </w:rPr>
        <w:t>asākuma</w:t>
      </w:r>
      <w:r w:rsidR="000E7176" w:rsidRPr="00FE13CA">
        <w:rPr>
          <w:rFonts w:eastAsia="Calibri" w:cs="Times New Roman"/>
          <w:sz w:val="24"/>
          <w:szCs w:val="24"/>
          <w:lang w:eastAsia="lv-LV"/>
        </w:rPr>
        <w:t xml:space="preserve"> </w:t>
      </w:r>
      <w:r w:rsidR="005125F6" w:rsidRPr="00FE13CA">
        <w:rPr>
          <w:rFonts w:eastAsia="Calibri" w:cs="Times New Roman"/>
          <w:sz w:val="24"/>
          <w:szCs w:val="24"/>
          <w:lang w:eastAsia="lv-LV"/>
        </w:rPr>
        <w:t>mērķ</w:t>
      </w:r>
      <w:r w:rsidR="000E7176" w:rsidRPr="00FE13CA">
        <w:rPr>
          <w:rFonts w:eastAsia="Calibri" w:cs="Times New Roman"/>
          <w:sz w:val="24"/>
          <w:szCs w:val="24"/>
          <w:lang w:eastAsia="lv-LV"/>
        </w:rPr>
        <w:t>i</w:t>
      </w:r>
      <w:r w:rsidR="00B521EC" w:rsidRPr="00FE13CA">
        <w:rPr>
          <w:rFonts w:eastAsia="Calibri" w:cs="Times New Roman"/>
          <w:sz w:val="24"/>
          <w:szCs w:val="24"/>
          <w:lang w:eastAsia="lv-LV"/>
        </w:rPr>
        <w:t>;</w:t>
      </w:r>
      <w:bookmarkStart w:id="0" w:name="_GoBack"/>
      <w:bookmarkEnd w:id="0"/>
    </w:p>
    <w:p w14:paraId="5B36BA0B" w14:textId="74106DB2" w:rsidR="00B521EC" w:rsidRPr="00FE13CA" w:rsidRDefault="00B524A2" w:rsidP="0059007F">
      <w:pPr>
        <w:numPr>
          <w:ilvl w:val="1"/>
          <w:numId w:val="1"/>
        </w:numPr>
        <w:tabs>
          <w:tab w:val="left" w:pos="993"/>
        </w:tabs>
        <w:spacing w:before="120" w:after="120"/>
        <w:jc w:val="both"/>
        <w:outlineLvl w:val="0"/>
        <w:rPr>
          <w:rFonts w:eastAsia="Calibri" w:cs="Times New Roman"/>
          <w:sz w:val="24"/>
          <w:szCs w:val="24"/>
          <w:lang w:eastAsia="lv-LV"/>
        </w:rPr>
      </w:pPr>
      <w:r>
        <w:rPr>
          <w:rFonts w:eastAsia="Calibri" w:cs="Times New Roman"/>
          <w:sz w:val="24"/>
          <w:szCs w:val="24"/>
          <w:lang w:eastAsia="lv-LV"/>
        </w:rPr>
        <w:t>p</w:t>
      </w:r>
      <w:r w:rsidR="00852C49">
        <w:rPr>
          <w:rFonts w:eastAsia="Calibri" w:cs="Times New Roman"/>
          <w:sz w:val="24"/>
          <w:szCs w:val="24"/>
          <w:lang w:eastAsia="lv-LV"/>
        </w:rPr>
        <w:t>asākumam</w:t>
      </w:r>
      <w:r w:rsidR="00B521EC" w:rsidRPr="00FE13CA">
        <w:rPr>
          <w:rFonts w:eastAsia="Calibri" w:cs="Times New Roman"/>
          <w:sz w:val="24"/>
          <w:szCs w:val="24"/>
          <w:lang w:eastAsia="lv-LV"/>
        </w:rPr>
        <w:t xml:space="preserve"> </w:t>
      </w:r>
      <w:r w:rsidR="000E7176" w:rsidRPr="00FE13CA">
        <w:rPr>
          <w:rFonts w:eastAsia="Calibri" w:cs="Times New Roman"/>
          <w:sz w:val="24"/>
          <w:szCs w:val="24"/>
          <w:lang w:eastAsia="lv-LV"/>
        </w:rPr>
        <w:t xml:space="preserve">pieejamo </w:t>
      </w:r>
      <w:r w:rsidR="00B521EC" w:rsidRPr="00FE13CA">
        <w:rPr>
          <w:rFonts w:eastAsia="Calibri" w:cs="Times New Roman"/>
          <w:sz w:val="24"/>
          <w:szCs w:val="24"/>
          <w:lang w:eastAsia="lv-LV"/>
        </w:rPr>
        <w:t>finansējumu;</w:t>
      </w:r>
    </w:p>
    <w:p w14:paraId="5D8C2684" w14:textId="77777777" w:rsidR="00B521EC" w:rsidRPr="00FE13CA" w:rsidRDefault="00B521EC" w:rsidP="0059007F">
      <w:pPr>
        <w:numPr>
          <w:ilvl w:val="1"/>
          <w:numId w:val="1"/>
        </w:numPr>
        <w:tabs>
          <w:tab w:val="left" w:pos="993"/>
        </w:tabs>
        <w:spacing w:before="120" w:after="120"/>
        <w:jc w:val="both"/>
        <w:outlineLvl w:val="0"/>
        <w:rPr>
          <w:rFonts w:eastAsia="Calibri" w:cs="Times New Roman"/>
          <w:sz w:val="24"/>
          <w:szCs w:val="24"/>
          <w:lang w:eastAsia="lv-LV"/>
        </w:rPr>
      </w:pPr>
      <w:r w:rsidRPr="00FE13CA">
        <w:rPr>
          <w:rFonts w:eastAsia="Calibri" w:cs="Times New Roman"/>
          <w:sz w:val="24"/>
          <w:szCs w:val="24"/>
          <w:lang w:eastAsia="lv-LV"/>
        </w:rPr>
        <w:t xml:space="preserve">prasības </w:t>
      </w:r>
      <w:r w:rsidR="00046908">
        <w:rPr>
          <w:rFonts w:eastAsia="Calibri" w:cs="Times New Roman"/>
          <w:sz w:val="24"/>
          <w:szCs w:val="24"/>
          <w:lang w:eastAsia="lv-LV"/>
        </w:rPr>
        <w:t>Kohēzijas</w:t>
      </w:r>
      <w:r w:rsidRPr="00FE13CA">
        <w:rPr>
          <w:rFonts w:eastAsia="Calibri" w:cs="Times New Roman"/>
          <w:sz w:val="24"/>
          <w:szCs w:val="24"/>
          <w:lang w:eastAsia="lv-LV"/>
        </w:rPr>
        <w:t xml:space="preserve"> fonda</w:t>
      </w:r>
      <w:r w:rsidR="00786B1E" w:rsidRPr="00FE13CA">
        <w:rPr>
          <w:rFonts w:eastAsia="Calibri" w:cs="Times New Roman"/>
          <w:sz w:val="24"/>
          <w:szCs w:val="24"/>
          <w:lang w:eastAsia="lv-LV"/>
        </w:rPr>
        <w:t xml:space="preserve"> </w:t>
      </w:r>
      <w:r w:rsidRPr="00FE13CA">
        <w:rPr>
          <w:rFonts w:eastAsia="Calibri" w:cs="Times New Roman"/>
          <w:sz w:val="24"/>
          <w:szCs w:val="24"/>
          <w:lang w:eastAsia="lv-LV"/>
        </w:rPr>
        <w:t xml:space="preserve">projekta </w:t>
      </w:r>
      <w:r w:rsidR="007E600E" w:rsidRPr="00FE13CA">
        <w:rPr>
          <w:rFonts w:eastAsia="Calibri" w:cs="Times New Roman"/>
          <w:sz w:val="24"/>
          <w:szCs w:val="24"/>
          <w:lang w:eastAsia="lv-LV"/>
        </w:rPr>
        <w:t>iesniedzējam</w:t>
      </w:r>
      <w:r w:rsidRPr="00FE13CA">
        <w:rPr>
          <w:rFonts w:eastAsia="Calibri" w:cs="Times New Roman"/>
          <w:sz w:val="24"/>
          <w:szCs w:val="24"/>
          <w:lang w:eastAsia="lv-LV"/>
        </w:rPr>
        <w:t>;</w:t>
      </w:r>
    </w:p>
    <w:p w14:paraId="64AE6CB8" w14:textId="77777777" w:rsidR="008231DD" w:rsidRDefault="00B521EC" w:rsidP="0059007F">
      <w:pPr>
        <w:numPr>
          <w:ilvl w:val="1"/>
          <w:numId w:val="1"/>
        </w:numPr>
        <w:tabs>
          <w:tab w:val="left" w:pos="993"/>
        </w:tabs>
        <w:spacing w:before="120" w:after="120"/>
        <w:jc w:val="both"/>
        <w:outlineLvl w:val="0"/>
        <w:rPr>
          <w:rFonts w:eastAsia="Calibri" w:cs="Times New Roman"/>
          <w:sz w:val="24"/>
          <w:szCs w:val="24"/>
          <w:lang w:eastAsia="lv-LV"/>
        </w:rPr>
      </w:pPr>
      <w:r w:rsidRPr="00FE13CA">
        <w:rPr>
          <w:rFonts w:eastAsia="Calibri" w:cs="Times New Roman"/>
          <w:sz w:val="24"/>
          <w:szCs w:val="24"/>
          <w:lang w:eastAsia="lv-LV"/>
        </w:rPr>
        <w:t>atbalstāmo darbību un izm</w:t>
      </w:r>
      <w:r w:rsidR="007E600E" w:rsidRPr="00FE13CA">
        <w:rPr>
          <w:rFonts w:eastAsia="Calibri" w:cs="Times New Roman"/>
          <w:sz w:val="24"/>
          <w:szCs w:val="24"/>
          <w:lang w:eastAsia="lv-LV"/>
        </w:rPr>
        <w:t>aksu attiecināmības nosacījumus</w:t>
      </w:r>
      <w:r w:rsidR="008231DD" w:rsidRPr="00FE13CA">
        <w:rPr>
          <w:rFonts w:eastAsia="Calibri" w:cs="Times New Roman"/>
          <w:sz w:val="24"/>
          <w:szCs w:val="24"/>
          <w:lang w:eastAsia="lv-LV"/>
        </w:rPr>
        <w:t>;</w:t>
      </w:r>
    </w:p>
    <w:p w14:paraId="450CF989" w14:textId="046AE04C" w:rsidR="0098537F" w:rsidRDefault="00E722FA" w:rsidP="0059007F">
      <w:pPr>
        <w:pStyle w:val="ListParagraph"/>
        <w:numPr>
          <w:ilvl w:val="1"/>
          <w:numId w:val="1"/>
        </w:numPr>
        <w:spacing w:before="120" w:after="120"/>
        <w:rPr>
          <w:rFonts w:eastAsia="Calibri" w:cs="Times New Roman"/>
          <w:sz w:val="24"/>
          <w:szCs w:val="24"/>
          <w:lang w:eastAsia="lv-LV"/>
        </w:rPr>
      </w:pPr>
      <w:r>
        <w:rPr>
          <w:rFonts w:eastAsia="Calibri" w:cs="Times New Roman"/>
          <w:sz w:val="24"/>
          <w:szCs w:val="24"/>
          <w:lang w:eastAsia="lv-LV"/>
        </w:rPr>
        <w:t>līguma</w:t>
      </w:r>
      <w:r w:rsidRPr="0098537F">
        <w:rPr>
          <w:rFonts w:eastAsia="Calibri" w:cs="Times New Roman"/>
          <w:sz w:val="24"/>
          <w:szCs w:val="24"/>
          <w:lang w:eastAsia="lv-LV"/>
        </w:rPr>
        <w:t xml:space="preserve"> </w:t>
      </w:r>
      <w:r w:rsidR="0098537F" w:rsidRPr="0098537F">
        <w:rPr>
          <w:rFonts w:eastAsia="Calibri" w:cs="Times New Roman"/>
          <w:sz w:val="24"/>
          <w:szCs w:val="24"/>
          <w:lang w:eastAsia="lv-LV"/>
        </w:rPr>
        <w:t>par projekta īstenošanu v</w:t>
      </w:r>
      <w:r w:rsidR="009E2F26">
        <w:rPr>
          <w:rFonts w:eastAsia="Calibri" w:cs="Times New Roman"/>
          <w:sz w:val="24"/>
          <w:szCs w:val="24"/>
          <w:lang w:eastAsia="lv-LV"/>
        </w:rPr>
        <w:t>ienpusēja uzteikuma nosacījumus;</w:t>
      </w:r>
    </w:p>
    <w:p w14:paraId="54A604DE" w14:textId="7E92E72F" w:rsidR="009E2F26" w:rsidRPr="009E2F26" w:rsidRDefault="009E2F26" w:rsidP="009E2F26">
      <w:pPr>
        <w:numPr>
          <w:ilvl w:val="1"/>
          <w:numId w:val="1"/>
        </w:numPr>
        <w:tabs>
          <w:tab w:val="left" w:pos="993"/>
        </w:tabs>
        <w:spacing w:before="120" w:after="120"/>
        <w:jc w:val="both"/>
        <w:outlineLvl w:val="0"/>
        <w:rPr>
          <w:rFonts w:eastAsia="Calibri" w:cs="Times New Roman"/>
          <w:sz w:val="24"/>
          <w:szCs w:val="24"/>
          <w:lang w:eastAsia="lv-LV"/>
        </w:rPr>
      </w:pPr>
      <w:r w:rsidRPr="009E2F26">
        <w:rPr>
          <w:rFonts w:eastAsia="Calibri" w:cs="Times New Roman"/>
          <w:sz w:val="24"/>
          <w:szCs w:val="24"/>
          <w:lang w:eastAsia="lv-LV"/>
        </w:rPr>
        <w:t>vienkāršoto izmaksu piemērošanas nosacījumus un kārtību.</w:t>
      </w:r>
    </w:p>
    <w:p w14:paraId="128DB5B9" w14:textId="24D45C36" w:rsidR="00B46C4E" w:rsidRPr="00FE13CA" w:rsidRDefault="0098537F" w:rsidP="00A35971">
      <w:pPr>
        <w:numPr>
          <w:ilvl w:val="0"/>
          <w:numId w:val="1"/>
        </w:numPr>
        <w:spacing w:before="120" w:after="0"/>
        <w:ind w:left="357" w:hanging="357"/>
        <w:jc w:val="both"/>
        <w:outlineLvl w:val="0"/>
        <w:rPr>
          <w:rFonts w:eastAsia="Calibri" w:cs="Times New Roman"/>
          <w:sz w:val="24"/>
          <w:szCs w:val="24"/>
          <w:lang w:eastAsia="lv-LV"/>
        </w:rPr>
      </w:pPr>
      <w:r>
        <w:rPr>
          <w:rFonts w:eastAsia="Calibri" w:cs="Times New Roman"/>
          <w:sz w:val="24"/>
          <w:szCs w:val="24"/>
          <w:lang w:eastAsia="lv-LV"/>
        </w:rPr>
        <w:t>P</w:t>
      </w:r>
      <w:r w:rsidR="00852C49">
        <w:rPr>
          <w:rFonts w:eastAsia="Calibri" w:cs="Times New Roman"/>
          <w:sz w:val="24"/>
          <w:szCs w:val="24"/>
          <w:lang w:eastAsia="lv-LV"/>
        </w:rPr>
        <w:t>asākuma</w:t>
      </w:r>
      <w:r w:rsidR="00FE0BA4" w:rsidRPr="00FE13CA">
        <w:rPr>
          <w:rFonts w:eastAsia="Calibri" w:cs="Times New Roman"/>
          <w:sz w:val="24"/>
          <w:szCs w:val="24"/>
          <w:lang w:eastAsia="lv-LV"/>
        </w:rPr>
        <w:t xml:space="preserve"> </w:t>
      </w:r>
      <w:r w:rsidR="00B46C4E" w:rsidRPr="00FE13CA">
        <w:rPr>
          <w:rFonts w:eastAsia="Calibri" w:cs="Times New Roman"/>
          <w:sz w:val="24"/>
          <w:szCs w:val="24"/>
          <w:lang w:eastAsia="lv-LV"/>
        </w:rPr>
        <w:t>mērķis ir</w:t>
      </w:r>
      <w:r w:rsidR="00D90A93" w:rsidRPr="00D90A93">
        <w:rPr>
          <w:rFonts w:eastAsia="Calibri" w:cs="Times New Roman"/>
          <w:sz w:val="24"/>
          <w:szCs w:val="24"/>
          <w:lang w:eastAsia="lv-LV"/>
        </w:rPr>
        <w:t xml:space="preserve"> </w:t>
      </w:r>
      <w:r w:rsidR="00A35971">
        <w:rPr>
          <w:rFonts w:eastAsia="Calibri" w:cs="Times New Roman"/>
          <w:sz w:val="24"/>
          <w:szCs w:val="24"/>
          <w:lang w:eastAsia="lv-LV"/>
        </w:rPr>
        <w:t xml:space="preserve">uzlabot </w:t>
      </w:r>
      <w:r w:rsidR="00A35971" w:rsidRPr="00A35971">
        <w:rPr>
          <w:rFonts w:eastAsia="Calibri" w:cs="Times New Roman"/>
          <w:sz w:val="24"/>
          <w:szCs w:val="24"/>
          <w:lang w:eastAsia="lv-LV"/>
        </w:rPr>
        <w:t>TEN-T dzelzceļa tīklu, veicinot tā drošību, kvalitāti un kapacitāti</w:t>
      </w:r>
      <w:r w:rsidR="00A35971">
        <w:rPr>
          <w:rFonts w:eastAsia="Calibri" w:cs="Times New Roman"/>
          <w:sz w:val="24"/>
          <w:szCs w:val="24"/>
          <w:lang w:eastAsia="lv-LV"/>
        </w:rPr>
        <w:t>.</w:t>
      </w:r>
    </w:p>
    <w:p w14:paraId="61813CBE" w14:textId="7A02AECB" w:rsidR="00B46C4E" w:rsidRPr="00FE13CA" w:rsidRDefault="00A35971" w:rsidP="00B46C4E">
      <w:pPr>
        <w:numPr>
          <w:ilvl w:val="0"/>
          <w:numId w:val="1"/>
        </w:numPr>
        <w:spacing w:before="120" w:after="0"/>
        <w:ind w:left="357" w:hanging="357"/>
        <w:jc w:val="both"/>
        <w:outlineLvl w:val="0"/>
        <w:rPr>
          <w:rFonts w:eastAsia="Calibri" w:cs="Times New Roman"/>
          <w:sz w:val="24"/>
          <w:szCs w:val="24"/>
          <w:lang w:eastAsia="lv-LV"/>
        </w:rPr>
      </w:pPr>
      <w:r>
        <w:rPr>
          <w:rFonts w:eastAsia="Calibri" w:cs="Times New Roman"/>
          <w:sz w:val="24"/>
          <w:szCs w:val="24"/>
          <w:lang w:eastAsia="lv-LV"/>
        </w:rPr>
        <w:t>P</w:t>
      </w:r>
      <w:r w:rsidR="00852C49">
        <w:rPr>
          <w:rFonts w:eastAsia="Calibri" w:cs="Times New Roman"/>
          <w:sz w:val="24"/>
          <w:szCs w:val="24"/>
          <w:lang w:eastAsia="lv-LV"/>
        </w:rPr>
        <w:t>asākuma</w:t>
      </w:r>
      <w:r w:rsidR="00FE0BA4" w:rsidRPr="00FE13CA">
        <w:rPr>
          <w:rFonts w:eastAsia="Calibri" w:cs="Times New Roman"/>
          <w:sz w:val="24"/>
          <w:szCs w:val="24"/>
          <w:lang w:eastAsia="lv-LV"/>
        </w:rPr>
        <w:t xml:space="preserve"> mērķa</w:t>
      </w:r>
      <w:r w:rsidR="00B46C4E" w:rsidRPr="00FE13CA">
        <w:rPr>
          <w:rFonts w:eastAsia="Calibri" w:cs="Times New Roman"/>
          <w:sz w:val="24"/>
          <w:szCs w:val="24"/>
          <w:lang w:eastAsia="lv-LV"/>
        </w:rPr>
        <w:t xml:space="preserve"> grupa ir </w:t>
      </w:r>
      <w:r w:rsidR="0076453B">
        <w:rPr>
          <w:rFonts w:eastAsia="Calibri" w:cs="Times New Roman"/>
          <w:sz w:val="24"/>
          <w:szCs w:val="24"/>
          <w:lang w:eastAsia="lv-LV"/>
        </w:rPr>
        <w:t>dzelzceļa infrastruktūras lietotāji</w:t>
      </w:r>
      <w:r w:rsidR="0076453B" w:rsidRPr="0076453B">
        <w:rPr>
          <w:rFonts w:eastAsia="Calibri" w:cs="Times New Roman"/>
          <w:sz w:val="24"/>
          <w:szCs w:val="24"/>
          <w:lang w:eastAsia="lv-LV"/>
        </w:rPr>
        <w:t xml:space="preserve"> un ar tiem saistītie </w:t>
      </w:r>
      <w:r w:rsidR="0076453B">
        <w:rPr>
          <w:rFonts w:eastAsia="Calibri" w:cs="Times New Roman"/>
          <w:sz w:val="24"/>
          <w:szCs w:val="24"/>
          <w:lang w:eastAsia="lv-LV"/>
        </w:rPr>
        <w:t xml:space="preserve">citu transporta veidu </w:t>
      </w:r>
      <w:r w:rsidR="00D90A93" w:rsidRPr="00D90A93">
        <w:rPr>
          <w:rFonts w:eastAsia="Calibri" w:cs="Times New Roman"/>
          <w:sz w:val="24"/>
          <w:szCs w:val="24"/>
          <w:lang w:eastAsia="lv-LV"/>
        </w:rPr>
        <w:t>satiksmes dalībnieki</w:t>
      </w:r>
      <w:r w:rsidR="00B46C4E" w:rsidRPr="00FE13CA">
        <w:rPr>
          <w:rFonts w:eastAsia="Calibri" w:cs="Times New Roman"/>
          <w:sz w:val="24"/>
          <w:szCs w:val="24"/>
          <w:lang w:eastAsia="lv-LV"/>
        </w:rPr>
        <w:t>.</w:t>
      </w:r>
    </w:p>
    <w:p w14:paraId="176C3846" w14:textId="3D13315E" w:rsidR="00DD2A3F" w:rsidRDefault="008B756C" w:rsidP="008B756C">
      <w:pPr>
        <w:numPr>
          <w:ilvl w:val="0"/>
          <w:numId w:val="1"/>
        </w:numPr>
        <w:spacing w:before="120" w:after="120"/>
        <w:ind w:left="357" w:hanging="357"/>
        <w:jc w:val="both"/>
        <w:outlineLvl w:val="0"/>
        <w:rPr>
          <w:rFonts w:eastAsia="Calibri" w:cs="Times New Roman"/>
          <w:sz w:val="24"/>
          <w:szCs w:val="24"/>
          <w:lang w:eastAsia="lv-LV"/>
        </w:rPr>
      </w:pPr>
      <w:r>
        <w:rPr>
          <w:rFonts w:eastAsia="Calibri" w:cs="Times New Roman"/>
          <w:sz w:val="24"/>
          <w:szCs w:val="24"/>
          <w:lang w:eastAsia="lv-LV"/>
        </w:rPr>
        <w:t>P</w:t>
      </w:r>
      <w:r w:rsidR="009E2F26">
        <w:rPr>
          <w:rFonts w:eastAsia="Calibri" w:cs="Times New Roman"/>
          <w:sz w:val="24"/>
          <w:szCs w:val="24"/>
          <w:lang w:eastAsia="lv-LV"/>
        </w:rPr>
        <w:t>asākuma ietvaros</w:t>
      </w:r>
      <w:r w:rsidRPr="008B756C">
        <w:rPr>
          <w:rFonts w:eastAsia="Calibri" w:cs="Times New Roman"/>
          <w:sz w:val="24"/>
          <w:szCs w:val="24"/>
          <w:lang w:eastAsia="lv-LV"/>
        </w:rPr>
        <w:t xml:space="preserve"> līdz 2023.gada 31.decembrim sasniedzami šādi uzraudzības rādītāji:</w:t>
      </w:r>
    </w:p>
    <w:p w14:paraId="2BF7C984" w14:textId="5B988728" w:rsidR="00DD2A3F" w:rsidRDefault="009E2F26" w:rsidP="008B756C">
      <w:pPr>
        <w:numPr>
          <w:ilvl w:val="1"/>
          <w:numId w:val="1"/>
        </w:numPr>
        <w:tabs>
          <w:tab w:val="left" w:pos="993"/>
        </w:tabs>
        <w:spacing w:before="120" w:after="120"/>
        <w:jc w:val="both"/>
        <w:outlineLvl w:val="0"/>
        <w:rPr>
          <w:rFonts w:eastAsia="Calibri" w:cs="Times New Roman"/>
          <w:sz w:val="24"/>
          <w:szCs w:val="24"/>
          <w:lang w:eastAsia="lv-LV"/>
        </w:rPr>
      </w:pPr>
      <w:r>
        <w:rPr>
          <w:rFonts w:eastAsia="Calibri" w:cs="Times New Roman"/>
          <w:sz w:val="24"/>
          <w:szCs w:val="24"/>
          <w:lang w:eastAsia="lv-LV"/>
        </w:rPr>
        <w:t xml:space="preserve">rezultāta rādītājs - </w:t>
      </w:r>
      <w:r w:rsidR="00DD2A3F">
        <w:rPr>
          <w:rFonts w:eastAsia="Calibri" w:cs="Times New Roman"/>
          <w:sz w:val="24"/>
          <w:szCs w:val="24"/>
          <w:lang w:eastAsia="lv-LV"/>
        </w:rPr>
        <w:t>i</w:t>
      </w:r>
      <w:r w:rsidR="00DD2A3F" w:rsidRPr="00852C49">
        <w:rPr>
          <w:rFonts w:eastAsia="Calibri" w:cs="Times New Roman"/>
          <w:sz w:val="24"/>
          <w:szCs w:val="24"/>
          <w:lang w:eastAsia="lv-LV"/>
        </w:rPr>
        <w:t>nfrastruktūras caurvedes spēja</w:t>
      </w:r>
      <w:r w:rsidR="00DD2A3F">
        <w:rPr>
          <w:rFonts w:eastAsia="Calibri" w:cs="Times New Roman"/>
          <w:sz w:val="24"/>
          <w:szCs w:val="24"/>
          <w:lang w:eastAsia="lv-LV"/>
        </w:rPr>
        <w:t xml:space="preserve"> no 67</w:t>
      </w:r>
      <w:r>
        <w:rPr>
          <w:rFonts w:eastAsia="Calibri" w:cs="Times New Roman"/>
          <w:sz w:val="24"/>
          <w:szCs w:val="24"/>
          <w:lang w:eastAsia="lv-LV"/>
        </w:rPr>
        <w:t xml:space="preserve"> miljoni t/</w:t>
      </w:r>
      <w:r w:rsidR="00DD2A3F" w:rsidRPr="00A4593E">
        <w:rPr>
          <w:rFonts w:eastAsia="Calibri" w:cs="Times New Roman"/>
          <w:sz w:val="24"/>
          <w:szCs w:val="24"/>
          <w:lang w:eastAsia="lv-LV"/>
        </w:rPr>
        <w:t>gadā</w:t>
      </w:r>
      <w:r w:rsidR="00DD2A3F">
        <w:rPr>
          <w:rFonts w:eastAsia="Calibri" w:cs="Times New Roman"/>
          <w:sz w:val="24"/>
          <w:szCs w:val="24"/>
          <w:lang w:eastAsia="lv-LV"/>
        </w:rPr>
        <w:t xml:space="preserve"> uz 73</w:t>
      </w:r>
      <w:r>
        <w:rPr>
          <w:rFonts w:eastAsia="Calibri" w:cs="Times New Roman"/>
          <w:sz w:val="24"/>
          <w:szCs w:val="24"/>
          <w:lang w:eastAsia="lv-LV"/>
        </w:rPr>
        <w:t xml:space="preserve"> miljoni t/</w:t>
      </w:r>
      <w:r w:rsidR="00DD2A3F" w:rsidRPr="00A4593E">
        <w:rPr>
          <w:rFonts w:eastAsia="Calibri" w:cs="Times New Roman"/>
          <w:sz w:val="24"/>
          <w:szCs w:val="24"/>
          <w:lang w:eastAsia="lv-LV"/>
        </w:rPr>
        <w:t>gadā</w:t>
      </w:r>
      <w:r w:rsidR="00DD2A3F">
        <w:rPr>
          <w:rFonts w:eastAsia="Calibri" w:cs="Times New Roman"/>
          <w:sz w:val="24"/>
          <w:szCs w:val="24"/>
          <w:lang w:eastAsia="lv-LV"/>
        </w:rPr>
        <w:t>;</w:t>
      </w:r>
    </w:p>
    <w:p w14:paraId="360B3552" w14:textId="525BBD67" w:rsidR="009E2F26" w:rsidRDefault="009E2F26" w:rsidP="008B756C">
      <w:pPr>
        <w:numPr>
          <w:ilvl w:val="1"/>
          <w:numId w:val="1"/>
        </w:numPr>
        <w:tabs>
          <w:tab w:val="left" w:pos="993"/>
        </w:tabs>
        <w:spacing w:before="120" w:after="120"/>
        <w:jc w:val="both"/>
        <w:outlineLvl w:val="0"/>
        <w:rPr>
          <w:rFonts w:eastAsia="Calibri" w:cs="Times New Roman"/>
          <w:sz w:val="24"/>
          <w:szCs w:val="24"/>
          <w:lang w:eastAsia="lv-LV"/>
        </w:rPr>
      </w:pPr>
      <w:r w:rsidRPr="009E2F26">
        <w:rPr>
          <w:rFonts w:eastAsia="Calibri" w:cs="Times New Roman"/>
          <w:sz w:val="24"/>
          <w:szCs w:val="24"/>
          <w:lang w:eastAsia="lv-LV"/>
        </w:rPr>
        <w:t xml:space="preserve">iznākuma rādītājs - </w:t>
      </w:r>
      <w:r>
        <w:rPr>
          <w:rFonts w:eastAsia="Calibri" w:cs="Times New Roman"/>
          <w:sz w:val="24"/>
          <w:szCs w:val="24"/>
          <w:lang w:eastAsia="lv-LV"/>
        </w:rPr>
        <w:t>s</w:t>
      </w:r>
      <w:r w:rsidRPr="009A42CE">
        <w:rPr>
          <w:rFonts w:eastAsia="Calibri" w:cs="Times New Roman"/>
          <w:sz w:val="24"/>
          <w:szCs w:val="24"/>
          <w:lang w:eastAsia="lv-LV"/>
        </w:rPr>
        <w:t xml:space="preserve">taciju skaits kurās uzbūvēti paaugstinātie peroni </w:t>
      </w:r>
      <w:r>
        <w:rPr>
          <w:rFonts w:eastAsia="Calibri" w:cs="Times New Roman"/>
          <w:sz w:val="24"/>
          <w:szCs w:val="24"/>
          <w:lang w:eastAsia="lv-LV"/>
        </w:rPr>
        <w:t>–</w:t>
      </w:r>
      <w:r w:rsidRPr="009A42CE">
        <w:rPr>
          <w:rFonts w:eastAsia="Calibri" w:cs="Times New Roman"/>
          <w:sz w:val="24"/>
          <w:szCs w:val="24"/>
          <w:lang w:eastAsia="lv-LV"/>
        </w:rPr>
        <w:t xml:space="preserve"> 21</w:t>
      </w:r>
      <w:r>
        <w:rPr>
          <w:rFonts w:eastAsia="Calibri" w:cs="Times New Roman"/>
          <w:sz w:val="24"/>
          <w:szCs w:val="24"/>
          <w:lang w:eastAsia="lv-LV"/>
        </w:rPr>
        <w:t>;</w:t>
      </w:r>
    </w:p>
    <w:p w14:paraId="297BA29F" w14:textId="1EF80935" w:rsidR="00BE7C46" w:rsidRPr="00BE7C46" w:rsidRDefault="00BE7C46" w:rsidP="00BE7C46">
      <w:pPr>
        <w:pStyle w:val="ListParagraph"/>
        <w:numPr>
          <w:ilvl w:val="1"/>
          <w:numId w:val="1"/>
        </w:numPr>
        <w:rPr>
          <w:rFonts w:eastAsia="Calibri" w:cs="Times New Roman"/>
          <w:sz w:val="24"/>
          <w:szCs w:val="24"/>
          <w:lang w:eastAsia="lv-LV"/>
        </w:rPr>
      </w:pPr>
      <w:r w:rsidRPr="00BE7C46">
        <w:rPr>
          <w:rFonts w:eastAsia="Calibri" w:cs="Times New Roman"/>
          <w:sz w:val="24"/>
          <w:szCs w:val="24"/>
          <w:lang w:eastAsia="lv-LV"/>
        </w:rPr>
        <w:t xml:space="preserve">finanšu rādītājs - līdz 2018.gada 31.decembrim sertificēti izdevumi vismaz </w:t>
      </w:r>
      <w:r w:rsidR="00184F43">
        <w:rPr>
          <w:rFonts w:eastAsia="Calibri" w:cs="Times New Roman"/>
          <w:sz w:val="24"/>
          <w:szCs w:val="24"/>
          <w:lang w:eastAsia="lv-LV"/>
        </w:rPr>
        <w:t>36 847 633</w:t>
      </w:r>
      <w:r w:rsidRPr="00BE7C46">
        <w:rPr>
          <w:rFonts w:eastAsia="Calibri" w:cs="Times New Roman"/>
          <w:sz w:val="24"/>
          <w:szCs w:val="24"/>
          <w:lang w:eastAsia="lv-LV"/>
        </w:rPr>
        <w:t xml:space="preserve"> euro  apmērā;</w:t>
      </w:r>
    </w:p>
    <w:p w14:paraId="53BC4C36" w14:textId="79767436" w:rsidR="00930ABA" w:rsidRPr="00BD5F94" w:rsidRDefault="00A35971" w:rsidP="00BD5F94">
      <w:pPr>
        <w:numPr>
          <w:ilvl w:val="0"/>
          <w:numId w:val="1"/>
        </w:numPr>
        <w:spacing w:before="120" w:after="0"/>
        <w:ind w:left="357" w:hanging="357"/>
        <w:jc w:val="both"/>
        <w:outlineLvl w:val="0"/>
        <w:rPr>
          <w:rFonts w:eastAsia="Calibri" w:cs="Times New Roman"/>
          <w:sz w:val="24"/>
          <w:szCs w:val="24"/>
          <w:lang w:eastAsia="lv-LV"/>
        </w:rPr>
      </w:pPr>
      <w:r>
        <w:rPr>
          <w:rFonts w:eastAsia="Calibri" w:cs="Times New Roman"/>
          <w:sz w:val="24"/>
          <w:szCs w:val="24"/>
          <w:lang w:eastAsia="lv-LV"/>
        </w:rPr>
        <w:t>P</w:t>
      </w:r>
      <w:r w:rsidR="0021385F">
        <w:rPr>
          <w:rFonts w:eastAsia="Calibri" w:cs="Times New Roman"/>
          <w:sz w:val="24"/>
          <w:szCs w:val="24"/>
          <w:lang w:eastAsia="lv-LV"/>
        </w:rPr>
        <w:t>asākumu</w:t>
      </w:r>
      <w:r w:rsidR="00B521EC" w:rsidRPr="00BD5F94">
        <w:rPr>
          <w:rFonts w:eastAsia="Calibri" w:cs="Times New Roman"/>
          <w:sz w:val="24"/>
          <w:szCs w:val="24"/>
          <w:lang w:eastAsia="lv-LV"/>
        </w:rPr>
        <w:t xml:space="preserve"> īsteno ierobežotas projektu iesniegumu atlases veidā</w:t>
      </w:r>
      <w:r w:rsidR="007E600E" w:rsidRPr="00BD5F94">
        <w:rPr>
          <w:rFonts w:eastAsia="Calibri" w:cs="Times New Roman"/>
          <w:sz w:val="24"/>
          <w:szCs w:val="24"/>
          <w:lang w:eastAsia="lv-LV"/>
        </w:rPr>
        <w:t xml:space="preserve">. </w:t>
      </w:r>
    </w:p>
    <w:p w14:paraId="79C48D61" w14:textId="0E1F25FA" w:rsidR="00BE595C" w:rsidRPr="00365BA3" w:rsidRDefault="000E083D" w:rsidP="000E083D">
      <w:pPr>
        <w:numPr>
          <w:ilvl w:val="0"/>
          <w:numId w:val="1"/>
        </w:numPr>
        <w:spacing w:before="120" w:after="0"/>
        <w:ind w:left="357" w:hanging="357"/>
        <w:jc w:val="both"/>
        <w:outlineLvl w:val="0"/>
        <w:rPr>
          <w:rFonts w:eastAsia="Calibri" w:cs="Times New Roman"/>
          <w:sz w:val="24"/>
          <w:szCs w:val="24"/>
          <w:lang w:eastAsia="lv-LV"/>
        </w:rPr>
      </w:pPr>
      <w:r>
        <w:rPr>
          <w:rFonts w:eastAsia="Calibri" w:cs="Times New Roman"/>
          <w:sz w:val="24"/>
          <w:szCs w:val="24"/>
          <w:lang w:eastAsia="lv-LV"/>
        </w:rPr>
        <w:t xml:space="preserve"> </w:t>
      </w:r>
      <w:r w:rsidRPr="000E083D">
        <w:rPr>
          <w:rFonts w:eastAsia="Calibri" w:cs="Times New Roman"/>
          <w:sz w:val="24"/>
          <w:szCs w:val="24"/>
          <w:lang w:eastAsia="lv-LV"/>
        </w:rPr>
        <w:t>Pasākuma ietvaros atbildīgās iestādes funkcijas pilda Satiksmes ministrija.</w:t>
      </w:r>
      <w:r>
        <w:rPr>
          <w:rFonts w:eastAsia="Calibri" w:cs="Times New Roman"/>
          <w:sz w:val="24"/>
          <w:szCs w:val="24"/>
          <w:lang w:eastAsia="lv-LV"/>
        </w:rPr>
        <w:t xml:space="preserve"> </w:t>
      </w:r>
    </w:p>
    <w:p w14:paraId="41E3BD31" w14:textId="2C85EA68" w:rsidR="00A35971" w:rsidRPr="006A5258" w:rsidRDefault="00A35971" w:rsidP="00673966">
      <w:pPr>
        <w:numPr>
          <w:ilvl w:val="0"/>
          <w:numId w:val="1"/>
        </w:numPr>
        <w:spacing w:before="120" w:after="0"/>
        <w:ind w:left="357" w:hanging="357"/>
        <w:jc w:val="both"/>
        <w:outlineLvl w:val="0"/>
        <w:rPr>
          <w:rFonts w:eastAsia="Calibri" w:cs="Times New Roman"/>
          <w:sz w:val="24"/>
          <w:szCs w:val="24"/>
          <w:lang w:eastAsia="lv-LV"/>
        </w:rPr>
      </w:pPr>
      <w:r>
        <w:rPr>
          <w:rFonts w:eastAsia="Calibri" w:cs="Times New Roman"/>
          <w:sz w:val="24"/>
          <w:szCs w:val="24"/>
          <w:lang w:eastAsia="lv-LV"/>
        </w:rPr>
        <w:lastRenderedPageBreak/>
        <w:t>Pasākum</w:t>
      </w:r>
      <w:r w:rsidR="00D029F7">
        <w:rPr>
          <w:rFonts w:eastAsia="Calibri" w:cs="Times New Roman"/>
          <w:sz w:val="24"/>
          <w:szCs w:val="24"/>
          <w:lang w:eastAsia="lv-LV"/>
        </w:rPr>
        <w:t>am</w:t>
      </w:r>
      <w:r w:rsidRPr="00BE595C">
        <w:rPr>
          <w:rFonts w:eastAsia="Calibri" w:cs="Times New Roman"/>
          <w:sz w:val="24"/>
          <w:szCs w:val="24"/>
          <w:lang w:eastAsia="lv-LV"/>
        </w:rPr>
        <w:t xml:space="preserve"> </w:t>
      </w:r>
      <w:r w:rsidR="00626D99">
        <w:rPr>
          <w:rFonts w:eastAsia="Calibri" w:cs="Times New Roman"/>
          <w:sz w:val="24"/>
          <w:szCs w:val="24"/>
          <w:lang w:eastAsia="lv-LV"/>
        </w:rPr>
        <w:t>pieejamais</w:t>
      </w:r>
      <w:r w:rsidR="00626D99" w:rsidRPr="00BE595C">
        <w:rPr>
          <w:rFonts w:eastAsia="Calibri" w:cs="Times New Roman"/>
          <w:sz w:val="24"/>
          <w:szCs w:val="24"/>
          <w:lang w:eastAsia="lv-LV"/>
        </w:rPr>
        <w:t xml:space="preserve"> </w:t>
      </w:r>
      <w:r>
        <w:rPr>
          <w:rFonts w:eastAsia="Calibri" w:cs="Times New Roman"/>
          <w:sz w:val="24"/>
          <w:szCs w:val="24"/>
          <w:lang w:eastAsia="lv-LV"/>
        </w:rPr>
        <w:t>kopējais attiecināmais</w:t>
      </w:r>
      <w:r w:rsidRPr="00BE595C">
        <w:rPr>
          <w:rFonts w:eastAsia="Calibri" w:cs="Times New Roman"/>
          <w:sz w:val="24"/>
          <w:szCs w:val="24"/>
          <w:lang w:eastAsia="lv-LV"/>
        </w:rPr>
        <w:t xml:space="preserve"> </w:t>
      </w:r>
      <w:r>
        <w:rPr>
          <w:rFonts w:eastAsia="Calibri" w:cs="Times New Roman"/>
          <w:sz w:val="24"/>
          <w:szCs w:val="24"/>
          <w:lang w:eastAsia="lv-LV"/>
        </w:rPr>
        <w:t xml:space="preserve">finansējums ir </w:t>
      </w:r>
      <w:r w:rsidR="00D029F7" w:rsidRPr="00D029F7">
        <w:rPr>
          <w:rFonts w:eastAsia="Calibri" w:cs="Times New Roman"/>
          <w:sz w:val="24"/>
          <w:szCs w:val="24"/>
          <w:lang w:eastAsia="lv-LV"/>
        </w:rPr>
        <w:t>126</w:t>
      </w:r>
      <w:r w:rsidR="001A24DF">
        <w:rPr>
          <w:rFonts w:eastAsia="Calibri" w:cs="Times New Roman"/>
          <w:sz w:val="24"/>
          <w:szCs w:val="24"/>
          <w:lang w:eastAsia="lv-LV"/>
        </w:rPr>
        <w:t> </w:t>
      </w:r>
      <w:r w:rsidR="00D029F7" w:rsidRPr="00D029F7">
        <w:rPr>
          <w:rFonts w:eastAsia="Calibri" w:cs="Times New Roman"/>
          <w:sz w:val="24"/>
          <w:szCs w:val="24"/>
          <w:lang w:eastAsia="lv-LV"/>
        </w:rPr>
        <w:t>221</w:t>
      </w:r>
      <w:r w:rsidR="001A24DF">
        <w:rPr>
          <w:rFonts w:eastAsia="Calibri" w:cs="Times New Roman"/>
          <w:sz w:val="24"/>
          <w:szCs w:val="24"/>
          <w:lang w:eastAsia="lv-LV"/>
        </w:rPr>
        <w:t xml:space="preserve"> </w:t>
      </w:r>
      <w:r w:rsidR="00D029F7" w:rsidRPr="00D029F7">
        <w:rPr>
          <w:rFonts w:eastAsia="Calibri" w:cs="Times New Roman"/>
          <w:sz w:val="24"/>
          <w:szCs w:val="24"/>
          <w:lang w:eastAsia="lv-LV"/>
        </w:rPr>
        <w:t>197</w:t>
      </w:r>
      <w:r>
        <w:rPr>
          <w:rFonts w:eastAsia="Calibri" w:cs="Times New Roman"/>
          <w:sz w:val="24"/>
          <w:szCs w:val="24"/>
          <w:lang w:eastAsia="lv-LV"/>
        </w:rPr>
        <w:t xml:space="preserve"> </w:t>
      </w:r>
      <w:r w:rsidRPr="0059007F">
        <w:rPr>
          <w:rFonts w:eastAsia="Calibri" w:cs="Times New Roman"/>
          <w:i/>
          <w:sz w:val="24"/>
          <w:szCs w:val="24"/>
          <w:lang w:eastAsia="lv-LV"/>
        </w:rPr>
        <w:t>euro</w:t>
      </w:r>
      <w:r w:rsidRPr="00981D5B">
        <w:rPr>
          <w:rFonts w:eastAsia="Calibri" w:cs="Times New Roman"/>
          <w:sz w:val="24"/>
          <w:szCs w:val="24"/>
          <w:lang w:eastAsia="lv-LV"/>
        </w:rPr>
        <w:t>,</w:t>
      </w:r>
      <w:r>
        <w:rPr>
          <w:rFonts w:eastAsia="Calibri" w:cs="Times New Roman"/>
          <w:sz w:val="24"/>
          <w:szCs w:val="24"/>
          <w:lang w:eastAsia="lv-LV"/>
        </w:rPr>
        <w:t xml:space="preserve"> </w:t>
      </w:r>
      <w:r w:rsidRPr="00981D5B">
        <w:rPr>
          <w:rFonts w:eastAsia="Calibri" w:cs="Times New Roman"/>
          <w:sz w:val="24"/>
          <w:szCs w:val="24"/>
          <w:lang w:eastAsia="lv-LV"/>
        </w:rPr>
        <w:t>tai skaitā</w:t>
      </w:r>
      <w:r>
        <w:rPr>
          <w:rFonts w:eastAsia="Calibri" w:cs="Times New Roman"/>
          <w:sz w:val="24"/>
          <w:szCs w:val="24"/>
          <w:lang w:eastAsia="lv-LV"/>
        </w:rPr>
        <w:t xml:space="preserve"> </w:t>
      </w:r>
      <w:r w:rsidRPr="00BE595C">
        <w:rPr>
          <w:rFonts w:eastAsia="Calibri" w:cs="Times New Roman"/>
          <w:sz w:val="24"/>
          <w:szCs w:val="24"/>
          <w:lang w:eastAsia="lv-LV"/>
        </w:rPr>
        <w:t xml:space="preserve">Kohēzijas fonda finansējuma apjoms ir </w:t>
      </w:r>
      <w:r w:rsidR="00D029F7" w:rsidRPr="00D029F7">
        <w:rPr>
          <w:rFonts w:eastAsia="Calibri" w:cs="Times New Roman"/>
          <w:sz w:val="24"/>
          <w:szCs w:val="24"/>
          <w:lang w:eastAsia="lv-LV"/>
        </w:rPr>
        <w:t>107</w:t>
      </w:r>
      <w:r w:rsidR="00D029F7">
        <w:rPr>
          <w:rFonts w:eastAsia="Calibri" w:cs="Times New Roman"/>
          <w:sz w:val="24"/>
          <w:szCs w:val="24"/>
          <w:lang w:eastAsia="lv-LV"/>
        </w:rPr>
        <w:t> </w:t>
      </w:r>
      <w:r w:rsidR="00D029F7" w:rsidRPr="00D029F7">
        <w:rPr>
          <w:rFonts w:eastAsia="Calibri" w:cs="Times New Roman"/>
          <w:sz w:val="24"/>
          <w:szCs w:val="24"/>
          <w:lang w:eastAsia="lv-LV"/>
        </w:rPr>
        <w:t>288</w:t>
      </w:r>
      <w:r w:rsidR="00D029F7">
        <w:rPr>
          <w:rFonts w:eastAsia="Calibri" w:cs="Times New Roman"/>
          <w:sz w:val="24"/>
          <w:szCs w:val="24"/>
          <w:lang w:eastAsia="lv-LV"/>
        </w:rPr>
        <w:t xml:space="preserve"> </w:t>
      </w:r>
      <w:r w:rsidR="000E083D" w:rsidRPr="00D029F7">
        <w:rPr>
          <w:rFonts w:eastAsia="Calibri" w:cs="Times New Roman"/>
          <w:sz w:val="24"/>
          <w:szCs w:val="24"/>
          <w:lang w:eastAsia="lv-LV"/>
        </w:rPr>
        <w:t>01</w:t>
      </w:r>
      <w:r w:rsidR="000E083D">
        <w:rPr>
          <w:rFonts w:eastAsia="Calibri" w:cs="Times New Roman"/>
          <w:sz w:val="24"/>
          <w:szCs w:val="24"/>
          <w:lang w:eastAsia="lv-LV"/>
        </w:rPr>
        <w:t>8</w:t>
      </w:r>
      <w:r w:rsidR="000E083D" w:rsidRPr="006A5258">
        <w:rPr>
          <w:rFonts w:eastAsia="Calibri" w:cs="Times New Roman"/>
          <w:sz w:val="24"/>
          <w:szCs w:val="24"/>
          <w:lang w:eastAsia="lv-LV"/>
        </w:rPr>
        <w:t xml:space="preserve"> </w:t>
      </w:r>
      <w:r w:rsidRPr="0059007F">
        <w:rPr>
          <w:rFonts w:eastAsia="Calibri" w:cs="Times New Roman"/>
          <w:i/>
          <w:sz w:val="24"/>
          <w:szCs w:val="24"/>
          <w:lang w:eastAsia="lv-LV"/>
        </w:rPr>
        <w:t>euro</w:t>
      </w:r>
      <w:r>
        <w:rPr>
          <w:rFonts w:eastAsia="Calibri" w:cs="Times New Roman"/>
          <w:sz w:val="24"/>
          <w:szCs w:val="24"/>
          <w:lang w:eastAsia="lv-LV"/>
        </w:rPr>
        <w:t xml:space="preserve"> un </w:t>
      </w:r>
      <w:r w:rsidR="00FA7E97">
        <w:rPr>
          <w:rFonts w:eastAsia="Calibri" w:cs="Times New Roman"/>
          <w:sz w:val="24"/>
          <w:szCs w:val="24"/>
          <w:lang w:eastAsia="lv-LV"/>
        </w:rPr>
        <w:t xml:space="preserve">privātais </w:t>
      </w:r>
      <w:r>
        <w:rPr>
          <w:rFonts w:eastAsia="Calibri" w:cs="Times New Roman"/>
          <w:sz w:val="24"/>
          <w:szCs w:val="24"/>
          <w:lang w:eastAsia="lv-LV"/>
        </w:rPr>
        <w:t xml:space="preserve">finansējums </w:t>
      </w:r>
      <w:r w:rsidRPr="00910689">
        <w:rPr>
          <w:rFonts w:eastAsia="Calibri" w:cs="Times New Roman"/>
          <w:sz w:val="24"/>
          <w:szCs w:val="24"/>
          <w:lang w:eastAsia="lv-LV"/>
        </w:rPr>
        <w:t>vismaz</w:t>
      </w:r>
      <w:r>
        <w:rPr>
          <w:rFonts w:eastAsia="Calibri" w:cs="Times New Roman"/>
          <w:sz w:val="24"/>
          <w:szCs w:val="24"/>
          <w:lang w:eastAsia="lv-LV"/>
        </w:rPr>
        <w:t xml:space="preserve"> </w:t>
      </w:r>
      <w:r w:rsidR="00533A79" w:rsidRPr="0076453B">
        <w:rPr>
          <w:rFonts w:eastAsia="Calibri" w:cs="Times New Roman"/>
          <w:sz w:val="24"/>
          <w:szCs w:val="24"/>
          <w:lang w:eastAsia="lv-LV"/>
        </w:rPr>
        <w:t>18 933 179</w:t>
      </w:r>
      <w:r>
        <w:rPr>
          <w:rFonts w:eastAsia="Calibri" w:cs="Times New Roman"/>
          <w:sz w:val="24"/>
          <w:szCs w:val="24"/>
          <w:lang w:eastAsia="lv-LV"/>
        </w:rPr>
        <w:t xml:space="preserve"> </w:t>
      </w:r>
      <w:r w:rsidRPr="0059007F">
        <w:rPr>
          <w:rFonts w:eastAsia="Calibri" w:cs="Times New Roman"/>
          <w:i/>
          <w:sz w:val="24"/>
          <w:szCs w:val="24"/>
          <w:lang w:eastAsia="lv-LV"/>
        </w:rPr>
        <w:t>euro</w:t>
      </w:r>
      <w:r>
        <w:rPr>
          <w:rFonts w:eastAsia="Calibri" w:cs="Times New Roman"/>
          <w:sz w:val="24"/>
          <w:szCs w:val="24"/>
          <w:lang w:eastAsia="lv-LV"/>
        </w:rPr>
        <w:t>.</w:t>
      </w:r>
      <w:r w:rsidRPr="006A5258">
        <w:rPr>
          <w:rFonts w:eastAsia="Calibri" w:cs="Times New Roman"/>
          <w:sz w:val="24"/>
          <w:szCs w:val="24"/>
          <w:lang w:eastAsia="lv-LV"/>
        </w:rPr>
        <w:t xml:space="preserve"> </w:t>
      </w:r>
    </w:p>
    <w:p w14:paraId="729B94EB" w14:textId="52BB0A76" w:rsidR="00BE595C" w:rsidRDefault="00C67005" w:rsidP="00BE595C">
      <w:pPr>
        <w:numPr>
          <w:ilvl w:val="0"/>
          <w:numId w:val="1"/>
        </w:numPr>
        <w:spacing w:before="120" w:after="0"/>
        <w:ind w:left="357" w:hanging="357"/>
        <w:jc w:val="both"/>
        <w:outlineLvl w:val="0"/>
        <w:rPr>
          <w:rFonts w:eastAsia="Calibri" w:cs="Times New Roman"/>
          <w:sz w:val="24"/>
          <w:szCs w:val="24"/>
          <w:lang w:eastAsia="lv-LV"/>
        </w:rPr>
      </w:pPr>
      <w:r w:rsidRPr="00C67005">
        <w:rPr>
          <w:rFonts w:eastAsia="Calibri" w:cs="Times New Roman"/>
          <w:sz w:val="24"/>
          <w:szCs w:val="24"/>
          <w:lang w:eastAsia="lv-LV"/>
        </w:rPr>
        <w:t>Kohēzijas fonda finansējuma intensitāte</w:t>
      </w:r>
      <w:r w:rsidR="000639ED">
        <w:rPr>
          <w:rFonts w:eastAsia="Calibri" w:cs="Times New Roman"/>
          <w:sz w:val="24"/>
          <w:szCs w:val="24"/>
          <w:lang w:eastAsia="lv-LV"/>
        </w:rPr>
        <w:t>s</w:t>
      </w:r>
      <w:r w:rsidRPr="00C67005">
        <w:rPr>
          <w:rFonts w:eastAsia="Calibri" w:cs="Times New Roman"/>
          <w:sz w:val="24"/>
          <w:szCs w:val="24"/>
          <w:lang w:eastAsia="lv-LV"/>
        </w:rPr>
        <w:t xml:space="preserve"> </w:t>
      </w:r>
      <w:r w:rsidR="000639ED" w:rsidRPr="000639ED">
        <w:rPr>
          <w:rFonts w:eastAsia="Calibri" w:cs="Times New Roman"/>
          <w:sz w:val="24"/>
          <w:szCs w:val="24"/>
          <w:lang w:eastAsia="lv-LV"/>
        </w:rPr>
        <w:t>apmērs ir</w:t>
      </w:r>
      <w:r w:rsidRPr="00C67005">
        <w:rPr>
          <w:rFonts w:eastAsia="Calibri" w:cs="Times New Roman"/>
          <w:sz w:val="24"/>
          <w:szCs w:val="24"/>
          <w:lang w:eastAsia="lv-LV"/>
        </w:rPr>
        <w:t xml:space="preserve"> 85</w:t>
      </w:r>
      <w:r w:rsidR="008B756C">
        <w:rPr>
          <w:rFonts w:eastAsia="Calibri" w:cs="Times New Roman"/>
          <w:sz w:val="24"/>
          <w:szCs w:val="24"/>
          <w:lang w:eastAsia="lv-LV"/>
        </w:rPr>
        <w:t>%</w:t>
      </w:r>
      <w:r w:rsidRPr="00C67005">
        <w:rPr>
          <w:rFonts w:eastAsia="Calibri" w:cs="Times New Roman"/>
          <w:sz w:val="24"/>
          <w:szCs w:val="24"/>
          <w:lang w:eastAsia="lv-LV"/>
        </w:rPr>
        <w:t xml:space="preserve"> no projekta kopējām attiecināmajām izmaksām.</w:t>
      </w:r>
    </w:p>
    <w:p w14:paraId="05A0E39F" w14:textId="77777777" w:rsidR="00FA714C" w:rsidRPr="00FA714C" w:rsidRDefault="00FA714C" w:rsidP="008A6AB4">
      <w:pPr>
        <w:spacing w:before="120" w:after="120"/>
        <w:jc w:val="center"/>
        <w:rPr>
          <w:rFonts w:eastAsia="Calibri" w:cs="Times New Roman"/>
          <w:b/>
          <w:bCs/>
          <w:sz w:val="25"/>
          <w:szCs w:val="25"/>
        </w:rPr>
      </w:pPr>
      <w:r w:rsidRPr="00EF5D9F">
        <w:rPr>
          <w:rFonts w:eastAsia="Calibri" w:cs="Times New Roman"/>
          <w:b/>
          <w:bCs/>
          <w:sz w:val="25"/>
          <w:szCs w:val="25"/>
        </w:rPr>
        <w:t>II. Prasības projekta iesniedzējam</w:t>
      </w:r>
    </w:p>
    <w:p w14:paraId="0848FFE4" w14:textId="67A95CF0" w:rsidR="003707F2" w:rsidRDefault="00191491" w:rsidP="009A3017">
      <w:pPr>
        <w:numPr>
          <w:ilvl w:val="0"/>
          <w:numId w:val="1"/>
        </w:numPr>
        <w:spacing w:before="120" w:after="0"/>
        <w:ind w:left="357" w:hanging="357"/>
        <w:jc w:val="both"/>
        <w:outlineLvl w:val="0"/>
        <w:rPr>
          <w:rFonts w:eastAsia="Calibri" w:cs="Times New Roman"/>
          <w:sz w:val="24"/>
          <w:szCs w:val="24"/>
          <w:lang w:eastAsia="lv-LV"/>
        </w:rPr>
      </w:pPr>
      <w:r w:rsidRPr="00FA714C">
        <w:rPr>
          <w:rFonts w:eastAsia="Calibri" w:cs="Times New Roman"/>
          <w:sz w:val="24"/>
          <w:szCs w:val="24"/>
          <w:lang w:eastAsia="lv-LV"/>
        </w:rPr>
        <w:t xml:space="preserve">Projekta iesniedzējs ir </w:t>
      </w:r>
      <w:r w:rsidR="00673966" w:rsidRPr="00673966">
        <w:rPr>
          <w:rFonts w:eastAsia="Calibri" w:cs="Times New Roman"/>
          <w:sz w:val="24"/>
          <w:szCs w:val="24"/>
          <w:lang w:eastAsia="lv-LV"/>
        </w:rPr>
        <w:t>Valsts akciju sabiedrība “Latvijas dzelzceļš”</w:t>
      </w:r>
      <w:r w:rsidR="003707F2" w:rsidRPr="00FA714C">
        <w:rPr>
          <w:rFonts w:eastAsia="Calibri" w:cs="Times New Roman"/>
          <w:sz w:val="24"/>
          <w:szCs w:val="24"/>
          <w:lang w:eastAsia="lv-LV"/>
        </w:rPr>
        <w:t>.</w:t>
      </w:r>
    </w:p>
    <w:p w14:paraId="5D35F1AA" w14:textId="77777777" w:rsidR="00E722FA" w:rsidRDefault="00191491" w:rsidP="00E722FA">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Projekta iesniedzējs</w:t>
      </w:r>
      <w:r w:rsidR="00532345" w:rsidRPr="00FE13CA">
        <w:rPr>
          <w:rFonts w:eastAsia="Calibri" w:cs="Times New Roman"/>
          <w:sz w:val="24"/>
          <w:szCs w:val="24"/>
          <w:lang w:eastAsia="lv-LV"/>
        </w:rPr>
        <w:t xml:space="preserve">, kas pēc </w:t>
      </w:r>
      <w:r w:rsidR="00D417A6" w:rsidRPr="00FE13CA">
        <w:rPr>
          <w:rFonts w:eastAsia="Calibri" w:cs="Times New Roman"/>
          <w:sz w:val="24"/>
          <w:szCs w:val="24"/>
          <w:lang w:eastAsia="lv-LV"/>
        </w:rPr>
        <w:t>projekta</w:t>
      </w:r>
      <w:r w:rsidR="00436585">
        <w:rPr>
          <w:rFonts w:eastAsia="Calibri" w:cs="Times New Roman"/>
          <w:sz w:val="24"/>
          <w:szCs w:val="24"/>
          <w:lang w:eastAsia="lv-LV"/>
        </w:rPr>
        <w:t xml:space="preserve"> iesnieguma</w:t>
      </w:r>
      <w:r w:rsidR="00D417A6" w:rsidRPr="00FE13CA">
        <w:rPr>
          <w:rFonts w:eastAsia="Calibri" w:cs="Times New Roman"/>
          <w:sz w:val="24"/>
          <w:szCs w:val="24"/>
          <w:lang w:eastAsia="lv-LV"/>
        </w:rPr>
        <w:t xml:space="preserve"> apstiprināšanas</w:t>
      </w:r>
      <w:r w:rsidR="00532345" w:rsidRPr="00FE13CA">
        <w:rPr>
          <w:rFonts w:eastAsia="Calibri" w:cs="Times New Roman"/>
          <w:sz w:val="24"/>
          <w:szCs w:val="24"/>
          <w:lang w:eastAsia="lv-LV"/>
        </w:rPr>
        <w:t xml:space="preserve"> ir arī finansējuma saņēmējs (turpmāk – finansējuma saņēmējs),</w:t>
      </w:r>
      <w:r w:rsidRPr="00FE13CA">
        <w:rPr>
          <w:rFonts w:eastAsia="Calibri" w:cs="Times New Roman"/>
          <w:sz w:val="24"/>
          <w:szCs w:val="24"/>
          <w:lang w:eastAsia="lv-LV"/>
        </w:rPr>
        <w:t xml:space="preserve"> sagatavo un iesniedz sadarbības iestādei projekta iesniegumu saskaņā ar projekta iesnieguma atlases nolikuma prasībām</w:t>
      </w:r>
      <w:r w:rsidR="00BB50FA" w:rsidRPr="00FE13CA">
        <w:rPr>
          <w:rFonts w:eastAsia="Calibri" w:cs="Times New Roman"/>
          <w:sz w:val="24"/>
          <w:szCs w:val="24"/>
          <w:lang w:eastAsia="lv-LV"/>
        </w:rPr>
        <w:t>, pievienojot</w:t>
      </w:r>
      <w:r w:rsidR="00E722FA">
        <w:rPr>
          <w:rFonts w:eastAsia="Calibri" w:cs="Times New Roman"/>
          <w:sz w:val="24"/>
          <w:szCs w:val="24"/>
          <w:lang w:eastAsia="lv-LV"/>
        </w:rPr>
        <w:t xml:space="preserve"> šādu informāciju:</w:t>
      </w:r>
    </w:p>
    <w:p w14:paraId="15674D5E" w14:textId="294A3AE6" w:rsidR="00191491" w:rsidRDefault="00C270FF" w:rsidP="00E722FA">
      <w:pPr>
        <w:numPr>
          <w:ilvl w:val="1"/>
          <w:numId w:val="1"/>
        </w:numPr>
        <w:tabs>
          <w:tab w:val="left" w:pos="993"/>
        </w:tabs>
        <w:spacing w:before="120" w:after="120"/>
        <w:jc w:val="both"/>
        <w:outlineLvl w:val="0"/>
        <w:rPr>
          <w:rFonts w:eastAsia="Calibri" w:cs="Times New Roman"/>
          <w:sz w:val="24"/>
          <w:szCs w:val="24"/>
          <w:lang w:eastAsia="lv-LV"/>
        </w:rPr>
      </w:pPr>
      <w:r w:rsidRPr="00FE13CA">
        <w:rPr>
          <w:rFonts w:eastAsia="Calibri" w:cs="Times New Roman"/>
          <w:sz w:val="24"/>
          <w:szCs w:val="24"/>
          <w:lang w:eastAsia="lv-LV"/>
        </w:rPr>
        <w:t>projektam veikto izmaksu un ieguvumu analīzi</w:t>
      </w:r>
      <w:r w:rsidR="008A6AB4">
        <w:rPr>
          <w:rFonts w:eastAsia="Calibri" w:cs="Times New Roman"/>
          <w:sz w:val="24"/>
          <w:szCs w:val="24"/>
          <w:lang w:eastAsia="lv-LV"/>
        </w:rPr>
        <w:t>;</w:t>
      </w:r>
    </w:p>
    <w:p w14:paraId="0AC4537C" w14:textId="47B6B600" w:rsidR="00E722FA" w:rsidRPr="00FE13CA" w:rsidRDefault="00E722FA" w:rsidP="008A6AB4">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Pr>
          <w:rFonts w:eastAsia="Calibri" w:cs="Times New Roman"/>
          <w:sz w:val="24"/>
          <w:szCs w:val="24"/>
          <w:lang w:eastAsia="lv-LV"/>
        </w:rPr>
        <w:t>a</w:t>
      </w:r>
      <w:r w:rsidRPr="00E722FA">
        <w:rPr>
          <w:rFonts w:eastAsia="Calibri" w:cs="Times New Roman"/>
          <w:sz w:val="24"/>
          <w:szCs w:val="24"/>
          <w:lang w:eastAsia="lv-LV"/>
        </w:rPr>
        <w:t>pliecinājumu</w:t>
      </w:r>
      <w:r>
        <w:rPr>
          <w:rFonts w:eastAsia="Calibri" w:cs="Times New Roman"/>
          <w:sz w:val="24"/>
          <w:szCs w:val="24"/>
          <w:lang w:eastAsia="lv-LV"/>
        </w:rPr>
        <w:t xml:space="preserve">, </w:t>
      </w:r>
      <w:r w:rsidRPr="00E722FA">
        <w:rPr>
          <w:rFonts w:eastAsia="Calibri" w:cs="Times New Roman"/>
          <w:sz w:val="24"/>
          <w:szCs w:val="24"/>
          <w:lang w:eastAsia="lv-LV"/>
        </w:rPr>
        <w:t>ka pēc projekta īstenošanas projekta ietvaros radītā infrastruktūra būs vienlīdzīgi un bez diskriminācijas pieejama visiem potenciālajiem lietotājiem un par piekļuvi šai infrastruktūrai tiks noteikta adekvāta samaksa.</w:t>
      </w:r>
    </w:p>
    <w:p w14:paraId="152A4950" w14:textId="77777777" w:rsidR="00B521EC" w:rsidRPr="00FE13CA" w:rsidRDefault="002C300C" w:rsidP="008A6AB4">
      <w:pPr>
        <w:spacing w:before="120" w:after="120"/>
        <w:jc w:val="center"/>
        <w:rPr>
          <w:rFonts w:eastAsia="Calibri" w:cs="Times New Roman"/>
          <w:b/>
          <w:bCs/>
          <w:sz w:val="25"/>
          <w:szCs w:val="25"/>
        </w:rPr>
      </w:pPr>
      <w:r w:rsidRPr="00FE13CA">
        <w:rPr>
          <w:rFonts w:eastAsia="Calibri" w:cs="Times New Roman"/>
          <w:b/>
          <w:bCs/>
          <w:sz w:val="25"/>
          <w:szCs w:val="25"/>
        </w:rPr>
        <w:t>III</w:t>
      </w:r>
      <w:r w:rsidR="00413468" w:rsidRPr="00FE13CA">
        <w:rPr>
          <w:rFonts w:eastAsia="Calibri" w:cs="Times New Roman"/>
          <w:b/>
          <w:bCs/>
          <w:sz w:val="25"/>
          <w:szCs w:val="25"/>
        </w:rPr>
        <w:t>. Atbalstāmās darbības un izmaksas</w:t>
      </w:r>
      <w:r w:rsidR="00B521EC" w:rsidRPr="00FE13CA">
        <w:rPr>
          <w:rFonts w:eastAsia="Calibri" w:cs="Times New Roman"/>
          <w:b/>
          <w:bCs/>
          <w:sz w:val="25"/>
          <w:szCs w:val="25"/>
        </w:rPr>
        <w:t xml:space="preserve"> </w:t>
      </w:r>
    </w:p>
    <w:p w14:paraId="78536EB6" w14:textId="77777777" w:rsidR="001353C5" w:rsidRDefault="001353C5" w:rsidP="001353C5">
      <w:pPr>
        <w:numPr>
          <w:ilvl w:val="0"/>
          <w:numId w:val="1"/>
        </w:numPr>
        <w:tabs>
          <w:tab w:val="left" w:pos="426"/>
        </w:tabs>
        <w:spacing w:before="120" w:after="0"/>
        <w:ind w:left="426" w:hanging="426"/>
        <w:jc w:val="both"/>
        <w:outlineLvl w:val="0"/>
        <w:rPr>
          <w:rFonts w:eastAsia="Calibri" w:cs="Times New Roman"/>
          <w:bCs/>
          <w:sz w:val="24"/>
          <w:szCs w:val="24"/>
          <w:lang w:eastAsia="lv-LV"/>
        </w:rPr>
      </w:pPr>
      <w:r>
        <w:rPr>
          <w:rFonts w:eastAsia="Calibri" w:cs="Times New Roman"/>
          <w:sz w:val="24"/>
          <w:szCs w:val="24"/>
          <w:lang w:eastAsia="lv-LV"/>
        </w:rPr>
        <w:t>Pasākuma</w:t>
      </w:r>
      <w:r w:rsidRPr="00297564">
        <w:rPr>
          <w:rFonts w:eastAsia="Calibri" w:cs="Times New Roman"/>
          <w:sz w:val="24"/>
          <w:szCs w:val="24"/>
          <w:lang w:eastAsia="lv-LV"/>
        </w:rPr>
        <w:t xml:space="preserve"> ietvaros atbalstāmas darbības ir</w:t>
      </w:r>
      <w:r w:rsidRPr="00297564">
        <w:rPr>
          <w:rFonts w:ascii="Arial" w:hAnsi="Arial" w:cs="Arial"/>
          <w:bCs/>
        </w:rPr>
        <w:t xml:space="preserve"> </w:t>
      </w:r>
      <w:r w:rsidRPr="00F607D4">
        <w:rPr>
          <w:rFonts w:eastAsia="Calibri" w:cs="Times New Roman"/>
          <w:bCs/>
          <w:sz w:val="24"/>
          <w:szCs w:val="24"/>
          <w:lang w:eastAsia="lv-LV"/>
        </w:rPr>
        <w:t>Eiropas transporta tīklā</w:t>
      </w:r>
      <w:r w:rsidRPr="00F607D4">
        <w:rPr>
          <w:rFonts w:ascii="Arial" w:hAnsi="Arial" w:cs="Arial"/>
          <w:bCs/>
        </w:rPr>
        <w:t xml:space="preserve"> </w:t>
      </w:r>
      <w:r w:rsidRPr="00E83966">
        <w:rPr>
          <w:rFonts w:eastAsia="Calibri" w:cs="Times New Roman"/>
          <w:bCs/>
          <w:sz w:val="24"/>
          <w:szCs w:val="24"/>
          <w:lang w:eastAsia="lv-LV"/>
        </w:rPr>
        <w:t>esoš</w:t>
      </w:r>
      <w:r>
        <w:rPr>
          <w:rFonts w:eastAsia="Calibri" w:cs="Times New Roman"/>
          <w:bCs/>
          <w:sz w:val="24"/>
          <w:szCs w:val="24"/>
          <w:lang w:eastAsia="lv-LV"/>
        </w:rPr>
        <w:t>a</w:t>
      </w:r>
      <w:r w:rsidRPr="00E83966">
        <w:rPr>
          <w:rFonts w:eastAsia="Calibri" w:cs="Times New Roman"/>
          <w:bCs/>
          <w:sz w:val="24"/>
          <w:szCs w:val="24"/>
          <w:lang w:eastAsia="lv-LV"/>
        </w:rPr>
        <w:t>s dzelzceļa infrastruktūras modernizācija un jaunas izveide</w:t>
      </w:r>
      <w:r>
        <w:rPr>
          <w:rFonts w:eastAsia="Calibri" w:cs="Times New Roman"/>
          <w:bCs/>
          <w:sz w:val="24"/>
          <w:szCs w:val="24"/>
          <w:lang w:eastAsia="lv-LV"/>
        </w:rPr>
        <w:t>:</w:t>
      </w:r>
      <w:r w:rsidRPr="00E83966">
        <w:rPr>
          <w:rFonts w:eastAsia="Calibri" w:cs="Times New Roman"/>
          <w:bCs/>
          <w:sz w:val="24"/>
          <w:szCs w:val="24"/>
          <w:lang w:eastAsia="lv-LV"/>
        </w:rPr>
        <w:t xml:space="preserve"> </w:t>
      </w:r>
    </w:p>
    <w:p w14:paraId="33CB441D" w14:textId="77777777" w:rsidR="001353C5" w:rsidRPr="00E722FA" w:rsidRDefault="001353C5" w:rsidP="00E722FA">
      <w:pPr>
        <w:numPr>
          <w:ilvl w:val="1"/>
          <w:numId w:val="1"/>
        </w:numPr>
        <w:tabs>
          <w:tab w:val="left" w:pos="993"/>
        </w:tabs>
        <w:spacing w:before="120" w:after="120"/>
        <w:jc w:val="both"/>
        <w:outlineLvl w:val="0"/>
        <w:rPr>
          <w:rFonts w:eastAsia="Calibri" w:cs="Times New Roman"/>
          <w:sz w:val="24"/>
          <w:szCs w:val="24"/>
          <w:lang w:eastAsia="lv-LV"/>
        </w:rPr>
      </w:pPr>
      <w:r w:rsidRPr="00E722FA">
        <w:rPr>
          <w:rFonts w:eastAsia="Calibri" w:cs="Times New Roman"/>
          <w:sz w:val="24"/>
          <w:szCs w:val="24"/>
          <w:lang w:eastAsia="lv-LV"/>
        </w:rPr>
        <w:t>nozīmīgāko dzelzceļa mezglu pārbūve un atjaunošana;</w:t>
      </w:r>
    </w:p>
    <w:p w14:paraId="1800DA17" w14:textId="77777777" w:rsidR="001353C5" w:rsidRPr="00E722FA" w:rsidRDefault="001353C5" w:rsidP="00E722FA">
      <w:pPr>
        <w:numPr>
          <w:ilvl w:val="1"/>
          <w:numId w:val="1"/>
        </w:numPr>
        <w:tabs>
          <w:tab w:val="left" w:pos="993"/>
        </w:tabs>
        <w:spacing w:before="120" w:after="120"/>
        <w:jc w:val="both"/>
        <w:outlineLvl w:val="0"/>
        <w:rPr>
          <w:rFonts w:eastAsia="Calibri" w:cs="Times New Roman"/>
          <w:sz w:val="24"/>
          <w:szCs w:val="24"/>
          <w:lang w:eastAsia="lv-LV"/>
        </w:rPr>
      </w:pPr>
      <w:r w:rsidRPr="00E722FA">
        <w:rPr>
          <w:rFonts w:eastAsia="Calibri" w:cs="Times New Roman"/>
          <w:sz w:val="24"/>
          <w:szCs w:val="24"/>
          <w:lang w:eastAsia="lv-LV"/>
        </w:rPr>
        <w:t>vienotas satiksmes vadības sistēmu ieviešana;</w:t>
      </w:r>
    </w:p>
    <w:p w14:paraId="73BB57C1" w14:textId="77777777" w:rsidR="001353C5" w:rsidRPr="00E722FA" w:rsidRDefault="001353C5" w:rsidP="00E722FA">
      <w:pPr>
        <w:numPr>
          <w:ilvl w:val="1"/>
          <w:numId w:val="1"/>
        </w:numPr>
        <w:tabs>
          <w:tab w:val="left" w:pos="993"/>
        </w:tabs>
        <w:spacing w:before="120" w:after="120"/>
        <w:jc w:val="both"/>
        <w:outlineLvl w:val="0"/>
        <w:rPr>
          <w:rFonts w:eastAsia="Calibri" w:cs="Times New Roman"/>
          <w:sz w:val="24"/>
          <w:szCs w:val="24"/>
          <w:lang w:eastAsia="lv-LV"/>
        </w:rPr>
      </w:pPr>
      <w:r w:rsidRPr="00E722FA">
        <w:rPr>
          <w:rFonts w:eastAsia="Calibri" w:cs="Times New Roman"/>
          <w:sz w:val="24"/>
          <w:szCs w:val="24"/>
          <w:lang w:eastAsia="lv-LV"/>
        </w:rPr>
        <w:t>dzelzceļa pasažieru infrastruktūras modernizācija;</w:t>
      </w:r>
    </w:p>
    <w:p w14:paraId="7522782D" w14:textId="77777777" w:rsidR="001353C5" w:rsidRPr="00E722FA" w:rsidRDefault="001353C5" w:rsidP="00E722FA">
      <w:pPr>
        <w:numPr>
          <w:ilvl w:val="1"/>
          <w:numId w:val="1"/>
        </w:numPr>
        <w:tabs>
          <w:tab w:val="left" w:pos="993"/>
        </w:tabs>
        <w:spacing w:before="120" w:after="120"/>
        <w:jc w:val="both"/>
        <w:outlineLvl w:val="0"/>
        <w:rPr>
          <w:rFonts w:eastAsia="Calibri" w:cs="Times New Roman"/>
          <w:sz w:val="24"/>
          <w:szCs w:val="24"/>
          <w:lang w:eastAsia="lv-LV"/>
        </w:rPr>
      </w:pPr>
      <w:r w:rsidRPr="00E722FA">
        <w:rPr>
          <w:rFonts w:eastAsia="Calibri" w:cs="Times New Roman"/>
          <w:sz w:val="24"/>
          <w:szCs w:val="24"/>
          <w:lang w:eastAsia="lv-LV"/>
        </w:rPr>
        <w:t>dzelzceļa signalizācijas sistēmu modernizācija.</w:t>
      </w:r>
    </w:p>
    <w:p w14:paraId="6BDE6EF5" w14:textId="155DB67E" w:rsidR="002C78BF" w:rsidRPr="002C78BF" w:rsidRDefault="00E54C80" w:rsidP="00E54C80">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E54C80">
        <w:rPr>
          <w:rFonts w:eastAsia="Calibri" w:cs="Times New Roman"/>
          <w:sz w:val="24"/>
          <w:szCs w:val="24"/>
          <w:lang w:eastAsia="lv-LV"/>
        </w:rPr>
        <w:t xml:space="preserve">Šo noteikumu </w:t>
      </w:r>
      <w:r w:rsidR="00647993">
        <w:rPr>
          <w:rFonts w:eastAsia="Calibri" w:cs="Times New Roman"/>
          <w:sz w:val="24"/>
          <w:szCs w:val="24"/>
          <w:lang w:eastAsia="lv-LV"/>
        </w:rPr>
        <w:t>11</w:t>
      </w:r>
      <w:r>
        <w:rPr>
          <w:rFonts w:eastAsia="Calibri" w:cs="Times New Roman"/>
          <w:sz w:val="24"/>
          <w:szCs w:val="24"/>
          <w:lang w:eastAsia="lv-LV"/>
        </w:rPr>
        <w:t xml:space="preserve">. </w:t>
      </w:r>
      <w:r w:rsidRPr="00E54C80">
        <w:rPr>
          <w:rFonts w:eastAsia="Calibri" w:cs="Times New Roman"/>
          <w:sz w:val="24"/>
          <w:szCs w:val="24"/>
          <w:lang w:eastAsia="lv-LV"/>
        </w:rPr>
        <w:t>punktā minētā</w:t>
      </w:r>
      <w:r>
        <w:rPr>
          <w:rFonts w:eastAsia="Calibri" w:cs="Times New Roman"/>
          <w:sz w:val="24"/>
          <w:szCs w:val="24"/>
          <w:lang w:eastAsia="lv-LV"/>
        </w:rPr>
        <w:t>s</w:t>
      </w:r>
      <w:r w:rsidRPr="00E54C80">
        <w:rPr>
          <w:rFonts w:eastAsia="Calibri" w:cs="Times New Roman"/>
          <w:sz w:val="24"/>
          <w:szCs w:val="24"/>
          <w:lang w:eastAsia="lv-LV"/>
        </w:rPr>
        <w:t xml:space="preserve"> atbalstāmā</w:t>
      </w:r>
      <w:r>
        <w:rPr>
          <w:rFonts w:eastAsia="Calibri" w:cs="Times New Roman"/>
          <w:sz w:val="24"/>
          <w:szCs w:val="24"/>
          <w:lang w:eastAsia="lv-LV"/>
        </w:rPr>
        <w:t>s</w:t>
      </w:r>
      <w:r w:rsidRPr="00E54C80">
        <w:rPr>
          <w:rFonts w:eastAsia="Calibri" w:cs="Times New Roman"/>
          <w:sz w:val="24"/>
          <w:szCs w:val="24"/>
          <w:lang w:eastAsia="lv-LV"/>
        </w:rPr>
        <w:t xml:space="preserve"> darbība</w:t>
      </w:r>
      <w:r>
        <w:rPr>
          <w:rFonts w:eastAsia="Calibri" w:cs="Times New Roman"/>
          <w:sz w:val="24"/>
          <w:szCs w:val="24"/>
          <w:lang w:eastAsia="lv-LV"/>
        </w:rPr>
        <w:t>s</w:t>
      </w:r>
      <w:r w:rsidRPr="00E54C80">
        <w:rPr>
          <w:rFonts w:eastAsia="Calibri" w:cs="Times New Roman"/>
          <w:sz w:val="24"/>
          <w:szCs w:val="24"/>
          <w:lang w:eastAsia="lv-LV"/>
        </w:rPr>
        <w:t xml:space="preserve"> ietver šādas attiecināmo izmaksu pozīcijas:</w:t>
      </w:r>
    </w:p>
    <w:p w14:paraId="65C671C8" w14:textId="5795AF4E" w:rsidR="00BC7230" w:rsidRPr="00CB1A1E" w:rsidRDefault="00BC7230" w:rsidP="00891D9E">
      <w:pPr>
        <w:numPr>
          <w:ilvl w:val="1"/>
          <w:numId w:val="1"/>
        </w:numPr>
        <w:tabs>
          <w:tab w:val="left" w:pos="993"/>
        </w:tabs>
        <w:spacing w:before="120" w:after="120"/>
        <w:jc w:val="both"/>
        <w:outlineLvl w:val="0"/>
        <w:rPr>
          <w:rFonts w:eastAsia="Calibri" w:cs="Times New Roman"/>
          <w:sz w:val="24"/>
          <w:szCs w:val="24"/>
          <w:lang w:eastAsia="lv-LV"/>
        </w:rPr>
      </w:pPr>
      <w:r w:rsidRPr="00CB1A1E">
        <w:rPr>
          <w:rFonts w:eastAsia="Calibri" w:cs="Times New Roman"/>
          <w:sz w:val="24"/>
          <w:szCs w:val="24"/>
          <w:lang w:eastAsia="lv-LV"/>
        </w:rPr>
        <w:t xml:space="preserve">projekta vadības personāla atlīdzības izmaksas, kas radušās uz darba līguma vai uzņēmuma līguma pamata, </w:t>
      </w:r>
      <w:r w:rsidR="00283FDD">
        <w:rPr>
          <w:rFonts w:eastAsia="Calibri" w:cs="Times New Roman"/>
          <w:sz w:val="24"/>
          <w:szCs w:val="24"/>
          <w:lang w:eastAsia="lv-LV"/>
        </w:rPr>
        <w:t>tostarp</w:t>
      </w:r>
      <w:r w:rsidR="00891D9E" w:rsidRPr="00891D9E">
        <w:rPr>
          <w:rFonts w:eastAsia="Calibri" w:cs="Times New Roman"/>
          <w:sz w:val="24"/>
          <w:szCs w:val="24"/>
          <w:lang w:eastAsia="lv-LV"/>
        </w:rPr>
        <w:t xml:space="preserve"> normatīvajos aktos noteiktās piemaksas un nodokļus, ņemot vērā, ka</w:t>
      </w:r>
      <w:r w:rsidR="00891D9E">
        <w:rPr>
          <w:rFonts w:eastAsia="Calibri" w:cs="Times New Roman"/>
          <w:sz w:val="24"/>
          <w:szCs w:val="24"/>
          <w:lang w:eastAsia="lv-LV"/>
        </w:rPr>
        <w:t>:</w:t>
      </w:r>
    </w:p>
    <w:p w14:paraId="0907EC16" w14:textId="505CA765" w:rsidR="00BC7230" w:rsidRPr="00CB1A1E" w:rsidRDefault="00F126B4" w:rsidP="001A24DF">
      <w:pPr>
        <w:autoSpaceDE w:val="0"/>
        <w:autoSpaceDN w:val="0"/>
        <w:adjustRightInd w:val="0"/>
        <w:spacing w:before="120" w:after="120"/>
        <w:ind w:left="992"/>
        <w:jc w:val="both"/>
        <w:rPr>
          <w:i/>
          <w:sz w:val="24"/>
          <w:szCs w:val="24"/>
        </w:rPr>
      </w:pPr>
      <w:r>
        <w:rPr>
          <w:sz w:val="24"/>
          <w:szCs w:val="24"/>
        </w:rPr>
        <w:t>1</w:t>
      </w:r>
      <w:r w:rsidR="00647993">
        <w:rPr>
          <w:sz w:val="24"/>
          <w:szCs w:val="24"/>
        </w:rPr>
        <w:t>2</w:t>
      </w:r>
      <w:r w:rsidR="00BC7230">
        <w:rPr>
          <w:sz w:val="24"/>
          <w:szCs w:val="24"/>
        </w:rPr>
        <w:t xml:space="preserve">.1.1. </w:t>
      </w:r>
      <w:r w:rsidR="00BC7230" w:rsidRPr="00CB1A1E">
        <w:rPr>
          <w:sz w:val="24"/>
          <w:szCs w:val="24"/>
        </w:rPr>
        <w:t xml:space="preserve">tās nepārsniedz 56 580 </w:t>
      </w:r>
      <w:r w:rsidR="00BC7230" w:rsidRPr="00CB1A1E">
        <w:rPr>
          <w:i/>
          <w:sz w:val="24"/>
          <w:szCs w:val="24"/>
        </w:rPr>
        <w:t>euro</w:t>
      </w:r>
      <w:r w:rsidR="00BC7230" w:rsidRPr="00CB1A1E">
        <w:rPr>
          <w:sz w:val="24"/>
          <w:szCs w:val="24"/>
        </w:rPr>
        <w:t xml:space="preserve"> gadā, ja projekta tiešās attiecināmās izmaksas ir vienādas vai lielākas par pieciem miljoniem </w:t>
      </w:r>
      <w:r w:rsidR="00BC7230" w:rsidRPr="00CB1A1E">
        <w:rPr>
          <w:i/>
          <w:sz w:val="24"/>
          <w:szCs w:val="24"/>
        </w:rPr>
        <w:t>euro;</w:t>
      </w:r>
    </w:p>
    <w:p w14:paraId="25AA6027" w14:textId="372AC225" w:rsidR="00BC7230" w:rsidRDefault="00F126B4" w:rsidP="001A24DF">
      <w:pPr>
        <w:pStyle w:val="ListParagraph"/>
        <w:tabs>
          <w:tab w:val="left" w:pos="993"/>
        </w:tabs>
        <w:spacing w:before="120" w:after="120"/>
        <w:ind w:left="992"/>
        <w:contextualSpacing w:val="0"/>
        <w:jc w:val="both"/>
        <w:outlineLvl w:val="0"/>
        <w:rPr>
          <w:rFonts w:eastAsia="Calibri" w:cs="Times New Roman"/>
          <w:sz w:val="24"/>
          <w:szCs w:val="24"/>
          <w:lang w:eastAsia="lv-LV"/>
        </w:rPr>
      </w:pPr>
      <w:r w:rsidRPr="00CB1A1E">
        <w:rPr>
          <w:sz w:val="24"/>
          <w:szCs w:val="24"/>
        </w:rPr>
        <w:t>1</w:t>
      </w:r>
      <w:r w:rsidR="00647993">
        <w:rPr>
          <w:sz w:val="24"/>
          <w:szCs w:val="24"/>
        </w:rPr>
        <w:t>2</w:t>
      </w:r>
      <w:r w:rsidR="00BC7230" w:rsidRPr="00CB1A1E">
        <w:rPr>
          <w:sz w:val="24"/>
          <w:szCs w:val="24"/>
        </w:rPr>
        <w:t>.1.2.</w:t>
      </w:r>
      <w:r w:rsidR="00BC7230">
        <w:rPr>
          <w:sz w:val="24"/>
          <w:szCs w:val="24"/>
        </w:rPr>
        <w:t xml:space="preserve"> </w:t>
      </w:r>
      <w:r w:rsidR="00BC7230" w:rsidRPr="00CB1A1E">
        <w:rPr>
          <w:sz w:val="24"/>
          <w:szCs w:val="24"/>
        </w:rPr>
        <w:t xml:space="preserve">attiecināma ir ne mazāka kā 30% noslodze, personāla iesaisti projektā nodrošinot </w:t>
      </w:r>
      <w:r w:rsidR="00BC7230">
        <w:rPr>
          <w:sz w:val="24"/>
          <w:szCs w:val="24"/>
        </w:rPr>
        <w:t xml:space="preserve"> </w:t>
      </w:r>
      <w:r w:rsidR="00BC7230" w:rsidRPr="00CB1A1E">
        <w:rPr>
          <w:sz w:val="24"/>
          <w:szCs w:val="24"/>
        </w:rPr>
        <w:t>saskaņā ar daļlaika attiecināmības principu, ja izmaksas radušās uz darba līguma pamata.</w:t>
      </w:r>
    </w:p>
    <w:p w14:paraId="4F538D23" w14:textId="100AE40F" w:rsidR="00913545" w:rsidRDefault="00731479" w:rsidP="001A24DF">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sidRPr="00731479">
        <w:rPr>
          <w:rFonts w:eastAsia="Calibri" w:cs="Times New Roman"/>
          <w:sz w:val="24"/>
          <w:szCs w:val="24"/>
          <w:lang w:eastAsia="lv-LV"/>
        </w:rPr>
        <w:t>projekta iesnieguma pamatojošās dokumentācijas sagatavošanas izmaksas</w:t>
      </w:r>
      <w:r w:rsidR="00891D9E">
        <w:rPr>
          <w:rFonts w:eastAsia="Calibri" w:cs="Times New Roman"/>
          <w:sz w:val="24"/>
          <w:szCs w:val="24"/>
          <w:lang w:eastAsia="lv-LV"/>
        </w:rPr>
        <w:t>;</w:t>
      </w:r>
      <w:r w:rsidR="007A25AC" w:rsidRPr="007A25AC">
        <w:rPr>
          <w:rFonts w:ascii="Arial" w:hAnsi="Arial" w:cs="Arial"/>
        </w:rPr>
        <w:t xml:space="preserve"> </w:t>
      </w:r>
    </w:p>
    <w:p w14:paraId="758204EE" w14:textId="64AC2259" w:rsidR="00BC7230" w:rsidRDefault="00BC7230" w:rsidP="001A24DF">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sidRPr="00BC7230">
        <w:rPr>
          <w:rFonts w:eastAsia="Calibri" w:cs="Times New Roman"/>
          <w:sz w:val="24"/>
          <w:szCs w:val="24"/>
          <w:lang w:eastAsia="lv-LV"/>
        </w:rPr>
        <w:t>būvprojekta izstrādes un ar to saistīto būvekspertīžu izmaksas</w:t>
      </w:r>
      <w:r w:rsidRPr="00896AC6">
        <w:rPr>
          <w:rFonts w:eastAsia="Calibri" w:cs="Times New Roman"/>
          <w:sz w:val="24"/>
          <w:szCs w:val="24"/>
          <w:lang w:eastAsia="lv-LV"/>
        </w:rPr>
        <w:t>;</w:t>
      </w:r>
      <w:r w:rsidRPr="00BC7230">
        <w:rPr>
          <w:rFonts w:eastAsia="Calibri" w:cs="Times New Roman"/>
          <w:sz w:val="24"/>
          <w:szCs w:val="24"/>
          <w:lang w:eastAsia="lv-LV"/>
        </w:rPr>
        <w:t xml:space="preserve"> </w:t>
      </w:r>
    </w:p>
    <w:p w14:paraId="0BC06D2E" w14:textId="5E72200D" w:rsidR="00BC7230" w:rsidRPr="00896AC6" w:rsidRDefault="00BC7230" w:rsidP="001A24DF">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sidRPr="00BC7230">
        <w:rPr>
          <w:rFonts w:eastAsia="Calibri" w:cs="Times New Roman"/>
          <w:sz w:val="24"/>
          <w:szCs w:val="24"/>
          <w:lang w:eastAsia="lv-LV"/>
        </w:rPr>
        <w:t>būvuzraudzības un autoruzraudzības izmaksas un attiecīgo būvspeciālistu normatīvajos aktos noteiktās obligātās apdrošināšanas izmaksas;</w:t>
      </w:r>
      <w:r w:rsidRPr="00AC0A17">
        <w:rPr>
          <w:rFonts w:eastAsia="Calibri" w:cs="Times New Roman"/>
          <w:sz w:val="24"/>
          <w:szCs w:val="24"/>
          <w:lang w:eastAsia="lv-LV"/>
        </w:rPr>
        <w:t xml:space="preserve"> </w:t>
      </w:r>
    </w:p>
    <w:p w14:paraId="75C481A5" w14:textId="71AE5C70" w:rsidR="00BC7230" w:rsidRPr="00BC7230" w:rsidRDefault="00971F5D" w:rsidP="001A24DF">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Pr>
          <w:rFonts w:eastAsia="Calibri" w:cs="Times New Roman"/>
          <w:sz w:val="24"/>
          <w:szCs w:val="24"/>
          <w:lang w:eastAsia="lv-LV"/>
        </w:rPr>
        <w:t xml:space="preserve">valsts publiskās lietošanas </w:t>
      </w:r>
      <w:r w:rsidR="00297564" w:rsidRPr="00913545">
        <w:rPr>
          <w:rFonts w:eastAsia="Calibri" w:cs="Times New Roman"/>
          <w:sz w:val="24"/>
          <w:szCs w:val="24"/>
          <w:lang w:eastAsia="lv-LV"/>
        </w:rPr>
        <w:t xml:space="preserve">dzelzceļa infrastruktūras </w:t>
      </w:r>
      <w:r w:rsidR="009A3017" w:rsidRPr="00913545">
        <w:rPr>
          <w:rFonts w:eastAsia="Calibri" w:cs="Times New Roman"/>
          <w:sz w:val="24"/>
          <w:szCs w:val="24"/>
          <w:lang w:eastAsia="lv-LV"/>
        </w:rPr>
        <w:t>būvniecības</w:t>
      </w:r>
      <w:r>
        <w:rPr>
          <w:rFonts w:eastAsia="Calibri" w:cs="Times New Roman"/>
          <w:sz w:val="24"/>
          <w:szCs w:val="24"/>
          <w:lang w:eastAsia="lv-LV"/>
        </w:rPr>
        <w:t>,</w:t>
      </w:r>
      <w:r w:rsidR="00913545" w:rsidRPr="00913545">
        <w:rPr>
          <w:rFonts w:eastAsia="Calibri" w:cs="Times New Roman"/>
          <w:sz w:val="24"/>
          <w:szCs w:val="24"/>
          <w:lang w:eastAsia="lv-LV"/>
        </w:rPr>
        <w:t xml:space="preserve">  </w:t>
      </w:r>
      <w:r w:rsidR="009A3017" w:rsidRPr="00913545">
        <w:rPr>
          <w:rFonts w:eastAsia="Calibri" w:cs="Times New Roman"/>
          <w:sz w:val="24"/>
          <w:szCs w:val="24"/>
          <w:lang w:eastAsia="lv-LV"/>
        </w:rPr>
        <w:t>pārbūves vai atjaunošanas izmaksas</w:t>
      </w:r>
      <w:r w:rsidR="00BC7230" w:rsidRPr="00BC7230">
        <w:rPr>
          <w:rFonts w:eastAsia="Calibri" w:cs="Times New Roman"/>
          <w:sz w:val="24"/>
          <w:szCs w:val="24"/>
          <w:lang w:eastAsia="lv-LV"/>
        </w:rPr>
        <w:t xml:space="preserve">, </w:t>
      </w:r>
      <w:r w:rsidR="00283FDD">
        <w:rPr>
          <w:rFonts w:eastAsia="Calibri" w:cs="Times New Roman"/>
          <w:sz w:val="24"/>
          <w:szCs w:val="24"/>
          <w:lang w:eastAsia="lv-LV"/>
        </w:rPr>
        <w:t>tostarp</w:t>
      </w:r>
      <w:r w:rsidR="00BC7230" w:rsidRPr="00BC7230">
        <w:rPr>
          <w:rFonts w:eastAsia="Calibri" w:cs="Times New Roman"/>
          <w:sz w:val="24"/>
          <w:szCs w:val="24"/>
          <w:lang w:eastAsia="lv-LV"/>
        </w:rPr>
        <w:t>:</w:t>
      </w:r>
    </w:p>
    <w:p w14:paraId="6CD26BB8" w14:textId="491D180B" w:rsidR="00BC7230" w:rsidRDefault="007A6ACB" w:rsidP="001A24DF">
      <w:pPr>
        <w:pStyle w:val="ListParagraph"/>
        <w:tabs>
          <w:tab w:val="left" w:pos="993"/>
        </w:tabs>
        <w:spacing w:before="120" w:after="120"/>
        <w:ind w:left="1701" w:hanging="708"/>
        <w:contextualSpacing w:val="0"/>
        <w:jc w:val="both"/>
        <w:outlineLvl w:val="0"/>
        <w:rPr>
          <w:rFonts w:eastAsia="Calibri" w:cs="Times New Roman"/>
          <w:sz w:val="24"/>
          <w:szCs w:val="24"/>
          <w:lang w:eastAsia="lv-LV"/>
        </w:rPr>
      </w:pPr>
      <w:r>
        <w:rPr>
          <w:rFonts w:eastAsia="Calibri" w:cs="Times New Roman"/>
          <w:sz w:val="24"/>
          <w:szCs w:val="24"/>
          <w:lang w:eastAsia="lv-LV"/>
        </w:rPr>
        <w:t>1</w:t>
      </w:r>
      <w:r w:rsidR="00647993">
        <w:rPr>
          <w:rFonts w:eastAsia="Calibri" w:cs="Times New Roman"/>
          <w:sz w:val="24"/>
          <w:szCs w:val="24"/>
          <w:lang w:eastAsia="lv-LV"/>
        </w:rPr>
        <w:t>2</w:t>
      </w:r>
      <w:r w:rsidR="00BC7230">
        <w:rPr>
          <w:rFonts w:eastAsia="Calibri" w:cs="Times New Roman"/>
          <w:sz w:val="24"/>
          <w:szCs w:val="24"/>
          <w:lang w:eastAsia="lv-LV"/>
        </w:rPr>
        <w:t>.5.</w:t>
      </w:r>
      <w:r w:rsidR="00A41AE0">
        <w:rPr>
          <w:rFonts w:eastAsia="Calibri" w:cs="Times New Roman"/>
          <w:sz w:val="24"/>
          <w:szCs w:val="24"/>
          <w:lang w:eastAsia="lv-LV"/>
        </w:rPr>
        <w:t>1</w:t>
      </w:r>
      <w:r w:rsidR="00BC7230">
        <w:rPr>
          <w:rFonts w:eastAsia="Calibri" w:cs="Times New Roman"/>
          <w:sz w:val="24"/>
          <w:szCs w:val="24"/>
          <w:lang w:eastAsia="lv-LV"/>
        </w:rPr>
        <w:t xml:space="preserve">. </w:t>
      </w:r>
      <w:r w:rsidR="00BC7230" w:rsidRPr="00BC7230">
        <w:rPr>
          <w:rFonts w:eastAsia="Calibri" w:cs="Times New Roman"/>
          <w:sz w:val="24"/>
          <w:szCs w:val="24"/>
          <w:lang w:eastAsia="lv-LV"/>
        </w:rPr>
        <w:t xml:space="preserve">virszemes un pazemes komunikāciju infrastruktūras pārbūve, nepalielinot tās apkalpes jaudu raksturojošos tehniskos parametrus, ja tiek nodrošināts </w:t>
      </w:r>
      <w:r w:rsidR="00337409">
        <w:rPr>
          <w:rFonts w:eastAsia="Calibri" w:cs="Times New Roman"/>
          <w:sz w:val="24"/>
          <w:szCs w:val="24"/>
          <w:lang w:eastAsia="lv-LV"/>
        </w:rPr>
        <w:lastRenderedPageBreak/>
        <w:t xml:space="preserve">neatkarīga eksperta veikts </w:t>
      </w:r>
      <w:r w:rsidR="00BC7230" w:rsidRPr="00337409">
        <w:rPr>
          <w:rFonts w:eastAsia="Calibri" w:cs="Times New Roman"/>
          <w:sz w:val="24"/>
          <w:szCs w:val="24"/>
          <w:lang w:eastAsia="lv-LV"/>
        </w:rPr>
        <w:t>ekspertīzes atzinums</w:t>
      </w:r>
      <w:r w:rsidR="00BC7230" w:rsidRPr="00BC7230">
        <w:rPr>
          <w:rFonts w:eastAsia="Calibri" w:cs="Times New Roman"/>
          <w:sz w:val="24"/>
          <w:szCs w:val="24"/>
          <w:lang w:eastAsia="lv-LV"/>
        </w:rPr>
        <w:t>, kurā konstatēts, ka, veicot projektā plānotās satiksmes pārvadu, tiltu, ielu, ceļu, dzelzceļu un ar to saistītās infrastruktūras būvniecības vai teritorijas labiekārtošanas darbības, nav iespējams izvairīties no minētās infrastruktūras bojāšanas vai pārbūves un ieguldījumi pārbūvē tiek veikti</w:t>
      </w:r>
      <w:r w:rsidR="00283FDD">
        <w:rPr>
          <w:rFonts w:eastAsia="Calibri" w:cs="Times New Roman"/>
          <w:sz w:val="24"/>
          <w:szCs w:val="24"/>
          <w:lang w:eastAsia="lv-LV"/>
        </w:rPr>
        <w:t>,</w:t>
      </w:r>
      <w:r w:rsidR="00BC7230" w:rsidRPr="00BC7230">
        <w:rPr>
          <w:rFonts w:eastAsia="Calibri" w:cs="Times New Roman"/>
          <w:sz w:val="24"/>
          <w:szCs w:val="24"/>
          <w:lang w:eastAsia="lv-LV"/>
        </w:rPr>
        <w:t xml:space="preserve"> nemainot tehniskos parametrus un neradot priekšrocības to īpašniekiem;</w:t>
      </w:r>
    </w:p>
    <w:p w14:paraId="6B8058BD" w14:textId="324A9D44" w:rsidR="00D803CA" w:rsidRDefault="007A6ACB" w:rsidP="001A24DF">
      <w:pPr>
        <w:pStyle w:val="ListParagraph"/>
        <w:tabs>
          <w:tab w:val="left" w:pos="993"/>
        </w:tabs>
        <w:spacing w:before="120" w:after="120"/>
        <w:ind w:left="1636" w:hanging="643"/>
        <w:contextualSpacing w:val="0"/>
        <w:jc w:val="both"/>
        <w:outlineLvl w:val="0"/>
        <w:rPr>
          <w:rFonts w:eastAsia="Calibri" w:cs="Times New Roman"/>
          <w:sz w:val="24"/>
          <w:szCs w:val="24"/>
          <w:lang w:eastAsia="lv-LV"/>
        </w:rPr>
      </w:pPr>
      <w:r>
        <w:rPr>
          <w:rFonts w:eastAsia="Calibri" w:cs="Times New Roman"/>
          <w:sz w:val="24"/>
          <w:szCs w:val="24"/>
          <w:lang w:eastAsia="lv-LV"/>
        </w:rPr>
        <w:t>1</w:t>
      </w:r>
      <w:r w:rsidR="00647993">
        <w:rPr>
          <w:rFonts w:eastAsia="Calibri" w:cs="Times New Roman"/>
          <w:sz w:val="24"/>
          <w:szCs w:val="24"/>
          <w:lang w:eastAsia="lv-LV"/>
        </w:rPr>
        <w:t>2</w:t>
      </w:r>
      <w:r w:rsidR="00BC7230">
        <w:rPr>
          <w:rFonts w:eastAsia="Calibri" w:cs="Times New Roman"/>
          <w:sz w:val="24"/>
          <w:szCs w:val="24"/>
          <w:lang w:eastAsia="lv-LV"/>
        </w:rPr>
        <w:t>.5.</w:t>
      </w:r>
      <w:r w:rsidR="00A41AE0">
        <w:rPr>
          <w:rFonts w:eastAsia="Calibri" w:cs="Times New Roman"/>
          <w:sz w:val="24"/>
          <w:szCs w:val="24"/>
          <w:lang w:eastAsia="lv-LV"/>
        </w:rPr>
        <w:t>2</w:t>
      </w:r>
      <w:r w:rsidR="00BC7230">
        <w:rPr>
          <w:rFonts w:eastAsia="Calibri" w:cs="Times New Roman"/>
          <w:sz w:val="24"/>
          <w:szCs w:val="24"/>
          <w:lang w:eastAsia="lv-LV"/>
        </w:rPr>
        <w:t xml:space="preserve">. </w:t>
      </w:r>
      <w:r w:rsidR="00BC7230" w:rsidRPr="00BC7230">
        <w:rPr>
          <w:rFonts w:eastAsia="Calibri" w:cs="Times New Roman"/>
          <w:sz w:val="24"/>
          <w:szCs w:val="24"/>
          <w:lang w:eastAsia="lv-LV"/>
        </w:rPr>
        <w:t>labiekārtošanas izmaksas atbilstoši būvprojekta risinājumam</w:t>
      </w:r>
      <w:r w:rsidR="00A41AE0" w:rsidRPr="00404B1C">
        <w:rPr>
          <w:rFonts w:eastAsia="Calibri" w:cs="Times New Roman"/>
          <w:sz w:val="24"/>
          <w:szCs w:val="24"/>
          <w:lang w:eastAsia="lv-LV"/>
        </w:rPr>
        <w:t xml:space="preserve"> </w:t>
      </w:r>
      <w:r w:rsidR="00404B1C" w:rsidRPr="00404B1C">
        <w:rPr>
          <w:rFonts w:eastAsia="Calibri" w:cs="Times New Roman"/>
          <w:sz w:val="24"/>
          <w:szCs w:val="24"/>
          <w:lang w:eastAsia="lv-LV"/>
        </w:rPr>
        <w:t>ne vairāk kā 10 procent</w:t>
      </w:r>
      <w:r w:rsidR="00283FDD">
        <w:rPr>
          <w:rFonts w:eastAsia="Calibri" w:cs="Times New Roman"/>
          <w:sz w:val="24"/>
          <w:szCs w:val="24"/>
          <w:lang w:eastAsia="lv-LV"/>
        </w:rPr>
        <w:t>u</w:t>
      </w:r>
      <w:r w:rsidR="00404B1C" w:rsidRPr="00404B1C">
        <w:rPr>
          <w:rFonts w:eastAsia="Calibri" w:cs="Times New Roman"/>
          <w:sz w:val="24"/>
          <w:szCs w:val="24"/>
          <w:lang w:eastAsia="lv-LV"/>
        </w:rPr>
        <w:t xml:space="preserve"> </w:t>
      </w:r>
      <w:r w:rsidR="00283FDD">
        <w:rPr>
          <w:rFonts w:eastAsia="Calibri" w:cs="Times New Roman"/>
          <w:sz w:val="24"/>
          <w:szCs w:val="24"/>
          <w:lang w:eastAsia="lv-LV"/>
        </w:rPr>
        <w:t xml:space="preserve">apmērā </w:t>
      </w:r>
      <w:r w:rsidR="00404B1C" w:rsidRPr="00404B1C">
        <w:rPr>
          <w:rFonts w:eastAsia="Calibri" w:cs="Times New Roman"/>
          <w:sz w:val="24"/>
          <w:szCs w:val="24"/>
          <w:lang w:eastAsia="lv-LV"/>
        </w:rPr>
        <w:t>no būvdarbu izmaksām;</w:t>
      </w:r>
    </w:p>
    <w:p w14:paraId="35D9483E" w14:textId="5FD63F86" w:rsidR="00D803CA" w:rsidRDefault="00D803CA" w:rsidP="001A24DF">
      <w:pPr>
        <w:numPr>
          <w:ilvl w:val="1"/>
          <w:numId w:val="1"/>
        </w:numPr>
        <w:tabs>
          <w:tab w:val="left" w:pos="993"/>
        </w:tabs>
        <w:spacing w:before="120" w:after="120"/>
        <w:jc w:val="both"/>
        <w:outlineLvl w:val="0"/>
        <w:rPr>
          <w:rFonts w:eastAsia="Calibri" w:cs="Times New Roman"/>
          <w:sz w:val="24"/>
          <w:szCs w:val="24"/>
          <w:lang w:eastAsia="lv-LV"/>
        </w:rPr>
      </w:pPr>
      <w:r w:rsidRPr="00D803CA">
        <w:rPr>
          <w:rFonts w:eastAsia="Calibri" w:cs="Times New Roman"/>
          <w:sz w:val="24"/>
          <w:szCs w:val="24"/>
          <w:lang w:eastAsia="lv-LV"/>
        </w:rPr>
        <w:t xml:space="preserve">ar </w:t>
      </w:r>
      <w:r w:rsidR="00303D57">
        <w:rPr>
          <w:rFonts w:eastAsia="Calibri" w:cs="Times New Roman"/>
          <w:sz w:val="24"/>
          <w:szCs w:val="24"/>
          <w:lang w:eastAsia="lv-LV"/>
        </w:rPr>
        <w:t xml:space="preserve">obligāto </w:t>
      </w:r>
      <w:r w:rsidR="00283FDD">
        <w:rPr>
          <w:rFonts w:eastAsia="Calibri" w:cs="Times New Roman"/>
          <w:sz w:val="24"/>
          <w:szCs w:val="24"/>
          <w:lang w:eastAsia="lv-LV"/>
        </w:rPr>
        <w:t>ugunsdrošības</w:t>
      </w:r>
      <w:r w:rsidRPr="00D803CA">
        <w:rPr>
          <w:rFonts w:eastAsia="Calibri" w:cs="Times New Roman"/>
          <w:sz w:val="24"/>
          <w:szCs w:val="24"/>
          <w:lang w:eastAsia="lv-LV"/>
        </w:rPr>
        <w:t xml:space="preserve"> un citu drošības prasību ievērošanu saistītās izmaksas;</w:t>
      </w:r>
    </w:p>
    <w:p w14:paraId="32C4C443" w14:textId="051ED808" w:rsidR="00BC7230" w:rsidRDefault="00BC7230" w:rsidP="001A24DF">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sidRPr="00EF5D9F">
        <w:rPr>
          <w:rFonts w:eastAsia="Calibri" w:cs="Times New Roman"/>
          <w:sz w:val="24"/>
          <w:szCs w:val="24"/>
          <w:lang w:eastAsia="lv-LV"/>
        </w:rPr>
        <w:t xml:space="preserve">pasākumu izmaksas </w:t>
      </w:r>
      <w:r>
        <w:rPr>
          <w:rFonts w:eastAsia="Calibri" w:cs="Times New Roman"/>
          <w:sz w:val="24"/>
          <w:szCs w:val="24"/>
          <w:lang w:eastAsia="lv-LV"/>
        </w:rPr>
        <w:t xml:space="preserve">obligāto </w:t>
      </w:r>
      <w:r w:rsidRPr="00EF5D9F">
        <w:rPr>
          <w:rFonts w:eastAsia="Calibri" w:cs="Times New Roman"/>
          <w:sz w:val="24"/>
          <w:szCs w:val="24"/>
          <w:lang w:eastAsia="lv-LV"/>
        </w:rPr>
        <w:t>vides aizsardzības prasību nodrošināšanai, ciktāl to paredz normatīvie akti vides aizsardzības prasību jomā</w:t>
      </w:r>
      <w:r>
        <w:rPr>
          <w:rFonts w:eastAsia="Calibri" w:cs="Times New Roman"/>
          <w:sz w:val="24"/>
          <w:szCs w:val="24"/>
          <w:lang w:eastAsia="lv-LV"/>
        </w:rPr>
        <w:t>;</w:t>
      </w:r>
    </w:p>
    <w:p w14:paraId="76C05FD4" w14:textId="394FEA8C" w:rsidR="006008BD" w:rsidRPr="00264BDD" w:rsidRDefault="006008BD" w:rsidP="001A24DF">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Pr>
          <w:rFonts w:eastAsia="Calibri" w:cs="Times New Roman"/>
          <w:sz w:val="24"/>
          <w:szCs w:val="24"/>
          <w:lang w:eastAsia="lv-LV"/>
        </w:rPr>
        <w:t xml:space="preserve">informācijas tehnoloģiju </w:t>
      </w:r>
      <w:r w:rsidR="00E54C80">
        <w:rPr>
          <w:rFonts w:eastAsia="Calibri" w:cs="Times New Roman"/>
          <w:sz w:val="24"/>
          <w:szCs w:val="24"/>
          <w:lang w:eastAsia="lv-LV"/>
        </w:rPr>
        <w:t xml:space="preserve">sistēmas izstrādes un ieviešanas </w:t>
      </w:r>
      <w:r>
        <w:rPr>
          <w:rFonts w:eastAsia="Calibri" w:cs="Times New Roman"/>
          <w:sz w:val="24"/>
          <w:szCs w:val="24"/>
          <w:lang w:eastAsia="lv-LV"/>
        </w:rPr>
        <w:t xml:space="preserve">izmaksas, kas nepieciešama </w:t>
      </w:r>
      <w:r w:rsidRPr="006008BD">
        <w:rPr>
          <w:rFonts w:eastAsia="Calibri" w:cs="Times New Roman"/>
          <w:sz w:val="24"/>
          <w:szCs w:val="24"/>
          <w:lang w:eastAsia="lv-LV"/>
        </w:rPr>
        <w:t>valsts publiskās lietošanas dzelzceļa infrastruktūras</w:t>
      </w:r>
      <w:r>
        <w:rPr>
          <w:rFonts w:eastAsia="Calibri" w:cs="Times New Roman"/>
          <w:sz w:val="24"/>
          <w:szCs w:val="24"/>
          <w:lang w:eastAsia="lv-LV"/>
        </w:rPr>
        <w:t xml:space="preserve"> darbībai</w:t>
      </w:r>
      <w:r w:rsidR="00283FDD">
        <w:rPr>
          <w:rFonts w:eastAsia="Calibri" w:cs="Times New Roman"/>
          <w:sz w:val="24"/>
          <w:szCs w:val="24"/>
          <w:lang w:eastAsia="lv-LV"/>
        </w:rPr>
        <w:t>,</w:t>
      </w:r>
      <w:r w:rsidR="00FC166E">
        <w:rPr>
          <w:rFonts w:eastAsia="Calibri" w:cs="Times New Roman"/>
          <w:sz w:val="24"/>
          <w:szCs w:val="24"/>
          <w:lang w:eastAsia="lv-LV"/>
        </w:rPr>
        <w:t xml:space="preserve"> ieviešot vienotu </w:t>
      </w:r>
      <w:r w:rsidR="00FC166E" w:rsidRPr="00FC166E">
        <w:rPr>
          <w:rFonts w:eastAsia="Calibri" w:cs="Times New Roman"/>
          <w:bCs/>
          <w:sz w:val="24"/>
          <w:szCs w:val="24"/>
          <w:lang w:eastAsia="lv-LV"/>
        </w:rPr>
        <w:t xml:space="preserve">satiksmes </w:t>
      </w:r>
      <w:r w:rsidR="00E54C80">
        <w:rPr>
          <w:rFonts w:eastAsia="Calibri" w:cs="Times New Roman"/>
          <w:bCs/>
          <w:sz w:val="24"/>
          <w:szCs w:val="24"/>
          <w:lang w:eastAsia="lv-LV"/>
        </w:rPr>
        <w:t>vadības</w:t>
      </w:r>
      <w:r w:rsidR="00FC166E" w:rsidRPr="00FC166E">
        <w:rPr>
          <w:rFonts w:eastAsia="Calibri" w:cs="Times New Roman"/>
          <w:bCs/>
          <w:sz w:val="24"/>
          <w:szCs w:val="24"/>
          <w:lang w:eastAsia="lv-LV"/>
        </w:rPr>
        <w:t xml:space="preserve"> sistēmu</w:t>
      </w:r>
      <w:r>
        <w:rPr>
          <w:rFonts w:eastAsia="Calibri" w:cs="Times New Roman"/>
          <w:sz w:val="24"/>
          <w:szCs w:val="24"/>
          <w:lang w:eastAsia="lv-LV"/>
        </w:rPr>
        <w:t xml:space="preserve">; </w:t>
      </w:r>
    </w:p>
    <w:p w14:paraId="40483DA9" w14:textId="0E4866C9" w:rsidR="00DA6165" w:rsidRPr="00EF5D9F" w:rsidRDefault="00DA6165" w:rsidP="001A24DF">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sidRPr="00FE13CA">
        <w:rPr>
          <w:rFonts w:eastAsia="Calibri" w:cs="Times New Roman"/>
          <w:sz w:val="24"/>
          <w:szCs w:val="24"/>
          <w:lang w:eastAsia="lv-LV"/>
        </w:rPr>
        <w:t>informācijas un</w:t>
      </w:r>
      <w:r w:rsidR="00283FDD">
        <w:rPr>
          <w:rFonts w:eastAsia="Calibri" w:cs="Times New Roman"/>
          <w:sz w:val="24"/>
          <w:szCs w:val="24"/>
          <w:lang w:eastAsia="lv-LV"/>
        </w:rPr>
        <w:t xml:space="preserve"> publicitātes pasākumu izmaksas</w:t>
      </w:r>
      <w:r w:rsidRPr="00FE13CA">
        <w:rPr>
          <w:rFonts w:eastAsia="Calibri" w:cs="Times New Roman"/>
          <w:sz w:val="24"/>
          <w:szCs w:val="24"/>
          <w:lang w:eastAsia="lv-LV"/>
        </w:rPr>
        <w:t xml:space="preserve"> </w:t>
      </w:r>
      <w:r w:rsidR="00E52358" w:rsidRPr="00FE13CA">
        <w:rPr>
          <w:rFonts w:eastAsia="Calibri" w:cs="Times New Roman"/>
          <w:sz w:val="24"/>
          <w:szCs w:val="24"/>
          <w:lang w:eastAsia="lv-LV"/>
        </w:rPr>
        <w:t>atbilstoši normatīvajiem aktiem par k</w:t>
      </w:r>
      <w:r w:rsidR="00E27DFC" w:rsidRPr="00FE13CA">
        <w:rPr>
          <w:rFonts w:eastAsia="Calibri" w:cs="Times New Roman"/>
          <w:sz w:val="24"/>
          <w:szCs w:val="24"/>
          <w:lang w:eastAsia="lv-LV"/>
        </w:rPr>
        <w:t>ā</w:t>
      </w:r>
      <w:r w:rsidR="00E52358" w:rsidRPr="00FE13CA">
        <w:rPr>
          <w:rFonts w:eastAsia="Calibri" w:cs="Times New Roman"/>
          <w:sz w:val="24"/>
          <w:szCs w:val="24"/>
          <w:lang w:eastAsia="lv-LV"/>
        </w:rPr>
        <w:t>rtību, kādā</w:t>
      </w:r>
      <w:r w:rsidRPr="00FE13CA">
        <w:rPr>
          <w:rFonts w:eastAsia="Calibri" w:cs="Times New Roman"/>
          <w:sz w:val="24"/>
          <w:szCs w:val="24"/>
          <w:lang w:eastAsia="lv-LV"/>
        </w:rPr>
        <w:t xml:space="preserve"> Eiropas Savienības struktūrfondu un Kohēzijas fonda</w:t>
      </w:r>
      <w:r w:rsidR="00E52358" w:rsidRPr="00FE13CA">
        <w:rPr>
          <w:rFonts w:eastAsia="Calibri" w:cs="Times New Roman"/>
          <w:sz w:val="24"/>
          <w:szCs w:val="24"/>
          <w:lang w:eastAsia="lv-LV"/>
        </w:rPr>
        <w:t xml:space="preserve"> ieviešanā 2014.-2020.gada plānošanas periodā nodrošināma komunikācijas un vizuālās identitātes </w:t>
      </w:r>
      <w:r w:rsidR="00E52358" w:rsidRPr="00EF5D9F">
        <w:rPr>
          <w:rFonts w:eastAsia="Calibri" w:cs="Times New Roman"/>
          <w:sz w:val="24"/>
          <w:szCs w:val="24"/>
          <w:lang w:eastAsia="lv-LV"/>
        </w:rPr>
        <w:t>prasību ievērošana</w:t>
      </w:r>
      <w:r w:rsidRPr="00EF5D9F">
        <w:rPr>
          <w:rFonts w:eastAsia="Calibri" w:cs="Times New Roman"/>
          <w:sz w:val="24"/>
          <w:szCs w:val="24"/>
          <w:lang w:eastAsia="lv-LV"/>
        </w:rPr>
        <w:t>;</w:t>
      </w:r>
    </w:p>
    <w:p w14:paraId="1F06A668" w14:textId="0245519A" w:rsidR="00EF5D9F" w:rsidRDefault="00D27762" w:rsidP="001A24DF">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sidRPr="00D27762">
        <w:rPr>
          <w:rFonts w:eastAsia="Calibri" w:cs="Times New Roman"/>
          <w:sz w:val="24"/>
          <w:szCs w:val="24"/>
          <w:lang w:eastAsia="lv-LV"/>
        </w:rPr>
        <w:t>projekta attiecināmo izmaksu rezerve ne vairāk kā 10 % apmērā no attiecināmo būvniecības izmaksu kopsummas, ja projekta apstiprināšanas brī</w:t>
      </w:r>
      <w:r w:rsidR="00E73B33">
        <w:rPr>
          <w:rFonts w:eastAsia="Calibri" w:cs="Times New Roman"/>
          <w:sz w:val="24"/>
          <w:szCs w:val="24"/>
          <w:lang w:eastAsia="lv-LV"/>
        </w:rPr>
        <w:t>dī nav apstiprināt</w:t>
      </w:r>
      <w:r w:rsidR="00684832">
        <w:rPr>
          <w:rFonts w:eastAsia="Calibri" w:cs="Times New Roman"/>
          <w:sz w:val="24"/>
          <w:szCs w:val="24"/>
          <w:lang w:eastAsia="lv-LV"/>
        </w:rPr>
        <w:t>a projektēšanas nosacījumu izpilde</w:t>
      </w:r>
      <w:r w:rsidR="00E73B33">
        <w:rPr>
          <w:rFonts w:eastAsia="Calibri" w:cs="Times New Roman"/>
          <w:sz w:val="24"/>
          <w:szCs w:val="24"/>
          <w:lang w:eastAsia="lv-LV"/>
        </w:rPr>
        <w:t>;</w:t>
      </w:r>
    </w:p>
    <w:p w14:paraId="48741C96" w14:textId="628B68C5" w:rsidR="00B8498B" w:rsidRPr="00B8498B" w:rsidRDefault="00B8498B" w:rsidP="001A24DF">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sidRPr="00B8498B">
        <w:rPr>
          <w:rFonts w:eastAsia="Calibri" w:cs="Times New Roman"/>
          <w:sz w:val="24"/>
          <w:szCs w:val="24"/>
          <w:lang w:eastAsia="lv-LV"/>
        </w:rPr>
        <w:t xml:space="preserve">Šo noteikumu </w:t>
      </w:r>
      <w:r w:rsidR="00F126B4" w:rsidRPr="00B8498B">
        <w:rPr>
          <w:rFonts w:eastAsia="Calibri" w:cs="Times New Roman"/>
          <w:sz w:val="24"/>
          <w:szCs w:val="24"/>
          <w:lang w:eastAsia="lv-LV"/>
        </w:rPr>
        <w:t>1</w:t>
      </w:r>
      <w:r w:rsidR="00647993">
        <w:rPr>
          <w:rFonts w:eastAsia="Calibri" w:cs="Times New Roman"/>
          <w:sz w:val="24"/>
          <w:szCs w:val="24"/>
          <w:lang w:eastAsia="lv-LV"/>
        </w:rPr>
        <w:t>2</w:t>
      </w:r>
      <w:r w:rsidRPr="00B8498B">
        <w:rPr>
          <w:rFonts w:eastAsia="Calibri" w:cs="Times New Roman"/>
          <w:sz w:val="24"/>
          <w:szCs w:val="24"/>
          <w:lang w:eastAsia="lv-LV"/>
        </w:rPr>
        <w:t xml:space="preserve">.3. un </w:t>
      </w:r>
      <w:r w:rsidR="00F126B4" w:rsidRPr="00B8498B">
        <w:rPr>
          <w:rFonts w:eastAsia="Calibri" w:cs="Times New Roman"/>
          <w:sz w:val="24"/>
          <w:szCs w:val="24"/>
          <w:lang w:eastAsia="lv-LV"/>
        </w:rPr>
        <w:t>1</w:t>
      </w:r>
      <w:r w:rsidR="00647993">
        <w:rPr>
          <w:rFonts w:eastAsia="Calibri" w:cs="Times New Roman"/>
          <w:sz w:val="24"/>
          <w:szCs w:val="24"/>
          <w:lang w:eastAsia="lv-LV"/>
        </w:rPr>
        <w:t>2</w:t>
      </w:r>
      <w:r w:rsidRPr="00B8498B">
        <w:rPr>
          <w:rFonts w:eastAsia="Calibri" w:cs="Times New Roman"/>
          <w:sz w:val="24"/>
          <w:szCs w:val="24"/>
          <w:lang w:eastAsia="lv-LV"/>
        </w:rPr>
        <w:t>.4.apakšpunktos minētās izmaksas kopā nepārsniedz 10</w:t>
      </w:r>
      <w:r w:rsidR="008B756C">
        <w:rPr>
          <w:rFonts w:eastAsia="Calibri" w:cs="Times New Roman"/>
          <w:sz w:val="24"/>
          <w:szCs w:val="24"/>
          <w:lang w:eastAsia="lv-LV"/>
        </w:rPr>
        <w:t>%</w:t>
      </w:r>
      <w:r w:rsidRPr="00B8498B">
        <w:rPr>
          <w:rFonts w:eastAsia="Calibri" w:cs="Times New Roman"/>
          <w:sz w:val="24"/>
          <w:szCs w:val="24"/>
          <w:lang w:eastAsia="lv-LV"/>
        </w:rPr>
        <w:t xml:space="preserve"> no projekta būvdarbu līguma summas.</w:t>
      </w:r>
    </w:p>
    <w:p w14:paraId="2979723F" w14:textId="01D27FDD" w:rsidR="00B8498B" w:rsidRPr="00B8498B" w:rsidRDefault="00B8498B" w:rsidP="001A24DF">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sidRPr="00B8498B">
        <w:rPr>
          <w:rFonts w:eastAsia="Calibri" w:cs="Times New Roman"/>
          <w:sz w:val="24"/>
          <w:szCs w:val="24"/>
          <w:lang w:eastAsia="lv-LV"/>
        </w:rPr>
        <w:t xml:space="preserve">Šo noteikumu </w:t>
      </w:r>
      <w:r w:rsidR="00F126B4" w:rsidRPr="00B8498B">
        <w:rPr>
          <w:rFonts w:eastAsia="Calibri" w:cs="Times New Roman"/>
          <w:sz w:val="24"/>
          <w:szCs w:val="24"/>
          <w:lang w:eastAsia="lv-LV"/>
        </w:rPr>
        <w:t>1</w:t>
      </w:r>
      <w:r w:rsidR="00647993">
        <w:rPr>
          <w:rFonts w:eastAsia="Calibri" w:cs="Times New Roman"/>
          <w:sz w:val="24"/>
          <w:szCs w:val="24"/>
          <w:lang w:eastAsia="lv-LV"/>
        </w:rPr>
        <w:t>2</w:t>
      </w:r>
      <w:r w:rsidRPr="00B8498B">
        <w:rPr>
          <w:rFonts w:eastAsia="Calibri" w:cs="Times New Roman"/>
          <w:sz w:val="24"/>
          <w:szCs w:val="24"/>
          <w:lang w:eastAsia="lv-LV"/>
        </w:rPr>
        <w:t xml:space="preserve">.2. un </w:t>
      </w:r>
      <w:r w:rsidR="00F126B4" w:rsidRPr="00B8498B">
        <w:rPr>
          <w:rFonts w:eastAsia="Calibri" w:cs="Times New Roman"/>
          <w:sz w:val="24"/>
          <w:szCs w:val="24"/>
          <w:lang w:eastAsia="lv-LV"/>
        </w:rPr>
        <w:t>1</w:t>
      </w:r>
      <w:r w:rsidR="00647993">
        <w:rPr>
          <w:rFonts w:eastAsia="Calibri" w:cs="Times New Roman"/>
          <w:sz w:val="24"/>
          <w:szCs w:val="24"/>
          <w:lang w:eastAsia="lv-LV"/>
        </w:rPr>
        <w:t>2</w:t>
      </w:r>
      <w:r w:rsidRPr="00B8498B">
        <w:rPr>
          <w:rFonts w:eastAsia="Calibri" w:cs="Times New Roman"/>
          <w:sz w:val="24"/>
          <w:szCs w:val="24"/>
          <w:lang w:eastAsia="lv-LV"/>
        </w:rPr>
        <w:t>.4.apakšpunktos minēt</w:t>
      </w:r>
      <w:r w:rsidR="008B756C">
        <w:rPr>
          <w:rFonts w:eastAsia="Calibri" w:cs="Times New Roman"/>
          <w:sz w:val="24"/>
          <w:szCs w:val="24"/>
          <w:lang w:eastAsia="lv-LV"/>
        </w:rPr>
        <w:t>ās izmaksas kopā nepārsniedz 10%</w:t>
      </w:r>
      <w:r w:rsidRPr="00B8498B">
        <w:rPr>
          <w:rFonts w:eastAsia="Calibri" w:cs="Times New Roman"/>
          <w:sz w:val="24"/>
          <w:szCs w:val="24"/>
          <w:lang w:eastAsia="lv-LV"/>
        </w:rPr>
        <w:t xml:space="preserve"> no projekta kopējām attiecināmajām izmaksām.</w:t>
      </w:r>
    </w:p>
    <w:p w14:paraId="1E01D4F8" w14:textId="0A9BDEED" w:rsidR="00F126B4" w:rsidRDefault="00A402DD" w:rsidP="00F126B4">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sidRPr="00AE5642">
        <w:rPr>
          <w:rFonts w:eastAsia="Calibri" w:cs="Times New Roman"/>
          <w:sz w:val="24"/>
          <w:szCs w:val="24"/>
          <w:lang w:eastAsia="lv-LV"/>
        </w:rPr>
        <w:t xml:space="preserve">Pievienotās vērtības nodokļa izmaksas šo noteikumu </w:t>
      </w:r>
      <w:r w:rsidR="00F126B4" w:rsidRPr="001A24DF">
        <w:rPr>
          <w:rFonts w:eastAsia="Calibri" w:cs="Times New Roman"/>
          <w:sz w:val="24"/>
          <w:szCs w:val="24"/>
          <w:lang w:eastAsia="lv-LV"/>
        </w:rPr>
        <w:t>1</w:t>
      </w:r>
      <w:r w:rsidR="00647993">
        <w:rPr>
          <w:rFonts w:eastAsia="Calibri" w:cs="Times New Roman"/>
          <w:sz w:val="24"/>
          <w:szCs w:val="24"/>
          <w:lang w:eastAsia="lv-LV"/>
        </w:rPr>
        <w:t>2</w:t>
      </w:r>
      <w:r w:rsidRPr="001A24DF">
        <w:rPr>
          <w:rFonts w:eastAsia="Calibri" w:cs="Times New Roman"/>
          <w:sz w:val="24"/>
          <w:szCs w:val="24"/>
          <w:lang w:eastAsia="lv-LV"/>
        </w:rPr>
        <w:t>.punktā</w:t>
      </w:r>
      <w:r w:rsidRPr="00AE5642">
        <w:rPr>
          <w:rFonts w:eastAsia="Calibri" w:cs="Times New Roman"/>
          <w:sz w:val="24"/>
          <w:szCs w:val="24"/>
          <w:lang w:eastAsia="lv-LV"/>
        </w:rPr>
        <w:t xml:space="preserve"> minētajām izmaksu pozīcijām ir attiecināmas izmaksas, ja tās nav atmaksājamas nodokļu politiku reglamentējošos normatīvajos aktos noteiktā kārtībā.</w:t>
      </w:r>
    </w:p>
    <w:p w14:paraId="1972A617" w14:textId="18C3DC87" w:rsidR="00F126B4" w:rsidRPr="00F126B4" w:rsidRDefault="00F126B4" w:rsidP="00F126B4">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sidRPr="00F126B4">
        <w:rPr>
          <w:rFonts w:eastAsia="Calibri" w:cs="Times New Roman"/>
          <w:bCs/>
          <w:sz w:val="24"/>
          <w:szCs w:val="24"/>
          <w:lang w:eastAsia="lv-LV"/>
        </w:rPr>
        <w:t>Projekta netiešās attiecināmās izmaksas plāno kā vienu izmaksu pozīciju 15 procentu apmērā no šo noteikumu 1</w:t>
      </w:r>
      <w:r w:rsidR="00647993">
        <w:rPr>
          <w:rFonts w:eastAsia="Calibri" w:cs="Times New Roman"/>
          <w:bCs/>
          <w:sz w:val="24"/>
          <w:szCs w:val="24"/>
          <w:lang w:eastAsia="lv-LV"/>
        </w:rPr>
        <w:t>2</w:t>
      </w:r>
      <w:r w:rsidRPr="00F126B4">
        <w:rPr>
          <w:rFonts w:eastAsia="Calibri" w:cs="Times New Roman"/>
          <w:bCs/>
          <w:sz w:val="24"/>
          <w:szCs w:val="24"/>
          <w:lang w:eastAsia="lv-LV"/>
        </w:rPr>
        <w:t>.1. apakšpunktā noteiktajām izmaksām:</w:t>
      </w:r>
    </w:p>
    <w:p w14:paraId="5E5A7807" w14:textId="77777777" w:rsidR="00F126B4" w:rsidRPr="004D0EB1" w:rsidRDefault="00F126B4" w:rsidP="00F126B4">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9D6D33">
        <w:rPr>
          <w:rFonts w:eastAsia="Calibri" w:cs="Times New Roman"/>
          <w:bCs/>
          <w:sz w:val="24"/>
          <w:szCs w:val="24"/>
          <w:lang w:eastAsia="lv-LV"/>
        </w:rPr>
        <w:t>ko aprēķina</w:t>
      </w:r>
      <w:r w:rsidRPr="004D0EB1">
        <w:rPr>
          <w:rFonts w:eastAsia="Calibri" w:cs="Times New Roman"/>
          <w:sz w:val="24"/>
          <w:szCs w:val="24"/>
          <w:lang w:eastAsia="lv-LV"/>
        </w:rPr>
        <w:t xml:space="preserve"> tikai tām izmaksām, kas radušās uz darba līguma pamata;</w:t>
      </w:r>
    </w:p>
    <w:p w14:paraId="4FBB7CCF" w14:textId="77777777" w:rsidR="00F126B4" w:rsidRPr="004D0EB1" w:rsidRDefault="00F126B4" w:rsidP="00F126B4">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4D0EB1">
        <w:rPr>
          <w:rFonts w:eastAsia="Calibri" w:cs="Times New Roman"/>
          <w:sz w:val="24"/>
          <w:szCs w:val="24"/>
          <w:lang w:eastAsia="lv-LV"/>
        </w:rPr>
        <w:t>neiesniedzot sadarbības iestādei izmaksu pamatojošos dokumentus par netiešo attiecināmo izmaksu izlietojumu;</w:t>
      </w:r>
    </w:p>
    <w:p w14:paraId="6B058D87" w14:textId="2516818C" w:rsidR="00890D85" w:rsidRPr="00890D85" w:rsidRDefault="00E91721" w:rsidP="001A24DF">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Pr>
          <w:rFonts w:eastAsia="Calibri" w:cs="Times New Roman"/>
          <w:sz w:val="24"/>
          <w:szCs w:val="24"/>
          <w:lang w:eastAsia="lv-LV"/>
        </w:rPr>
        <w:t>Pasākuma</w:t>
      </w:r>
      <w:r w:rsidR="00890D85" w:rsidRPr="00890D85">
        <w:rPr>
          <w:rFonts w:eastAsia="Calibri" w:cs="Times New Roman"/>
          <w:sz w:val="24"/>
          <w:szCs w:val="24"/>
          <w:lang w:eastAsia="lv-LV"/>
        </w:rPr>
        <w:t xml:space="preserve"> ietvaros ir atbalstāma vides prasību integrācija preču, pakalpojumu un būvdarbu iepirkumos (zaļais publiskais iepirkums).</w:t>
      </w:r>
    </w:p>
    <w:p w14:paraId="4F136602" w14:textId="30439838" w:rsidR="00890D85" w:rsidRPr="00890D85" w:rsidRDefault="00E91721" w:rsidP="001A24DF">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Pr>
          <w:rFonts w:eastAsia="Calibri" w:cs="Times New Roman"/>
          <w:sz w:val="24"/>
          <w:szCs w:val="24"/>
          <w:lang w:eastAsia="lv-LV"/>
        </w:rPr>
        <w:t>Pasākuma</w:t>
      </w:r>
      <w:r w:rsidR="00890D85" w:rsidRPr="00890D85">
        <w:rPr>
          <w:rFonts w:eastAsia="Calibri" w:cs="Times New Roman"/>
          <w:sz w:val="24"/>
          <w:szCs w:val="24"/>
          <w:lang w:eastAsia="lv-LV"/>
        </w:rPr>
        <w:t xml:space="preserve"> ietvaros ir atbalstāmas vides un informācijas pieejamības nodrošināšanas izmaksas atbilstoši būvprojekta risinājumam.</w:t>
      </w:r>
    </w:p>
    <w:p w14:paraId="363D3F35" w14:textId="0A0641D3" w:rsidR="00890D85" w:rsidRPr="00890D85" w:rsidRDefault="00E91721" w:rsidP="001A24DF">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Pr>
          <w:rFonts w:eastAsia="Calibri" w:cs="Times New Roman"/>
          <w:sz w:val="24"/>
          <w:szCs w:val="24"/>
          <w:lang w:eastAsia="lv-LV"/>
        </w:rPr>
        <w:t xml:space="preserve">Pasākuma </w:t>
      </w:r>
      <w:r w:rsidR="00890D85" w:rsidRPr="00890D85">
        <w:rPr>
          <w:rFonts w:eastAsia="Calibri" w:cs="Times New Roman"/>
          <w:sz w:val="24"/>
          <w:szCs w:val="24"/>
          <w:lang w:eastAsia="lv-LV"/>
        </w:rPr>
        <w:t xml:space="preserve">ietvaros ir atbalstāmas personu ar invaliditāti intereses pārstāvošo nevalstisko  organizāciju ekspertu  konsultācijas, tās paredzot projektēšanas vai </w:t>
      </w:r>
      <w:r w:rsidR="00770E3C">
        <w:rPr>
          <w:rFonts w:eastAsia="Calibri" w:cs="Times New Roman"/>
          <w:sz w:val="24"/>
          <w:szCs w:val="24"/>
          <w:lang w:eastAsia="lv-LV"/>
        </w:rPr>
        <w:t>būvdarbu līgum</w:t>
      </w:r>
      <w:r w:rsidR="00283FDD">
        <w:rPr>
          <w:rFonts w:eastAsia="Calibri" w:cs="Times New Roman"/>
          <w:sz w:val="24"/>
          <w:szCs w:val="24"/>
          <w:lang w:eastAsia="lv-LV"/>
        </w:rPr>
        <w:t>a</w:t>
      </w:r>
      <w:r w:rsidR="00770E3C">
        <w:rPr>
          <w:rFonts w:eastAsia="Calibri" w:cs="Times New Roman"/>
          <w:sz w:val="24"/>
          <w:szCs w:val="24"/>
          <w:lang w:eastAsia="lv-LV"/>
        </w:rPr>
        <w:t xml:space="preserve"> </w:t>
      </w:r>
      <w:r w:rsidR="00890D85" w:rsidRPr="00890D85">
        <w:rPr>
          <w:rFonts w:eastAsia="Calibri" w:cs="Times New Roman"/>
          <w:sz w:val="24"/>
          <w:szCs w:val="24"/>
          <w:lang w:eastAsia="lv-LV"/>
        </w:rPr>
        <w:t>izmaksu ietvaros.</w:t>
      </w:r>
    </w:p>
    <w:p w14:paraId="66AE9DFB" w14:textId="2D1804A2" w:rsidR="00890D85" w:rsidRPr="00890D85" w:rsidRDefault="003277D1" w:rsidP="001A24DF">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sidRPr="003277D1">
        <w:rPr>
          <w:rFonts w:eastAsia="Calibri" w:cs="Times New Roman"/>
          <w:sz w:val="24"/>
          <w:szCs w:val="24"/>
          <w:lang w:eastAsia="lv-LV"/>
        </w:rPr>
        <w:t xml:space="preserve">Pasākuma atbalstāmo darbību ietvaros radušās izmaksas var uzskatīt par attiecināmām finansēšanai no Kohēzijas fonda, ja tās atbilst šo noteikumu 11.punktā minētajām atbalstāmajām darbībām un 12.punktā minētajām attiecināmajām izmaksām, 13., 14. un </w:t>
      </w:r>
      <w:r w:rsidRPr="003277D1">
        <w:rPr>
          <w:rFonts w:eastAsia="Calibri" w:cs="Times New Roman"/>
          <w:sz w:val="24"/>
          <w:szCs w:val="24"/>
          <w:lang w:eastAsia="lv-LV"/>
        </w:rPr>
        <w:lastRenderedPageBreak/>
        <w:t>16.punktā noteiktajiem izmaksu apjoma ierobežojumiem un ir radušās ne agrāk kā 2014.gada 1.janvārī.</w:t>
      </w:r>
      <w:r w:rsidR="00890D85" w:rsidRPr="00890D85">
        <w:rPr>
          <w:rFonts w:eastAsia="Calibri" w:cs="Times New Roman"/>
          <w:sz w:val="24"/>
          <w:szCs w:val="24"/>
          <w:lang w:eastAsia="lv-LV"/>
        </w:rPr>
        <w:t xml:space="preserve"> </w:t>
      </w:r>
    </w:p>
    <w:p w14:paraId="71623CBB" w14:textId="43729DAC" w:rsidR="004D6E20" w:rsidRDefault="007A6ACB" w:rsidP="001A24DF">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Pr>
          <w:rFonts w:eastAsia="Calibri" w:cs="Times New Roman"/>
          <w:sz w:val="24"/>
          <w:szCs w:val="24"/>
          <w:lang w:eastAsia="lv-LV"/>
        </w:rPr>
        <w:t>Pasākuma</w:t>
      </w:r>
      <w:r w:rsidRPr="007A6ACB">
        <w:rPr>
          <w:rFonts w:eastAsia="Calibri" w:cs="Times New Roman"/>
          <w:sz w:val="24"/>
          <w:szCs w:val="24"/>
          <w:lang w:eastAsia="lv-LV"/>
        </w:rPr>
        <w:t xml:space="preserve"> neattiecināmās izmaksas, kuras finansējuma saņēmējs sedz no saviem līdzekļiem, ir:</w:t>
      </w:r>
    </w:p>
    <w:p w14:paraId="0ECF65C0" w14:textId="7BEC429E" w:rsidR="007A6ACB" w:rsidRPr="007A6ACB" w:rsidRDefault="007A6ACB" w:rsidP="00404B1C">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sidRPr="007A6ACB">
        <w:rPr>
          <w:rFonts w:eastAsia="Calibri" w:cs="Times New Roman"/>
          <w:sz w:val="24"/>
          <w:szCs w:val="24"/>
          <w:lang w:eastAsia="lv-LV"/>
        </w:rPr>
        <w:t>izmaksas, kas pārsniedz šo noteikumu 1</w:t>
      </w:r>
      <w:r w:rsidR="00647993">
        <w:rPr>
          <w:rFonts w:eastAsia="Calibri" w:cs="Times New Roman"/>
          <w:sz w:val="24"/>
          <w:szCs w:val="24"/>
          <w:lang w:eastAsia="lv-LV"/>
        </w:rPr>
        <w:t>2</w:t>
      </w:r>
      <w:r w:rsidRPr="007A6ACB">
        <w:rPr>
          <w:rFonts w:eastAsia="Calibri" w:cs="Times New Roman"/>
          <w:sz w:val="24"/>
          <w:szCs w:val="24"/>
          <w:lang w:eastAsia="lv-LV"/>
        </w:rPr>
        <w:t>.,</w:t>
      </w:r>
      <w:r w:rsidR="00102B1F">
        <w:rPr>
          <w:rFonts w:eastAsia="Calibri" w:cs="Times New Roman"/>
          <w:sz w:val="24"/>
          <w:szCs w:val="24"/>
          <w:lang w:eastAsia="lv-LV"/>
        </w:rPr>
        <w:t xml:space="preserve"> </w:t>
      </w:r>
      <w:r>
        <w:rPr>
          <w:rFonts w:eastAsia="Calibri" w:cs="Times New Roman"/>
          <w:sz w:val="24"/>
          <w:szCs w:val="24"/>
          <w:lang w:eastAsia="lv-LV"/>
        </w:rPr>
        <w:t>1</w:t>
      </w:r>
      <w:r w:rsidR="00647993">
        <w:rPr>
          <w:rFonts w:eastAsia="Calibri" w:cs="Times New Roman"/>
          <w:sz w:val="24"/>
          <w:szCs w:val="24"/>
          <w:lang w:eastAsia="lv-LV"/>
        </w:rPr>
        <w:t>3</w:t>
      </w:r>
      <w:r w:rsidRPr="007A6ACB">
        <w:rPr>
          <w:rFonts w:eastAsia="Calibri" w:cs="Times New Roman"/>
          <w:sz w:val="24"/>
          <w:szCs w:val="24"/>
          <w:lang w:eastAsia="lv-LV"/>
        </w:rPr>
        <w:t>. un 1</w:t>
      </w:r>
      <w:r w:rsidR="00647993">
        <w:rPr>
          <w:rFonts w:eastAsia="Calibri" w:cs="Times New Roman"/>
          <w:sz w:val="24"/>
          <w:szCs w:val="24"/>
          <w:lang w:eastAsia="lv-LV"/>
        </w:rPr>
        <w:t>4</w:t>
      </w:r>
      <w:r w:rsidRPr="007A6ACB">
        <w:rPr>
          <w:rFonts w:eastAsia="Calibri" w:cs="Times New Roman"/>
          <w:sz w:val="24"/>
          <w:szCs w:val="24"/>
          <w:lang w:eastAsia="lv-LV"/>
        </w:rPr>
        <w:t>.punktā minētos izmaksu ierobežojumus;</w:t>
      </w:r>
    </w:p>
    <w:p w14:paraId="274BC473" w14:textId="2C1C3F03" w:rsidR="00742FBB" w:rsidRDefault="007A6ACB" w:rsidP="00404B1C">
      <w:pPr>
        <w:pStyle w:val="ListParagraph"/>
        <w:numPr>
          <w:ilvl w:val="1"/>
          <w:numId w:val="1"/>
        </w:numPr>
        <w:tabs>
          <w:tab w:val="left" w:pos="993"/>
        </w:tabs>
        <w:spacing w:before="120" w:after="120"/>
        <w:ind w:left="993" w:hanging="633"/>
        <w:contextualSpacing w:val="0"/>
        <w:jc w:val="both"/>
        <w:outlineLvl w:val="0"/>
        <w:rPr>
          <w:rFonts w:eastAsia="Calibri" w:cs="Times New Roman"/>
          <w:sz w:val="24"/>
          <w:szCs w:val="24"/>
          <w:lang w:eastAsia="lv-LV"/>
        </w:rPr>
      </w:pPr>
      <w:r w:rsidRPr="007A6ACB">
        <w:rPr>
          <w:rFonts w:eastAsia="Calibri" w:cs="Times New Roman"/>
          <w:sz w:val="24"/>
          <w:szCs w:val="24"/>
          <w:lang w:eastAsia="lv-LV"/>
        </w:rPr>
        <w:t>izmaksas, kas nav noteiktas šo noteikumu 1</w:t>
      </w:r>
      <w:r w:rsidR="00647993">
        <w:rPr>
          <w:rFonts w:eastAsia="Calibri" w:cs="Times New Roman"/>
          <w:sz w:val="24"/>
          <w:szCs w:val="24"/>
          <w:lang w:eastAsia="lv-LV"/>
        </w:rPr>
        <w:t>2</w:t>
      </w:r>
      <w:r w:rsidRPr="007A6ACB">
        <w:rPr>
          <w:rFonts w:eastAsia="Calibri" w:cs="Times New Roman"/>
          <w:sz w:val="24"/>
          <w:szCs w:val="24"/>
          <w:lang w:eastAsia="lv-LV"/>
        </w:rPr>
        <w:t>.punktā un nav tieši saistītas ar 1</w:t>
      </w:r>
      <w:r w:rsidR="00647993">
        <w:rPr>
          <w:rFonts w:eastAsia="Calibri" w:cs="Times New Roman"/>
          <w:sz w:val="24"/>
          <w:szCs w:val="24"/>
          <w:lang w:eastAsia="lv-LV"/>
        </w:rPr>
        <w:t>1</w:t>
      </w:r>
      <w:r w:rsidRPr="007A6ACB">
        <w:rPr>
          <w:rFonts w:eastAsia="Calibri" w:cs="Times New Roman"/>
          <w:sz w:val="24"/>
          <w:szCs w:val="24"/>
          <w:lang w:eastAsia="lv-LV"/>
        </w:rPr>
        <w:t>.punktā minētajām atbalstāmajām darbībām, bet ir nepieciešamas sekmīgai projekta īstenošanai.</w:t>
      </w:r>
      <w:r>
        <w:rPr>
          <w:rFonts w:eastAsia="Calibri" w:cs="Times New Roman"/>
          <w:sz w:val="24"/>
          <w:szCs w:val="24"/>
          <w:lang w:eastAsia="lv-LV"/>
        </w:rPr>
        <w:t xml:space="preserve"> </w:t>
      </w:r>
    </w:p>
    <w:p w14:paraId="056ADCD4" w14:textId="67B5C657" w:rsidR="004D3D7D" w:rsidRPr="00FE13CA" w:rsidRDefault="004D3D7D" w:rsidP="004D3D7D">
      <w:pPr>
        <w:pStyle w:val="ListParagraph"/>
        <w:tabs>
          <w:tab w:val="left" w:pos="709"/>
          <w:tab w:val="left" w:pos="851"/>
        </w:tabs>
        <w:spacing w:before="120" w:after="0"/>
        <w:ind w:left="786"/>
        <w:jc w:val="center"/>
        <w:outlineLvl w:val="0"/>
        <w:rPr>
          <w:rFonts w:eastAsia="Calibri" w:cs="Times New Roman"/>
          <w:b/>
          <w:bCs/>
          <w:sz w:val="24"/>
          <w:szCs w:val="24"/>
          <w:lang w:val="x-none" w:eastAsia="lv-LV"/>
        </w:rPr>
      </w:pPr>
      <w:r w:rsidRPr="00FE13CA">
        <w:rPr>
          <w:rFonts w:eastAsia="Calibri" w:cs="Times New Roman"/>
          <w:b/>
          <w:sz w:val="24"/>
          <w:szCs w:val="24"/>
          <w:lang w:eastAsia="lv-LV"/>
        </w:rPr>
        <w:t xml:space="preserve">IV. </w:t>
      </w:r>
      <w:r w:rsidR="00E91721">
        <w:rPr>
          <w:rFonts w:eastAsia="Calibri" w:cs="Times New Roman"/>
          <w:b/>
          <w:sz w:val="24"/>
          <w:szCs w:val="24"/>
          <w:lang w:eastAsia="lv-LV"/>
        </w:rPr>
        <w:t>P</w:t>
      </w:r>
      <w:r w:rsidR="00247E0A">
        <w:rPr>
          <w:rFonts w:eastAsia="Calibri" w:cs="Times New Roman"/>
          <w:b/>
          <w:sz w:val="24"/>
          <w:szCs w:val="24"/>
          <w:lang w:eastAsia="lv-LV"/>
        </w:rPr>
        <w:t>asākuma</w:t>
      </w:r>
      <w:r w:rsidRPr="00FE13CA">
        <w:rPr>
          <w:rFonts w:eastAsia="Calibri" w:cs="Times New Roman"/>
          <w:b/>
          <w:sz w:val="24"/>
          <w:szCs w:val="24"/>
          <w:lang w:eastAsia="lv-LV"/>
        </w:rPr>
        <w:t xml:space="preserve"> </w:t>
      </w:r>
      <w:r w:rsidRPr="00FE13CA">
        <w:rPr>
          <w:rFonts w:eastAsia="Calibri" w:cs="Times New Roman"/>
          <w:b/>
          <w:bCs/>
          <w:sz w:val="24"/>
          <w:szCs w:val="24"/>
          <w:lang w:val="x-none" w:eastAsia="lv-LV"/>
        </w:rPr>
        <w:t>un projekta īstenošanas nosacījumi</w:t>
      </w:r>
    </w:p>
    <w:p w14:paraId="18A8CA4E" w14:textId="77777777" w:rsidR="004D6E20" w:rsidRDefault="004D3D7D" w:rsidP="004D6E20">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FE13CA">
        <w:rPr>
          <w:rFonts w:eastAsia="Calibri" w:cs="Times New Roman"/>
          <w:bCs/>
          <w:sz w:val="24"/>
          <w:szCs w:val="24"/>
          <w:lang w:eastAsia="lv-LV"/>
        </w:rPr>
        <w:t>Īstenojot projektu, finansējuma saņēmējs:</w:t>
      </w:r>
    </w:p>
    <w:p w14:paraId="661350B0" w14:textId="77777777" w:rsidR="004D6E20" w:rsidRPr="004D6E20" w:rsidRDefault="004D6E20" w:rsidP="004D6E20">
      <w:pPr>
        <w:pStyle w:val="ListParagraph"/>
        <w:numPr>
          <w:ilvl w:val="1"/>
          <w:numId w:val="1"/>
        </w:numPr>
        <w:tabs>
          <w:tab w:val="left" w:pos="993"/>
        </w:tabs>
        <w:spacing w:before="120" w:after="120"/>
        <w:ind w:left="992" w:hanging="635"/>
        <w:contextualSpacing w:val="0"/>
        <w:jc w:val="both"/>
        <w:outlineLvl w:val="0"/>
        <w:rPr>
          <w:rFonts w:eastAsia="Calibri" w:cs="Times New Roman"/>
          <w:sz w:val="24"/>
          <w:szCs w:val="24"/>
          <w:lang w:eastAsia="lv-LV"/>
        </w:rPr>
      </w:pPr>
      <w:r w:rsidRPr="004D6E20">
        <w:rPr>
          <w:rFonts w:eastAsia="Calibri" w:cs="Times New Roman"/>
          <w:sz w:val="24"/>
          <w:szCs w:val="24"/>
          <w:lang w:eastAsia="lv-LV"/>
        </w:rPr>
        <w:t>projekta izmaksu pieauguma gadījumā sedz projekta sadārdzinājumu no saviem līdzekļiem;</w:t>
      </w:r>
    </w:p>
    <w:p w14:paraId="72F06B6C" w14:textId="0E0B6AF9" w:rsidR="004D6E20" w:rsidRPr="004D6E20" w:rsidRDefault="00E91721" w:rsidP="004D6E20">
      <w:pPr>
        <w:pStyle w:val="ListParagraph"/>
        <w:numPr>
          <w:ilvl w:val="1"/>
          <w:numId w:val="1"/>
        </w:numPr>
        <w:tabs>
          <w:tab w:val="left" w:pos="993"/>
        </w:tabs>
        <w:spacing w:before="120" w:after="120"/>
        <w:ind w:left="992" w:hanging="635"/>
        <w:contextualSpacing w:val="0"/>
        <w:jc w:val="both"/>
        <w:outlineLvl w:val="0"/>
        <w:rPr>
          <w:rFonts w:eastAsia="Calibri" w:cs="Times New Roman"/>
          <w:sz w:val="24"/>
          <w:szCs w:val="24"/>
          <w:lang w:eastAsia="lv-LV"/>
        </w:rPr>
      </w:pPr>
      <w:r w:rsidRPr="004D6E20">
        <w:rPr>
          <w:rFonts w:eastAsia="Calibri" w:cs="Times New Roman"/>
          <w:sz w:val="24"/>
          <w:szCs w:val="24"/>
          <w:lang w:eastAsia="lv-LV"/>
        </w:rPr>
        <w:t>nodrošina projekta rezultātu ilgtspēju piecus gadus pēc projekta pabeigšanas;</w:t>
      </w:r>
    </w:p>
    <w:p w14:paraId="6D020152" w14:textId="0C55FF9B" w:rsidR="004D6E20" w:rsidRDefault="004D6E20" w:rsidP="004D6E20">
      <w:pPr>
        <w:pStyle w:val="ListParagraph"/>
        <w:numPr>
          <w:ilvl w:val="1"/>
          <w:numId w:val="1"/>
        </w:numPr>
        <w:tabs>
          <w:tab w:val="left" w:pos="993"/>
        </w:tabs>
        <w:spacing w:before="120" w:after="120"/>
        <w:ind w:left="992" w:hanging="635"/>
        <w:contextualSpacing w:val="0"/>
        <w:jc w:val="both"/>
        <w:outlineLvl w:val="0"/>
        <w:rPr>
          <w:rFonts w:eastAsia="Calibri" w:cs="Times New Roman"/>
          <w:sz w:val="24"/>
          <w:szCs w:val="24"/>
          <w:lang w:eastAsia="lv-LV"/>
        </w:rPr>
      </w:pPr>
      <w:r w:rsidRPr="004D6E20">
        <w:rPr>
          <w:rFonts w:eastAsia="Calibri" w:cs="Times New Roman"/>
          <w:sz w:val="24"/>
          <w:szCs w:val="24"/>
          <w:lang w:eastAsia="lv-LV"/>
        </w:rPr>
        <w:t>nodrošina projekta īstenošanas rezultātā radīto vērtību uzturēšanu, laikus plānojot uzturēšanas un periodiskus atjaunošanas darbus un finansējumu šiem darbiem turpmākos 20 gadus pēc projekta īstenošanas.</w:t>
      </w:r>
    </w:p>
    <w:p w14:paraId="490EFAA5" w14:textId="77777777" w:rsidR="004D6E20" w:rsidRPr="00E91721" w:rsidRDefault="004D6E20" w:rsidP="004D6E20">
      <w:pPr>
        <w:pStyle w:val="ListParagraph"/>
        <w:numPr>
          <w:ilvl w:val="1"/>
          <w:numId w:val="1"/>
        </w:numPr>
        <w:tabs>
          <w:tab w:val="left" w:pos="993"/>
        </w:tabs>
        <w:spacing w:before="120" w:after="120"/>
        <w:ind w:left="992" w:hanging="635"/>
        <w:contextualSpacing w:val="0"/>
        <w:jc w:val="both"/>
        <w:outlineLvl w:val="0"/>
        <w:rPr>
          <w:rFonts w:eastAsia="Calibri" w:cs="Times New Roman"/>
          <w:sz w:val="24"/>
          <w:szCs w:val="24"/>
          <w:lang w:eastAsia="lv-LV"/>
        </w:rPr>
      </w:pPr>
      <w:r w:rsidRPr="00E91721">
        <w:rPr>
          <w:rFonts w:eastAsia="Calibri" w:cs="Times New Roman"/>
          <w:sz w:val="24"/>
          <w:szCs w:val="24"/>
          <w:lang w:eastAsia="lv-LV"/>
        </w:rPr>
        <w:t>nodrošina, ka infrastruktūras objekts, kurā paredzēts veikt investīcijas, atrodas finansējuma saņēmēja īpašumā vai finansējuma saņēmējs ir saskaņojis būvniecības ieceri ar zemesgabala īpašnieku atbilstoši Būvniecības likumam.</w:t>
      </w:r>
    </w:p>
    <w:p w14:paraId="39D779D8" w14:textId="77777777" w:rsidR="004D6E20" w:rsidRPr="00E91721" w:rsidRDefault="004D6E20" w:rsidP="004D6E20">
      <w:pPr>
        <w:pStyle w:val="ListParagraph"/>
        <w:numPr>
          <w:ilvl w:val="1"/>
          <w:numId w:val="1"/>
        </w:numPr>
        <w:tabs>
          <w:tab w:val="left" w:pos="993"/>
        </w:tabs>
        <w:spacing w:before="120" w:after="120"/>
        <w:ind w:left="992" w:hanging="635"/>
        <w:contextualSpacing w:val="0"/>
        <w:jc w:val="both"/>
        <w:outlineLvl w:val="0"/>
        <w:rPr>
          <w:rFonts w:eastAsia="Calibri" w:cs="Times New Roman"/>
          <w:sz w:val="24"/>
          <w:szCs w:val="24"/>
          <w:lang w:eastAsia="lv-LV"/>
        </w:rPr>
      </w:pPr>
      <w:r w:rsidRPr="00E91721">
        <w:rPr>
          <w:rFonts w:eastAsia="Calibri" w:cs="Times New Roman"/>
          <w:sz w:val="24"/>
          <w:szCs w:val="24"/>
          <w:lang w:eastAsia="lv-LV"/>
        </w:rPr>
        <w:t>nodrošina, ka projektā plānotie darbi netiek finansēti vai līdzfinansēti, kā arī nav plānots tos finansēt vai līdzfinansēt no citiem valsts un ārvalstu finanšu atbalsta instrumentiem;</w:t>
      </w:r>
    </w:p>
    <w:p w14:paraId="1B55EA0E" w14:textId="7F6D8134" w:rsidR="00E91721" w:rsidRPr="00E91721" w:rsidRDefault="00E91721" w:rsidP="004D6E20">
      <w:pPr>
        <w:pStyle w:val="ListParagraph"/>
        <w:numPr>
          <w:ilvl w:val="1"/>
          <w:numId w:val="1"/>
        </w:numPr>
        <w:tabs>
          <w:tab w:val="left" w:pos="993"/>
        </w:tabs>
        <w:spacing w:before="120" w:after="120"/>
        <w:ind w:left="992" w:hanging="635"/>
        <w:contextualSpacing w:val="0"/>
        <w:jc w:val="both"/>
        <w:outlineLvl w:val="0"/>
        <w:rPr>
          <w:rFonts w:eastAsia="Calibri" w:cs="Times New Roman"/>
          <w:sz w:val="24"/>
          <w:szCs w:val="24"/>
          <w:lang w:eastAsia="lv-LV"/>
        </w:rPr>
      </w:pPr>
      <w:r w:rsidRPr="00E91721">
        <w:rPr>
          <w:rFonts w:eastAsia="Calibri" w:cs="Times New Roman"/>
          <w:sz w:val="24"/>
          <w:szCs w:val="24"/>
          <w:lang w:eastAsia="lv-LV"/>
        </w:rPr>
        <w:t>nodrošina informācijas un publicitātes pasākumus, kas noteikti Eiropas Parlamenta un Padomes 2013.gada 17</w:t>
      </w:r>
      <w:r w:rsidR="001A24DF">
        <w:rPr>
          <w:rFonts w:eastAsia="Calibri" w:cs="Times New Roman"/>
          <w:sz w:val="24"/>
          <w:szCs w:val="24"/>
          <w:lang w:eastAsia="lv-LV"/>
        </w:rPr>
        <w:t>.</w:t>
      </w:r>
      <w:r w:rsidRPr="00E91721">
        <w:rPr>
          <w:rFonts w:eastAsia="Calibri" w:cs="Times New Roman"/>
          <w:sz w:val="24"/>
          <w:szCs w:val="24"/>
          <w:lang w:eastAsia="lv-LV"/>
        </w:rPr>
        <w:t>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un normatīvajos aktos par kārtību, kādā Eiropas Savienības struktūrfondu un Kohēzijas fonda ieviešanā 2014.–2020.gada plānošanas periodā nodrošināma komunikācijas un vizuālās identitātes prasību ievērošana;</w:t>
      </w:r>
    </w:p>
    <w:p w14:paraId="365247EA" w14:textId="16DB1233" w:rsidR="00C64B50" w:rsidRPr="00F679D3" w:rsidRDefault="00E91721" w:rsidP="00F679D3">
      <w:pPr>
        <w:pStyle w:val="ListParagraph"/>
        <w:numPr>
          <w:ilvl w:val="1"/>
          <w:numId w:val="1"/>
        </w:numPr>
        <w:spacing w:before="120" w:after="120"/>
        <w:ind w:left="992" w:hanging="635"/>
        <w:contextualSpacing w:val="0"/>
        <w:rPr>
          <w:rFonts w:eastAsia="Calibri" w:cs="Times New Roman"/>
          <w:bCs/>
          <w:sz w:val="24"/>
          <w:szCs w:val="24"/>
          <w:lang w:eastAsia="lv-LV"/>
        </w:rPr>
      </w:pPr>
      <w:r w:rsidRPr="00E91721">
        <w:rPr>
          <w:rFonts w:eastAsia="Calibri" w:cs="Times New Roman"/>
          <w:sz w:val="24"/>
          <w:szCs w:val="24"/>
          <w:lang w:eastAsia="lv-LV"/>
        </w:rPr>
        <w:t>uzkrāj datus par projekta ietekmi uz šo noteikumu 4.punktā minētajiem rādītājiem</w:t>
      </w:r>
      <w:r w:rsidR="00F679D3" w:rsidRPr="00F679D3">
        <w:rPr>
          <w:rFonts w:eastAsia="Calibri" w:cs="Times New Roman"/>
          <w:bCs/>
          <w:sz w:val="24"/>
          <w:szCs w:val="24"/>
          <w:lang w:eastAsia="lv-LV"/>
        </w:rPr>
        <w:t xml:space="preserve"> un nodrošina vienotu metodoloģiju rādītāju uzskaitei pi</w:t>
      </w:r>
      <w:r w:rsidR="00283FDD">
        <w:rPr>
          <w:rFonts w:eastAsia="Calibri" w:cs="Times New Roman"/>
          <w:bCs/>
          <w:sz w:val="24"/>
          <w:szCs w:val="24"/>
          <w:lang w:eastAsia="lv-LV"/>
        </w:rPr>
        <w:t>rms un pēc projekta īstenošanas.</w:t>
      </w:r>
    </w:p>
    <w:p w14:paraId="3A8CD57C" w14:textId="52AE317B" w:rsidR="001A24DF" w:rsidRPr="00102B1F" w:rsidRDefault="007A6ACB" w:rsidP="00F679D3">
      <w:pPr>
        <w:pStyle w:val="ListParagraph"/>
        <w:numPr>
          <w:ilvl w:val="0"/>
          <w:numId w:val="1"/>
        </w:numPr>
        <w:tabs>
          <w:tab w:val="left" w:pos="426"/>
        </w:tabs>
        <w:spacing w:before="120" w:after="120"/>
        <w:ind w:left="425" w:hanging="425"/>
        <w:contextualSpacing w:val="0"/>
        <w:jc w:val="both"/>
        <w:outlineLvl w:val="0"/>
        <w:rPr>
          <w:rFonts w:eastAsia="Calibri" w:cs="Times New Roman"/>
          <w:sz w:val="24"/>
          <w:szCs w:val="24"/>
          <w:lang w:eastAsia="lv-LV"/>
        </w:rPr>
      </w:pPr>
      <w:r w:rsidRPr="00102B1F">
        <w:rPr>
          <w:rFonts w:eastAsia="Calibri" w:cs="Times New Roman"/>
          <w:sz w:val="24"/>
          <w:szCs w:val="24"/>
          <w:lang w:eastAsia="lv-LV"/>
        </w:rPr>
        <w:t xml:space="preserve">Pēc līguma par </w:t>
      </w:r>
      <w:r w:rsidR="00283FDD">
        <w:rPr>
          <w:rFonts w:eastAsia="Calibri" w:cs="Times New Roman"/>
          <w:sz w:val="24"/>
          <w:szCs w:val="24"/>
          <w:lang w:eastAsia="lv-LV"/>
        </w:rPr>
        <w:t>projekta īstenošanu noslēgšanas</w:t>
      </w:r>
      <w:r w:rsidRPr="00102B1F">
        <w:rPr>
          <w:rFonts w:eastAsia="Calibri" w:cs="Times New Roman"/>
          <w:sz w:val="24"/>
          <w:szCs w:val="24"/>
          <w:lang w:eastAsia="lv-LV"/>
        </w:rPr>
        <w:t xml:space="preserve"> sadarbības iestāde, pamatojoties uz finansējuma saņēmēja rakstisku avansa pieprasījumu</w:t>
      </w:r>
      <w:r w:rsidR="00CB69A3">
        <w:rPr>
          <w:rFonts w:eastAsia="Calibri" w:cs="Times New Roman"/>
          <w:sz w:val="24"/>
          <w:szCs w:val="24"/>
          <w:lang w:eastAsia="lv-LV"/>
        </w:rPr>
        <w:t>,</w:t>
      </w:r>
      <w:r w:rsidRPr="00102B1F">
        <w:rPr>
          <w:rFonts w:eastAsia="Calibri" w:cs="Times New Roman"/>
          <w:sz w:val="24"/>
          <w:szCs w:val="24"/>
          <w:lang w:eastAsia="lv-LV"/>
        </w:rPr>
        <w:t xml:space="preserve"> atbilstoši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90 procentus no projektam piešķirtā Kohēzijas fonda finansējuma. Avansu var izmaksāt vairākos maksājumos.</w:t>
      </w:r>
    </w:p>
    <w:p w14:paraId="5E5D2BD9" w14:textId="1B807918" w:rsidR="001577E1" w:rsidRPr="001A24DF" w:rsidRDefault="004D3D7D" w:rsidP="001A24DF">
      <w:pPr>
        <w:numPr>
          <w:ilvl w:val="0"/>
          <w:numId w:val="1"/>
        </w:numPr>
        <w:tabs>
          <w:tab w:val="left" w:pos="426"/>
        </w:tabs>
        <w:spacing w:before="120" w:after="120"/>
        <w:ind w:left="426" w:hanging="426"/>
        <w:jc w:val="both"/>
        <w:outlineLvl w:val="0"/>
        <w:rPr>
          <w:rFonts w:eastAsia="Calibri" w:cs="Times New Roman"/>
          <w:bCs/>
          <w:sz w:val="24"/>
          <w:szCs w:val="24"/>
          <w:lang w:eastAsia="lv-LV"/>
        </w:rPr>
      </w:pPr>
      <w:r w:rsidRPr="00FE13CA">
        <w:rPr>
          <w:rFonts w:eastAsia="Calibri" w:cs="Times New Roman"/>
          <w:bCs/>
          <w:sz w:val="24"/>
          <w:szCs w:val="24"/>
          <w:lang w:eastAsia="lv-LV"/>
        </w:rPr>
        <w:t xml:space="preserve">Sadarbības iestādei ir tiesības vienpusēji atkāpties no </w:t>
      </w:r>
      <w:r w:rsidR="00B84613">
        <w:rPr>
          <w:rFonts w:eastAsia="Calibri" w:cs="Times New Roman"/>
          <w:bCs/>
          <w:sz w:val="24"/>
          <w:szCs w:val="24"/>
          <w:lang w:eastAsia="lv-LV"/>
        </w:rPr>
        <w:t>noslēgtā</w:t>
      </w:r>
      <w:r w:rsidR="00BC1EEF" w:rsidRPr="00FE13CA">
        <w:rPr>
          <w:rFonts w:eastAsia="Calibri" w:cs="Times New Roman"/>
          <w:bCs/>
          <w:sz w:val="24"/>
          <w:szCs w:val="24"/>
          <w:lang w:eastAsia="lv-LV"/>
        </w:rPr>
        <w:t xml:space="preserve"> </w:t>
      </w:r>
      <w:r w:rsidR="00B84613">
        <w:rPr>
          <w:rFonts w:eastAsia="Calibri" w:cs="Times New Roman"/>
          <w:bCs/>
          <w:sz w:val="24"/>
          <w:szCs w:val="24"/>
          <w:lang w:eastAsia="lv-LV"/>
        </w:rPr>
        <w:t>līguma</w:t>
      </w:r>
      <w:r w:rsidRPr="00FE13CA">
        <w:rPr>
          <w:rFonts w:eastAsia="Calibri" w:cs="Times New Roman"/>
          <w:bCs/>
          <w:sz w:val="24"/>
          <w:szCs w:val="24"/>
          <w:lang w:eastAsia="lv-LV"/>
        </w:rPr>
        <w:t xml:space="preserve"> </w:t>
      </w:r>
      <w:r w:rsidR="00BC1EEF" w:rsidRPr="00FE13CA">
        <w:rPr>
          <w:rFonts w:eastAsia="Calibri" w:cs="Times New Roman"/>
          <w:bCs/>
          <w:sz w:val="24"/>
          <w:szCs w:val="24"/>
          <w:lang w:eastAsia="lv-LV"/>
        </w:rPr>
        <w:t xml:space="preserve">par projekta īstenošanu </w:t>
      </w:r>
      <w:r w:rsidRPr="00FE13CA">
        <w:rPr>
          <w:rFonts w:eastAsia="Calibri" w:cs="Times New Roman"/>
          <w:bCs/>
          <w:sz w:val="24"/>
          <w:szCs w:val="24"/>
          <w:lang w:eastAsia="lv-LV"/>
        </w:rPr>
        <w:t>jebkurā no šādiem gadījumiem:</w:t>
      </w:r>
    </w:p>
    <w:p w14:paraId="37680B89" w14:textId="52CFF31D" w:rsidR="004D3D7D" w:rsidRPr="006F514B" w:rsidRDefault="006F514B" w:rsidP="001A24DF">
      <w:pPr>
        <w:numPr>
          <w:ilvl w:val="1"/>
          <w:numId w:val="1"/>
        </w:numPr>
        <w:tabs>
          <w:tab w:val="left" w:pos="993"/>
        </w:tabs>
        <w:spacing w:before="120" w:after="120"/>
        <w:ind w:left="992" w:hanging="567"/>
        <w:jc w:val="both"/>
        <w:outlineLvl w:val="0"/>
        <w:rPr>
          <w:rFonts w:eastAsia="Calibri" w:cs="Times New Roman"/>
          <w:sz w:val="24"/>
          <w:szCs w:val="24"/>
          <w:lang w:eastAsia="lv-LV"/>
        </w:rPr>
      </w:pPr>
      <w:r w:rsidRPr="006F514B">
        <w:rPr>
          <w:rFonts w:eastAsia="Calibri" w:cs="Times New Roman"/>
          <w:bCs/>
          <w:sz w:val="24"/>
          <w:szCs w:val="24"/>
          <w:lang w:eastAsia="lv-LV"/>
        </w:rPr>
        <w:lastRenderedPageBreak/>
        <w:t xml:space="preserve">finansējuma saņēmējs nepilda līguma nosacījumus par projekta īstenošanu, </w:t>
      </w:r>
      <w:r w:rsidR="00283FDD">
        <w:rPr>
          <w:rFonts w:eastAsia="Calibri" w:cs="Times New Roman"/>
          <w:bCs/>
          <w:sz w:val="24"/>
          <w:szCs w:val="24"/>
          <w:lang w:eastAsia="lv-LV"/>
        </w:rPr>
        <w:t>tostarp</w:t>
      </w:r>
      <w:r w:rsidRPr="006F514B">
        <w:rPr>
          <w:rFonts w:eastAsia="Calibri" w:cs="Times New Roman"/>
          <w:bCs/>
          <w:sz w:val="24"/>
          <w:szCs w:val="24"/>
          <w:lang w:eastAsia="lv-LV"/>
        </w:rPr>
        <w:t xml:space="preserve"> projekta īstenošana nenotiek atbilstoši projektā noteiktajam laika grafikam vai ir iestājušies citi apstākļi atbilstoši Eiropas Savienības un nacionālā līmeņa tiesību aktiem, kas ietekmē vai var ietekmēt pasākuma mērķi, pasākuma iznākuma radītāju vai uzraudzības rādītāju sasniegšanu</w:t>
      </w:r>
      <w:r w:rsidR="009D43AD" w:rsidRPr="006F514B">
        <w:rPr>
          <w:rFonts w:eastAsia="Calibri" w:cs="Times New Roman"/>
          <w:bCs/>
          <w:sz w:val="24"/>
          <w:szCs w:val="24"/>
          <w:lang w:eastAsia="lv-LV"/>
        </w:rPr>
        <w:t xml:space="preserve">; </w:t>
      </w:r>
      <w:r w:rsidR="004D3D7D" w:rsidRPr="006F514B">
        <w:rPr>
          <w:rFonts w:eastAsia="Calibri" w:cs="Times New Roman"/>
          <w:bCs/>
          <w:sz w:val="24"/>
          <w:szCs w:val="24"/>
          <w:lang w:eastAsia="lv-LV"/>
        </w:rPr>
        <w:t xml:space="preserve"> </w:t>
      </w:r>
    </w:p>
    <w:p w14:paraId="2D8F493B" w14:textId="25E23B8D" w:rsidR="00E53720" w:rsidRPr="00FE13CA" w:rsidRDefault="004D3D7D" w:rsidP="001A24DF">
      <w:pPr>
        <w:numPr>
          <w:ilvl w:val="1"/>
          <w:numId w:val="1"/>
        </w:numPr>
        <w:tabs>
          <w:tab w:val="left" w:pos="993"/>
        </w:tabs>
        <w:spacing w:before="120" w:after="120"/>
        <w:ind w:left="992" w:hanging="567"/>
        <w:jc w:val="both"/>
        <w:outlineLvl w:val="0"/>
        <w:rPr>
          <w:rFonts w:eastAsia="Calibri" w:cs="Times New Roman"/>
          <w:sz w:val="24"/>
          <w:szCs w:val="24"/>
          <w:lang w:eastAsia="lv-LV"/>
        </w:rPr>
      </w:pPr>
      <w:r w:rsidRPr="00FE13CA">
        <w:rPr>
          <w:rFonts w:eastAsia="Calibri" w:cs="Times New Roman"/>
          <w:bCs/>
          <w:sz w:val="24"/>
          <w:szCs w:val="24"/>
          <w:lang w:eastAsia="lv-LV"/>
        </w:rPr>
        <w:t xml:space="preserve">citos gadījumos, kas noteikti </w:t>
      </w:r>
      <w:r w:rsidR="00B84613">
        <w:rPr>
          <w:rFonts w:eastAsia="Calibri" w:cs="Times New Roman"/>
          <w:bCs/>
          <w:sz w:val="24"/>
          <w:szCs w:val="24"/>
          <w:lang w:eastAsia="lv-LV"/>
        </w:rPr>
        <w:t>līgumā</w:t>
      </w:r>
      <w:r w:rsidRPr="00FE13CA">
        <w:rPr>
          <w:rFonts w:eastAsia="Calibri" w:cs="Times New Roman"/>
          <w:bCs/>
          <w:sz w:val="24"/>
          <w:szCs w:val="24"/>
          <w:lang w:eastAsia="lv-LV"/>
        </w:rPr>
        <w:t xml:space="preserve"> par projekta īstenošanu</w:t>
      </w:r>
      <w:r w:rsidR="00657424">
        <w:rPr>
          <w:rFonts w:eastAsia="Calibri" w:cs="Times New Roman"/>
          <w:bCs/>
          <w:sz w:val="24"/>
          <w:szCs w:val="24"/>
          <w:lang w:eastAsia="lv-LV"/>
        </w:rPr>
        <w:t>.</w:t>
      </w:r>
      <w:r w:rsidR="00E53720" w:rsidRPr="00FE13CA">
        <w:rPr>
          <w:rFonts w:eastAsia="Calibri" w:cs="Times New Roman"/>
          <w:bCs/>
          <w:sz w:val="24"/>
          <w:szCs w:val="24"/>
          <w:lang w:eastAsia="lv-LV"/>
        </w:rPr>
        <w:t xml:space="preserve"> </w:t>
      </w:r>
    </w:p>
    <w:p w14:paraId="411E7C54" w14:textId="77B29B2F" w:rsidR="00626D99" w:rsidRPr="00626D99" w:rsidRDefault="001E1B22" w:rsidP="00626D99">
      <w:pPr>
        <w:numPr>
          <w:ilvl w:val="0"/>
          <w:numId w:val="1"/>
        </w:numPr>
        <w:tabs>
          <w:tab w:val="left" w:pos="993"/>
        </w:tabs>
        <w:spacing w:before="120" w:after="0"/>
        <w:ind w:left="426" w:hanging="426"/>
        <w:jc w:val="both"/>
        <w:outlineLvl w:val="0"/>
        <w:rPr>
          <w:rFonts w:eastAsia="Calibri" w:cs="Times New Roman"/>
          <w:sz w:val="24"/>
          <w:szCs w:val="24"/>
          <w:lang w:eastAsia="lv-LV"/>
        </w:rPr>
      </w:pPr>
      <w:r>
        <w:rPr>
          <w:rFonts w:eastAsia="Calibri" w:cs="Times New Roman"/>
          <w:sz w:val="24"/>
          <w:szCs w:val="24"/>
          <w:lang w:eastAsia="lv-LV"/>
        </w:rPr>
        <w:t>P</w:t>
      </w:r>
      <w:r w:rsidR="00247E0A">
        <w:rPr>
          <w:bCs/>
          <w:sz w:val="24"/>
          <w:szCs w:val="24"/>
        </w:rPr>
        <w:t>asākuma</w:t>
      </w:r>
      <w:r w:rsidR="00AC2309" w:rsidRPr="00FE13CA">
        <w:rPr>
          <w:bCs/>
          <w:sz w:val="24"/>
          <w:szCs w:val="24"/>
        </w:rPr>
        <w:t xml:space="preserve"> ietvaros projektu īsteno saskaņā ar </w:t>
      </w:r>
      <w:r w:rsidR="00B84613">
        <w:rPr>
          <w:bCs/>
          <w:sz w:val="24"/>
          <w:szCs w:val="24"/>
        </w:rPr>
        <w:t>līgumu</w:t>
      </w:r>
      <w:r w:rsidR="00AC2309" w:rsidRPr="00FE13CA">
        <w:rPr>
          <w:bCs/>
          <w:sz w:val="24"/>
          <w:szCs w:val="24"/>
        </w:rPr>
        <w:t xml:space="preserve"> par projekta īstenošanu, bet ne ilgāk kā līdz </w:t>
      </w:r>
      <w:r w:rsidR="00216A77" w:rsidRPr="00FE13CA">
        <w:rPr>
          <w:bCs/>
          <w:sz w:val="24"/>
          <w:szCs w:val="24"/>
        </w:rPr>
        <w:t>202</w:t>
      </w:r>
      <w:r w:rsidR="001A24DF">
        <w:rPr>
          <w:bCs/>
          <w:sz w:val="24"/>
          <w:szCs w:val="24"/>
        </w:rPr>
        <w:t>3</w:t>
      </w:r>
      <w:r w:rsidR="00AC2309" w:rsidRPr="00FE13CA">
        <w:rPr>
          <w:bCs/>
          <w:sz w:val="24"/>
          <w:szCs w:val="24"/>
        </w:rPr>
        <w:t>.gada 31.</w:t>
      </w:r>
      <w:r w:rsidR="00023551">
        <w:rPr>
          <w:bCs/>
          <w:sz w:val="24"/>
          <w:szCs w:val="24"/>
        </w:rPr>
        <w:t>decembrim</w:t>
      </w:r>
      <w:r w:rsidR="00AC2309" w:rsidRPr="00FE13CA">
        <w:rPr>
          <w:bCs/>
          <w:sz w:val="24"/>
          <w:szCs w:val="24"/>
        </w:rPr>
        <w:t>.</w:t>
      </w:r>
    </w:p>
    <w:p w14:paraId="3B7C09B0" w14:textId="77777777" w:rsidR="00626D99" w:rsidRPr="00626D99" w:rsidRDefault="00626D99" w:rsidP="00626D9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626D99">
        <w:rPr>
          <w:rFonts w:eastAsia="Calibri" w:cs="Times New Roman"/>
          <w:bCs/>
          <w:sz w:val="24"/>
          <w:szCs w:val="24"/>
          <w:lang w:eastAsia="lv-LV"/>
        </w:rPr>
        <w:t>Finansējuma saņēmējs nodrošina, ka pēc projekta īstenošanas projekta ietvaros radītā infrastruktūra būs vienlīdzīgi un bez diskriminācijas pieejama visiem potenciālajiem lietotājiem un par piekļuvi šai infrastruktūrai tiks noteikta adekvāta samaksa.</w:t>
      </w:r>
    </w:p>
    <w:p w14:paraId="304D8579" w14:textId="77B29B2F" w:rsidR="00E53720" w:rsidRPr="00FE13CA" w:rsidRDefault="00E53720" w:rsidP="00AC230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FE13CA">
        <w:rPr>
          <w:bCs/>
          <w:sz w:val="24"/>
          <w:szCs w:val="24"/>
        </w:rPr>
        <w:t>Projekta īstenošanas vieta ir Latvijas Republikas teritorija.</w:t>
      </w:r>
      <w:bookmarkStart w:id="1" w:name="294762"/>
      <w:bookmarkEnd w:id="1"/>
    </w:p>
    <w:p w14:paraId="29063F76" w14:textId="77777777" w:rsidR="00C57BEE" w:rsidRPr="00FE13CA" w:rsidRDefault="00C57BEE" w:rsidP="00C57BEE">
      <w:pPr>
        <w:ind w:firstLine="720"/>
        <w:jc w:val="both"/>
        <w:rPr>
          <w:sz w:val="24"/>
          <w:szCs w:val="24"/>
        </w:rPr>
      </w:pPr>
    </w:p>
    <w:p w14:paraId="02D4A8AA" w14:textId="77777777" w:rsidR="001A24DF" w:rsidRPr="00D13A29" w:rsidRDefault="001A24DF" w:rsidP="008A6AB4">
      <w:pPr>
        <w:tabs>
          <w:tab w:val="left" w:pos="993"/>
        </w:tabs>
        <w:spacing w:before="480" w:after="480"/>
        <w:jc w:val="both"/>
        <w:outlineLvl w:val="0"/>
        <w:rPr>
          <w:bCs/>
          <w:sz w:val="24"/>
          <w:szCs w:val="24"/>
        </w:rPr>
      </w:pPr>
      <w:r w:rsidRPr="00D13A29">
        <w:rPr>
          <w:bCs/>
          <w:sz w:val="24"/>
          <w:szCs w:val="24"/>
        </w:rPr>
        <w:t>Ministru prezident</w:t>
      </w:r>
      <w:r>
        <w:rPr>
          <w:bCs/>
          <w:sz w:val="24"/>
          <w:szCs w:val="24"/>
        </w:rPr>
        <w:t>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M.</w:t>
      </w:r>
      <w:r w:rsidRPr="00D13A29">
        <w:rPr>
          <w:bCs/>
          <w:sz w:val="24"/>
          <w:szCs w:val="24"/>
        </w:rPr>
        <w:t>Kučinskis</w:t>
      </w:r>
    </w:p>
    <w:p w14:paraId="33573F6D" w14:textId="77777777" w:rsidR="001A24DF" w:rsidRPr="00D13A29" w:rsidRDefault="001A24DF" w:rsidP="008A6AB4">
      <w:pPr>
        <w:tabs>
          <w:tab w:val="left" w:pos="993"/>
        </w:tabs>
        <w:spacing w:before="480" w:after="480"/>
        <w:jc w:val="both"/>
        <w:outlineLvl w:val="0"/>
        <w:rPr>
          <w:bCs/>
          <w:sz w:val="24"/>
          <w:szCs w:val="24"/>
        </w:rPr>
      </w:pPr>
      <w:r>
        <w:rPr>
          <w:bCs/>
          <w:sz w:val="24"/>
          <w:szCs w:val="24"/>
        </w:rPr>
        <w:t>Satiksmes ministrs</w:t>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Pr="00D13A29">
        <w:rPr>
          <w:bCs/>
          <w:sz w:val="24"/>
          <w:szCs w:val="24"/>
        </w:rPr>
        <w:tab/>
      </w:r>
      <w:r>
        <w:rPr>
          <w:bCs/>
          <w:sz w:val="24"/>
          <w:szCs w:val="24"/>
        </w:rPr>
        <w:tab/>
        <w:t>U.</w:t>
      </w:r>
      <w:r w:rsidRPr="0018175A">
        <w:rPr>
          <w:bCs/>
          <w:sz w:val="24"/>
          <w:szCs w:val="24"/>
        </w:rPr>
        <w:t>Augulis</w:t>
      </w:r>
    </w:p>
    <w:p w14:paraId="3528FEE2" w14:textId="77777777" w:rsidR="001A24DF" w:rsidRPr="00D13A29" w:rsidRDefault="001A24DF" w:rsidP="008A6AB4">
      <w:pPr>
        <w:tabs>
          <w:tab w:val="left" w:pos="993"/>
        </w:tabs>
        <w:spacing w:before="480" w:after="480"/>
        <w:jc w:val="both"/>
        <w:outlineLvl w:val="0"/>
        <w:rPr>
          <w:bCs/>
          <w:sz w:val="24"/>
          <w:szCs w:val="24"/>
        </w:rPr>
      </w:pPr>
      <w:r w:rsidRPr="00D13A29">
        <w:rPr>
          <w:bCs/>
          <w:sz w:val="24"/>
          <w:szCs w:val="24"/>
        </w:rPr>
        <w:t>Iesniedzējs: Satiksmes ministr</w:t>
      </w:r>
      <w:r>
        <w:rPr>
          <w:bCs/>
          <w:sz w:val="24"/>
          <w:szCs w:val="24"/>
        </w:rPr>
        <w:t>s</w:t>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Pr="0018175A">
        <w:rPr>
          <w:bCs/>
          <w:sz w:val="24"/>
          <w:szCs w:val="24"/>
        </w:rPr>
        <w:t>U.Augulis</w:t>
      </w:r>
    </w:p>
    <w:p w14:paraId="6CE939A5" w14:textId="77777777" w:rsidR="001A24DF" w:rsidRPr="00D13A29" w:rsidRDefault="001A24DF" w:rsidP="008A6AB4">
      <w:pPr>
        <w:tabs>
          <w:tab w:val="left" w:pos="993"/>
        </w:tabs>
        <w:spacing w:before="480" w:after="480"/>
        <w:jc w:val="both"/>
        <w:outlineLvl w:val="0"/>
        <w:rPr>
          <w:bCs/>
          <w:sz w:val="24"/>
          <w:szCs w:val="24"/>
        </w:rPr>
      </w:pPr>
      <w:r w:rsidRPr="00D13A29">
        <w:rPr>
          <w:bCs/>
          <w:sz w:val="24"/>
          <w:szCs w:val="24"/>
        </w:rPr>
        <w:t>Vīza: Valsts sekretārs</w:t>
      </w:r>
      <w:r w:rsidRPr="00D13A29">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D13A29">
        <w:rPr>
          <w:bCs/>
          <w:sz w:val="24"/>
          <w:szCs w:val="24"/>
        </w:rPr>
        <w:t>K.Ozoliņš</w:t>
      </w:r>
    </w:p>
    <w:p w14:paraId="4A554F4D" w14:textId="77777777" w:rsidR="001A24DF" w:rsidRDefault="001A24DF" w:rsidP="001A24DF">
      <w:pPr>
        <w:tabs>
          <w:tab w:val="left" w:pos="993"/>
        </w:tabs>
        <w:spacing w:after="120"/>
        <w:jc w:val="both"/>
        <w:outlineLvl w:val="0"/>
        <w:rPr>
          <w:bCs/>
          <w:sz w:val="24"/>
          <w:szCs w:val="24"/>
        </w:rPr>
      </w:pPr>
    </w:p>
    <w:p w14:paraId="45D0129E" w14:textId="77777777" w:rsidR="001A24DF" w:rsidRDefault="001A24DF" w:rsidP="001A24DF">
      <w:pPr>
        <w:tabs>
          <w:tab w:val="left" w:pos="993"/>
        </w:tabs>
        <w:spacing w:after="120"/>
        <w:jc w:val="both"/>
        <w:outlineLvl w:val="0"/>
        <w:rPr>
          <w:bCs/>
          <w:sz w:val="24"/>
          <w:szCs w:val="24"/>
        </w:rPr>
      </w:pPr>
    </w:p>
    <w:p w14:paraId="3D3439E9" w14:textId="77777777" w:rsidR="001A24DF" w:rsidRDefault="001A24DF" w:rsidP="001A24DF">
      <w:pPr>
        <w:tabs>
          <w:tab w:val="left" w:pos="993"/>
        </w:tabs>
        <w:spacing w:after="120"/>
        <w:jc w:val="both"/>
        <w:outlineLvl w:val="0"/>
        <w:rPr>
          <w:bCs/>
          <w:sz w:val="24"/>
          <w:szCs w:val="24"/>
        </w:rPr>
      </w:pPr>
    </w:p>
    <w:p w14:paraId="179E68C7" w14:textId="77777777" w:rsidR="001A24DF" w:rsidRDefault="001A24DF" w:rsidP="001A24DF">
      <w:pPr>
        <w:tabs>
          <w:tab w:val="left" w:pos="993"/>
        </w:tabs>
        <w:spacing w:after="120"/>
        <w:jc w:val="both"/>
        <w:outlineLvl w:val="0"/>
        <w:rPr>
          <w:bCs/>
          <w:sz w:val="24"/>
          <w:szCs w:val="24"/>
        </w:rPr>
      </w:pPr>
    </w:p>
    <w:p w14:paraId="767151DB" w14:textId="77777777" w:rsidR="008A6AB4" w:rsidRDefault="008A6AB4" w:rsidP="001A24DF">
      <w:pPr>
        <w:tabs>
          <w:tab w:val="left" w:pos="993"/>
        </w:tabs>
        <w:spacing w:after="120"/>
        <w:jc w:val="both"/>
        <w:outlineLvl w:val="0"/>
        <w:rPr>
          <w:bCs/>
          <w:sz w:val="24"/>
          <w:szCs w:val="24"/>
        </w:rPr>
      </w:pPr>
    </w:p>
    <w:p w14:paraId="0EAE733C" w14:textId="77777777" w:rsidR="00283FDD" w:rsidRDefault="00283FDD" w:rsidP="001A24DF">
      <w:pPr>
        <w:tabs>
          <w:tab w:val="left" w:pos="993"/>
        </w:tabs>
        <w:spacing w:after="120"/>
        <w:jc w:val="both"/>
        <w:outlineLvl w:val="0"/>
        <w:rPr>
          <w:bCs/>
          <w:sz w:val="24"/>
          <w:szCs w:val="24"/>
        </w:rPr>
      </w:pPr>
    </w:p>
    <w:p w14:paraId="55877427" w14:textId="77777777" w:rsidR="00283FDD" w:rsidRDefault="00283FDD" w:rsidP="001A24DF">
      <w:pPr>
        <w:tabs>
          <w:tab w:val="left" w:pos="993"/>
        </w:tabs>
        <w:spacing w:after="120"/>
        <w:jc w:val="both"/>
        <w:outlineLvl w:val="0"/>
        <w:rPr>
          <w:bCs/>
          <w:sz w:val="24"/>
          <w:szCs w:val="24"/>
        </w:rPr>
      </w:pPr>
    </w:p>
    <w:p w14:paraId="487FCE37" w14:textId="77777777" w:rsidR="00283FDD" w:rsidRDefault="00283FDD" w:rsidP="001A24DF">
      <w:pPr>
        <w:tabs>
          <w:tab w:val="left" w:pos="993"/>
        </w:tabs>
        <w:spacing w:after="120"/>
        <w:jc w:val="both"/>
        <w:outlineLvl w:val="0"/>
        <w:rPr>
          <w:bCs/>
          <w:sz w:val="24"/>
          <w:szCs w:val="24"/>
        </w:rPr>
      </w:pPr>
    </w:p>
    <w:p w14:paraId="6A16E9D9" w14:textId="77777777" w:rsidR="00283FDD" w:rsidRDefault="00283FDD" w:rsidP="001A24DF">
      <w:pPr>
        <w:tabs>
          <w:tab w:val="left" w:pos="993"/>
        </w:tabs>
        <w:spacing w:after="120"/>
        <w:jc w:val="both"/>
        <w:outlineLvl w:val="0"/>
        <w:rPr>
          <w:bCs/>
          <w:sz w:val="24"/>
          <w:szCs w:val="24"/>
        </w:rPr>
      </w:pPr>
    </w:p>
    <w:p w14:paraId="0C1609D2" w14:textId="77777777" w:rsidR="00283FDD" w:rsidRDefault="00283FDD" w:rsidP="001A24DF">
      <w:pPr>
        <w:tabs>
          <w:tab w:val="left" w:pos="993"/>
        </w:tabs>
        <w:spacing w:after="120"/>
        <w:jc w:val="both"/>
        <w:outlineLvl w:val="0"/>
        <w:rPr>
          <w:bCs/>
          <w:sz w:val="24"/>
          <w:szCs w:val="24"/>
        </w:rPr>
      </w:pPr>
    </w:p>
    <w:p w14:paraId="4483648D" w14:textId="77777777" w:rsidR="00283FDD" w:rsidRDefault="00283FDD" w:rsidP="001A24DF">
      <w:pPr>
        <w:tabs>
          <w:tab w:val="left" w:pos="993"/>
        </w:tabs>
        <w:spacing w:after="120"/>
        <w:jc w:val="both"/>
        <w:outlineLvl w:val="0"/>
        <w:rPr>
          <w:bCs/>
          <w:sz w:val="24"/>
          <w:szCs w:val="24"/>
        </w:rPr>
      </w:pPr>
    </w:p>
    <w:p w14:paraId="7FB555F4" w14:textId="77777777" w:rsidR="00283FDD" w:rsidRDefault="00283FDD" w:rsidP="001A24DF">
      <w:pPr>
        <w:tabs>
          <w:tab w:val="left" w:pos="993"/>
        </w:tabs>
        <w:spacing w:after="120"/>
        <w:jc w:val="both"/>
        <w:outlineLvl w:val="0"/>
        <w:rPr>
          <w:bCs/>
          <w:sz w:val="24"/>
          <w:szCs w:val="24"/>
        </w:rPr>
      </w:pPr>
    </w:p>
    <w:p w14:paraId="6AAF5E96" w14:textId="77777777" w:rsidR="00283FDD" w:rsidRDefault="00283FDD" w:rsidP="001A24DF">
      <w:pPr>
        <w:tabs>
          <w:tab w:val="left" w:pos="993"/>
        </w:tabs>
        <w:spacing w:after="120"/>
        <w:jc w:val="both"/>
        <w:outlineLvl w:val="0"/>
        <w:rPr>
          <w:bCs/>
          <w:sz w:val="24"/>
          <w:szCs w:val="24"/>
        </w:rPr>
      </w:pPr>
    </w:p>
    <w:p w14:paraId="61203D9D" w14:textId="481A230E" w:rsidR="001A24DF" w:rsidRPr="0018175A" w:rsidRDefault="003D0429" w:rsidP="001A24DF">
      <w:pPr>
        <w:spacing w:after="0"/>
        <w:jc w:val="both"/>
        <w:rPr>
          <w:sz w:val="20"/>
          <w:szCs w:val="24"/>
        </w:rPr>
      </w:pPr>
      <w:r>
        <w:rPr>
          <w:sz w:val="20"/>
          <w:szCs w:val="24"/>
        </w:rPr>
        <w:t>01</w:t>
      </w:r>
      <w:r w:rsidR="001A24DF" w:rsidRPr="0018175A">
        <w:rPr>
          <w:sz w:val="20"/>
          <w:szCs w:val="24"/>
        </w:rPr>
        <w:t>.</w:t>
      </w:r>
      <w:r>
        <w:rPr>
          <w:sz w:val="20"/>
          <w:szCs w:val="24"/>
        </w:rPr>
        <w:t>06.2016.</w:t>
      </w:r>
    </w:p>
    <w:p w14:paraId="2CE89DCE" w14:textId="141ED950" w:rsidR="001A24DF" w:rsidRPr="0018175A" w:rsidRDefault="00626D99" w:rsidP="001A24DF">
      <w:pPr>
        <w:spacing w:after="0"/>
        <w:jc w:val="both"/>
        <w:rPr>
          <w:sz w:val="20"/>
          <w:szCs w:val="24"/>
        </w:rPr>
      </w:pPr>
      <w:r>
        <w:rPr>
          <w:sz w:val="20"/>
          <w:szCs w:val="24"/>
        </w:rPr>
        <w:t>140</w:t>
      </w:r>
      <w:r w:rsidR="00283FDD">
        <w:rPr>
          <w:sz w:val="20"/>
          <w:szCs w:val="24"/>
        </w:rPr>
        <w:t>0</w:t>
      </w:r>
    </w:p>
    <w:p w14:paraId="72FAC5A5" w14:textId="77777777" w:rsidR="001A24DF" w:rsidRPr="0018175A" w:rsidRDefault="001A24DF" w:rsidP="001A24DF">
      <w:pPr>
        <w:spacing w:after="0"/>
        <w:jc w:val="both"/>
        <w:rPr>
          <w:sz w:val="20"/>
          <w:szCs w:val="24"/>
        </w:rPr>
      </w:pPr>
      <w:r w:rsidRPr="0018175A">
        <w:rPr>
          <w:sz w:val="20"/>
          <w:szCs w:val="24"/>
        </w:rPr>
        <w:t>A.Strods, 67028038</w:t>
      </w:r>
    </w:p>
    <w:p w14:paraId="197D34AB" w14:textId="77777777" w:rsidR="001A24DF" w:rsidRPr="0018175A" w:rsidRDefault="001A24DF" w:rsidP="001A24DF">
      <w:pPr>
        <w:spacing w:after="0"/>
        <w:jc w:val="both"/>
        <w:rPr>
          <w:sz w:val="20"/>
          <w:szCs w:val="24"/>
        </w:rPr>
      </w:pPr>
      <w:r w:rsidRPr="0018175A">
        <w:rPr>
          <w:sz w:val="20"/>
          <w:szCs w:val="24"/>
        </w:rPr>
        <w:t>Andis.Strods@sam.gov.lv</w:t>
      </w:r>
    </w:p>
    <w:sectPr w:rsidR="001A24DF" w:rsidRPr="0018175A" w:rsidSect="00627971">
      <w:headerReference w:type="default" r:id="rId12"/>
      <w:footerReference w:type="default" r:id="rId13"/>
      <w:headerReference w:type="first" r:id="rId14"/>
      <w:footerReference w:type="first" r:id="rId15"/>
      <w:pgSz w:w="11906" w:h="16838"/>
      <w:pgMar w:top="1701" w:right="1134" w:bottom="1134" w:left="1418" w:header="709"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89EF8" w15:done="0"/>
  <w15:commentEx w15:paraId="09774825" w15:done="0"/>
  <w15:commentEx w15:paraId="401761D3" w15:done="0"/>
  <w15:commentEx w15:paraId="4F7F216F" w15:done="0"/>
  <w15:commentEx w15:paraId="04D0B9D3" w15:done="0"/>
  <w15:commentEx w15:paraId="56758867" w15:done="0"/>
  <w15:commentEx w15:paraId="75FEAC75" w15:done="0"/>
  <w15:commentEx w15:paraId="462B0AED" w15:done="0"/>
  <w15:commentEx w15:paraId="602D7D78" w15:done="0"/>
  <w15:commentEx w15:paraId="7D2F1EB3" w15:done="0"/>
  <w15:commentEx w15:paraId="7C4EFAD7" w15:done="0"/>
  <w15:commentEx w15:paraId="7CF9F4A6" w15:done="0"/>
  <w15:commentEx w15:paraId="1C2B8FE6" w15:done="0"/>
  <w15:commentEx w15:paraId="4ACA3439" w15:done="0"/>
  <w15:commentEx w15:paraId="4E3C2D51" w15:done="0"/>
  <w15:commentEx w15:paraId="71D57B1E" w15:done="0"/>
  <w15:commentEx w15:paraId="75A35031" w15:done="0"/>
  <w15:commentEx w15:paraId="1637FB33" w15:done="0"/>
  <w15:commentEx w15:paraId="7CAC8A5F" w15:done="0"/>
  <w15:commentEx w15:paraId="02455D38" w15:done="0"/>
  <w15:commentEx w15:paraId="75449F9D" w15:done="0"/>
  <w15:commentEx w15:paraId="64AC4A03" w15:done="0"/>
  <w15:commentEx w15:paraId="40A03838" w15:done="0"/>
  <w15:commentEx w15:paraId="715163E0" w15:done="0"/>
  <w15:commentEx w15:paraId="5D99A218" w15:done="0"/>
  <w15:commentEx w15:paraId="6AE791E3" w15:done="0"/>
  <w15:commentEx w15:paraId="1AA53BEB" w15:done="0"/>
  <w15:commentEx w15:paraId="2D18EF65" w15:done="0"/>
  <w15:commentEx w15:paraId="30A4B2C2" w15:done="0"/>
  <w15:commentEx w15:paraId="0244CC78" w15:done="0"/>
  <w15:commentEx w15:paraId="396A97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CC92B" w14:textId="77777777" w:rsidR="00324236" w:rsidRDefault="00324236">
      <w:pPr>
        <w:spacing w:after="0"/>
      </w:pPr>
      <w:r>
        <w:separator/>
      </w:r>
    </w:p>
  </w:endnote>
  <w:endnote w:type="continuationSeparator" w:id="0">
    <w:p w14:paraId="473C1D6A" w14:textId="77777777" w:rsidR="00324236" w:rsidRDefault="00324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F0AC" w14:textId="338CF1CB" w:rsidR="008A6AB4" w:rsidRPr="008A6AB4" w:rsidRDefault="00DD6936" w:rsidP="008A6AB4">
    <w:pPr>
      <w:pStyle w:val="Footer"/>
      <w:jc w:val="both"/>
      <w:rPr>
        <w:sz w:val="18"/>
      </w:rPr>
    </w:pPr>
    <w:r w:rsidRPr="00DD6936">
      <w:rPr>
        <w:sz w:val="18"/>
      </w:rPr>
      <w:t>SMNot_SAM6212_</w:t>
    </w:r>
    <w:r w:rsidR="003D0429">
      <w:rPr>
        <w:sz w:val="18"/>
      </w:rPr>
      <w:t>0106</w:t>
    </w:r>
    <w:r w:rsidRPr="00DD6936">
      <w:rPr>
        <w:sz w:val="18"/>
      </w:rPr>
      <w:t>2016</w:t>
    </w:r>
    <w:r>
      <w:rPr>
        <w:sz w:val="18"/>
      </w:rPr>
      <w:t>;’</w:t>
    </w:r>
    <w:r w:rsidR="008A6AB4" w:rsidRPr="008A6AB4">
      <w:rPr>
        <w:sz w:val="18"/>
      </w:rPr>
      <w:t>Darbības programmas „Izaugsme un nodarbinātība” prioritārā virziena „Ilgtspējīga transporta sistēma” 6.2.1.specifiskā atbalsta mērķa „Nodrošināt konkurētspējīgu un videi draudzīgu TEN-T dzelzceļa tīklu, veicinot tā drošību, kvalitāti un kapacitāti” 6.2.1.2.pasākuma “Dzelzceļa infrastruktūras modernizācija un izbūve” īstenošanas noteikumi</w:t>
    </w:r>
  </w:p>
  <w:p w14:paraId="5F30608A" w14:textId="77777777" w:rsidR="008A6AB4" w:rsidRDefault="008A6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BD31" w14:textId="1031FD3D" w:rsidR="008A6AB4" w:rsidRPr="008A6AB4" w:rsidRDefault="00DD6936" w:rsidP="008A6AB4">
    <w:pPr>
      <w:pStyle w:val="Footer"/>
      <w:jc w:val="both"/>
      <w:rPr>
        <w:sz w:val="18"/>
      </w:rPr>
    </w:pPr>
    <w:r w:rsidRPr="00DD6936">
      <w:rPr>
        <w:sz w:val="18"/>
      </w:rPr>
      <w:t>SMNot_SAM6212_</w:t>
    </w:r>
    <w:r w:rsidR="003D0429">
      <w:rPr>
        <w:sz w:val="18"/>
      </w:rPr>
      <w:t>0106</w:t>
    </w:r>
    <w:r w:rsidRPr="00DD6936">
      <w:rPr>
        <w:sz w:val="18"/>
      </w:rPr>
      <w:t>2016</w:t>
    </w:r>
    <w:r>
      <w:rPr>
        <w:sz w:val="18"/>
      </w:rPr>
      <w:t xml:space="preserve">; </w:t>
    </w:r>
    <w:r w:rsidR="008A6AB4" w:rsidRPr="008A6AB4">
      <w:rPr>
        <w:sz w:val="18"/>
      </w:rPr>
      <w:t>Darbības programmas „Izaugsme un nodarbinātība” prioritārā virziena „Ilgtspējīga transporta sistēma” 6.2.1.specifiskā atbalsta mērķa „Nodrošināt konkurētspējīgu un videi draudzīgu TEN-T dzelzceļa tīklu, veicinot tā drošību, kvalitāti un kapacitāti” 6.2.1.2.pasākuma “Dzelzceļa infrastruktūras modernizācija un izbūve”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3B66" w14:textId="77777777" w:rsidR="00324236" w:rsidRDefault="00324236">
      <w:pPr>
        <w:spacing w:after="0"/>
      </w:pPr>
      <w:r>
        <w:separator/>
      </w:r>
    </w:p>
  </w:footnote>
  <w:footnote w:type="continuationSeparator" w:id="0">
    <w:p w14:paraId="6B6399D6" w14:textId="77777777" w:rsidR="00324236" w:rsidRDefault="003242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2478C" w14:textId="77777777" w:rsidR="00BC0ECA"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BC551F">
      <w:rPr>
        <w:noProof/>
        <w:sz w:val="20"/>
        <w:szCs w:val="20"/>
      </w:rPr>
      <w:t>2</w:t>
    </w:r>
    <w:r w:rsidRPr="00627971">
      <w:rPr>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E3D9" w14:textId="77777777" w:rsidR="00B15293" w:rsidRPr="00B15293" w:rsidRDefault="00B15293" w:rsidP="00B15293">
    <w:pPr>
      <w:pStyle w:val="Header"/>
      <w:jc w:val="right"/>
      <w:rPr>
        <w:i/>
      </w:rPr>
    </w:pPr>
    <w:r w:rsidRPr="00B15293">
      <w:rPr>
        <w:i/>
      </w:rPr>
      <w:t>Projekts</w:t>
    </w:r>
  </w:p>
  <w:p w14:paraId="412ECAF5" w14:textId="77777777" w:rsidR="00B15293" w:rsidRDefault="00B15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00017"/>
    <w:multiLevelType w:val="hybridMultilevel"/>
    <w:tmpl w:val="74881534"/>
    <w:lvl w:ilvl="0" w:tplc="9F3E895E">
      <w:start w:val="4"/>
      <w:numFmt w:val="decimal"/>
      <w:lvlText w:val="%1.2."/>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4B73ED"/>
    <w:multiLevelType w:val="hybridMultilevel"/>
    <w:tmpl w:val="3938AB9E"/>
    <w:lvl w:ilvl="0" w:tplc="BE6CB240">
      <w:start w:val="4"/>
      <w:numFmt w:val="decimal"/>
      <w:lvlText w:val="%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F87539"/>
    <w:multiLevelType w:val="hybridMultilevel"/>
    <w:tmpl w:val="EA3A5AD4"/>
    <w:lvl w:ilvl="0" w:tplc="C3B691E0">
      <w:start w:val="12"/>
      <w:numFmt w:val="decimal"/>
      <w:lvlText w:val="%1.2"/>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B472B7"/>
    <w:multiLevelType w:val="multilevel"/>
    <w:tmpl w:val="87A68A16"/>
    <w:lvl w:ilvl="0">
      <w:start w:val="1"/>
      <w:numFmt w:val="none"/>
      <w:lvlText w:val="20.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697272"/>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449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4021C10"/>
    <w:multiLevelType w:val="hybridMultilevel"/>
    <w:tmpl w:val="9698D2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F547754"/>
    <w:multiLevelType w:val="multilevel"/>
    <w:tmpl w:val="A704DB7A"/>
    <w:lvl w:ilvl="0">
      <w:start w:val="1"/>
      <w:numFmt w:val="none"/>
      <w:lvlText w:val="1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5C09E5"/>
    <w:multiLevelType w:val="multilevel"/>
    <w:tmpl w:val="D390F11A"/>
    <w:lvl w:ilvl="0">
      <w:start w:val="1"/>
      <w:numFmt w:val="none"/>
      <w:lvlText w:val="20.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A91145"/>
    <w:multiLevelType w:val="multilevel"/>
    <w:tmpl w:val="F8604350"/>
    <w:lvl w:ilvl="0">
      <w:start w:val="1"/>
      <w:numFmt w:val="decimal"/>
      <w:lvlText w:val="%1."/>
      <w:lvlJc w:val="left"/>
      <w:pPr>
        <w:ind w:left="1637"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180F63"/>
    <w:multiLevelType w:val="hybridMultilevel"/>
    <w:tmpl w:val="14F69496"/>
    <w:lvl w:ilvl="0" w:tplc="FF6C8C26">
      <w:start w:val="12"/>
      <w:numFmt w:val="decimal"/>
      <w:lvlText w:val="%1.4"/>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A035149"/>
    <w:multiLevelType w:val="multilevel"/>
    <w:tmpl w:val="AF0876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233FD4"/>
    <w:multiLevelType w:val="multilevel"/>
    <w:tmpl w:val="38EAD4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F903A3B"/>
    <w:multiLevelType w:val="hybridMultilevel"/>
    <w:tmpl w:val="2C52C390"/>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94B1571"/>
    <w:multiLevelType w:val="hybridMultilevel"/>
    <w:tmpl w:val="8FA8AE3C"/>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8C3C9F"/>
    <w:multiLevelType w:val="hybridMultilevel"/>
    <w:tmpl w:val="E38CF760"/>
    <w:lvl w:ilvl="0" w:tplc="D2D83E90">
      <w:start w:val="13"/>
      <w:numFmt w:val="decimal"/>
      <w:lvlText w:val="%1.2"/>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6E3C49"/>
    <w:multiLevelType w:val="hybridMultilevel"/>
    <w:tmpl w:val="169CC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94B6947"/>
    <w:multiLevelType w:val="hybridMultilevel"/>
    <w:tmpl w:val="0C52FB66"/>
    <w:lvl w:ilvl="0" w:tplc="2B12D96C">
      <w:start w:val="24"/>
      <w:numFmt w:val="decimal"/>
      <w:lvlText w:val="%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535DEC"/>
    <w:multiLevelType w:val="hybridMultilevel"/>
    <w:tmpl w:val="00BEB6FE"/>
    <w:lvl w:ilvl="0" w:tplc="BE6CB240">
      <w:start w:val="4"/>
      <w:numFmt w:val="decimal"/>
      <w:lvlText w:val="%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2">
    <w:nsid w:val="63EC2ECB"/>
    <w:multiLevelType w:val="multilevel"/>
    <w:tmpl w:val="5D96A2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5E355E"/>
    <w:multiLevelType w:val="hybridMultilevel"/>
    <w:tmpl w:val="1974EA4E"/>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670484"/>
    <w:multiLevelType w:val="hybridMultilevel"/>
    <w:tmpl w:val="ED1CD7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F06EC9"/>
    <w:multiLevelType w:val="hybridMultilevel"/>
    <w:tmpl w:val="F1F87DEA"/>
    <w:lvl w:ilvl="0" w:tplc="CF8A6A42">
      <w:start w:val="12"/>
      <w:numFmt w:val="decimal"/>
      <w:lvlText w:val="%1.1"/>
      <w:lvlJc w:val="left"/>
      <w:pPr>
        <w:ind w:left="1211"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6">
    <w:nsid w:val="679224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7004BF"/>
    <w:multiLevelType w:val="hybridMultilevel"/>
    <w:tmpl w:val="9B78F83E"/>
    <w:lvl w:ilvl="0" w:tplc="9B64E1DE">
      <w:start w:val="12"/>
      <w:numFmt w:val="decimal"/>
      <w:lvlText w:val="%1.3"/>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8D00704"/>
    <w:multiLevelType w:val="hybridMultilevel"/>
    <w:tmpl w:val="C24EDD74"/>
    <w:lvl w:ilvl="0" w:tplc="FC7CD954">
      <w:start w:val="13"/>
      <w:numFmt w:val="decimal"/>
      <w:lvlText w:val="%1.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9"/>
  </w:num>
  <w:num w:numId="3">
    <w:abstractNumId w:val="17"/>
  </w:num>
  <w:num w:numId="4">
    <w:abstractNumId w:val="28"/>
  </w:num>
  <w:num w:numId="5">
    <w:abstractNumId w:val="18"/>
  </w:num>
  <w:num w:numId="6">
    <w:abstractNumId w:val="19"/>
  </w:num>
  <w:num w:numId="7">
    <w:abstractNumId w:val="14"/>
  </w:num>
  <w:num w:numId="8">
    <w:abstractNumId w:val="1"/>
  </w:num>
  <w:num w:numId="9">
    <w:abstractNumId w:val="15"/>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26"/>
  </w:num>
  <w:num w:numId="16">
    <w:abstractNumId w:val="4"/>
  </w:num>
  <w:num w:numId="17">
    <w:abstractNumId w:val="0"/>
  </w:num>
  <w:num w:numId="18">
    <w:abstractNumId w:val="9"/>
  </w:num>
  <w:num w:numId="19">
    <w:abstractNumId w:val="22"/>
  </w:num>
  <w:num w:numId="20">
    <w:abstractNumId w:val="24"/>
  </w:num>
  <w:num w:numId="21">
    <w:abstractNumId w:val="7"/>
  </w:num>
  <w:num w:numId="22">
    <w:abstractNumId w:val="5"/>
  </w:num>
  <w:num w:numId="23">
    <w:abstractNumId w:val="21"/>
  </w:num>
  <w:num w:numId="24">
    <w:abstractNumId w:val="2"/>
  </w:num>
  <w:num w:numId="25">
    <w:abstractNumId w:val="20"/>
  </w:num>
  <w:num w:numId="26">
    <w:abstractNumId w:val="23"/>
  </w:num>
  <w:num w:numId="27">
    <w:abstractNumId w:val="25"/>
  </w:num>
  <w:num w:numId="28">
    <w:abstractNumId w:val="3"/>
  </w:num>
  <w:num w:numId="29">
    <w:abstractNumId w:val="27"/>
  </w:num>
  <w:num w:numId="30">
    <w:abstractNumId w:val="11"/>
  </w:num>
  <w:num w:numId="31">
    <w:abstractNumId w:val="30"/>
  </w:num>
  <w:num w:numId="3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21454"/>
    <w:rsid w:val="00023551"/>
    <w:rsid w:val="0002402F"/>
    <w:rsid w:val="000457AE"/>
    <w:rsid w:val="000460A8"/>
    <w:rsid w:val="00046609"/>
    <w:rsid w:val="00046908"/>
    <w:rsid w:val="00055DFC"/>
    <w:rsid w:val="000639ED"/>
    <w:rsid w:val="000641FC"/>
    <w:rsid w:val="0007136B"/>
    <w:rsid w:val="00072195"/>
    <w:rsid w:val="0007457A"/>
    <w:rsid w:val="000A4B1B"/>
    <w:rsid w:val="000A5B7C"/>
    <w:rsid w:val="000E083D"/>
    <w:rsid w:val="000E0FD5"/>
    <w:rsid w:val="000E2E67"/>
    <w:rsid w:val="000E4B21"/>
    <w:rsid w:val="000E7176"/>
    <w:rsid w:val="00102B1F"/>
    <w:rsid w:val="00106CBE"/>
    <w:rsid w:val="00114917"/>
    <w:rsid w:val="0011610D"/>
    <w:rsid w:val="00117F3F"/>
    <w:rsid w:val="001326BC"/>
    <w:rsid w:val="00134A20"/>
    <w:rsid w:val="001353C5"/>
    <w:rsid w:val="001520F4"/>
    <w:rsid w:val="0015380C"/>
    <w:rsid w:val="00153AAD"/>
    <w:rsid w:val="00153E92"/>
    <w:rsid w:val="00154D44"/>
    <w:rsid w:val="001556B7"/>
    <w:rsid w:val="001577E1"/>
    <w:rsid w:val="001639BA"/>
    <w:rsid w:val="00164C59"/>
    <w:rsid w:val="00172B60"/>
    <w:rsid w:val="001845D5"/>
    <w:rsid w:val="00184F43"/>
    <w:rsid w:val="001912BB"/>
    <w:rsid w:val="00191491"/>
    <w:rsid w:val="001A03B5"/>
    <w:rsid w:val="001A24DF"/>
    <w:rsid w:val="001B27A0"/>
    <w:rsid w:val="001C0AA5"/>
    <w:rsid w:val="001C2846"/>
    <w:rsid w:val="001D5D10"/>
    <w:rsid w:val="001E1B22"/>
    <w:rsid w:val="001E2C08"/>
    <w:rsid w:val="001E71F6"/>
    <w:rsid w:val="001F1BF2"/>
    <w:rsid w:val="0021385F"/>
    <w:rsid w:val="00216A77"/>
    <w:rsid w:val="00237F54"/>
    <w:rsid w:val="00241438"/>
    <w:rsid w:val="00247E0A"/>
    <w:rsid w:val="00256521"/>
    <w:rsid w:val="002566CD"/>
    <w:rsid w:val="002569BC"/>
    <w:rsid w:val="00256DEE"/>
    <w:rsid w:val="00260A2B"/>
    <w:rsid w:val="00264BDD"/>
    <w:rsid w:val="00283FDD"/>
    <w:rsid w:val="00297564"/>
    <w:rsid w:val="00297DFE"/>
    <w:rsid w:val="002B2EC5"/>
    <w:rsid w:val="002C2BE5"/>
    <w:rsid w:val="002C300C"/>
    <w:rsid w:val="002C78BF"/>
    <w:rsid w:val="002C7981"/>
    <w:rsid w:val="002D2D48"/>
    <w:rsid w:val="002E01F8"/>
    <w:rsid w:val="002F4DEE"/>
    <w:rsid w:val="002F6CF6"/>
    <w:rsid w:val="00303D57"/>
    <w:rsid w:val="003176FC"/>
    <w:rsid w:val="00324236"/>
    <w:rsid w:val="003277D1"/>
    <w:rsid w:val="003363DD"/>
    <w:rsid w:val="00337409"/>
    <w:rsid w:val="00344226"/>
    <w:rsid w:val="00357861"/>
    <w:rsid w:val="00365BA3"/>
    <w:rsid w:val="003707F2"/>
    <w:rsid w:val="00373A12"/>
    <w:rsid w:val="003849C1"/>
    <w:rsid w:val="003861DA"/>
    <w:rsid w:val="003A0A14"/>
    <w:rsid w:val="003A6F63"/>
    <w:rsid w:val="003D0100"/>
    <w:rsid w:val="003D0429"/>
    <w:rsid w:val="003F0CE7"/>
    <w:rsid w:val="003F5237"/>
    <w:rsid w:val="00401EB1"/>
    <w:rsid w:val="00404B1C"/>
    <w:rsid w:val="00411861"/>
    <w:rsid w:val="00413468"/>
    <w:rsid w:val="004146AD"/>
    <w:rsid w:val="00432E62"/>
    <w:rsid w:val="00436585"/>
    <w:rsid w:val="00462614"/>
    <w:rsid w:val="0046642E"/>
    <w:rsid w:val="00490E63"/>
    <w:rsid w:val="004A0786"/>
    <w:rsid w:val="004B4040"/>
    <w:rsid w:val="004B5E5C"/>
    <w:rsid w:val="004C2028"/>
    <w:rsid w:val="004C3C15"/>
    <w:rsid w:val="004D3D7D"/>
    <w:rsid w:val="004D3DFA"/>
    <w:rsid w:val="004D3ED6"/>
    <w:rsid w:val="004D6E20"/>
    <w:rsid w:val="004D7526"/>
    <w:rsid w:val="004E44AF"/>
    <w:rsid w:val="004F7B16"/>
    <w:rsid w:val="005125F6"/>
    <w:rsid w:val="00513496"/>
    <w:rsid w:val="005179D9"/>
    <w:rsid w:val="00524C7E"/>
    <w:rsid w:val="005308A5"/>
    <w:rsid w:val="00532345"/>
    <w:rsid w:val="00533A79"/>
    <w:rsid w:val="00543C44"/>
    <w:rsid w:val="005444DB"/>
    <w:rsid w:val="005562CE"/>
    <w:rsid w:val="0057477B"/>
    <w:rsid w:val="00575662"/>
    <w:rsid w:val="0058394B"/>
    <w:rsid w:val="00584D4E"/>
    <w:rsid w:val="00587806"/>
    <w:rsid w:val="00587EFA"/>
    <w:rsid w:val="0059007F"/>
    <w:rsid w:val="005B108C"/>
    <w:rsid w:val="005C0B50"/>
    <w:rsid w:val="005C6562"/>
    <w:rsid w:val="005C6632"/>
    <w:rsid w:val="005C73F8"/>
    <w:rsid w:val="005D4499"/>
    <w:rsid w:val="005E2DDA"/>
    <w:rsid w:val="005E2FD8"/>
    <w:rsid w:val="005F531E"/>
    <w:rsid w:val="006008BD"/>
    <w:rsid w:val="00603822"/>
    <w:rsid w:val="00603826"/>
    <w:rsid w:val="0061025A"/>
    <w:rsid w:val="00620A80"/>
    <w:rsid w:val="00622D7C"/>
    <w:rsid w:val="006232B0"/>
    <w:rsid w:val="00626D99"/>
    <w:rsid w:val="00627971"/>
    <w:rsid w:val="006344E6"/>
    <w:rsid w:val="00634BFC"/>
    <w:rsid w:val="00647993"/>
    <w:rsid w:val="00657424"/>
    <w:rsid w:val="0065782D"/>
    <w:rsid w:val="00673966"/>
    <w:rsid w:val="00684832"/>
    <w:rsid w:val="0069564E"/>
    <w:rsid w:val="00695DB6"/>
    <w:rsid w:val="006C05B0"/>
    <w:rsid w:val="006C424D"/>
    <w:rsid w:val="006E1E74"/>
    <w:rsid w:val="006E2381"/>
    <w:rsid w:val="006F0F2E"/>
    <w:rsid w:val="006F514B"/>
    <w:rsid w:val="00707D18"/>
    <w:rsid w:val="00716E5A"/>
    <w:rsid w:val="007264ED"/>
    <w:rsid w:val="00726C07"/>
    <w:rsid w:val="00731479"/>
    <w:rsid w:val="00740FBF"/>
    <w:rsid w:val="00742FBB"/>
    <w:rsid w:val="0076283B"/>
    <w:rsid w:val="00762A0C"/>
    <w:rsid w:val="0076453B"/>
    <w:rsid w:val="00766317"/>
    <w:rsid w:val="00770E3C"/>
    <w:rsid w:val="0077167E"/>
    <w:rsid w:val="00776CE8"/>
    <w:rsid w:val="00781356"/>
    <w:rsid w:val="00786B1E"/>
    <w:rsid w:val="00794D93"/>
    <w:rsid w:val="007A1F16"/>
    <w:rsid w:val="007A25AC"/>
    <w:rsid w:val="007A4087"/>
    <w:rsid w:val="007A5321"/>
    <w:rsid w:val="007A6ACB"/>
    <w:rsid w:val="007B0974"/>
    <w:rsid w:val="007E600E"/>
    <w:rsid w:val="0081477F"/>
    <w:rsid w:val="008231DD"/>
    <w:rsid w:val="00824B29"/>
    <w:rsid w:val="00826A1F"/>
    <w:rsid w:val="0083340A"/>
    <w:rsid w:val="008367B2"/>
    <w:rsid w:val="0083704E"/>
    <w:rsid w:val="00852C49"/>
    <w:rsid w:val="008564A7"/>
    <w:rsid w:val="00864746"/>
    <w:rsid w:val="00866A60"/>
    <w:rsid w:val="008716C8"/>
    <w:rsid w:val="00885968"/>
    <w:rsid w:val="008879F5"/>
    <w:rsid w:val="00890D85"/>
    <w:rsid w:val="00891D9E"/>
    <w:rsid w:val="00894D8A"/>
    <w:rsid w:val="00895025"/>
    <w:rsid w:val="00896AC6"/>
    <w:rsid w:val="008A38F2"/>
    <w:rsid w:val="008A6AB4"/>
    <w:rsid w:val="008A79C1"/>
    <w:rsid w:val="008B756C"/>
    <w:rsid w:val="008C0718"/>
    <w:rsid w:val="008C089F"/>
    <w:rsid w:val="008C620E"/>
    <w:rsid w:val="008D2FF6"/>
    <w:rsid w:val="008E5F5E"/>
    <w:rsid w:val="008F112E"/>
    <w:rsid w:val="00912E34"/>
    <w:rsid w:val="00913545"/>
    <w:rsid w:val="00930ABA"/>
    <w:rsid w:val="00941113"/>
    <w:rsid w:val="00947FA2"/>
    <w:rsid w:val="00950A6D"/>
    <w:rsid w:val="00960895"/>
    <w:rsid w:val="00971F5D"/>
    <w:rsid w:val="00981208"/>
    <w:rsid w:val="00983068"/>
    <w:rsid w:val="009836C5"/>
    <w:rsid w:val="0098537F"/>
    <w:rsid w:val="009914D0"/>
    <w:rsid w:val="00995D15"/>
    <w:rsid w:val="009A3017"/>
    <w:rsid w:val="009A42CE"/>
    <w:rsid w:val="009A4659"/>
    <w:rsid w:val="009B004D"/>
    <w:rsid w:val="009D43AD"/>
    <w:rsid w:val="009D5D90"/>
    <w:rsid w:val="009E2F26"/>
    <w:rsid w:val="009F1765"/>
    <w:rsid w:val="009F33CA"/>
    <w:rsid w:val="00A0683E"/>
    <w:rsid w:val="00A10FE9"/>
    <w:rsid w:val="00A1409C"/>
    <w:rsid w:val="00A34959"/>
    <w:rsid w:val="00A35971"/>
    <w:rsid w:val="00A402DD"/>
    <w:rsid w:val="00A41AE0"/>
    <w:rsid w:val="00A425A4"/>
    <w:rsid w:val="00A432BE"/>
    <w:rsid w:val="00A4593E"/>
    <w:rsid w:val="00A56A87"/>
    <w:rsid w:val="00A611C0"/>
    <w:rsid w:val="00A6346E"/>
    <w:rsid w:val="00A67AA0"/>
    <w:rsid w:val="00A80056"/>
    <w:rsid w:val="00A86D63"/>
    <w:rsid w:val="00A91A62"/>
    <w:rsid w:val="00A92F59"/>
    <w:rsid w:val="00A93908"/>
    <w:rsid w:val="00AC0A17"/>
    <w:rsid w:val="00AC2309"/>
    <w:rsid w:val="00AC72A9"/>
    <w:rsid w:val="00AD25F1"/>
    <w:rsid w:val="00AE4065"/>
    <w:rsid w:val="00AE5642"/>
    <w:rsid w:val="00AF19F7"/>
    <w:rsid w:val="00AF2EE3"/>
    <w:rsid w:val="00AF3A29"/>
    <w:rsid w:val="00AF6805"/>
    <w:rsid w:val="00B02B6D"/>
    <w:rsid w:val="00B14736"/>
    <w:rsid w:val="00B15293"/>
    <w:rsid w:val="00B235B8"/>
    <w:rsid w:val="00B3438A"/>
    <w:rsid w:val="00B46C4E"/>
    <w:rsid w:val="00B521EC"/>
    <w:rsid w:val="00B524A2"/>
    <w:rsid w:val="00B5727A"/>
    <w:rsid w:val="00B653EB"/>
    <w:rsid w:val="00B73875"/>
    <w:rsid w:val="00B73E9D"/>
    <w:rsid w:val="00B76BA0"/>
    <w:rsid w:val="00B827C1"/>
    <w:rsid w:val="00B84613"/>
    <w:rsid w:val="00B8498B"/>
    <w:rsid w:val="00B90C8E"/>
    <w:rsid w:val="00BA333F"/>
    <w:rsid w:val="00BA45EF"/>
    <w:rsid w:val="00BB50FA"/>
    <w:rsid w:val="00BC0ECA"/>
    <w:rsid w:val="00BC1EEF"/>
    <w:rsid w:val="00BC2B79"/>
    <w:rsid w:val="00BC5421"/>
    <w:rsid w:val="00BC551F"/>
    <w:rsid w:val="00BC7230"/>
    <w:rsid w:val="00BD20B2"/>
    <w:rsid w:val="00BD4CEA"/>
    <w:rsid w:val="00BD5F94"/>
    <w:rsid w:val="00BD6D9F"/>
    <w:rsid w:val="00BE095C"/>
    <w:rsid w:val="00BE595C"/>
    <w:rsid w:val="00BE7C46"/>
    <w:rsid w:val="00C06717"/>
    <w:rsid w:val="00C110F7"/>
    <w:rsid w:val="00C1361D"/>
    <w:rsid w:val="00C270FF"/>
    <w:rsid w:val="00C35ECA"/>
    <w:rsid w:val="00C41B3A"/>
    <w:rsid w:val="00C437B1"/>
    <w:rsid w:val="00C564E2"/>
    <w:rsid w:val="00C57BEE"/>
    <w:rsid w:val="00C64B50"/>
    <w:rsid w:val="00C6635C"/>
    <w:rsid w:val="00C67005"/>
    <w:rsid w:val="00C7299C"/>
    <w:rsid w:val="00C811C0"/>
    <w:rsid w:val="00C835B1"/>
    <w:rsid w:val="00C86AAB"/>
    <w:rsid w:val="00C9452D"/>
    <w:rsid w:val="00C96908"/>
    <w:rsid w:val="00C96F7F"/>
    <w:rsid w:val="00CB00E8"/>
    <w:rsid w:val="00CB593E"/>
    <w:rsid w:val="00CB69A3"/>
    <w:rsid w:val="00CC4164"/>
    <w:rsid w:val="00CE0A4C"/>
    <w:rsid w:val="00CF2FD7"/>
    <w:rsid w:val="00D029F7"/>
    <w:rsid w:val="00D16DC1"/>
    <w:rsid w:val="00D245BC"/>
    <w:rsid w:val="00D27762"/>
    <w:rsid w:val="00D35F66"/>
    <w:rsid w:val="00D417A6"/>
    <w:rsid w:val="00D4643E"/>
    <w:rsid w:val="00D50F35"/>
    <w:rsid w:val="00D803CA"/>
    <w:rsid w:val="00D817A4"/>
    <w:rsid w:val="00D90A93"/>
    <w:rsid w:val="00DA27DB"/>
    <w:rsid w:val="00DA5312"/>
    <w:rsid w:val="00DA6165"/>
    <w:rsid w:val="00DB0F5C"/>
    <w:rsid w:val="00DB2E42"/>
    <w:rsid w:val="00DC3CC5"/>
    <w:rsid w:val="00DC4157"/>
    <w:rsid w:val="00DD2A3F"/>
    <w:rsid w:val="00DD6936"/>
    <w:rsid w:val="00DE3652"/>
    <w:rsid w:val="00DE61F5"/>
    <w:rsid w:val="00DE7D69"/>
    <w:rsid w:val="00DF5B24"/>
    <w:rsid w:val="00E0091D"/>
    <w:rsid w:val="00E23601"/>
    <w:rsid w:val="00E27DFC"/>
    <w:rsid w:val="00E31608"/>
    <w:rsid w:val="00E50465"/>
    <w:rsid w:val="00E51875"/>
    <w:rsid w:val="00E52358"/>
    <w:rsid w:val="00E53643"/>
    <w:rsid w:val="00E53720"/>
    <w:rsid w:val="00E54C80"/>
    <w:rsid w:val="00E615E7"/>
    <w:rsid w:val="00E722FA"/>
    <w:rsid w:val="00E73415"/>
    <w:rsid w:val="00E73B33"/>
    <w:rsid w:val="00E75148"/>
    <w:rsid w:val="00E7730E"/>
    <w:rsid w:val="00E83966"/>
    <w:rsid w:val="00E85FD0"/>
    <w:rsid w:val="00E91721"/>
    <w:rsid w:val="00E97046"/>
    <w:rsid w:val="00EA1C08"/>
    <w:rsid w:val="00EA5DFE"/>
    <w:rsid w:val="00EA625C"/>
    <w:rsid w:val="00EA6C60"/>
    <w:rsid w:val="00EB0882"/>
    <w:rsid w:val="00EC2394"/>
    <w:rsid w:val="00EC4DE3"/>
    <w:rsid w:val="00EF5D9F"/>
    <w:rsid w:val="00F03580"/>
    <w:rsid w:val="00F0575E"/>
    <w:rsid w:val="00F126B4"/>
    <w:rsid w:val="00F16FD2"/>
    <w:rsid w:val="00F3076F"/>
    <w:rsid w:val="00F607D4"/>
    <w:rsid w:val="00F648A8"/>
    <w:rsid w:val="00F679D3"/>
    <w:rsid w:val="00F700D1"/>
    <w:rsid w:val="00F7343C"/>
    <w:rsid w:val="00F76C3E"/>
    <w:rsid w:val="00F96CB1"/>
    <w:rsid w:val="00F97F77"/>
    <w:rsid w:val="00FA714C"/>
    <w:rsid w:val="00FA7E97"/>
    <w:rsid w:val="00FB2EAC"/>
    <w:rsid w:val="00FB6AFD"/>
    <w:rsid w:val="00FC166E"/>
    <w:rsid w:val="00FC2537"/>
    <w:rsid w:val="00FD530F"/>
    <w:rsid w:val="00FE0BA4"/>
    <w:rsid w:val="00FE13CA"/>
    <w:rsid w:val="00FE5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97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aliases w:val="2"/>
    <w:basedOn w:val="Normal"/>
    <w:link w:val="ListParagraphChar"/>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 w:type="character" w:styleId="Hyperlink">
    <w:name w:val="Hyperlink"/>
    <w:basedOn w:val="DefaultParagraphFont"/>
    <w:uiPriority w:val="99"/>
    <w:unhideWhenUsed/>
    <w:rsid w:val="00E31608"/>
    <w:rPr>
      <w:color w:val="0000FF" w:themeColor="hyperlink"/>
      <w:u w:val="single"/>
    </w:rPr>
  </w:style>
  <w:style w:type="character" w:customStyle="1" w:styleId="ListParagraphChar">
    <w:name w:val="List Paragraph Char"/>
    <w:aliases w:val="2 Char"/>
    <w:link w:val="ListParagraph"/>
    <w:uiPriority w:val="34"/>
    <w:rsid w:val="00E00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aliases w:val="2"/>
    <w:basedOn w:val="Normal"/>
    <w:link w:val="ListParagraphChar"/>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 w:type="character" w:styleId="Hyperlink">
    <w:name w:val="Hyperlink"/>
    <w:basedOn w:val="DefaultParagraphFont"/>
    <w:uiPriority w:val="99"/>
    <w:unhideWhenUsed/>
    <w:rsid w:val="00E31608"/>
    <w:rPr>
      <w:color w:val="0000FF" w:themeColor="hyperlink"/>
      <w:u w:val="single"/>
    </w:rPr>
  </w:style>
  <w:style w:type="character" w:customStyle="1" w:styleId="ListParagraphChar">
    <w:name w:val="List Paragraph Char"/>
    <w:aliases w:val="2 Char"/>
    <w:link w:val="ListParagraph"/>
    <w:uiPriority w:val="34"/>
    <w:rsid w:val="00E0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3625">
      <w:bodyDiv w:val="1"/>
      <w:marLeft w:val="0"/>
      <w:marRight w:val="0"/>
      <w:marTop w:val="0"/>
      <w:marBottom w:val="0"/>
      <w:divBdr>
        <w:top w:val="none" w:sz="0" w:space="0" w:color="auto"/>
        <w:left w:val="none" w:sz="0" w:space="0" w:color="auto"/>
        <w:bottom w:val="none" w:sz="0" w:space="0" w:color="auto"/>
        <w:right w:val="none" w:sz="0" w:space="0" w:color="auto"/>
      </w:divBdr>
    </w:div>
    <w:div w:id="340671150">
      <w:bodyDiv w:val="1"/>
      <w:marLeft w:val="0"/>
      <w:marRight w:val="0"/>
      <w:marTop w:val="0"/>
      <w:marBottom w:val="0"/>
      <w:divBdr>
        <w:top w:val="none" w:sz="0" w:space="0" w:color="auto"/>
        <w:left w:val="none" w:sz="0" w:space="0" w:color="auto"/>
        <w:bottom w:val="none" w:sz="0" w:space="0" w:color="auto"/>
        <w:right w:val="none" w:sz="0" w:space="0" w:color="auto"/>
      </w:divBdr>
    </w:div>
    <w:div w:id="375156982">
      <w:bodyDiv w:val="1"/>
      <w:marLeft w:val="0"/>
      <w:marRight w:val="0"/>
      <w:marTop w:val="0"/>
      <w:marBottom w:val="0"/>
      <w:divBdr>
        <w:top w:val="none" w:sz="0" w:space="0" w:color="auto"/>
        <w:left w:val="none" w:sz="0" w:space="0" w:color="auto"/>
        <w:bottom w:val="none" w:sz="0" w:space="0" w:color="auto"/>
        <w:right w:val="none" w:sz="0" w:space="0" w:color="auto"/>
      </w:divBdr>
    </w:div>
    <w:div w:id="1214776923">
      <w:bodyDiv w:val="1"/>
      <w:marLeft w:val="0"/>
      <w:marRight w:val="0"/>
      <w:marTop w:val="0"/>
      <w:marBottom w:val="0"/>
      <w:divBdr>
        <w:top w:val="none" w:sz="0" w:space="0" w:color="auto"/>
        <w:left w:val="none" w:sz="0" w:space="0" w:color="auto"/>
        <w:bottom w:val="none" w:sz="0" w:space="0" w:color="auto"/>
        <w:right w:val="none" w:sz="0" w:space="0" w:color="auto"/>
      </w:divBdr>
    </w:div>
    <w:div w:id="1370762126">
      <w:bodyDiv w:val="1"/>
      <w:marLeft w:val="0"/>
      <w:marRight w:val="0"/>
      <w:marTop w:val="0"/>
      <w:marBottom w:val="0"/>
      <w:divBdr>
        <w:top w:val="none" w:sz="0" w:space="0" w:color="auto"/>
        <w:left w:val="none" w:sz="0" w:space="0" w:color="auto"/>
        <w:bottom w:val="none" w:sz="0" w:space="0" w:color="auto"/>
        <w:right w:val="none" w:sz="0" w:space="0" w:color="auto"/>
      </w:divBdr>
    </w:div>
    <w:div w:id="1441491184">
      <w:bodyDiv w:val="1"/>
      <w:marLeft w:val="0"/>
      <w:marRight w:val="0"/>
      <w:marTop w:val="0"/>
      <w:marBottom w:val="0"/>
      <w:divBdr>
        <w:top w:val="none" w:sz="0" w:space="0" w:color="auto"/>
        <w:left w:val="none" w:sz="0" w:space="0" w:color="auto"/>
        <w:bottom w:val="none" w:sz="0" w:space="0" w:color="auto"/>
        <w:right w:val="none" w:sz="0" w:space="0" w:color="auto"/>
      </w:divBdr>
    </w:div>
    <w:div w:id="1445997745">
      <w:bodyDiv w:val="1"/>
      <w:marLeft w:val="0"/>
      <w:marRight w:val="0"/>
      <w:marTop w:val="0"/>
      <w:marBottom w:val="0"/>
      <w:divBdr>
        <w:top w:val="none" w:sz="0" w:space="0" w:color="auto"/>
        <w:left w:val="none" w:sz="0" w:space="0" w:color="auto"/>
        <w:bottom w:val="none" w:sz="0" w:space="0" w:color="auto"/>
        <w:right w:val="none" w:sz="0" w:space="0" w:color="auto"/>
      </w:divBdr>
    </w:div>
    <w:div w:id="19543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27.08.2015_6AK_(SM_611;_SM_6212)</Sede>
    <Kom xmlns="0403aeb7-10dd-41a9-8f8e-1fc0ec5546a5">6.Ilgtspējīgas transporta sistēmas prioritārā virziena apakškomiteja</Kom>
    <kartiba xmlns="0403aeb7-10dd-41a9-8f8e-1fc0ec5546a5">162</kartiba>
    <Apraksts xmlns="0403aeb7-10dd-41a9-8f8e-1fc0ec5546a5">MK noteikumi </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9BD0-BBD7-4AB7-BBA6-F3B3B039EF03}">
  <ds:schemaRefs>
    <ds:schemaRef ds:uri="http://schemas.microsoft.com/sharepoint/v3/contenttype/forms"/>
  </ds:schemaRefs>
</ds:datastoreItem>
</file>

<file path=customXml/itemProps2.xml><?xml version="1.0" encoding="utf-8"?>
<ds:datastoreItem xmlns:ds="http://schemas.openxmlformats.org/officeDocument/2006/customXml" ds:itemID="{7A78B84A-6A1A-48F6-ADE0-10EAA2004B60}">
  <ds:schemaRefs>
    <ds:schemaRef ds:uri="http://schemas.microsoft.com/office/infopath/2007/PartnerControls"/>
    <ds:schemaRef ds:uri="http://purl.org/dc/terms/"/>
    <ds:schemaRef ds:uri="http://purl.org/dc/elements/1.1/"/>
    <ds:schemaRef ds:uri="0403aeb7-10dd-41a9-8f8e-1fc0ec5546a5"/>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FD1FA7-B9C8-408B-B5A3-E70D9A16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11352-8347-4FDA-820C-9CAA0D39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7211</Words>
  <Characters>4111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SMNot_SAM6212_01062016; Darbības programmas „Izaugsme un nodarbinātība” prioritārā virziena „Ilgtspējīga transporta sistēma” 6.2.1.specifiskā atbalsta mērķa „Nodrošināt konkurētspējīgu un videi draudzīgu TEN-T dzelzceļa tīklu, veicinot tā drošību, kvalitā</vt:lpstr>
    </vt:vector>
  </TitlesOfParts>
  <Company>Latvenergo</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SMNot_SAM6212_01062016; Darbības programmas „Izaugsme un nodarbinātība” prioritārā virziena „Ilgtspējīga transporta sistēma” 6.2.1.specifiskā atbalsta mērķa „Nodrošināt konkurētspējīgu un videi draudzīgu TEN-T dzelzceļa tīklu, veicinot tā drošību, kvalitāti un kapacitāti” 6.2.1.2.pasākuma “Dzelzceļa infrastruktūras modernizācija un izbūve” īstenošanas noteikumi</dc:title>
  <dc:creator>Andis.Strods@sam.gov.lv</dc:creator>
  <cp:keywords>MK noteikumu projekts</cp:keywords>
  <dc:description>SMNot_SAM6212_01062016</dc:description>
  <cp:lastModifiedBy>Satiksmes ministrija</cp:lastModifiedBy>
  <cp:revision>4</cp:revision>
  <cp:lastPrinted>2016-06-03T13:03:00Z</cp:lastPrinted>
  <dcterms:created xsi:type="dcterms:W3CDTF">2016-06-02T13:12:00Z</dcterms:created>
  <dcterms:modified xsi:type="dcterms:W3CDTF">2016-06-03T13:37:00Z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