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D" w:rsidRDefault="0020106D" w:rsidP="0020106D">
      <w:pPr>
        <w:jc w:val="center"/>
        <w:rPr>
          <w:b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>
        <w:rPr>
          <w:b/>
        </w:rPr>
        <w:t>Ministru kabineta noteikumu projekta</w:t>
      </w:r>
      <w:r w:rsidRPr="000B3CEF">
        <w:rPr>
          <w:b/>
        </w:rPr>
        <w:t xml:space="preserve"> </w:t>
      </w:r>
    </w:p>
    <w:p w:rsidR="0020106D" w:rsidRDefault="0020106D" w:rsidP="0020106D">
      <w:pPr>
        <w:jc w:val="center"/>
        <w:rPr>
          <w:b/>
          <w:bCs/>
        </w:rPr>
      </w:pPr>
      <w:r w:rsidRPr="006331B2">
        <w:rPr>
          <w:b/>
        </w:rPr>
        <w:t>„</w:t>
      </w:r>
      <w:r>
        <w:rPr>
          <w:b/>
        </w:rPr>
        <w:t xml:space="preserve">Grozījumi Ministru kabineta 2007.gada 20.novembra noteikumos Nr.780 </w:t>
      </w:r>
      <w:r w:rsidRPr="006331B2">
        <w:rPr>
          <w:b/>
        </w:rPr>
        <w:t>„</w:t>
      </w:r>
      <w:r>
        <w:rPr>
          <w:b/>
        </w:rPr>
        <w:t>Noteikumi par kārtību, kādā izmaksājama kompensācija uz militārajām mācībām iesauktajiem rezerves karavīriem, un kompensācijas apmēru</w:t>
      </w:r>
      <w:r w:rsidRPr="00904AFE">
        <w:rPr>
          <w:b/>
          <w:bCs/>
        </w:rPr>
        <w:t>””</w:t>
      </w:r>
    </w:p>
    <w:p w:rsidR="0020106D" w:rsidRDefault="0020106D" w:rsidP="0020106D">
      <w:pPr>
        <w:jc w:val="center"/>
        <w:rPr>
          <w:b/>
          <w:bCs/>
          <w:color w:val="000000"/>
        </w:rPr>
      </w:pPr>
      <w:r w:rsidRPr="008F2C79">
        <w:rPr>
          <w:b/>
        </w:rPr>
        <w:t>sākotnējās ietekmes novērtējuma ziņojums (</w:t>
      </w:r>
      <w:r w:rsidRPr="008F2C79">
        <w:rPr>
          <w:b/>
          <w:bCs/>
          <w:color w:val="000000"/>
        </w:rPr>
        <w:t>anotācija)</w:t>
      </w:r>
      <w:bookmarkEnd w:id="0"/>
      <w:bookmarkEnd w:id="1"/>
      <w:bookmarkEnd w:id="2"/>
      <w:bookmarkEnd w:id="3"/>
      <w:bookmarkEnd w:id="4"/>
    </w:p>
    <w:p w:rsidR="0020106D" w:rsidRPr="00925E5C" w:rsidRDefault="0020106D" w:rsidP="0020106D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16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59"/>
        <w:gridCol w:w="6387"/>
      </w:tblGrid>
      <w:tr w:rsidR="0020106D" w:rsidRPr="008F2C79" w:rsidTr="001266FD">
        <w:trPr>
          <w:trHeight w:val="1"/>
        </w:trPr>
        <w:tc>
          <w:tcPr>
            <w:tcW w:w="9077" w:type="dxa"/>
            <w:gridSpan w:val="3"/>
            <w:vAlign w:val="center"/>
          </w:tcPr>
          <w:p w:rsidR="0020106D" w:rsidRPr="008F2C79" w:rsidRDefault="0020106D" w:rsidP="0020106D">
            <w:pPr>
              <w:pStyle w:val="naisnod"/>
              <w:numPr>
                <w:ilvl w:val="0"/>
                <w:numId w:val="1"/>
              </w:numPr>
              <w:spacing w:before="0" w:after="0"/>
            </w:pPr>
            <w:r w:rsidRPr="008F2C79">
              <w:t>Tiesību akta projekta izstrādes nepieciešamība</w:t>
            </w:r>
          </w:p>
        </w:tc>
      </w:tr>
      <w:tr w:rsidR="0020106D" w:rsidRPr="008F2C79" w:rsidTr="001266FD">
        <w:trPr>
          <w:trHeight w:val="9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1.</w:t>
            </w:r>
          </w:p>
        </w:tc>
        <w:tc>
          <w:tcPr>
            <w:tcW w:w="2259" w:type="dxa"/>
          </w:tcPr>
          <w:p w:rsidR="0020106D" w:rsidRPr="008F2C79" w:rsidRDefault="0020106D" w:rsidP="001266FD">
            <w:pPr>
              <w:pStyle w:val="naiskr"/>
              <w:spacing w:before="0" w:after="0"/>
              <w:ind w:hanging="10"/>
            </w:pPr>
            <w:r w:rsidRPr="008F2C79">
              <w:t>Pamatojums</w:t>
            </w:r>
          </w:p>
        </w:tc>
        <w:tc>
          <w:tcPr>
            <w:tcW w:w="6387" w:type="dxa"/>
          </w:tcPr>
          <w:p w:rsidR="0020106D" w:rsidRPr="0031116E" w:rsidRDefault="0020106D" w:rsidP="001266FD">
            <w:pPr>
              <w:spacing w:after="120"/>
              <w:ind w:firstLine="714"/>
              <w:jc w:val="both"/>
              <w:rPr>
                <w:bCs/>
              </w:rPr>
            </w:pPr>
            <w:r>
              <w:t>Ministru kabineta noteikumu p</w:t>
            </w:r>
            <w:r w:rsidRPr="000E7EC9">
              <w:t xml:space="preserve">rojekts </w:t>
            </w:r>
            <w:r w:rsidRPr="0031116E">
              <w:t>„Grozījumi Ministru kabineta 2017.gada 20.novembra noteikumos Nr.780 „Noteikumi par kārtību, kādā izmaksājama kompensācija uz militārajām mācībām iesauktajiem rezerves karavīriem, un kompensācijas apmēru</w:t>
            </w:r>
            <w:r w:rsidRPr="0031116E">
              <w:rPr>
                <w:bCs/>
              </w:rPr>
              <w:t>””</w:t>
            </w:r>
            <w:r>
              <w:rPr>
                <w:bCs/>
              </w:rPr>
              <w:t xml:space="preserve"> </w:t>
            </w:r>
            <w:r>
              <w:t>(turpmāk – noteikumu projekts)</w:t>
            </w:r>
            <w:r w:rsidRPr="000E7EC9">
              <w:t xml:space="preserve">, </w:t>
            </w:r>
            <w:r>
              <w:t>izstrādāts pēc Aizsardzības ministrijas un Nacionālo bruņoto spēku (turpmāk – NBS) iniciatīvas, lai rezerves karavīriem piešķirama kompensācijas apmēra aprēķināšana atbilstu spēkā esošajai kārtībai, kas nodrošinātu vienlīdzības principa ievērošanu valsts pārvaldē.</w:t>
            </w:r>
          </w:p>
        </w:tc>
      </w:tr>
      <w:tr w:rsidR="0020106D" w:rsidRPr="008F2C79" w:rsidTr="001266FD">
        <w:trPr>
          <w:trHeight w:val="5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2.</w:t>
            </w:r>
          </w:p>
        </w:tc>
        <w:tc>
          <w:tcPr>
            <w:tcW w:w="2259" w:type="dxa"/>
          </w:tcPr>
          <w:p w:rsidR="0020106D" w:rsidRDefault="0020106D" w:rsidP="001266FD">
            <w:pPr>
              <w:pStyle w:val="naiskr"/>
              <w:tabs>
                <w:tab w:val="left" w:pos="170"/>
              </w:tabs>
              <w:spacing w:before="0" w:after="0"/>
            </w:pPr>
            <w:r w:rsidRPr="008F2C79">
              <w:t>Pašreizējā situācija un problēmas, kuru risināšanai tiesību akta projekts izstrādāts, tiesiskā regulējuma mērķis un būtība</w:t>
            </w:r>
          </w:p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Pr="000F47AB" w:rsidRDefault="0020106D" w:rsidP="001266FD"/>
          <w:p w:rsidR="0020106D" w:rsidRDefault="0020106D" w:rsidP="001266FD"/>
          <w:p w:rsidR="0020106D" w:rsidRDefault="0020106D" w:rsidP="001266FD"/>
          <w:p w:rsidR="0020106D" w:rsidRPr="000F47AB" w:rsidRDefault="0020106D" w:rsidP="001266FD">
            <w:pPr>
              <w:ind w:firstLine="720"/>
            </w:pPr>
          </w:p>
        </w:tc>
        <w:tc>
          <w:tcPr>
            <w:tcW w:w="6387" w:type="dxa"/>
          </w:tcPr>
          <w:p w:rsidR="0020106D" w:rsidRPr="0031116E" w:rsidRDefault="0020106D" w:rsidP="001266FD">
            <w:pPr>
              <w:spacing w:after="120"/>
              <w:ind w:firstLine="714"/>
              <w:jc w:val="both"/>
            </w:pPr>
            <w:r w:rsidRPr="0031116E">
              <w:t>2016.gada 1.janvārī stājās spēkā grozījumi Ministru kabineta 2014.gada 26.augusta noteikumos Nr.509 „Noteikumi par karavīra mēnešalgas un speciālo piemaksu noteikšanas kārtību un to apmēru” (turpmāk – MK noteikumi Nr.509) par diferencētās mēnešalgas noteikšanu</w:t>
            </w:r>
            <w:r>
              <w:t>. Šie noteikumi paredz, ka č</w:t>
            </w:r>
            <w:r w:rsidRPr="0031116E">
              <w:t>etr</w:t>
            </w:r>
            <w:r>
              <w:t>ām</w:t>
            </w:r>
            <w:r w:rsidRPr="0031116E">
              <w:t xml:space="preserve"> dienesta pakāpju kategorij</w:t>
            </w:r>
            <w:r>
              <w:t>ām</w:t>
            </w:r>
            <w:r w:rsidRPr="0031116E">
              <w:t xml:space="preserve"> (kareivji, dižkareivji, leitnanti un virsleitnanti)</w:t>
            </w:r>
            <w:r>
              <w:t xml:space="preserve"> </w:t>
            </w:r>
            <w:r w:rsidRPr="0031116E">
              <w:t>ir noteikta I kategorijas mēnešalgas likme</w:t>
            </w:r>
            <w:r>
              <w:t>, savukārt pārējām dienesta pakāpēm atalgojumu nosaka</w:t>
            </w:r>
            <w:r w:rsidRPr="0031116E">
              <w:t xml:space="preserve"> atkarībā no piešķirtās dienesta pakāpes, izdienas un iegūtās militārās izglītības atbilstības piešķirtajai karavīra dienesta pakāpei</w:t>
            </w:r>
            <w:r>
              <w:t>, attiecīgi piemērojot I vai II kategorijas mēnešalgas likmes.</w:t>
            </w:r>
          </w:p>
          <w:p w:rsidR="0020106D" w:rsidRPr="0031116E" w:rsidRDefault="0020106D" w:rsidP="001266FD">
            <w:pPr>
              <w:spacing w:before="120" w:after="120"/>
              <w:ind w:firstLine="720"/>
              <w:jc w:val="both"/>
            </w:pPr>
            <w:r w:rsidRPr="0031116E">
              <w:t xml:space="preserve">Ministru kabineta 2007.gada 20.novembra noteikumu Nr.780 „Noteikumi par kārtību, kādā izmaksājama kompensācija uz militārajām mācībām iesauktajiem rezerves karavīriem, un kompensācijas apmēru” (turpmāk – MK noteikumi Nr.780) 2.punkts nosaka, ka: </w:t>
            </w:r>
            <w:r w:rsidRPr="0031116E">
              <w:rPr>
                <w:i/>
              </w:rPr>
              <w:t xml:space="preserve">rezerves karavīrs, kas piedalās militārajās mācībās, atkarībā no dienesta pakāpes par vienu dienu saņem kompensāciju 5% apmērā no </w:t>
            </w:r>
            <w:r w:rsidRPr="0031116E">
              <w:rPr>
                <w:i/>
                <w:u w:val="single"/>
              </w:rPr>
              <w:t>mēneša bāzes algas</w:t>
            </w:r>
            <w:r w:rsidRPr="0031116E">
              <w:rPr>
                <w:i/>
              </w:rPr>
              <w:t>, kas noteikta profesionālā dienesta karavīram ar līdzvērtīgu dienesta pakāpi</w:t>
            </w:r>
            <w:r w:rsidRPr="0031116E">
              <w:t>.</w:t>
            </w:r>
          </w:p>
          <w:p w:rsidR="0020106D" w:rsidRPr="0031116E" w:rsidRDefault="0020106D" w:rsidP="001266FD">
            <w:pPr>
              <w:spacing w:before="120" w:after="120"/>
              <w:ind w:firstLine="720"/>
              <w:jc w:val="both"/>
            </w:pPr>
            <w:r w:rsidRPr="0031116E">
              <w:t>Ņemot vērā</w:t>
            </w:r>
            <w:r>
              <w:t xml:space="preserve"> notikušās izmaiņas karavīru atalgojuma sistēmā un </w:t>
            </w:r>
            <w:r w:rsidRPr="0031116E">
              <w:t>I un II kategorijas mēnešalgas likmes (atkarībā no militārās izglītības atbilstības dienesta pakāpei)</w:t>
            </w:r>
            <w:r>
              <w:t xml:space="preserve"> piemērošanu</w:t>
            </w:r>
            <w:r w:rsidRPr="0031116E">
              <w:t xml:space="preserve">, ir nepieciešams </w:t>
            </w:r>
            <w:r w:rsidRPr="001964AB">
              <w:rPr>
                <w:b/>
                <w:u w:val="single"/>
              </w:rPr>
              <w:t>steidzami</w:t>
            </w:r>
            <w:r w:rsidRPr="0031116E">
              <w:t xml:space="preserve"> veikt </w:t>
            </w:r>
            <w:r>
              <w:t xml:space="preserve">attiecīgus </w:t>
            </w:r>
            <w:r w:rsidRPr="0031116E">
              <w:t>grozījumus rezerves karavīru kompensācijas aprēķināšanas kārtībā un MK noteikumos Nr.780.</w:t>
            </w:r>
            <w:r>
              <w:t xml:space="preserve"> </w:t>
            </w:r>
          </w:p>
          <w:p w:rsidR="0020106D" w:rsidRDefault="0020106D" w:rsidP="001266FD">
            <w:pPr>
              <w:spacing w:before="120" w:after="120"/>
              <w:ind w:firstLine="717"/>
              <w:jc w:val="both"/>
              <w:rPr>
                <w:szCs w:val="26"/>
              </w:rPr>
            </w:pPr>
            <w:r w:rsidRPr="00CC797C">
              <w:rPr>
                <w:szCs w:val="26"/>
                <w:lang w:eastAsia="ar-SA"/>
              </w:rPr>
              <w:t>Izv</w:t>
            </w:r>
            <w:r w:rsidRPr="00CC797C">
              <w:rPr>
                <w:szCs w:val="26"/>
              </w:rPr>
              <w:t>ērtējot iespēju un nepieciešamību piemērot jauno karavīru atlīdzības sistēmu rezerves karavīru kompensācijas apmēra noteikšanā</w:t>
            </w:r>
            <w:r w:rsidR="007D3106">
              <w:rPr>
                <w:szCs w:val="26"/>
              </w:rPr>
              <w:t>,</w:t>
            </w:r>
            <w:r w:rsidRPr="00CC797C">
              <w:rPr>
                <w:szCs w:val="26"/>
              </w:rPr>
              <w:t xml:space="preserve"> ir konstatēts, ka rezerves karavīra kompensācijas apmēram ir jābūt saistītam ar karavīra dienesta pakāpi, bet nav pamata šo kompensāciju diferencēt pēc iegūtās karjeras izglītības. Rezerves karavīra iesaukšana uz mācībām ir </w:t>
            </w:r>
            <w:r w:rsidRPr="00CC797C">
              <w:rPr>
                <w:szCs w:val="26"/>
              </w:rPr>
              <w:lastRenderedPageBreak/>
              <w:t xml:space="preserve">domāta zudušo iemaņu un zināšanu atjaunošanai, tādējādi atlīdzinot karavīra dienestu kompensācijas veidā, karavīra dienesta pienākumu izpildes kvalitāte nav tieši saistīta ar sen iegūtu karjeras izglītību. </w:t>
            </w:r>
            <w:r>
              <w:rPr>
                <w:szCs w:val="26"/>
              </w:rPr>
              <w:t xml:space="preserve">Vienkārša un saprotama kompensāciju sistēma </w:t>
            </w:r>
            <w:r w:rsidRPr="0031116E">
              <w:rPr>
                <w:szCs w:val="26"/>
              </w:rPr>
              <w:t>būtu efektīvāk</w:t>
            </w:r>
            <w:r>
              <w:rPr>
                <w:szCs w:val="26"/>
              </w:rPr>
              <w:t>a</w:t>
            </w:r>
            <w:r w:rsidRPr="0031116E">
              <w:rPr>
                <w:szCs w:val="26"/>
              </w:rPr>
              <w:t xml:space="preserve"> no administrēšanas viedokļa, kā arī</w:t>
            </w:r>
            <w:r>
              <w:rPr>
                <w:szCs w:val="26"/>
              </w:rPr>
              <w:t xml:space="preserve"> viegli izprotama</w:t>
            </w:r>
            <w:r w:rsidRPr="0031116E">
              <w:rPr>
                <w:szCs w:val="26"/>
              </w:rPr>
              <w:t xml:space="preserve"> pašiem rezerves karavīriem. </w:t>
            </w:r>
            <w:r>
              <w:rPr>
                <w:szCs w:val="26"/>
              </w:rPr>
              <w:t xml:space="preserve">  </w:t>
            </w:r>
          </w:p>
          <w:p w:rsidR="0020106D" w:rsidRDefault="0020106D" w:rsidP="001266FD">
            <w:pPr>
              <w:spacing w:before="120" w:after="120"/>
              <w:ind w:firstLine="717"/>
              <w:jc w:val="both"/>
              <w:rPr>
                <w:rStyle w:val="st"/>
                <w:szCs w:val="28"/>
              </w:rPr>
            </w:pPr>
            <w:r w:rsidRPr="0031116E">
              <w:rPr>
                <w:szCs w:val="26"/>
              </w:rPr>
              <w:t>Aprēķinot r</w:t>
            </w:r>
            <w:r w:rsidRPr="0031116E">
              <w:rPr>
                <w:noProof/>
                <w:szCs w:val="26"/>
              </w:rPr>
              <w:t xml:space="preserve">ezerves karavīram izmaksājamas kompensācijas apmēru, par pamatu </w:t>
            </w:r>
            <w:r w:rsidRPr="0031116E">
              <w:rPr>
                <w:noProof/>
                <w:szCs w:val="28"/>
              </w:rPr>
              <w:t>t</w:t>
            </w:r>
            <w:r>
              <w:rPr>
                <w:noProof/>
                <w:szCs w:val="28"/>
              </w:rPr>
              <w:t>iek</w:t>
            </w:r>
            <w:r w:rsidRPr="0031116E">
              <w:rPr>
                <w:noProof/>
                <w:szCs w:val="28"/>
              </w:rPr>
              <w:t xml:space="preserve"> izmantots līdzšinējais aprēķināšanas algoritms: 5% no karavīra pakāpei noteiktās mēneša</w:t>
            </w:r>
            <w:r>
              <w:rPr>
                <w:noProof/>
                <w:szCs w:val="28"/>
              </w:rPr>
              <w:t xml:space="preserve"> bāzes</w:t>
            </w:r>
            <w:r w:rsidRPr="0031116E">
              <w:rPr>
                <w:noProof/>
                <w:szCs w:val="28"/>
              </w:rPr>
              <w:t xml:space="preserve"> </w:t>
            </w:r>
            <w:r w:rsidRPr="0031116E">
              <w:t>algas</w:t>
            </w:r>
            <w:r>
              <w:t xml:space="preserve"> </w:t>
            </w:r>
            <w:r w:rsidR="00EF7D82">
              <w:t>č</w:t>
            </w:r>
            <w:r w:rsidR="00EF7D82" w:rsidRPr="0031116E">
              <w:t>etr</w:t>
            </w:r>
            <w:r w:rsidR="00EF7D82">
              <w:t>ām</w:t>
            </w:r>
            <w:r w:rsidR="00EF7D82" w:rsidRPr="0031116E">
              <w:t xml:space="preserve"> dienesta pakāpju kategorij</w:t>
            </w:r>
            <w:r w:rsidR="00EF7D82">
              <w:t>ām</w:t>
            </w:r>
            <w:r w:rsidR="00EF7D82" w:rsidRPr="0031116E">
              <w:t xml:space="preserve"> (kareivji, dižkareivji, leitnanti un virsleitnanti)</w:t>
            </w:r>
            <w:r w:rsidR="00EF7D82">
              <w:t xml:space="preserve"> </w:t>
            </w:r>
            <w:r w:rsidR="00EF7D82" w:rsidRPr="0031116E">
              <w:t>I kategorijas mēnešalgas likme</w:t>
            </w:r>
            <w:r w:rsidR="00EF7D82">
              <w:t xml:space="preserve">s, savukārt pārējām dienesta pakāpēm – no </w:t>
            </w:r>
            <w:r>
              <w:t>lielākās likmes (</w:t>
            </w:r>
            <w:r w:rsidRPr="0031116E">
              <w:t>II kategorijas</w:t>
            </w:r>
            <w:r>
              <w:t>)</w:t>
            </w:r>
            <w:r>
              <w:rPr>
                <w:rStyle w:val="st"/>
                <w:szCs w:val="28"/>
              </w:rPr>
              <w:t xml:space="preserve">. </w:t>
            </w:r>
          </w:p>
          <w:p w:rsidR="0020106D" w:rsidRPr="000B528B" w:rsidRDefault="0020106D" w:rsidP="00EF7D82">
            <w:pPr>
              <w:widowControl w:val="0"/>
              <w:ind w:firstLine="717"/>
              <w:jc w:val="both"/>
              <w:rPr>
                <w:rFonts w:eastAsia="Calibri"/>
                <w:noProof/>
                <w:sz w:val="28"/>
                <w:szCs w:val="26"/>
                <w:lang w:eastAsia="en-US"/>
              </w:rPr>
            </w:pPr>
            <w:r>
              <w:rPr>
                <w:rFonts w:eastAsia="Calibri"/>
                <w:noProof/>
                <w:szCs w:val="26"/>
                <w:lang w:eastAsia="en-US"/>
              </w:rPr>
              <w:t>L</w:t>
            </w:r>
            <w:r w:rsidRPr="000B528B">
              <w:rPr>
                <w:rFonts w:eastAsia="Calibri"/>
                <w:noProof/>
                <w:szCs w:val="26"/>
                <w:lang w:eastAsia="en-US"/>
              </w:rPr>
              <w:t>ai š.g. augustā uz mācībām iesaucamie rezerves karavīri sa</w:t>
            </w:r>
            <w:r>
              <w:rPr>
                <w:rFonts w:eastAsia="Calibri"/>
                <w:noProof/>
                <w:szCs w:val="26"/>
                <w:lang w:eastAsia="en-US"/>
              </w:rPr>
              <w:t>ņemtu atbilstošas kompensācijas</w:t>
            </w:r>
            <w:r w:rsidR="007D3106">
              <w:rPr>
                <w:rFonts w:eastAsia="Calibri"/>
                <w:noProof/>
                <w:szCs w:val="26"/>
                <w:lang w:eastAsia="en-US"/>
              </w:rPr>
              <w:t>,</w:t>
            </w:r>
            <w:bookmarkStart w:id="5" w:name="_GoBack"/>
            <w:bookmarkEnd w:id="5"/>
            <w:r>
              <w:rPr>
                <w:rFonts w:eastAsia="Calibri"/>
                <w:noProof/>
                <w:szCs w:val="26"/>
                <w:lang w:eastAsia="en-US"/>
              </w:rPr>
              <w:t xml:space="preserve"> </w:t>
            </w:r>
            <w:r w:rsidRPr="00CC797C">
              <w:rPr>
                <w:rFonts w:eastAsia="Calibri"/>
                <w:noProof/>
                <w:szCs w:val="26"/>
                <w:u w:val="single"/>
                <w:lang w:eastAsia="en-US"/>
              </w:rPr>
              <w:t>ir nepieciešam</w:t>
            </w:r>
            <w:r w:rsidR="00EF7D82">
              <w:rPr>
                <w:rFonts w:eastAsia="Calibri"/>
                <w:noProof/>
                <w:szCs w:val="26"/>
                <w:u w:val="single"/>
                <w:lang w:eastAsia="en-US"/>
              </w:rPr>
              <w:t>s</w:t>
            </w:r>
            <w:r w:rsidRPr="00CC797C">
              <w:rPr>
                <w:rFonts w:eastAsia="Calibri"/>
                <w:noProof/>
                <w:szCs w:val="26"/>
                <w:u w:val="single"/>
                <w:lang w:eastAsia="en-US"/>
              </w:rPr>
              <w:t xml:space="preserve"> steidzam</w:t>
            </w:r>
            <w:r w:rsidR="00EF7D82">
              <w:rPr>
                <w:rFonts w:eastAsia="Calibri"/>
                <w:noProof/>
                <w:szCs w:val="26"/>
                <w:u w:val="single"/>
                <w:lang w:eastAsia="en-US"/>
              </w:rPr>
              <w:t>i veikt</w:t>
            </w:r>
            <w:r w:rsidRPr="00CC797C">
              <w:rPr>
                <w:rFonts w:eastAsia="Calibri"/>
                <w:noProof/>
                <w:szCs w:val="26"/>
                <w:u w:val="single"/>
                <w:lang w:eastAsia="en-US"/>
              </w:rPr>
              <w:t xml:space="preserve"> MK noteikumu grozījumu</w:t>
            </w:r>
            <w:r w:rsidR="00EF7D82">
              <w:rPr>
                <w:rFonts w:eastAsia="Calibri"/>
                <w:noProof/>
                <w:szCs w:val="26"/>
                <w:u w:val="single"/>
                <w:lang w:eastAsia="en-US"/>
              </w:rPr>
              <w:t>s</w:t>
            </w:r>
            <w:r>
              <w:rPr>
                <w:rFonts w:eastAsia="Calibri"/>
                <w:noProof/>
                <w:szCs w:val="26"/>
                <w:lang w:eastAsia="en-US"/>
              </w:rPr>
              <w:t>.</w:t>
            </w:r>
            <w:r w:rsidRPr="000B528B">
              <w:rPr>
                <w:rFonts w:eastAsia="Calibri"/>
                <w:noProof/>
                <w:szCs w:val="26"/>
                <w:lang w:eastAsia="en-US"/>
              </w:rPr>
              <w:t xml:space="preserve"> Grozījumiem nav ietekmes uz budžetu</w:t>
            </w:r>
            <w:r>
              <w:rPr>
                <w:rFonts w:eastAsia="Calibri"/>
                <w:noProof/>
                <w:szCs w:val="26"/>
                <w:lang w:eastAsia="en-US"/>
              </w:rPr>
              <w:t>, jo rezerves karavīru iesaukšanas un mācību izmaksas ir plānotas budžetā</w:t>
            </w:r>
            <w:r w:rsidRPr="000B528B">
              <w:rPr>
                <w:rFonts w:eastAsia="Calibri"/>
                <w:noProof/>
                <w:szCs w:val="26"/>
                <w:lang w:eastAsia="en-US"/>
              </w:rPr>
              <w:t>.</w:t>
            </w:r>
          </w:p>
        </w:tc>
      </w:tr>
      <w:tr w:rsidR="0020106D" w:rsidRPr="008F2C79" w:rsidTr="001266FD">
        <w:trPr>
          <w:trHeight w:val="8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lastRenderedPageBreak/>
              <w:t>3.</w:t>
            </w:r>
          </w:p>
        </w:tc>
        <w:tc>
          <w:tcPr>
            <w:tcW w:w="2259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Projekta izstrādē iesaistītās institūcijas</w:t>
            </w:r>
          </w:p>
        </w:tc>
        <w:tc>
          <w:tcPr>
            <w:tcW w:w="6387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>
              <w:t>Aizsardzības ministrija un NBS.</w:t>
            </w:r>
          </w:p>
        </w:tc>
      </w:tr>
      <w:tr w:rsidR="0020106D" w:rsidRPr="008F2C79" w:rsidTr="001266FD">
        <w:trPr>
          <w:trHeight w:val="246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4.</w:t>
            </w:r>
          </w:p>
        </w:tc>
        <w:tc>
          <w:tcPr>
            <w:tcW w:w="2259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Cita informācija</w:t>
            </w:r>
          </w:p>
        </w:tc>
        <w:tc>
          <w:tcPr>
            <w:tcW w:w="6387" w:type="dxa"/>
          </w:tcPr>
          <w:p w:rsidR="0020106D" w:rsidRPr="008F2C79" w:rsidRDefault="0020106D" w:rsidP="001266FD">
            <w:pPr>
              <w:pStyle w:val="naiskr"/>
              <w:spacing w:before="0" w:after="0"/>
              <w:jc w:val="both"/>
            </w:pPr>
            <w:r w:rsidRPr="008F2C79">
              <w:t>Nav.</w:t>
            </w:r>
          </w:p>
        </w:tc>
      </w:tr>
    </w:tbl>
    <w:p w:rsidR="0020106D" w:rsidRDefault="0020106D" w:rsidP="0020106D">
      <w:pPr>
        <w:pStyle w:val="naisf"/>
        <w:spacing w:before="0" w:after="0"/>
        <w:ind w:firstLine="0"/>
      </w:pPr>
    </w:p>
    <w:p w:rsidR="0020106D" w:rsidRPr="008F2C79" w:rsidRDefault="0020106D" w:rsidP="0020106D">
      <w:pPr>
        <w:pStyle w:val="naisf"/>
        <w:spacing w:before="0" w:after="0"/>
        <w:ind w:firstLine="0"/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6237"/>
      </w:tblGrid>
      <w:tr w:rsidR="0020106D" w:rsidRPr="008F2C79" w:rsidTr="001266FD">
        <w:trPr>
          <w:trHeight w:val="195"/>
        </w:trPr>
        <w:tc>
          <w:tcPr>
            <w:tcW w:w="9077" w:type="dxa"/>
            <w:gridSpan w:val="3"/>
            <w:vAlign w:val="center"/>
          </w:tcPr>
          <w:p w:rsidR="0020106D" w:rsidRPr="008F2C79" w:rsidRDefault="0020106D" w:rsidP="0020106D">
            <w:pPr>
              <w:pStyle w:val="naisnod"/>
              <w:numPr>
                <w:ilvl w:val="0"/>
                <w:numId w:val="1"/>
              </w:numPr>
              <w:spacing w:before="0" w:after="0"/>
            </w:pPr>
            <w:r w:rsidRPr="008F2C79">
              <w:t>Tiesību akta projekta ietekme uz sabiedrību, tautsaimniecības attīstību un administratīvo slogu</w:t>
            </w:r>
          </w:p>
        </w:tc>
      </w:tr>
      <w:tr w:rsidR="0020106D" w:rsidRPr="008F2C79" w:rsidTr="001266FD">
        <w:trPr>
          <w:trHeight w:val="331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1.</w:t>
            </w:r>
          </w:p>
        </w:tc>
        <w:tc>
          <w:tcPr>
            <w:tcW w:w="2409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Sabiedrības mērķgrupas, kuras tiesiskais regulējums ietekmē vai varētu ietekmēt</w:t>
            </w:r>
          </w:p>
        </w:tc>
        <w:tc>
          <w:tcPr>
            <w:tcW w:w="6237" w:type="dxa"/>
          </w:tcPr>
          <w:p w:rsidR="0020106D" w:rsidRPr="008F2C79" w:rsidRDefault="0020106D" w:rsidP="001266FD">
            <w:pPr>
              <w:pStyle w:val="naiskr"/>
              <w:spacing w:before="0" w:after="0"/>
              <w:jc w:val="both"/>
              <w:rPr>
                <w:iCs/>
              </w:rPr>
            </w:pPr>
            <w:r>
              <w:t xml:space="preserve"> Rezerves karavīri.</w:t>
            </w:r>
          </w:p>
        </w:tc>
      </w:tr>
      <w:tr w:rsidR="0020106D" w:rsidRPr="008F2C79" w:rsidTr="001266FD">
        <w:trPr>
          <w:trHeight w:val="367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2.</w:t>
            </w:r>
          </w:p>
        </w:tc>
        <w:tc>
          <w:tcPr>
            <w:tcW w:w="2409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Tiesiskā regulējuma ietekme uz tautsaimniecību un administratīvo slogu</w:t>
            </w:r>
          </w:p>
        </w:tc>
        <w:tc>
          <w:tcPr>
            <w:tcW w:w="6237" w:type="dxa"/>
            <w:shd w:val="clear" w:color="auto" w:fill="auto"/>
          </w:tcPr>
          <w:p w:rsidR="0020106D" w:rsidRPr="00E04A58" w:rsidRDefault="0020106D" w:rsidP="001266FD">
            <w:pPr>
              <w:pStyle w:val="naiskr"/>
              <w:spacing w:before="0" w:after="0"/>
              <w:jc w:val="both"/>
            </w:pPr>
            <w:r>
              <w:t xml:space="preserve"> Noteikumu projekts šo jomu neskar.</w:t>
            </w:r>
          </w:p>
        </w:tc>
      </w:tr>
      <w:tr w:rsidR="0020106D" w:rsidRPr="008F2C79" w:rsidTr="001266FD">
        <w:trPr>
          <w:trHeight w:val="253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3.</w:t>
            </w:r>
          </w:p>
        </w:tc>
        <w:tc>
          <w:tcPr>
            <w:tcW w:w="2409" w:type="dxa"/>
          </w:tcPr>
          <w:p w:rsidR="0020106D" w:rsidRPr="00425355" w:rsidRDefault="0020106D" w:rsidP="001266FD">
            <w:pPr>
              <w:pStyle w:val="naiskr"/>
              <w:spacing w:before="0" w:after="0"/>
              <w:rPr>
                <w:highlight w:val="yellow"/>
              </w:rPr>
            </w:pPr>
            <w:r w:rsidRPr="00783AE2">
              <w:t>Administratīvo izmaksu monetārs novērtējums</w:t>
            </w:r>
          </w:p>
        </w:tc>
        <w:tc>
          <w:tcPr>
            <w:tcW w:w="6237" w:type="dxa"/>
          </w:tcPr>
          <w:p w:rsidR="0020106D" w:rsidRPr="00425355" w:rsidRDefault="0020106D" w:rsidP="001266FD">
            <w:pPr>
              <w:jc w:val="both"/>
              <w:rPr>
                <w:highlight w:val="yellow"/>
              </w:rPr>
            </w:pPr>
            <w:r>
              <w:t xml:space="preserve"> Noteikumu projekts šo jomu neskar.</w:t>
            </w:r>
          </w:p>
        </w:tc>
      </w:tr>
      <w:tr w:rsidR="0020106D" w:rsidRPr="008F2C79" w:rsidTr="001266FD">
        <w:trPr>
          <w:trHeight w:val="204"/>
        </w:trPr>
        <w:tc>
          <w:tcPr>
            <w:tcW w:w="431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4.</w:t>
            </w:r>
          </w:p>
        </w:tc>
        <w:tc>
          <w:tcPr>
            <w:tcW w:w="2409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 w:rsidRPr="008F2C79">
              <w:t>Cita informācija</w:t>
            </w:r>
          </w:p>
        </w:tc>
        <w:tc>
          <w:tcPr>
            <w:tcW w:w="6237" w:type="dxa"/>
          </w:tcPr>
          <w:p w:rsidR="0020106D" w:rsidRPr="008F2C79" w:rsidRDefault="0020106D" w:rsidP="001266FD">
            <w:pPr>
              <w:pStyle w:val="naiskr"/>
              <w:spacing w:before="0" w:after="0"/>
            </w:pPr>
            <w:r>
              <w:t xml:space="preserve"> </w:t>
            </w:r>
            <w:r w:rsidRPr="008F2C79">
              <w:t>Nav.</w:t>
            </w:r>
          </w:p>
        </w:tc>
      </w:tr>
    </w:tbl>
    <w:p w:rsidR="0020106D" w:rsidRDefault="0020106D" w:rsidP="0020106D">
      <w:pPr>
        <w:jc w:val="both"/>
      </w:pPr>
    </w:p>
    <w:p w:rsidR="0020106D" w:rsidRPr="003F71FB" w:rsidRDefault="0020106D" w:rsidP="0020106D">
      <w:pPr>
        <w:rPr>
          <w:vanish/>
        </w:rPr>
      </w:pPr>
    </w:p>
    <w:tbl>
      <w:tblPr>
        <w:tblpPr w:leftFromText="180" w:rightFromText="180" w:vertAnchor="text" w:tblpY="3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4058"/>
        <w:gridCol w:w="4622"/>
      </w:tblGrid>
      <w:tr w:rsidR="0020106D" w:rsidRPr="003F71FB" w:rsidTr="001266FD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0106D" w:rsidRPr="003F71FB" w:rsidRDefault="0020106D" w:rsidP="001266FD">
            <w:pPr>
              <w:pStyle w:val="naisnod"/>
              <w:spacing w:before="0" w:after="0"/>
              <w:ind w:left="57" w:right="57"/>
            </w:pPr>
            <w:r w:rsidRPr="003F71FB">
              <w:t>VII. Tiesību akta projekta izpildes nodrošināšana un tās ietekme uz institūcijām</w:t>
            </w:r>
          </w:p>
        </w:tc>
      </w:tr>
      <w:tr w:rsidR="0020106D" w:rsidRPr="003F71FB" w:rsidTr="001266FD">
        <w:trPr>
          <w:trHeight w:val="42"/>
        </w:trPr>
        <w:tc>
          <w:tcPr>
            <w:tcW w:w="245" w:type="pct"/>
          </w:tcPr>
          <w:p w:rsidR="0020106D" w:rsidRPr="003F71FB" w:rsidRDefault="0020106D" w:rsidP="001266FD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71FB">
              <w:rPr>
                <w:b w:val="0"/>
              </w:rPr>
              <w:t>1.</w:t>
            </w:r>
          </w:p>
        </w:tc>
        <w:tc>
          <w:tcPr>
            <w:tcW w:w="2223" w:type="pct"/>
          </w:tcPr>
          <w:p w:rsidR="0020106D" w:rsidRPr="003F71FB" w:rsidRDefault="0020106D" w:rsidP="001266FD">
            <w:pPr>
              <w:pStyle w:val="naisf"/>
              <w:spacing w:before="0" w:after="0"/>
              <w:ind w:firstLine="0"/>
              <w:jc w:val="left"/>
            </w:pPr>
            <w:r w:rsidRPr="003F71FB">
              <w:t xml:space="preserve">Projekta izpildē iesaistītās institūcijas </w:t>
            </w:r>
          </w:p>
        </w:tc>
        <w:tc>
          <w:tcPr>
            <w:tcW w:w="2532" w:type="pct"/>
          </w:tcPr>
          <w:p w:rsidR="0020106D" w:rsidRPr="003F71FB" w:rsidRDefault="0020106D" w:rsidP="001266FD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  <w:iCs/>
              </w:rPr>
              <w:t>NBS</w:t>
            </w:r>
          </w:p>
        </w:tc>
      </w:tr>
      <w:tr w:rsidR="0020106D" w:rsidRPr="003F71FB" w:rsidTr="001266FD">
        <w:trPr>
          <w:trHeight w:val="373"/>
        </w:trPr>
        <w:tc>
          <w:tcPr>
            <w:tcW w:w="245" w:type="pct"/>
          </w:tcPr>
          <w:p w:rsidR="0020106D" w:rsidRPr="003F71FB" w:rsidRDefault="0020106D" w:rsidP="001266FD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71FB">
              <w:rPr>
                <w:b w:val="0"/>
              </w:rPr>
              <w:t>2.</w:t>
            </w:r>
          </w:p>
        </w:tc>
        <w:tc>
          <w:tcPr>
            <w:tcW w:w="2223" w:type="pct"/>
          </w:tcPr>
          <w:p w:rsidR="0020106D" w:rsidRPr="003F71FB" w:rsidRDefault="0020106D" w:rsidP="001266FD">
            <w:r w:rsidRPr="003F71FB">
              <w:t xml:space="preserve">Projekta izpildes ietekme uz pārvaldes funkcijām un institucionālo struktūru. </w:t>
            </w:r>
          </w:p>
          <w:p w:rsidR="0020106D" w:rsidRPr="003F71FB" w:rsidRDefault="0020106D" w:rsidP="001266FD"/>
          <w:p w:rsidR="0020106D" w:rsidRPr="003F71FB" w:rsidRDefault="0020106D" w:rsidP="001266FD">
            <w:pPr>
              <w:pStyle w:val="naisf"/>
              <w:spacing w:before="0" w:after="0"/>
              <w:ind w:firstLine="0"/>
              <w:jc w:val="left"/>
            </w:pPr>
            <w:r w:rsidRPr="003F71FB">
              <w:t>Jaunu institūciju izveide, esošu institūciju likvidācija vai reorganizācija, to ietekme uz institūcijas cilvēkresursiem</w:t>
            </w:r>
          </w:p>
        </w:tc>
        <w:tc>
          <w:tcPr>
            <w:tcW w:w="2532" w:type="pct"/>
          </w:tcPr>
          <w:p w:rsidR="0020106D" w:rsidRPr="0058428D" w:rsidRDefault="0020106D" w:rsidP="001266FD">
            <w:pPr>
              <w:jc w:val="both"/>
            </w:pPr>
            <w:r w:rsidRPr="0058428D">
              <w:t>Jaunas institūcijas netiek veidotas; funkciju un uzdevumu apjoms nepalielinās.</w:t>
            </w:r>
          </w:p>
        </w:tc>
      </w:tr>
      <w:tr w:rsidR="0020106D" w:rsidRPr="003F71FB" w:rsidTr="001266FD">
        <w:trPr>
          <w:trHeight w:val="201"/>
        </w:trPr>
        <w:tc>
          <w:tcPr>
            <w:tcW w:w="245" w:type="pct"/>
          </w:tcPr>
          <w:p w:rsidR="0020106D" w:rsidRPr="003F71FB" w:rsidRDefault="0020106D" w:rsidP="001266FD">
            <w:pPr>
              <w:pStyle w:val="naiskr"/>
              <w:spacing w:before="0" w:after="0"/>
              <w:ind w:left="57" w:right="57"/>
              <w:jc w:val="center"/>
            </w:pPr>
            <w:r w:rsidRPr="003F71FB">
              <w:t>3.</w:t>
            </w:r>
          </w:p>
        </w:tc>
        <w:tc>
          <w:tcPr>
            <w:tcW w:w="2223" w:type="pct"/>
          </w:tcPr>
          <w:p w:rsidR="0020106D" w:rsidRPr="003F71FB" w:rsidRDefault="0020106D" w:rsidP="001266FD">
            <w:pPr>
              <w:pStyle w:val="naiskr"/>
              <w:spacing w:before="0" w:after="0"/>
            </w:pPr>
            <w:r w:rsidRPr="003F71FB">
              <w:t>Cita informācija</w:t>
            </w:r>
          </w:p>
        </w:tc>
        <w:tc>
          <w:tcPr>
            <w:tcW w:w="2532" w:type="pct"/>
          </w:tcPr>
          <w:p w:rsidR="0020106D" w:rsidRPr="003F71FB" w:rsidRDefault="0020106D" w:rsidP="001266FD">
            <w:pPr>
              <w:jc w:val="both"/>
            </w:pPr>
            <w:r w:rsidRPr="003F71FB">
              <w:t>Nav.</w:t>
            </w:r>
          </w:p>
        </w:tc>
      </w:tr>
    </w:tbl>
    <w:p w:rsidR="0020106D" w:rsidRDefault="0020106D" w:rsidP="0020106D">
      <w:pPr>
        <w:pStyle w:val="tvhtml"/>
        <w:spacing w:before="0" w:beforeAutospacing="0" w:after="0" w:afterAutospacing="0"/>
      </w:pPr>
      <w:r>
        <w:t xml:space="preserve"> </w:t>
      </w:r>
      <w:r>
        <w:rPr>
          <w:i/>
          <w:iCs/>
          <w:color w:val="000000"/>
        </w:rPr>
        <w:t>Anotācijas III. – VI. sadaļa – projekts šīs jomas neskar</w:t>
      </w:r>
    </w:p>
    <w:p w:rsidR="0020106D" w:rsidRPr="003F71FB" w:rsidRDefault="0020106D" w:rsidP="0020106D">
      <w:pPr>
        <w:pStyle w:val="tvhtml"/>
        <w:spacing w:before="0" w:beforeAutospacing="0" w:after="0" w:afterAutospacing="0"/>
      </w:pPr>
    </w:p>
    <w:p w:rsidR="0020106D" w:rsidRPr="003F71FB" w:rsidRDefault="0020106D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B54E5B" w:rsidRDefault="00B54E5B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DD04E1" w:rsidRDefault="00DD04E1" w:rsidP="00DD04E1">
      <w:pPr>
        <w:autoSpaceDE w:val="0"/>
        <w:autoSpaceDN w:val="0"/>
        <w:adjustRightInd w:val="0"/>
        <w:rPr>
          <w:rFonts w:eastAsia="Calibri"/>
        </w:rPr>
      </w:pPr>
    </w:p>
    <w:p w:rsidR="00B46E84" w:rsidRPr="009030E7" w:rsidRDefault="00B46E84" w:rsidP="00B46E84">
      <w:pPr>
        <w:autoSpaceDE w:val="0"/>
        <w:autoSpaceDN w:val="0"/>
        <w:adjustRightInd w:val="0"/>
        <w:ind w:right="-382"/>
        <w:rPr>
          <w:rFonts w:eastAsia="Calibri"/>
        </w:rPr>
      </w:pPr>
      <w:r w:rsidRPr="009030E7">
        <w:rPr>
          <w:rFonts w:eastAsia="Calibri"/>
        </w:rPr>
        <w:t>Aizsa</w:t>
      </w:r>
      <w:r>
        <w:rPr>
          <w:rFonts w:eastAsia="Calibri"/>
        </w:rPr>
        <w:t>rdzības ministrs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R. Bergmanis</w:t>
      </w:r>
    </w:p>
    <w:p w:rsidR="00B54E5B" w:rsidRDefault="00B54E5B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F35B7" w:rsidRDefault="003F35B7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B54E5B" w:rsidRDefault="00B54E5B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DD04E1" w:rsidRDefault="00DD04E1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DD04E1" w:rsidRDefault="00DD04E1" w:rsidP="002010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B46E84" w:rsidRDefault="00B46E84" w:rsidP="00B46E84">
      <w:pPr>
        <w:pStyle w:val="naisf"/>
        <w:tabs>
          <w:tab w:val="right" w:pos="8789"/>
        </w:tabs>
        <w:spacing w:before="0" w:after="0"/>
        <w:ind w:firstLine="0"/>
      </w:pPr>
      <w:r>
        <w:t>Vīza: valsts sekretāra p.i.</w:t>
      </w:r>
      <w:r w:rsidRPr="002A5962">
        <w:t xml:space="preserve"> </w:t>
      </w:r>
      <w:r w:rsidR="006A5B81">
        <w:tab/>
        <w:t xml:space="preserve"> E.Palma–</w:t>
      </w:r>
      <w:r>
        <w:t>Jansone</w:t>
      </w: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617C7A" w:rsidRDefault="00617C7A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46E84" w:rsidRDefault="00B46E84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46E84" w:rsidRDefault="00B46E84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46E84" w:rsidRDefault="00B46E84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46E84" w:rsidRDefault="00B46E84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46E84" w:rsidRDefault="00B46E84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46E84" w:rsidRDefault="00B46E84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B54E5B" w:rsidP="00B54E5B">
      <w:pPr>
        <w:pStyle w:val="naisf"/>
        <w:spacing w:before="0" w:after="0"/>
        <w:ind w:firstLine="0"/>
        <w:rPr>
          <w:sz w:val="20"/>
          <w:szCs w:val="20"/>
        </w:rPr>
      </w:pPr>
    </w:p>
    <w:p w:rsidR="00B54E5B" w:rsidRDefault="00FF7F80" w:rsidP="00B54E5B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21</w:t>
      </w:r>
      <w:r w:rsidR="00593353">
        <w:rPr>
          <w:sz w:val="20"/>
          <w:szCs w:val="20"/>
        </w:rPr>
        <w:t>.06.2016.</w:t>
      </w:r>
    </w:p>
    <w:p w:rsidR="00593353" w:rsidRDefault="00CC154C" w:rsidP="00B54E5B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FF7F80">
        <w:rPr>
          <w:sz w:val="20"/>
          <w:szCs w:val="20"/>
        </w:rPr>
        <w:t>9</w:t>
      </w:r>
      <w:r w:rsidR="003F35B7">
        <w:rPr>
          <w:sz w:val="20"/>
          <w:szCs w:val="20"/>
        </w:rPr>
        <w:t>5</w:t>
      </w:r>
    </w:p>
    <w:p w:rsidR="0020106D" w:rsidRPr="00053C9B" w:rsidRDefault="0020106D" w:rsidP="00B54E5B">
      <w:pPr>
        <w:pStyle w:val="naisf"/>
        <w:spacing w:before="0" w:after="0"/>
        <w:ind w:firstLine="0"/>
        <w:rPr>
          <w:sz w:val="20"/>
          <w:szCs w:val="20"/>
        </w:rPr>
      </w:pPr>
      <w:r w:rsidRPr="00053C9B">
        <w:rPr>
          <w:sz w:val="20"/>
          <w:szCs w:val="20"/>
        </w:rPr>
        <w:t>I.</w:t>
      </w:r>
      <w:r w:rsidR="00B54E5B">
        <w:rPr>
          <w:sz w:val="20"/>
          <w:szCs w:val="20"/>
        </w:rPr>
        <w:t xml:space="preserve"> </w:t>
      </w:r>
      <w:r>
        <w:rPr>
          <w:sz w:val="20"/>
          <w:szCs w:val="20"/>
        </w:rPr>
        <w:t>Krilova</w:t>
      </w:r>
    </w:p>
    <w:p w:rsidR="0020106D" w:rsidRDefault="0020106D" w:rsidP="00B54E5B">
      <w:pPr>
        <w:pStyle w:val="naisf"/>
        <w:spacing w:before="0" w:after="0"/>
        <w:ind w:firstLine="0"/>
        <w:rPr>
          <w:sz w:val="20"/>
          <w:szCs w:val="20"/>
        </w:rPr>
      </w:pPr>
      <w:r w:rsidRPr="00053C9B">
        <w:rPr>
          <w:sz w:val="20"/>
          <w:szCs w:val="20"/>
        </w:rPr>
        <w:t>6707181</w:t>
      </w:r>
      <w:r>
        <w:rPr>
          <w:sz w:val="20"/>
          <w:szCs w:val="20"/>
        </w:rPr>
        <w:t>6</w:t>
      </w:r>
      <w:r w:rsidRPr="00053C9B">
        <w:rPr>
          <w:sz w:val="20"/>
          <w:szCs w:val="20"/>
        </w:rPr>
        <w:t xml:space="preserve">, </w:t>
      </w:r>
      <w:r>
        <w:rPr>
          <w:sz w:val="20"/>
          <w:szCs w:val="20"/>
        </w:rPr>
        <w:t>iveta.krilova</w:t>
      </w:r>
      <w:r w:rsidRPr="00053C9B">
        <w:rPr>
          <w:sz w:val="20"/>
          <w:szCs w:val="20"/>
        </w:rPr>
        <w:t>@mil.lv</w:t>
      </w:r>
    </w:p>
    <w:p w:rsidR="00FF7F80" w:rsidRPr="00FF7F80" w:rsidRDefault="00FF7F80" w:rsidP="00B54E5B">
      <w:pPr>
        <w:pStyle w:val="naisf"/>
        <w:spacing w:before="0" w:after="0"/>
        <w:ind w:firstLine="0"/>
        <w:rPr>
          <w:sz w:val="20"/>
          <w:szCs w:val="20"/>
        </w:rPr>
      </w:pPr>
      <w:r w:rsidRPr="00FF7F80">
        <w:rPr>
          <w:sz w:val="20"/>
          <w:szCs w:val="20"/>
        </w:rPr>
        <w:t>J. Mačis</w:t>
      </w:r>
    </w:p>
    <w:p w:rsidR="00FF7F80" w:rsidRPr="00FF7F80" w:rsidRDefault="00FF7F80" w:rsidP="00B54E5B">
      <w:pPr>
        <w:pStyle w:val="naisf"/>
        <w:spacing w:before="0" w:after="0"/>
        <w:ind w:firstLine="0"/>
        <w:rPr>
          <w:sz w:val="20"/>
          <w:szCs w:val="20"/>
        </w:rPr>
      </w:pPr>
      <w:r w:rsidRPr="00FF7F80">
        <w:rPr>
          <w:sz w:val="20"/>
          <w:szCs w:val="20"/>
        </w:rPr>
        <w:t>67335088, Juris.Macis@mod.gov.lv</w:t>
      </w:r>
    </w:p>
    <w:p w:rsidR="00CE1B0C" w:rsidRDefault="00CE1B0C"/>
    <w:sectPr w:rsidR="00CE1B0C" w:rsidSect="006247F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79" w:rsidRDefault="00593353">
      <w:r>
        <w:separator/>
      </w:r>
    </w:p>
  </w:endnote>
  <w:endnote w:type="continuationSeparator" w:id="0">
    <w:p w:rsidR="00EF1E79" w:rsidRDefault="0059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F" w:rsidRPr="00A401E3" w:rsidRDefault="00617C7A" w:rsidP="00A401E3">
    <w:pPr>
      <w:jc w:val="both"/>
      <w:rPr>
        <w:sz w:val="20"/>
        <w:szCs w:val="20"/>
      </w:rPr>
    </w:pPr>
    <w:r>
      <w:rPr>
        <w:sz w:val="20"/>
        <w:szCs w:val="20"/>
      </w:rPr>
      <w:t xml:space="preserve">AIManot_210616_RKkompens; </w:t>
    </w:r>
    <w:r w:rsidR="0020106D" w:rsidRPr="00A401E3">
      <w:rPr>
        <w:sz w:val="20"/>
        <w:szCs w:val="20"/>
      </w:rPr>
      <w:t>Ministru kabineta noteikumu projekta „Grozījumi Ministru kabineta 2017.gada 20.novembra noteikumos Nr.780 „Noteikumi par kārtību, kādā izmaksājama kompensācija uz militārajām mācībām iesauktajiem rezerves karavīriem, un kompensācijas apmēru</w:t>
    </w:r>
    <w:r w:rsidR="0020106D" w:rsidRPr="00A401E3">
      <w:rPr>
        <w:bCs/>
        <w:sz w:val="20"/>
        <w:szCs w:val="20"/>
      </w:rPr>
      <w:t>””</w:t>
    </w:r>
    <w:r w:rsidR="0020106D">
      <w:rPr>
        <w:bCs/>
        <w:sz w:val="20"/>
        <w:szCs w:val="20"/>
      </w:rPr>
      <w:t xml:space="preserve"> </w:t>
    </w:r>
    <w:r w:rsidR="0020106D" w:rsidRPr="00A401E3">
      <w:rPr>
        <w:sz w:val="20"/>
        <w:szCs w:val="20"/>
      </w:rPr>
      <w:t>sākotnējās ietekmes novērtējuma ziņojums (</w:t>
    </w:r>
    <w:r w:rsidR="0020106D" w:rsidRPr="00A401E3">
      <w:rPr>
        <w:bCs/>
        <w:color w:val="000000"/>
        <w:sz w:val="20"/>
        <w:szCs w:val="20"/>
      </w:rPr>
      <w:t>anotācija)</w:t>
    </w:r>
    <w:r w:rsidR="000E0D6A">
      <w:rPr>
        <w:bCs/>
        <w:color w:val="000000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E3" w:rsidRPr="00A401E3" w:rsidRDefault="00617C7A" w:rsidP="00A401E3">
    <w:pPr>
      <w:jc w:val="both"/>
      <w:rPr>
        <w:sz w:val="20"/>
        <w:szCs w:val="20"/>
      </w:rPr>
    </w:pPr>
    <w:r>
      <w:rPr>
        <w:sz w:val="20"/>
        <w:szCs w:val="20"/>
      </w:rPr>
      <w:t xml:space="preserve">AIManot_210616_RKkompens; </w:t>
    </w:r>
    <w:r w:rsidR="0020106D" w:rsidRPr="00A401E3">
      <w:rPr>
        <w:sz w:val="20"/>
        <w:szCs w:val="20"/>
      </w:rPr>
      <w:t>Ministru kabineta noteikumu projekta „Grozījumi Ministru kabineta 2017.gada 20.novembra noteikumos Nr.780 „Noteikumi par kārtību, kādā izmaksājama kompensācija uz militārajām mācībām iesauktajiem rezerves karavīriem, un kompensācijas apmēru</w:t>
    </w:r>
    <w:r w:rsidR="0020106D" w:rsidRPr="00A401E3">
      <w:rPr>
        <w:bCs/>
        <w:sz w:val="20"/>
        <w:szCs w:val="20"/>
      </w:rPr>
      <w:t>””</w:t>
    </w:r>
    <w:r w:rsidR="0020106D">
      <w:rPr>
        <w:bCs/>
        <w:sz w:val="20"/>
        <w:szCs w:val="20"/>
      </w:rPr>
      <w:t xml:space="preserve"> </w:t>
    </w:r>
    <w:r w:rsidR="0020106D" w:rsidRPr="00A401E3">
      <w:rPr>
        <w:sz w:val="20"/>
        <w:szCs w:val="20"/>
      </w:rPr>
      <w:t>sākotnējās ietekmes novērtējuma ziņojums (</w:t>
    </w:r>
    <w:r w:rsidR="0020106D" w:rsidRPr="00A401E3">
      <w:rPr>
        <w:bCs/>
        <w:color w:val="000000"/>
        <w:sz w:val="20"/>
        <w:szCs w:val="20"/>
      </w:rPr>
      <w:t>anotācija)</w:t>
    </w:r>
    <w:r w:rsidR="000E0D6A">
      <w:rPr>
        <w:bCs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79" w:rsidRDefault="00593353">
      <w:r>
        <w:separator/>
      </w:r>
    </w:p>
  </w:footnote>
  <w:footnote w:type="continuationSeparator" w:id="0">
    <w:p w:rsidR="00EF1E79" w:rsidRDefault="0059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F" w:rsidRDefault="0020106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6DF" w:rsidRDefault="007D3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DF" w:rsidRDefault="0020106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106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6DF" w:rsidRDefault="007D3106">
    <w:pPr>
      <w:pStyle w:val="Header"/>
    </w:pPr>
  </w:p>
  <w:p w:rsidR="008C7D39" w:rsidRDefault="007D31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5D2"/>
    <w:multiLevelType w:val="hybridMultilevel"/>
    <w:tmpl w:val="B1D49224"/>
    <w:lvl w:ilvl="0" w:tplc="C97E9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6D"/>
    <w:rsid w:val="000E0D6A"/>
    <w:rsid w:val="001964AB"/>
    <w:rsid w:val="0020106D"/>
    <w:rsid w:val="00327BBC"/>
    <w:rsid w:val="003F35B7"/>
    <w:rsid w:val="00593353"/>
    <w:rsid w:val="00617C7A"/>
    <w:rsid w:val="006A5B81"/>
    <w:rsid w:val="007D3106"/>
    <w:rsid w:val="008B11E0"/>
    <w:rsid w:val="009C0508"/>
    <w:rsid w:val="00B46E84"/>
    <w:rsid w:val="00B54E5B"/>
    <w:rsid w:val="00CC154C"/>
    <w:rsid w:val="00CE1B0C"/>
    <w:rsid w:val="00DD04E1"/>
    <w:rsid w:val="00EF1E79"/>
    <w:rsid w:val="00EF7D82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06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10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0106D"/>
  </w:style>
  <w:style w:type="paragraph" w:customStyle="1" w:styleId="naisf">
    <w:name w:val="naisf"/>
    <w:basedOn w:val="Normal"/>
    <w:rsid w:val="0020106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0106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20106D"/>
    <w:pPr>
      <w:spacing w:before="75" w:after="75"/>
    </w:pPr>
  </w:style>
  <w:style w:type="paragraph" w:styleId="Footer">
    <w:name w:val="footer"/>
    <w:basedOn w:val="Normal"/>
    <w:link w:val="FooterChar"/>
    <w:rsid w:val="00201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0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20106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html">
    <w:name w:val="tv_html"/>
    <w:basedOn w:val="Normal"/>
    <w:rsid w:val="0020106D"/>
    <w:pPr>
      <w:spacing w:before="100" w:beforeAutospacing="1" w:after="100" w:afterAutospacing="1"/>
    </w:pPr>
  </w:style>
  <w:style w:type="character" w:customStyle="1" w:styleId="st">
    <w:name w:val="st"/>
    <w:rsid w:val="0020106D"/>
  </w:style>
  <w:style w:type="character" w:styleId="Hyperlink">
    <w:name w:val="Hyperlink"/>
    <w:basedOn w:val="DefaultParagraphFont"/>
    <w:uiPriority w:val="99"/>
    <w:unhideWhenUsed/>
    <w:rsid w:val="00FF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06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10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0106D"/>
  </w:style>
  <w:style w:type="paragraph" w:customStyle="1" w:styleId="naisf">
    <w:name w:val="naisf"/>
    <w:basedOn w:val="Normal"/>
    <w:rsid w:val="0020106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0106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20106D"/>
    <w:pPr>
      <w:spacing w:before="75" w:after="75"/>
    </w:pPr>
  </w:style>
  <w:style w:type="paragraph" w:styleId="Footer">
    <w:name w:val="footer"/>
    <w:basedOn w:val="Normal"/>
    <w:link w:val="FooterChar"/>
    <w:rsid w:val="00201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0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20106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html">
    <w:name w:val="tv_html"/>
    <w:basedOn w:val="Normal"/>
    <w:rsid w:val="0020106D"/>
    <w:pPr>
      <w:spacing w:before="100" w:beforeAutospacing="1" w:after="100" w:afterAutospacing="1"/>
    </w:pPr>
  </w:style>
  <w:style w:type="character" w:customStyle="1" w:styleId="st">
    <w:name w:val="st"/>
    <w:rsid w:val="0020106D"/>
  </w:style>
  <w:style w:type="character" w:styleId="Hyperlink">
    <w:name w:val="Hyperlink"/>
    <w:basedOn w:val="DefaultParagraphFont"/>
    <w:uiPriority w:val="99"/>
    <w:unhideWhenUsed/>
    <w:rsid w:val="00FF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6F580050.dotm</Template>
  <TotalTime>40</TotalTime>
  <Pages>3</Pages>
  <Words>610</Words>
  <Characters>4497</Characters>
  <Application>Microsoft Office Word</Application>
  <DocSecurity>0</DocSecurity>
  <Lines>236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Grozījumiem Ministru kabineta 2007.gada 20.novembra noteikumos Nr. 780 "Noteikumi par kārtību, kādā izmaksājama kompensācija uz militārajām mācībām iesauktajiem rezerves karavīriem, un kompensācijas apmēru".</vt:lpstr>
    </vt:vector>
  </TitlesOfParts>
  <Manager>Aizsardzības ministrija</Manager>
  <Company>Krīzes vadības departamenta Mobilizācijas un uzņēmējvalsts atbalsta plānošanas nodaļa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Grozījumiem Ministru kabineta 2007.gada 20.novembra noteikumos Nr. 780 "Noteikumi par kārtību, kādā izmaksājama kompensācija uz militārajām mācībām iesauktajiem rezerves karavīriem, un kompensācijas apmēru".</dc:title>
  <dc:subject>Anotācija</dc:subject>
  <dc:creator>Juris Mačis; Iveta Krilova</dc:creator>
  <dc:description>AM Krīzes vadības departamenta Mobilizācijas un uzņēmējvalsts atbalsta plānošanas nodaļas vecākais eksperts Juris Mačis, _x000d_
Juris.Macis@mod.gov.lv, tālr. 67335088, fakss 67335130;_x000d_
Nacionālo bruņoto spēku Apvienotā štāba Personāla departamenta Personālvadības atbalsta plānošanas daļas virsniece Iveta Krilova; Iveta.Krilova@mil.lv; tālr. 67071815 </dc:description>
  <cp:lastModifiedBy>Kristiāns Andžāns</cp:lastModifiedBy>
  <cp:revision>15</cp:revision>
  <cp:lastPrinted>2016-07-22T08:09:00Z</cp:lastPrinted>
  <dcterms:created xsi:type="dcterms:W3CDTF">2016-06-20T07:21:00Z</dcterms:created>
  <dcterms:modified xsi:type="dcterms:W3CDTF">2016-07-22T08:58:00Z</dcterms:modified>
</cp:coreProperties>
</file>