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0D6EE3" w:rsidRDefault="00EE2B43" w:rsidP="001D166B">
      <w:pPr>
        <w:pStyle w:val="naislab"/>
        <w:spacing w:before="0" w:after="0"/>
        <w:jc w:val="center"/>
        <w:rPr>
          <w:b/>
          <w:sz w:val="26"/>
          <w:szCs w:val="26"/>
        </w:rPr>
      </w:pPr>
      <w:r w:rsidRPr="000D6EE3">
        <w:rPr>
          <w:b/>
          <w:sz w:val="26"/>
          <w:szCs w:val="26"/>
        </w:rPr>
        <w:t xml:space="preserve">  </w:t>
      </w:r>
      <w:r w:rsidR="009F7D7D" w:rsidRPr="000D6EE3">
        <w:rPr>
          <w:b/>
          <w:sz w:val="26"/>
          <w:szCs w:val="26"/>
        </w:rPr>
        <w:t>Likum</w:t>
      </w:r>
      <w:r w:rsidR="00852042" w:rsidRPr="000D6EE3">
        <w:rPr>
          <w:b/>
          <w:sz w:val="26"/>
          <w:szCs w:val="26"/>
        </w:rPr>
        <w:t xml:space="preserve">projekta </w:t>
      </w:r>
      <w:r w:rsidR="001D166B" w:rsidRPr="000D6EE3">
        <w:rPr>
          <w:b/>
          <w:sz w:val="26"/>
          <w:szCs w:val="26"/>
        </w:rPr>
        <w:t>„Grozījum</w:t>
      </w:r>
      <w:r w:rsidR="000D6EE3" w:rsidRPr="000D6EE3">
        <w:rPr>
          <w:b/>
          <w:sz w:val="26"/>
          <w:szCs w:val="26"/>
        </w:rPr>
        <w:t>s</w:t>
      </w:r>
      <w:r w:rsidR="001D166B" w:rsidRPr="000D6EE3">
        <w:rPr>
          <w:b/>
          <w:sz w:val="26"/>
          <w:szCs w:val="26"/>
        </w:rPr>
        <w:t xml:space="preserve"> </w:t>
      </w:r>
      <w:r w:rsidR="00D442BD" w:rsidRPr="000D6EE3">
        <w:rPr>
          <w:b/>
          <w:sz w:val="26"/>
          <w:szCs w:val="26"/>
        </w:rPr>
        <w:t>likumā</w:t>
      </w:r>
      <w:r w:rsidR="009639C2" w:rsidRPr="000D6EE3">
        <w:rPr>
          <w:b/>
          <w:sz w:val="26"/>
          <w:szCs w:val="26"/>
        </w:rPr>
        <w:t xml:space="preserve"> „Par nodokļiem un nodevām”</w:t>
      </w:r>
      <w:r w:rsidR="009F7D7D" w:rsidRPr="000D6EE3">
        <w:rPr>
          <w:b/>
          <w:sz w:val="26"/>
          <w:szCs w:val="26"/>
        </w:rPr>
        <w:t xml:space="preserve">” </w:t>
      </w:r>
      <w:r w:rsidR="00852042" w:rsidRPr="000D6EE3">
        <w:rPr>
          <w:b/>
          <w:sz w:val="26"/>
          <w:szCs w:val="26"/>
        </w:rPr>
        <w:t>sākotnējā</w:t>
      </w:r>
      <w:r w:rsidR="002D3306" w:rsidRPr="000D6EE3">
        <w:rPr>
          <w:b/>
          <w:sz w:val="26"/>
          <w:szCs w:val="26"/>
        </w:rPr>
        <w:t>s</w:t>
      </w:r>
      <w:r w:rsidR="00852042" w:rsidRPr="000D6EE3">
        <w:rPr>
          <w:b/>
          <w:sz w:val="26"/>
          <w:szCs w:val="26"/>
        </w:rPr>
        <w:t xml:space="preserve"> ietekmes novērtējuma ziņojums (anotācija)</w:t>
      </w:r>
    </w:p>
    <w:p w:rsidR="000F737F" w:rsidRPr="000D6EE3" w:rsidRDefault="000F737F" w:rsidP="001D166B">
      <w:pPr>
        <w:pStyle w:val="naislab"/>
        <w:spacing w:before="0" w:after="0"/>
        <w:jc w:val="center"/>
        <w:rPr>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0D6EE3">
        <w:tc>
          <w:tcPr>
            <w:tcW w:w="9725" w:type="dxa"/>
            <w:gridSpan w:val="3"/>
            <w:vAlign w:val="center"/>
          </w:tcPr>
          <w:p w:rsidR="00852042" w:rsidRPr="000D6EE3" w:rsidRDefault="00852042" w:rsidP="006C4607">
            <w:pPr>
              <w:pStyle w:val="naisnod"/>
              <w:spacing w:before="0" w:after="0"/>
              <w:rPr>
                <w:sz w:val="26"/>
                <w:szCs w:val="26"/>
              </w:rPr>
            </w:pPr>
            <w:r w:rsidRPr="000D6EE3">
              <w:rPr>
                <w:sz w:val="26"/>
                <w:szCs w:val="26"/>
              </w:rPr>
              <w:t>I</w:t>
            </w:r>
            <w:r w:rsidR="000941C5" w:rsidRPr="000D6EE3">
              <w:rPr>
                <w:sz w:val="26"/>
                <w:szCs w:val="26"/>
              </w:rPr>
              <w:t>.</w:t>
            </w:r>
            <w:r w:rsidRPr="000D6EE3">
              <w:rPr>
                <w:sz w:val="26"/>
                <w:szCs w:val="26"/>
              </w:rPr>
              <w:t xml:space="preserve"> Tiesību akta </w:t>
            </w:r>
            <w:r w:rsidR="002E3FF4" w:rsidRPr="000D6EE3">
              <w:rPr>
                <w:sz w:val="26"/>
                <w:szCs w:val="26"/>
              </w:rPr>
              <w:t xml:space="preserve">projekta </w:t>
            </w:r>
            <w:r w:rsidRPr="000D6EE3">
              <w:rPr>
                <w:sz w:val="26"/>
                <w:szCs w:val="26"/>
              </w:rPr>
              <w:t>izstrādes nepieciešamība</w:t>
            </w:r>
          </w:p>
        </w:tc>
      </w:tr>
      <w:tr w:rsidR="00262E2B" w:rsidRPr="000D6EE3" w:rsidTr="00AD104F">
        <w:trPr>
          <w:trHeight w:val="267"/>
        </w:trPr>
        <w:tc>
          <w:tcPr>
            <w:tcW w:w="550" w:type="dxa"/>
          </w:tcPr>
          <w:p w:rsidR="00262E2B" w:rsidRPr="000D6EE3" w:rsidRDefault="00262E2B" w:rsidP="006C4607">
            <w:pPr>
              <w:pStyle w:val="naiskr"/>
              <w:spacing w:before="0" w:after="0"/>
              <w:rPr>
                <w:sz w:val="26"/>
                <w:szCs w:val="26"/>
              </w:rPr>
            </w:pPr>
            <w:r w:rsidRPr="000D6EE3">
              <w:rPr>
                <w:sz w:val="26"/>
                <w:szCs w:val="26"/>
              </w:rPr>
              <w:t>1.</w:t>
            </w:r>
          </w:p>
        </w:tc>
        <w:tc>
          <w:tcPr>
            <w:tcW w:w="2149" w:type="dxa"/>
          </w:tcPr>
          <w:p w:rsidR="00DF5C90" w:rsidRPr="000D6EE3" w:rsidRDefault="002D7F54" w:rsidP="006C4607">
            <w:pPr>
              <w:pStyle w:val="naiskr"/>
              <w:spacing w:before="0" w:after="0"/>
              <w:ind w:hanging="10"/>
              <w:rPr>
                <w:sz w:val="26"/>
                <w:szCs w:val="26"/>
              </w:rPr>
            </w:pPr>
            <w:r w:rsidRPr="000D6EE3">
              <w:rPr>
                <w:sz w:val="26"/>
                <w:szCs w:val="26"/>
              </w:rPr>
              <w:t>Pamatojums</w:t>
            </w:r>
          </w:p>
          <w:p w:rsidR="00DF5C90" w:rsidRPr="000D6EE3" w:rsidRDefault="00DF5C90" w:rsidP="00DF5C90">
            <w:pPr>
              <w:rPr>
                <w:sz w:val="26"/>
                <w:szCs w:val="26"/>
              </w:rPr>
            </w:pPr>
          </w:p>
          <w:p w:rsidR="00262E2B" w:rsidRPr="000D6EE3" w:rsidRDefault="00262E2B" w:rsidP="00DF5C90">
            <w:pPr>
              <w:ind w:firstLine="720"/>
              <w:rPr>
                <w:sz w:val="26"/>
                <w:szCs w:val="26"/>
              </w:rPr>
            </w:pPr>
          </w:p>
        </w:tc>
        <w:tc>
          <w:tcPr>
            <w:tcW w:w="7026" w:type="dxa"/>
          </w:tcPr>
          <w:p w:rsidR="000C5F27" w:rsidRPr="000D6EE3" w:rsidRDefault="00400F6B" w:rsidP="00400F6B">
            <w:pPr>
              <w:jc w:val="both"/>
              <w:rPr>
                <w:sz w:val="26"/>
                <w:szCs w:val="26"/>
              </w:rPr>
            </w:pPr>
            <w:r w:rsidRPr="000D6EE3">
              <w:rPr>
                <w:sz w:val="26"/>
                <w:szCs w:val="26"/>
              </w:rPr>
              <w:t>Energoefektivitātes liku</w:t>
            </w:r>
            <w:r w:rsidR="00FA13E0" w:rsidRPr="000D6EE3">
              <w:rPr>
                <w:sz w:val="26"/>
                <w:szCs w:val="26"/>
              </w:rPr>
              <w:t>ma 13.pants</w:t>
            </w:r>
            <w:r w:rsidRPr="000D6EE3">
              <w:rPr>
                <w:sz w:val="26"/>
                <w:szCs w:val="26"/>
              </w:rPr>
              <w:t>, kas paredz energoefektivitātes nodevas noteikšanu.</w:t>
            </w:r>
          </w:p>
        </w:tc>
      </w:tr>
      <w:tr w:rsidR="00262E2B" w:rsidRPr="000D6EE3" w:rsidTr="00AD104F">
        <w:trPr>
          <w:trHeight w:val="472"/>
        </w:trPr>
        <w:tc>
          <w:tcPr>
            <w:tcW w:w="550" w:type="dxa"/>
          </w:tcPr>
          <w:p w:rsidR="00262E2B" w:rsidRPr="000D6EE3" w:rsidRDefault="00262E2B" w:rsidP="006C4607">
            <w:pPr>
              <w:pStyle w:val="naiskr"/>
              <w:spacing w:before="0" w:after="0"/>
              <w:rPr>
                <w:sz w:val="26"/>
                <w:szCs w:val="26"/>
              </w:rPr>
            </w:pPr>
            <w:r w:rsidRPr="000D6EE3">
              <w:rPr>
                <w:sz w:val="26"/>
                <w:szCs w:val="26"/>
              </w:rPr>
              <w:t>2.</w:t>
            </w:r>
          </w:p>
        </w:tc>
        <w:tc>
          <w:tcPr>
            <w:tcW w:w="2149" w:type="dxa"/>
          </w:tcPr>
          <w:p w:rsidR="007F290E" w:rsidRPr="000D6EE3" w:rsidRDefault="00262E2B" w:rsidP="006C4607">
            <w:pPr>
              <w:pStyle w:val="naiskr"/>
              <w:tabs>
                <w:tab w:val="left" w:pos="170"/>
              </w:tabs>
              <w:spacing w:before="0" w:after="0"/>
              <w:rPr>
                <w:sz w:val="26"/>
                <w:szCs w:val="26"/>
              </w:rPr>
            </w:pPr>
            <w:r w:rsidRPr="000D6EE3">
              <w:rPr>
                <w:sz w:val="26"/>
                <w:szCs w:val="26"/>
              </w:rPr>
              <w:t>Pašreizējā situācija</w:t>
            </w:r>
            <w:r w:rsidR="001F5CD6" w:rsidRPr="000D6EE3">
              <w:rPr>
                <w:sz w:val="26"/>
                <w:szCs w:val="26"/>
              </w:rPr>
              <w:t xml:space="preserve"> un problēmas</w:t>
            </w:r>
            <w:r w:rsidR="006378E9" w:rsidRPr="000D6EE3">
              <w:rPr>
                <w:sz w:val="26"/>
                <w:szCs w:val="26"/>
              </w:rPr>
              <w:t>, kuru risināšanai tiesību akta projekts izstrādāts, tiesiskā regulējuma mērķis un būtība</w:t>
            </w:r>
          </w:p>
          <w:p w:rsidR="007F290E" w:rsidRPr="000D6EE3" w:rsidRDefault="007F290E" w:rsidP="007F290E">
            <w:pPr>
              <w:ind w:firstLine="720"/>
              <w:rPr>
                <w:sz w:val="26"/>
                <w:szCs w:val="26"/>
              </w:rPr>
            </w:pPr>
          </w:p>
          <w:p w:rsidR="00262E2B" w:rsidRPr="000D6EE3" w:rsidRDefault="00262E2B" w:rsidP="007F290E">
            <w:pPr>
              <w:rPr>
                <w:sz w:val="26"/>
                <w:szCs w:val="26"/>
              </w:rPr>
            </w:pPr>
          </w:p>
        </w:tc>
        <w:tc>
          <w:tcPr>
            <w:tcW w:w="7026" w:type="dxa"/>
          </w:tcPr>
          <w:p w:rsidR="00417765" w:rsidRPr="000D6EE3" w:rsidRDefault="00C90B2F" w:rsidP="00FD6D7E">
            <w:pPr>
              <w:jc w:val="both"/>
              <w:rPr>
                <w:sz w:val="26"/>
                <w:szCs w:val="26"/>
              </w:rPr>
            </w:pPr>
            <w:r w:rsidRPr="000D6EE3">
              <w:rPr>
                <w:sz w:val="26"/>
                <w:szCs w:val="26"/>
              </w:rPr>
              <w:t>Ener</w:t>
            </w:r>
            <w:r w:rsidR="00FA13E0" w:rsidRPr="000D6EE3">
              <w:rPr>
                <w:sz w:val="26"/>
                <w:szCs w:val="26"/>
              </w:rPr>
              <w:t>goefektivitātes likuma 13.pants</w:t>
            </w:r>
            <w:r w:rsidR="00FD7E63" w:rsidRPr="000D6EE3">
              <w:rPr>
                <w:sz w:val="26"/>
                <w:szCs w:val="26"/>
              </w:rPr>
              <w:t xml:space="preserve"> </w:t>
            </w:r>
            <w:r w:rsidR="00FA13E0" w:rsidRPr="000D6EE3">
              <w:rPr>
                <w:sz w:val="26"/>
                <w:szCs w:val="26"/>
              </w:rPr>
              <w:t>nosaka</w:t>
            </w:r>
            <w:r w:rsidR="00FD7E63" w:rsidRPr="000D6EE3">
              <w:rPr>
                <w:sz w:val="26"/>
                <w:szCs w:val="26"/>
              </w:rPr>
              <w:t xml:space="preserve"> energo</w:t>
            </w:r>
            <w:r w:rsidR="00FA13E0" w:rsidRPr="000D6EE3">
              <w:rPr>
                <w:sz w:val="26"/>
                <w:szCs w:val="26"/>
              </w:rPr>
              <w:t>efektivitātes nodevu</w:t>
            </w:r>
            <w:r w:rsidR="00FD7E63" w:rsidRPr="000D6EE3">
              <w:rPr>
                <w:sz w:val="26"/>
                <w:szCs w:val="26"/>
              </w:rPr>
              <w:t xml:space="preserve"> </w:t>
            </w:r>
            <w:r w:rsidRPr="000D6EE3">
              <w:rPr>
                <w:sz w:val="26"/>
                <w:szCs w:val="26"/>
              </w:rPr>
              <w:t xml:space="preserve">un attiecīgi minētā likuma </w:t>
            </w:r>
            <w:r w:rsidR="00AC50B0" w:rsidRPr="000D6EE3">
              <w:rPr>
                <w:sz w:val="26"/>
                <w:szCs w:val="26"/>
              </w:rPr>
              <w:t>13.panta</w:t>
            </w:r>
            <w:r w:rsidR="00B97360" w:rsidRPr="000D6EE3">
              <w:rPr>
                <w:sz w:val="26"/>
                <w:szCs w:val="26"/>
              </w:rPr>
              <w:t xml:space="preserve"> trešā</w:t>
            </w:r>
            <w:r w:rsidR="00FA13E0" w:rsidRPr="000D6EE3">
              <w:rPr>
                <w:sz w:val="26"/>
                <w:szCs w:val="26"/>
              </w:rPr>
              <w:t xml:space="preserve"> daļa</w:t>
            </w:r>
            <w:r w:rsidR="00B97360" w:rsidRPr="000D6EE3">
              <w:rPr>
                <w:sz w:val="26"/>
                <w:szCs w:val="26"/>
              </w:rPr>
              <w:t xml:space="preserve"> </w:t>
            </w:r>
            <w:r w:rsidR="007E43CC" w:rsidRPr="000D6EE3">
              <w:rPr>
                <w:sz w:val="26"/>
                <w:szCs w:val="26"/>
              </w:rPr>
              <w:t xml:space="preserve">paredz deleģējumu Ministru kabinetam noteikt energoefektivitātes nodevas apmēru, aprēķināšanas, piemērošanas un kontroles kārtību. Atbilstoši </w:t>
            </w:r>
            <w:r w:rsidR="00C01B5C" w:rsidRPr="000D6EE3">
              <w:rPr>
                <w:sz w:val="26"/>
                <w:szCs w:val="26"/>
              </w:rPr>
              <w:t xml:space="preserve">Energoefektivitātes </w:t>
            </w:r>
            <w:r w:rsidR="007E43CC" w:rsidRPr="000D6EE3">
              <w:rPr>
                <w:sz w:val="26"/>
                <w:szCs w:val="26"/>
              </w:rPr>
              <w:t>likuma</w:t>
            </w:r>
            <w:r w:rsidR="00C01B5C" w:rsidRPr="000D6EE3">
              <w:rPr>
                <w:sz w:val="26"/>
                <w:szCs w:val="26"/>
              </w:rPr>
              <w:t xml:space="preserve"> pārejas noteikumu 2.punktam noteikumus par energoefektivitātes nodevas apmēru, aprēķināšanas, piemērošanas un kontroles kārtību Ministru kabinetam jāizdod līdz 2016.gada 1.oktobrim. </w:t>
            </w:r>
          </w:p>
          <w:p w:rsidR="001B52F1" w:rsidRPr="00714BE2" w:rsidRDefault="008549B3" w:rsidP="006476C0">
            <w:pPr>
              <w:jc w:val="both"/>
              <w:rPr>
                <w:sz w:val="26"/>
                <w:szCs w:val="26"/>
              </w:rPr>
            </w:pPr>
            <w:r w:rsidRPr="000D6EE3">
              <w:rPr>
                <w:sz w:val="26"/>
                <w:szCs w:val="26"/>
              </w:rPr>
              <w:t>Energoefektivitātes nodevas</w:t>
            </w:r>
            <w:r w:rsidR="00F52D2E" w:rsidRPr="000D6EE3">
              <w:rPr>
                <w:sz w:val="26"/>
                <w:szCs w:val="26"/>
              </w:rPr>
              <w:t xml:space="preserve"> mērķis</w:t>
            </w:r>
            <w:r w:rsidR="002740F1" w:rsidRPr="000D6EE3">
              <w:rPr>
                <w:sz w:val="26"/>
                <w:szCs w:val="26"/>
              </w:rPr>
              <w:t xml:space="preserve"> ir veicināt energoefektivitāti un nodrošināt </w:t>
            </w:r>
            <w:proofErr w:type="spellStart"/>
            <w:r w:rsidR="002740F1" w:rsidRPr="000D6EE3">
              <w:rPr>
                <w:sz w:val="26"/>
                <w:szCs w:val="26"/>
              </w:rPr>
              <w:t>energopārvaldības</w:t>
            </w:r>
            <w:proofErr w:type="spellEnd"/>
            <w:r w:rsidR="002740F1" w:rsidRPr="000D6EE3">
              <w:rPr>
                <w:sz w:val="26"/>
                <w:szCs w:val="26"/>
              </w:rPr>
              <w:t xml:space="preserve"> sistēmas ieviešanas kontroli</w:t>
            </w:r>
            <w:r w:rsidR="00C87007" w:rsidRPr="000D6EE3">
              <w:rPr>
                <w:sz w:val="26"/>
                <w:szCs w:val="26"/>
              </w:rPr>
              <w:t>. M</w:t>
            </w:r>
            <w:r w:rsidR="00952538" w:rsidRPr="000D6EE3">
              <w:rPr>
                <w:sz w:val="26"/>
                <w:szCs w:val="26"/>
              </w:rPr>
              <w:t xml:space="preserve">inētā nodeva </w:t>
            </w:r>
            <w:r w:rsidR="00C87007" w:rsidRPr="000D6EE3">
              <w:rPr>
                <w:sz w:val="26"/>
                <w:szCs w:val="26"/>
              </w:rPr>
              <w:t xml:space="preserve">ir </w:t>
            </w:r>
            <w:r w:rsidR="00952538" w:rsidRPr="000D6EE3">
              <w:rPr>
                <w:sz w:val="26"/>
                <w:szCs w:val="26"/>
              </w:rPr>
              <w:t xml:space="preserve">uzskatāma par </w:t>
            </w:r>
            <w:proofErr w:type="spellStart"/>
            <w:r w:rsidR="00952538" w:rsidRPr="000D6EE3">
              <w:rPr>
                <w:sz w:val="26"/>
                <w:szCs w:val="26"/>
              </w:rPr>
              <w:t>energopārvaldības</w:t>
            </w:r>
            <w:proofErr w:type="spellEnd"/>
            <w:r w:rsidR="00952538" w:rsidRPr="000D6EE3">
              <w:rPr>
                <w:sz w:val="26"/>
                <w:szCs w:val="26"/>
              </w:rPr>
              <w:t xml:space="preserve"> sistēmas ieviešanas kontroles instrumentu</w:t>
            </w:r>
            <w:r w:rsidR="00C87007" w:rsidRPr="000D6EE3">
              <w:rPr>
                <w:sz w:val="26"/>
                <w:szCs w:val="26"/>
              </w:rPr>
              <w:t xml:space="preserve"> energoefektivitātes pasākumu īsteno</w:t>
            </w:r>
            <w:r w:rsidR="003457F6" w:rsidRPr="000D6EE3">
              <w:rPr>
                <w:sz w:val="26"/>
                <w:szCs w:val="26"/>
              </w:rPr>
              <w:t>šanā</w:t>
            </w:r>
            <w:r w:rsidR="00C87007" w:rsidRPr="000D6EE3">
              <w:rPr>
                <w:sz w:val="26"/>
                <w:szCs w:val="26"/>
              </w:rPr>
              <w:t xml:space="preserve"> </w:t>
            </w:r>
            <w:r w:rsidR="00941903" w:rsidRPr="000D6EE3">
              <w:rPr>
                <w:sz w:val="26"/>
                <w:szCs w:val="26"/>
              </w:rPr>
              <w:t xml:space="preserve">valstij </w:t>
            </w:r>
            <w:r w:rsidR="00C87007" w:rsidRPr="000D6EE3">
              <w:rPr>
                <w:sz w:val="26"/>
                <w:szCs w:val="26"/>
              </w:rPr>
              <w:t>noteiktā mērķa sasniegšanai</w:t>
            </w:r>
            <w:r w:rsidR="003457F6" w:rsidRPr="000D6EE3">
              <w:rPr>
                <w:sz w:val="26"/>
                <w:szCs w:val="26"/>
              </w:rPr>
              <w:t xml:space="preserve">, t.i., ietaupīt 9896 </w:t>
            </w:r>
            <w:proofErr w:type="spellStart"/>
            <w:r w:rsidR="003457F6" w:rsidRPr="000D6EE3">
              <w:rPr>
                <w:sz w:val="26"/>
                <w:szCs w:val="26"/>
              </w:rPr>
              <w:t>GWh</w:t>
            </w:r>
            <w:proofErr w:type="spellEnd"/>
            <w:r w:rsidR="0082449C" w:rsidRPr="000D6EE3">
              <w:rPr>
                <w:sz w:val="26"/>
                <w:szCs w:val="26"/>
              </w:rPr>
              <w:t xml:space="preserve"> (līdz 2020.gadam)</w:t>
            </w:r>
            <w:r w:rsidR="003457F6" w:rsidRPr="000D6EE3">
              <w:rPr>
                <w:sz w:val="26"/>
                <w:szCs w:val="26"/>
              </w:rPr>
              <w:t xml:space="preserve"> enerģijas </w:t>
            </w:r>
            <w:proofErr w:type="spellStart"/>
            <w:r w:rsidR="003457F6" w:rsidRPr="000D6EE3">
              <w:rPr>
                <w:sz w:val="26"/>
                <w:szCs w:val="26"/>
              </w:rPr>
              <w:t>galapatēriņa</w:t>
            </w:r>
            <w:proofErr w:type="spellEnd"/>
            <w:r w:rsidR="003457F6" w:rsidRPr="000D6EE3">
              <w:rPr>
                <w:sz w:val="26"/>
                <w:szCs w:val="26"/>
              </w:rPr>
              <w:t xml:space="preserve"> sektoros.</w:t>
            </w:r>
            <w:r w:rsidR="00FD7E63" w:rsidRPr="000D6EE3">
              <w:rPr>
                <w:sz w:val="26"/>
                <w:szCs w:val="26"/>
              </w:rPr>
              <w:t xml:space="preserve"> </w:t>
            </w:r>
            <w:r w:rsidR="0082449C" w:rsidRPr="000D6EE3">
              <w:rPr>
                <w:sz w:val="26"/>
                <w:szCs w:val="26"/>
              </w:rPr>
              <w:t xml:space="preserve">Energoefektivitātes nodevas maksātājs </w:t>
            </w:r>
            <w:r w:rsidR="003F3B8F" w:rsidRPr="000D6EE3">
              <w:rPr>
                <w:sz w:val="26"/>
                <w:szCs w:val="26"/>
              </w:rPr>
              <w:t>ir komersants, uz kuru attiecināms</w:t>
            </w:r>
            <w:r w:rsidR="0082449C" w:rsidRPr="000D6EE3">
              <w:rPr>
                <w:sz w:val="26"/>
                <w:szCs w:val="26"/>
              </w:rPr>
              <w:t xml:space="preserve"> lielā patērētāja</w:t>
            </w:r>
            <w:r w:rsidR="001C558A" w:rsidRPr="000D6EE3">
              <w:rPr>
                <w:sz w:val="26"/>
                <w:szCs w:val="26"/>
              </w:rPr>
              <w:t xml:space="preserve"> vai lielā uzņēmuma kritērijs atbilstoši Energoefektivitātes likuma regulējumam</w:t>
            </w:r>
            <w:r w:rsidR="00A04A15" w:rsidRPr="000D6EE3">
              <w:rPr>
                <w:sz w:val="26"/>
                <w:szCs w:val="26"/>
              </w:rPr>
              <w:t xml:space="preserve"> (komersants, kas uzskatāms par lielo elektroenerģijas patērētāju, kuram elektroenerģijas patēriņš ir lielāks par 500 </w:t>
            </w:r>
            <w:proofErr w:type="spellStart"/>
            <w:r w:rsidR="00A04A15" w:rsidRPr="000D6EE3">
              <w:rPr>
                <w:sz w:val="26"/>
                <w:szCs w:val="26"/>
              </w:rPr>
              <w:t>MWh</w:t>
            </w:r>
            <w:proofErr w:type="spellEnd"/>
            <w:r w:rsidR="00A04A15" w:rsidRPr="000D6EE3">
              <w:rPr>
                <w:sz w:val="26"/>
                <w:szCs w:val="26"/>
              </w:rPr>
              <w:t>/gadā)</w:t>
            </w:r>
            <w:r w:rsidR="001C558A" w:rsidRPr="000D6EE3">
              <w:rPr>
                <w:sz w:val="26"/>
                <w:szCs w:val="26"/>
              </w:rPr>
              <w:t xml:space="preserve"> </w:t>
            </w:r>
            <w:r w:rsidR="004A0B80">
              <w:rPr>
                <w:sz w:val="26"/>
                <w:szCs w:val="26"/>
              </w:rPr>
              <w:t xml:space="preserve">un tam nav </w:t>
            </w:r>
            <w:r w:rsidR="001B52F1" w:rsidRPr="000D6EE3">
              <w:rPr>
                <w:sz w:val="26"/>
                <w:szCs w:val="26"/>
              </w:rPr>
              <w:t xml:space="preserve">iespējams radīt apstākļus (ieviest </w:t>
            </w:r>
            <w:proofErr w:type="spellStart"/>
            <w:r w:rsidR="001B52F1" w:rsidRPr="000D6EE3">
              <w:rPr>
                <w:sz w:val="26"/>
                <w:szCs w:val="26"/>
              </w:rPr>
              <w:t>energoauditu</w:t>
            </w:r>
            <w:proofErr w:type="spellEnd"/>
            <w:r w:rsidR="00F40F69" w:rsidRPr="000D6EE3">
              <w:rPr>
                <w:sz w:val="26"/>
                <w:szCs w:val="26"/>
              </w:rPr>
              <w:t>, papildināt esošu vides pārvaldības sistēmu</w:t>
            </w:r>
            <w:r w:rsidR="001B52F1" w:rsidRPr="000D6EE3">
              <w:rPr>
                <w:sz w:val="26"/>
                <w:szCs w:val="26"/>
              </w:rPr>
              <w:t xml:space="preserve"> vai </w:t>
            </w:r>
            <w:r w:rsidR="00F40F69" w:rsidRPr="000D6EE3">
              <w:rPr>
                <w:sz w:val="26"/>
                <w:szCs w:val="26"/>
              </w:rPr>
              <w:t xml:space="preserve">ieviest </w:t>
            </w:r>
            <w:proofErr w:type="spellStart"/>
            <w:r w:rsidR="001B52F1" w:rsidRPr="000D6EE3">
              <w:rPr>
                <w:sz w:val="26"/>
                <w:szCs w:val="26"/>
              </w:rPr>
              <w:t>energopārvaldības</w:t>
            </w:r>
            <w:proofErr w:type="spellEnd"/>
            <w:r w:rsidR="001B52F1" w:rsidRPr="000D6EE3">
              <w:rPr>
                <w:sz w:val="26"/>
                <w:szCs w:val="26"/>
              </w:rPr>
              <w:t xml:space="preserve"> sistēmu) efektīvai energoresursu izmantošanai un realizēt energoresursu ietaupījumu.</w:t>
            </w:r>
            <w:r w:rsidR="00333EDC">
              <w:t xml:space="preserve"> </w:t>
            </w:r>
            <w:r w:rsidR="00333EDC" w:rsidRPr="00714BE2">
              <w:rPr>
                <w:sz w:val="26"/>
                <w:szCs w:val="26"/>
              </w:rPr>
              <w:t>Vienlaikus ar valsts nodevas apmēru, kuru paredzēts noteikt ar attiecīgajiem Ministru kabineta n</w:t>
            </w:r>
            <w:r w:rsidR="003F23EF" w:rsidRPr="00714BE2">
              <w:rPr>
                <w:sz w:val="26"/>
                <w:szCs w:val="26"/>
              </w:rPr>
              <w:t xml:space="preserve">oteikumiem, tiks stimulēts, lai komersants </w:t>
            </w:r>
            <w:r w:rsidR="00333EDC" w:rsidRPr="00714BE2">
              <w:rPr>
                <w:sz w:val="26"/>
                <w:szCs w:val="26"/>
              </w:rPr>
              <w:t xml:space="preserve">būtu ieinteresēts un tam rastos labvēlīgāki apstākļi </w:t>
            </w:r>
            <w:proofErr w:type="spellStart"/>
            <w:r w:rsidR="00333EDC" w:rsidRPr="00714BE2">
              <w:rPr>
                <w:sz w:val="26"/>
                <w:szCs w:val="26"/>
              </w:rPr>
              <w:t>energoaudita</w:t>
            </w:r>
            <w:proofErr w:type="spellEnd"/>
            <w:r w:rsidR="00333EDC" w:rsidRPr="00714BE2">
              <w:rPr>
                <w:sz w:val="26"/>
                <w:szCs w:val="26"/>
              </w:rPr>
              <w:t xml:space="preserve"> vai  </w:t>
            </w:r>
            <w:proofErr w:type="spellStart"/>
            <w:r w:rsidR="00333EDC" w:rsidRPr="00714BE2">
              <w:rPr>
                <w:sz w:val="26"/>
                <w:szCs w:val="26"/>
              </w:rPr>
              <w:t>energopārvaldības</w:t>
            </w:r>
            <w:proofErr w:type="spellEnd"/>
            <w:r w:rsidR="00333EDC" w:rsidRPr="00714BE2">
              <w:rPr>
                <w:sz w:val="26"/>
                <w:szCs w:val="26"/>
              </w:rPr>
              <w:t xml:space="preserve"> sistēmas ieviešanā nekā šo prasību nepildīšanas gadījumā. Tāpat ar valsts nodevas noteikšanu tiek novērsta  nevienlīdzīga</w:t>
            </w:r>
            <w:r w:rsidR="00796B9A" w:rsidRPr="00714BE2">
              <w:rPr>
                <w:sz w:val="26"/>
                <w:szCs w:val="26"/>
              </w:rPr>
              <w:t xml:space="preserve">s situācijas iespējamība starp </w:t>
            </w:r>
            <w:r w:rsidR="00333EDC" w:rsidRPr="00714BE2">
              <w:rPr>
                <w:sz w:val="26"/>
                <w:szCs w:val="26"/>
              </w:rPr>
              <w:t xml:space="preserve">tiem komersantiem, kas ir ieviesuši </w:t>
            </w:r>
            <w:proofErr w:type="spellStart"/>
            <w:r w:rsidR="00333EDC" w:rsidRPr="00714BE2">
              <w:rPr>
                <w:sz w:val="26"/>
                <w:szCs w:val="26"/>
              </w:rPr>
              <w:t>energoauditu</w:t>
            </w:r>
            <w:proofErr w:type="spellEnd"/>
            <w:r w:rsidR="00333EDC" w:rsidRPr="00714BE2">
              <w:rPr>
                <w:sz w:val="26"/>
                <w:szCs w:val="26"/>
              </w:rPr>
              <w:t xml:space="preserve"> vai </w:t>
            </w:r>
            <w:proofErr w:type="spellStart"/>
            <w:r w:rsidR="00333EDC" w:rsidRPr="00714BE2">
              <w:rPr>
                <w:sz w:val="26"/>
                <w:szCs w:val="26"/>
              </w:rPr>
              <w:t>energopārvaldības</w:t>
            </w:r>
            <w:proofErr w:type="spellEnd"/>
            <w:r w:rsidR="00333EDC" w:rsidRPr="00714BE2">
              <w:rPr>
                <w:sz w:val="26"/>
                <w:szCs w:val="26"/>
              </w:rPr>
              <w:t xml:space="preserve"> sistēmu un komersantiem, kas to nav izdarījuši. Turklāt pats fakts, ka ir samaksāta valsts nodeva, nenozīmē, ka komersantam turpmāk nav jāpilda likumā noteiktie nosacījumi. Valsts nodevas noteikšanas būtība nav aizstāt  </w:t>
            </w:r>
            <w:proofErr w:type="spellStart"/>
            <w:r w:rsidR="00333EDC" w:rsidRPr="00714BE2">
              <w:rPr>
                <w:sz w:val="26"/>
                <w:szCs w:val="26"/>
              </w:rPr>
              <w:t>energoaudita</w:t>
            </w:r>
            <w:proofErr w:type="spellEnd"/>
            <w:r w:rsidR="00333EDC" w:rsidRPr="00714BE2">
              <w:rPr>
                <w:sz w:val="26"/>
                <w:szCs w:val="26"/>
              </w:rPr>
              <w:t xml:space="preserve"> vai </w:t>
            </w:r>
            <w:proofErr w:type="spellStart"/>
            <w:r w:rsidR="00333EDC" w:rsidRPr="00714BE2">
              <w:rPr>
                <w:sz w:val="26"/>
                <w:szCs w:val="26"/>
              </w:rPr>
              <w:t>energopārvaldības</w:t>
            </w:r>
            <w:proofErr w:type="spellEnd"/>
            <w:r w:rsidR="00333EDC" w:rsidRPr="00714BE2">
              <w:rPr>
                <w:sz w:val="26"/>
                <w:szCs w:val="26"/>
              </w:rPr>
              <w:t xml:space="preserve"> sistēmas ievieš</w:t>
            </w:r>
            <w:r w:rsidR="00095B88" w:rsidRPr="00714BE2">
              <w:rPr>
                <w:sz w:val="26"/>
                <w:szCs w:val="26"/>
              </w:rPr>
              <w:t xml:space="preserve">anu ar valsts nodevas maksājumu, bet, lai stimulētu komersantus energoresursu efektīvākai izmantošanai un </w:t>
            </w:r>
            <w:proofErr w:type="spellStart"/>
            <w:r w:rsidR="00095B88" w:rsidRPr="00714BE2">
              <w:rPr>
                <w:sz w:val="26"/>
                <w:szCs w:val="26"/>
              </w:rPr>
              <w:t>energopārvaldības</w:t>
            </w:r>
            <w:proofErr w:type="spellEnd"/>
            <w:r w:rsidR="00095B88" w:rsidRPr="00714BE2">
              <w:rPr>
                <w:sz w:val="26"/>
                <w:szCs w:val="26"/>
              </w:rPr>
              <w:t xml:space="preserve"> sistēmas ieviešanas kontroles nodrošināšanai.</w:t>
            </w:r>
          </w:p>
          <w:p w:rsidR="007A51ED" w:rsidRPr="000D6EE3" w:rsidRDefault="00C452FA" w:rsidP="0069556C">
            <w:pPr>
              <w:jc w:val="both"/>
              <w:rPr>
                <w:sz w:val="26"/>
                <w:szCs w:val="26"/>
              </w:rPr>
            </w:pPr>
            <w:r w:rsidRPr="000D6EE3">
              <w:rPr>
                <w:sz w:val="26"/>
                <w:szCs w:val="26"/>
              </w:rPr>
              <w:t>I</w:t>
            </w:r>
            <w:r w:rsidR="003457F6" w:rsidRPr="000D6EE3">
              <w:rPr>
                <w:sz w:val="26"/>
                <w:szCs w:val="26"/>
              </w:rPr>
              <w:t>evērojot</w:t>
            </w:r>
            <w:r w:rsidR="00FD6D7E" w:rsidRPr="000D6EE3">
              <w:rPr>
                <w:sz w:val="26"/>
                <w:szCs w:val="26"/>
              </w:rPr>
              <w:t xml:space="preserve"> paredzēto energoefektivitātes nodevas mērķi, minētā</w:t>
            </w:r>
            <w:r w:rsidR="00F52D2E" w:rsidRPr="000D6EE3">
              <w:rPr>
                <w:sz w:val="26"/>
                <w:szCs w:val="26"/>
              </w:rPr>
              <w:t xml:space="preserve"> nodeva </w:t>
            </w:r>
            <w:r w:rsidR="00FD7E63" w:rsidRPr="000D6EE3">
              <w:rPr>
                <w:sz w:val="26"/>
                <w:szCs w:val="26"/>
              </w:rPr>
              <w:t xml:space="preserve">atbilst likuma „Par nodokļiem un nodevām” 1.panta 2.punktā </w:t>
            </w:r>
            <w:r w:rsidR="00FD6D7E" w:rsidRPr="000D6EE3">
              <w:rPr>
                <w:sz w:val="26"/>
                <w:szCs w:val="26"/>
              </w:rPr>
              <w:t>noteiktajai</w:t>
            </w:r>
            <w:r w:rsidR="00F52D2E" w:rsidRPr="000D6EE3">
              <w:rPr>
                <w:sz w:val="26"/>
                <w:szCs w:val="26"/>
              </w:rPr>
              <w:t xml:space="preserve"> valsts nodevas defin</w:t>
            </w:r>
            <w:r w:rsidR="003457F6" w:rsidRPr="000D6EE3">
              <w:rPr>
                <w:sz w:val="26"/>
                <w:szCs w:val="26"/>
              </w:rPr>
              <w:t>īcijai</w:t>
            </w:r>
            <w:r w:rsidR="00FD6D7E" w:rsidRPr="000D6EE3">
              <w:rPr>
                <w:sz w:val="26"/>
                <w:szCs w:val="26"/>
              </w:rPr>
              <w:t xml:space="preserve">. </w:t>
            </w:r>
            <w:r w:rsidR="003F3B8F" w:rsidRPr="000D6EE3">
              <w:rPr>
                <w:sz w:val="26"/>
                <w:szCs w:val="26"/>
              </w:rPr>
              <w:t xml:space="preserve">Saskaņā ar likuma „Par nodokļiem un nodevām” 2.panta ceturto daļu, ja Ministru </w:t>
            </w:r>
            <w:r w:rsidR="003F3B8F" w:rsidRPr="000D6EE3">
              <w:rPr>
                <w:sz w:val="26"/>
                <w:szCs w:val="26"/>
              </w:rPr>
              <w:lastRenderedPageBreak/>
              <w:t xml:space="preserve">kabineta noteikumos ir iekļautas normas, kas paredz maksājumus, kuri atbilst šā likuma 1.pantā minētajam terminam „nodeva”, bet kuri nav paredzēti šajā likumā, tad šādu normu piemērošana nav pieļaujama tikmēr, kamēr nav stājušies spēkā atbilstoši grozījumi šajā likumā. </w:t>
            </w:r>
            <w:r w:rsidR="006D398D" w:rsidRPr="000D6EE3">
              <w:rPr>
                <w:sz w:val="26"/>
                <w:szCs w:val="26"/>
              </w:rPr>
              <w:t>Līdz ar to</w:t>
            </w:r>
            <w:r w:rsidR="00FD7E63" w:rsidRPr="000D6EE3">
              <w:rPr>
                <w:sz w:val="26"/>
                <w:szCs w:val="26"/>
              </w:rPr>
              <w:t xml:space="preserve"> ir veicams grozījums likumā “Par nodokļiem un nodevām”, nosakot jaunu valsts nodevas objek</w:t>
            </w:r>
            <w:r w:rsidR="006D398D" w:rsidRPr="000D6EE3">
              <w:rPr>
                <w:sz w:val="26"/>
                <w:szCs w:val="26"/>
              </w:rPr>
              <w:t>tu</w:t>
            </w:r>
            <w:r w:rsidR="00747595" w:rsidRPr="000D6EE3">
              <w:rPr>
                <w:sz w:val="26"/>
                <w:szCs w:val="26"/>
              </w:rPr>
              <w:t xml:space="preserve"> </w:t>
            </w:r>
            <w:r w:rsidR="00AA3CD7" w:rsidRPr="000D6EE3">
              <w:rPr>
                <w:sz w:val="26"/>
                <w:szCs w:val="26"/>
              </w:rPr>
              <w:t xml:space="preserve">par energoefektivitātes veicināšanu un </w:t>
            </w:r>
            <w:proofErr w:type="spellStart"/>
            <w:r w:rsidR="00AA3CD7" w:rsidRPr="000D6EE3">
              <w:rPr>
                <w:sz w:val="26"/>
                <w:szCs w:val="26"/>
              </w:rPr>
              <w:t>energopārvaldības</w:t>
            </w:r>
            <w:proofErr w:type="spellEnd"/>
            <w:r w:rsidR="00AA3CD7" w:rsidRPr="000D6EE3">
              <w:rPr>
                <w:sz w:val="26"/>
                <w:szCs w:val="26"/>
              </w:rPr>
              <w:t xml:space="preserve"> sistēmas ieviešanas kontroles nodrošināšanu</w:t>
            </w:r>
            <w:r w:rsidR="006D398D" w:rsidRPr="000D6EE3">
              <w:rPr>
                <w:sz w:val="26"/>
                <w:szCs w:val="26"/>
              </w:rPr>
              <w:t xml:space="preserve">, </w:t>
            </w:r>
            <w:r w:rsidR="00747595" w:rsidRPr="000D6EE3">
              <w:rPr>
                <w:sz w:val="26"/>
                <w:szCs w:val="26"/>
              </w:rPr>
              <w:t>tādējādi nodrošinot</w:t>
            </w:r>
            <w:r w:rsidR="006D398D" w:rsidRPr="000D6EE3">
              <w:rPr>
                <w:sz w:val="26"/>
                <w:szCs w:val="26"/>
              </w:rPr>
              <w:t xml:space="preserve"> Ministru kabineta noteikumu par </w:t>
            </w:r>
            <w:r w:rsidR="00AA3CD7" w:rsidRPr="000D6EE3">
              <w:rPr>
                <w:sz w:val="26"/>
                <w:szCs w:val="26"/>
              </w:rPr>
              <w:t>valsts</w:t>
            </w:r>
            <w:r w:rsidR="006D398D" w:rsidRPr="000D6EE3">
              <w:rPr>
                <w:sz w:val="26"/>
                <w:szCs w:val="26"/>
              </w:rPr>
              <w:t xml:space="preserve"> nodevas apmēru, aprēķināšanas, piemērošanas un kontroles kārtību piemērošanu.</w:t>
            </w:r>
            <w:r w:rsidR="00C04A51" w:rsidRPr="000D6EE3">
              <w:rPr>
                <w:sz w:val="26"/>
                <w:szCs w:val="26"/>
              </w:rPr>
              <w:t xml:space="preserve"> </w:t>
            </w:r>
          </w:p>
        </w:tc>
      </w:tr>
      <w:tr w:rsidR="00262E2B" w:rsidRPr="000D6EE3" w:rsidTr="002C0A7A">
        <w:trPr>
          <w:trHeight w:val="476"/>
        </w:trPr>
        <w:tc>
          <w:tcPr>
            <w:tcW w:w="550" w:type="dxa"/>
            <w:tcBorders>
              <w:top w:val="single" w:sz="4" w:space="0" w:color="auto"/>
            </w:tcBorders>
          </w:tcPr>
          <w:p w:rsidR="00262E2B" w:rsidRPr="000D6EE3" w:rsidRDefault="002C0A7A" w:rsidP="006C4607">
            <w:pPr>
              <w:pStyle w:val="naiskr"/>
              <w:spacing w:before="0" w:after="0"/>
              <w:rPr>
                <w:sz w:val="26"/>
                <w:szCs w:val="26"/>
              </w:rPr>
            </w:pPr>
            <w:r w:rsidRPr="000D6EE3">
              <w:rPr>
                <w:sz w:val="26"/>
                <w:szCs w:val="26"/>
              </w:rPr>
              <w:lastRenderedPageBreak/>
              <w:t>3</w:t>
            </w:r>
            <w:r w:rsidR="00262E2B" w:rsidRPr="000D6EE3">
              <w:rPr>
                <w:sz w:val="26"/>
                <w:szCs w:val="26"/>
              </w:rPr>
              <w:t>.</w:t>
            </w:r>
          </w:p>
        </w:tc>
        <w:tc>
          <w:tcPr>
            <w:tcW w:w="2149" w:type="dxa"/>
            <w:tcBorders>
              <w:top w:val="single" w:sz="4" w:space="0" w:color="auto"/>
            </w:tcBorders>
          </w:tcPr>
          <w:p w:rsidR="00262E2B" w:rsidRPr="000D6EE3" w:rsidRDefault="001A4066" w:rsidP="006C4607">
            <w:pPr>
              <w:pStyle w:val="naiskr"/>
              <w:spacing w:before="0" w:after="0"/>
              <w:rPr>
                <w:sz w:val="26"/>
                <w:szCs w:val="26"/>
              </w:rPr>
            </w:pPr>
            <w:r w:rsidRPr="000D6EE3">
              <w:rPr>
                <w:sz w:val="26"/>
                <w:szCs w:val="26"/>
              </w:rPr>
              <w:t>Projekta i</w:t>
            </w:r>
            <w:r w:rsidR="00262E2B" w:rsidRPr="000D6EE3">
              <w:rPr>
                <w:sz w:val="26"/>
                <w:szCs w:val="26"/>
              </w:rPr>
              <w:t>zstrād</w:t>
            </w:r>
            <w:r w:rsidR="00420870" w:rsidRPr="000D6EE3">
              <w:rPr>
                <w:sz w:val="26"/>
                <w:szCs w:val="26"/>
              </w:rPr>
              <w:t xml:space="preserve">ē </w:t>
            </w:r>
            <w:r w:rsidR="00262E2B" w:rsidRPr="000D6EE3">
              <w:rPr>
                <w:sz w:val="26"/>
                <w:szCs w:val="26"/>
              </w:rPr>
              <w:t>iesaistītās institūcijas</w:t>
            </w:r>
          </w:p>
        </w:tc>
        <w:tc>
          <w:tcPr>
            <w:tcW w:w="7026" w:type="dxa"/>
            <w:tcBorders>
              <w:top w:val="single" w:sz="4" w:space="0" w:color="auto"/>
            </w:tcBorders>
          </w:tcPr>
          <w:p w:rsidR="009C5659" w:rsidRPr="000D6EE3" w:rsidRDefault="00400F6B" w:rsidP="00B22F94">
            <w:pPr>
              <w:pStyle w:val="naiskr"/>
              <w:spacing w:before="0" w:after="0"/>
              <w:contextualSpacing/>
              <w:jc w:val="both"/>
              <w:rPr>
                <w:sz w:val="26"/>
                <w:szCs w:val="26"/>
              </w:rPr>
            </w:pPr>
            <w:r w:rsidRPr="000D6EE3">
              <w:rPr>
                <w:sz w:val="26"/>
                <w:szCs w:val="26"/>
              </w:rPr>
              <w:t>Ekonomikas ministrija</w:t>
            </w:r>
          </w:p>
        </w:tc>
      </w:tr>
      <w:tr w:rsidR="00262E2B" w:rsidRPr="000D6EE3" w:rsidTr="00AD104F">
        <w:tc>
          <w:tcPr>
            <w:tcW w:w="550" w:type="dxa"/>
          </w:tcPr>
          <w:p w:rsidR="00262E2B" w:rsidRPr="000D6EE3" w:rsidRDefault="002C0A7A" w:rsidP="006C4607">
            <w:pPr>
              <w:pStyle w:val="naiskr"/>
              <w:spacing w:before="0" w:after="0"/>
              <w:rPr>
                <w:sz w:val="26"/>
                <w:szCs w:val="26"/>
              </w:rPr>
            </w:pPr>
            <w:r w:rsidRPr="000D6EE3">
              <w:rPr>
                <w:sz w:val="26"/>
                <w:szCs w:val="26"/>
              </w:rPr>
              <w:t>4</w:t>
            </w:r>
            <w:r w:rsidR="00262E2B" w:rsidRPr="000D6EE3">
              <w:rPr>
                <w:sz w:val="26"/>
                <w:szCs w:val="26"/>
              </w:rPr>
              <w:t>.</w:t>
            </w:r>
          </w:p>
        </w:tc>
        <w:tc>
          <w:tcPr>
            <w:tcW w:w="2149" w:type="dxa"/>
          </w:tcPr>
          <w:p w:rsidR="00262E2B" w:rsidRPr="000D6EE3" w:rsidRDefault="00262E2B" w:rsidP="006C4607">
            <w:pPr>
              <w:pStyle w:val="naiskr"/>
              <w:spacing w:before="0" w:after="0"/>
              <w:rPr>
                <w:sz w:val="26"/>
                <w:szCs w:val="26"/>
              </w:rPr>
            </w:pPr>
            <w:r w:rsidRPr="000D6EE3">
              <w:rPr>
                <w:sz w:val="26"/>
                <w:szCs w:val="26"/>
              </w:rPr>
              <w:t>Cita informācija</w:t>
            </w:r>
          </w:p>
        </w:tc>
        <w:tc>
          <w:tcPr>
            <w:tcW w:w="7026" w:type="dxa"/>
          </w:tcPr>
          <w:p w:rsidR="00400F6B" w:rsidRPr="000D6EE3" w:rsidRDefault="00C01B5C" w:rsidP="00400F6B">
            <w:pPr>
              <w:pStyle w:val="naiskr"/>
              <w:spacing w:before="0" w:after="0"/>
              <w:jc w:val="both"/>
              <w:rPr>
                <w:sz w:val="26"/>
                <w:szCs w:val="26"/>
              </w:rPr>
            </w:pPr>
            <w:r w:rsidRPr="000D6EE3">
              <w:rPr>
                <w:sz w:val="26"/>
                <w:szCs w:val="26"/>
              </w:rPr>
              <w:t>Nav</w:t>
            </w:r>
          </w:p>
          <w:p w:rsidR="0067327B" w:rsidRPr="000D6EE3" w:rsidRDefault="0067327B" w:rsidP="00823982">
            <w:pPr>
              <w:pStyle w:val="naiskr"/>
              <w:spacing w:before="0" w:after="0"/>
              <w:jc w:val="both"/>
              <w:rPr>
                <w:sz w:val="26"/>
                <w:szCs w:val="26"/>
              </w:rPr>
            </w:pPr>
          </w:p>
        </w:tc>
      </w:tr>
    </w:tbl>
    <w:p w:rsidR="00852042" w:rsidRPr="000D6EE3" w:rsidRDefault="00852042" w:rsidP="006C4607">
      <w:pPr>
        <w:pStyle w:val="naisf"/>
        <w:spacing w:before="0" w:after="0"/>
        <w:rPr>
          <w:sz w:val="26"/>
          <w:szCs w:val="2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6946"/>
      </w:tblGrid>
      <w:tr w:rsidR="0062298A" w:rsidRPr="000D6EE3" w:rsidTr="00593A8E">
        <w:tc>
          <w:tcPr>
            <w:tcW w:w="9786" w:type="dxa"/>
            <w:gridSpan w:val="3"/>
            <w:vAlign w:val="center"/>
          </w:tcPr>
          <w:p w:rsidR="0062298A" w:rsidRPr="000D6EE3" w:rsidRDefault="0062298A" w:rsidP="006C4607">
            <w:pPr>
              <w:pStyle w:val="naisnod"/>
              <w:spacing w:before="0" w:after="0"/>
              <w:rPr>
                <w:sz w:val="26"/>
                <w:szCs w:val="26"/>
              </w:rPr>
            </w:pPr>
            <w:r w:rsidRPr="000D6EE3">
              <w:rPr>
                <w:sz w:val="26"/>
                <w:szCs w:val="26"/>
              </w:rPr>
              <w:t>II</w:t>
            </w:r>
            <w:r w:rsidR="000941C5" w:rsidRPr="000D6EE3">
              <w:rPr>
                <w:sz w:val="26"/>
                <w:szCs w:val="26"/>
              </w:rPr>
              <w:t>.</w:t>
            </w:r>
            <w:r w:rsidRPr="000D6EE3">
              <w:rPr>
                <w:sz w:val="26"/>
                <w:szCs w:val="26"/>
              </w:rPr>
              <w:t xml:space="preserve"> Tiesību akta projekta ietekme uz sabiedrību</w:t>
            </w:r>
            <w:r w:rsidR="002C0A7A" w:rsidRPr="000D6EE3">
              <w:rPr>
                <w:sz w:val="26"/>
                <w:szCs w:val="26"/>
              </w:rPr>
              <w:t>, tautsaimniecības attīstību un administratīvo slogu</w:t>
            </w:r>
          </w:p>
        </w:tc>
      </w:tr>
      <w:tr w:rsidR="0062298A" w:rsidRPr="000D6EE3" w:rsidTr="00593A8E">
        <w:trPr>
          <w:trHeight w:val="467"/>
        </w:trPr>
        <w:tc>
          <w:tcPr>
            <w:tcW w:w="709" w:type="dxa"/>
          </w:tcPr>
          <w:p w:rsidR="0062298A" w:rsidRPr="000D6EE3" w:rsidRDefault="0062298A" w:rsidP="006C4607">
            <w:pPr>
              <w:pStyle w:val="naiskr"/>
              <w:spacing w:before="0" w:after="0"/>
              <w:rPr>
                <w:sz w:val="26"/>
                <w:szCs w:val="26"/>
              </w:rPr>
            </w:pPr>
            <w:r w:rsidRPr="000D6EE3">
              <w:rPr>
                <w:sz w:val="26"/>
                <w:szCs w:val="26"/>
              </w:rPr>
              <w:t>1.</w:t>
            </w:r>
          </w:p>
        </w:tc>
        <w:tc>
          <w:tcPr>
            <w:tcW w:w="2131" w:type="dxa"/>
          </w:tcPr>
          <w:p w:rsidR="0062298A" w:rsidRPr="000D6EE3" w:rsidRDefault="00C27A08" w:rsidP="008D39A7">
            <w:pPr>
              <w:pStyle w:val="naiskr"/>
              <w:spacing w:before="0" w:after="0"/>
              <w:rPr>
                <w:sz w:val="26"/>
                <w:szCs w:val="26"/>
              </w:rPr>
            </w:pPr>
            <w:r w:rsidRPr="000D6EE3">
              <w:rPr>
                <w:sz w:val="26"/>
                <w:szCs w:val="26"/>
              </w:rPr>
              <w:t xml:space="preserve">Sabiedrības </w:t>
            </w:r>
            <w:proofErr w:type="spellStart"/>
            <w:r w:rsidRPr="000D6EE3">
              <w:rPr>
                <w:sz w:val="26"/>
                <w:szCs w:val="26"/>
              </w:rPr>
              <w:t>mērķgrupa</w:t>
            </w:r>
            <w:r w:rsidR="008D39A7" w:rsidRPr="000D6EE3">
              <w:rPr>
                <w:sz w:val="26"/>
                <w:szCs w:val="26"/>
              </w:rPr>
              <w:t>s</w:t>
            </w:r>
            <w:proofErr w:type="spellEnd"/>
            <w:r w:rsidR="008D39A7" w:rsidRPr="000D6EE3">
              <w:rPr>
                <w:sz w:val="26"/>
                <w:szCs w:val="26"/>
              </w:rPr>
              <w:t>, kuras tiesiskais regulējums ietekmē vai varētu ietekmēt</w:t>
            </w:r>
          </w:p>
        </w:tc>
        <w:tc>
          <w:tcPr>
            <w:tcW w:w="6946" w:type="dxa"/>
          </w:tcPr>
          <w:p w:rsidR="001E3070" w:rsidRPr="000D6EE3" w:rsidRDefault="00BA2916" w:rsidP="000F7CF8">
            <w:pPr>
              <w:jc w:val="both"/>
              <w:rPr>
                <w:sz w:val="26"/>
                <w:szCs w:val="26"/>
              </w:rPr>
            </w:pPr>
            <w:r w:rsidRPr="00714BE2">
              <w:rPr>
                <w:sz w:val="26"/>
                <w:szCs w:val="26"/>
              </w:rPr>
              <w:t>Tiesiskais regulējums varētu ietekmēt lielos elektroenerģijas patērētājus Energoefektivitātes likuma 12.panta pirmās daļas izpratnē, kā arī minētā likuma 10.panta pirm</w:t>
            </w:r>
            <w:r w:rsidR="000F7CF8">
              <w:rPr>
                <w:sz w:val="26"/>
                <w:szCs w:val="26"/>
              </w:rPr>
              <w:t>ās daļas regulējumam atbilstošos lielos</w:t>
            </w:r>
            <w:r w:rsidRPr="00714BE2">
              <w:rPr>
                <w:sz w:val="26"/>
                <w:szCs w:val="26"/>
              </w:rPr>
              <w:t xml:space="preserve"> u</w:t>
            </w:r>
            <w:r w:rsidR="000F7CF8">
              <w:rPr>
                <w:sz w:val="26"/>
                <w:szCs w:val="26"/>
              </w:rPr>
              <w:t xml:space="preserve">zņēmumus </w:t>
            </w:r>
            <w:r w:rsidRPr="00714BE2">
              <w:rPr>
                <w:sz w:val="26"/>
                <w:szCs w:val="26"/>
              </w:rPr>
              <w:t>(ja to ikgadējais elektroenerģijas patēriņš pārsniedz 500 megavatstundas),</w:t>
            </w:r>
            <w:r w:rsidRPr="00BA2916">
              <w:rPr>
                <w:sz w:val="26"/>
                <w:szCs w:val="26"/>
              </w:rPr>
              <w:t xml:space="preserve"> kam nav iespējams izpildīt Energoefektivitātes likuma 10.panta piektajā, sestajā un septītajā daļā, kā arī 12.panta otrajā, trešajā un ceturtajā daļā noteiktos pienākumus. Proti, no minētajiem pienākumiem izriet prasības sertificētas </w:t>
            </w:r>
            <w:proofErr w:type="spellStart"/>
            <w:r w:rsidRPr="00BA2916">
              <w:rPr>
                <w:sz w:val="26"/>
                <w:szCs w:val="26"/>
              </w:rPr>
              <w:t>energopārvaldības</w:t>
            </w:r>
            <w:proofErr w:type="spellEnd"/>
            <w:r w:rsidRPr="00BA2916">
              <w:rPr>
                <w:sz w:val="26"/>
                <w:szCs w:val="26"/>
              </w:rPr>
              <w:t xml:space="preserve"> sistēmas vai sertificētas un papildinātas vides pārvaldības sistēmas, vai arī </w:t>
            </w:r>
            <w:proofErr w:type="spellStart"/>
            <w:r w:rsidRPr="00BA2916">
              <w:rPr>
                <w:sz w:val="26"/>
                <w:szCs w:val="26"/>
              </w:rPr>
              <w:t>energoaudita</w:t>
            </w:r>
            <w:proofErr w:type="spellEnd"/>
            <w:r w:rsidRPr="00BA2916">
              <w:rPr>
                <w:sz w:val="26"/>
                <w:szCs w:val="26"/>
              </w:rPr>
              <w:t xml:space="preserve"> ieviešanai, kas nodrošinātu nepārtrauktu enerģijas patēriņa izvērtēšanas procesu, kā arī ziņošana</w:t>
            </w:r>
            <w:r w:rsidR="000F7CF8">
              <w:rPr>
                <w:sz w:val="26"/>
                <w:szCs w:val="26"/>
              </w:rPr>
              <w:t>i</w:t>
            </w:r>
            <w:r w:rsidRPr="00BA2916">
              <w:rPr>
                <w:sz w:val="26"/>
                <w:szCs w:val="26"/>
              </w:rPr>
              <w:t xml:space="preserve"> par ieviestajiem energoefektivitātes uzlabošanas pasākumiem un to rezultātā sasniegto enerģijas ietaupījumu.     </w:t>
            </w:r>
          </w:p>
        </w:tc>
      </w:tr>
      <w:tr w:rsidR="00DF6E70" w:rsidRPr="000D6EE3" w:rsidTr="00593A8E">
        <w:trPr>
          <w:trHeight w:val="523"/>
        </w:trPr>
        <w:tc>
          <w:tcPr>
            <w:tcW w:w="709" w:type="dxa"/>
          </w:tcPr>
          <w:p w:rsidR="00DF6E70" w:rsidRPr="000D6EE3" w:rsidRDefault="00DF6E70" w:rsidP="00DF6E70">
            <w:pPr>
              <w:pStyle w:val="naiskr"/>
              <w:spacing w:before="0" w:after="0"/>
              <w:rPr>
                <w:sz w:val="26"/>
                <w:szCs w:val="26"/>
              </w:rPr>
            </w:pPr>
            <w:r w:rsidRPr="000D6EE3">
              <w:rPr>
                <w:sz w:val="26"/>
                <w:szCs w:val="26"/>
              </w:rPr>
              <w:t>2.</w:t>
            </w:r>
          </w:p>
        </w:tc>
        <w:tc>
          <w:tcPr>
            <w:tcW w:w="2131" w:type="dxa"/>
          </w:tcPr>
          <w:p w:rsidR="00DF6E70" w:rsidRPr="000D6EE3" w:rsidRDefault="00DF6E70" w:rsidP="00DF6E70">
            <w:pPr>
              <w:pStyle w:val="naiskr"/>
              <w:spacing w:before="0" w:after="0"/>
              <w:rPr>
                <w:sz w:val="26"/>
                <w:szCs w:val="26"/>
              </w:rPr>
            </w:pPr>
            <w:r w:rsidRPr="000D6EE3">
              <w:rPr>
                <w:sz w:val="26"/>
                <w:szCs w:val="26"/>
              </w:rPr>
              <w:t>Tiesiskā regulējuma ietekme uz tautsaimniecību un administratīvo slogu</w:t>
            </w:r>
          </w:p>
        </w:tc>
        <w:tc>
          <w:tcPr>
            <w:tcW w:w="6946" w:type="dxa"/>
          </w:tcPr>
          <w:p w:rsidR="00DF6E70" w:rsidRPr="000D6EE3" w:rsidRDefault="005A6E9A" w:rsidP="007831D8">
            <w:pPr>
              <w:jc w:val="both"/>
              <w:rPr>
                <w:sz w:val="26"/>
                <w:szCs w:val="26"/>
              </w:rPr>
            </w:pPr>
            <w:r w:rsidRPr="000D6EE3">
              <w:rPr>
                <w:sz w:val="26"/>
                <w:szCs w:val="26"/>
              </w:rPr>
              <w:t xml:space="preserve">Likumprojektā ietvertajam tiesiskajam regulējumam </w:t>
            </w:r>
            <w:r w:rsidR="00837EB5" w:rsidRPr="000D6EE3">
              <w:rPr>
                <w:sz w:val="26"/>
                <w:szCs w:val="26"/>
              </w:rPr>
              <w:t>prognozējama</w:t>
            </w:r>
            <w:r w:rsidRPr="000D6EE3">
              <w:rPr>
                <w:sz w:val="26"/>
                <w:szCs w:val="26"/>
              </w:rPr>
              <w:t xml:space="preserve"> pozitīva ietekme uz tautsaimniecību. </w:t>
            </w:r>
            <w:r w:rsidR="007831D8" w:rsidRPr="000D6EE3">
              <w:rPr>
                <w:sz w:val="26"/>
                <w:szCs w:val="26"/>
              </w:rPr>
              <w:t>Energoefektivitātes nodevas, kuras pamatmērķis ir  veicināt energoefektivitāti, ieviešana uzskatāma kā ilgtermiņa ieguvums no energoefektivitātes paaugstināšanas pasākumiem</w:t>
            </w:r>
            <w:r w:rsidR="006213DB" w:rsidRPr="000D6EE3">
              <w:rPr>
                <w:sz w:val="26"/>
                <w:szCs w:val="26"/>
              </w:rPr>
              <w:t xml:space="preserve">. </w:t>
            </w:r>
            <w:r w:rsidR="000122C5" w:rsidRPr="000D6EE3">
              <w:rPr>
                <w:sz w:val="26"/>
                <w:szCs w:val="26"/>
              </w:rPr>
              <w:t>E</w:t>
            </w:r>
            <w:r w:rsidR="002A2D43" w:rsidRPr="000D6EE3">
              <w:rPr>
                <w:sz w:val="26"/>
                <w:szCs w:val="26"/>
              </w:rPr>
              <w:t>nergoefektivitātes pasākumu īstenošana</w:t>
            </w:r>
            <w:r w:rsidR="000122C5" w:rsidRPr="000D6EE3">
              <w:rPr>
                <w:sz w:val="26"/>
                <w:szCs w:val="26"/>
              </w:rPr>
              <w:t>, kas būtībā nozīmē</w:t>
            </w:r>
            <w:r w:rsidR="002A2D43" w:rsidRPr="000D6EE3">
              <w:rPr>
                <w:sz w:val="26"/>
                <w:szCs w:val="26"/>
              </w:rPr>
              <w:t xml:space="preserve"> </w:t>
            </w:r>
            <w:r w:rsidR="000122C5" w:rsidRPr="000D6EE3">
              <w:rPr>
                <w:sz w:val="26"/>
                <w:szCs w:val="26"/>
              </w:rPr>
              <w:t>energoresursu efektīvāk</w:t>
            </w:r>
            <w:r w:rsidR="000F7CF8">
              <w:rPr>
                <w:sz w:val="26"/>
                <w:szCs w:val="26"/>
              </w:rPr>
              <w:t>u izmantošanu</w:t>
            </w:r>
            <w:r w:rsidR="000122C5" w:rsidRPr="000D6EE3">
              <w:rPr>
                <w:sz w:val="26"/>
                <w:szCs w:val="26"/>
              </w:rPr>
              <w:t xml:space="preserve">, </w:t>
            </w:r>
            <w:r w:rsidR="002A2D43" w:rsidRPr="000D6EE3">
              <w:rPr>
                <w:sz w:val="26"/>
                <w:szCs w:val="26"/>
              </w:rPr>
              <w:t>padarītu Latvijas tautsaimniecību konku</w:t>
            </w:r>
            <w:r w:rsidR="006213DB" w:rsidRPr="000D6EE3">
              <w:rPr>
                <w:sz w:val="26"/>
                <w:szCs w:val="26"/>
              </w:rPr>
              <w:t>rētspējīgāku, radot</w:t>
            </w:r>
            <w:r w:rsidR="002A2D43" w:rsidRPr="000D6EE3">
              <w:rPr>
                <w:sz w:val="26"/>
                <w:szCs w:val="26"/>
              </w:rPr>
              <w:t xml:space="preserve"> jaunas uzņēmējdarbība</w:t>
            </w:r>
            <w:r w:rsidR="006213DB" w:rsidRPr="000D6EE3">
              <w:rPr>
                <w:sz w:val="26"/>
                <w:szCs w:val="26"/>
              </w:rPr>
              <w:t xml:space="preserve">s iespējas, kā arī mazinot </w:t>
            </w:r>
            <w:r w:rsidR="00966FBC" w:rsidRPr="000D6EE3">
              <w:rPr>
                <w:sz w:val="26"/>
                <w:szCs w:val="26"/>
              </w:rPr>
              <w:t xml:space="preserve">ar </w:t>
            </w:r>
            <w:r w:rsidR="006213DB" w:rsidRPr="000D6EE3">
              <w:rPr>
                <w:sz w:val="26"/>
                <w:szCs w:val="26"/>
              </w:rPr>
              <w:t xml:space="preserve">enerģijas patēriņu </w:t>
            </w:r>
            <w:r w:rsidR="00966FBC" w:rsidRPr="000D6EE3">
              <w:rPr>
                <w:sz w:val="26"/>
                <w:szCs w:val="26"/>
              </w:rPr>
              <w:t>saistītas izmaksas</w:t>
            </w:r>
            <w:r w:rsidR="000122C5" w:rsidRPr="000D6EE3">
              <w:rPr>
                <w:sz w:val="26"/>
                <w:szCs w:val="26"/>
              </w:rPr>
              <w:t>.</w:t>
            </w:r>
            <w:r w:rsidR="00876845" w:rsidRPr="000D6EE3">
              <w:rPr>
                <w:sz w:val="26"/>
                <w:szCs w:val="26"/>
              </w:rPr>
              <w:t xml:space="preserve"> </w:t>
            </w:r>
            <w:r w:rsidR="000122C5" w:rsidRPr="000D6EE3">
              <w:rPr>
                <w:sz w:val="26"/>
                <w:szCs w:val="26"/>
              </w:rPr>
              <w:t>Tādējādi e</w:t>
            </w:r>
            <w:r w:rsidR="002A2D43" w:rsidRPr="000D6EE3">
              <w:rPr>
                <w:sz w:val="26"/>
                <w:szCs w:val="26"/>
              </w:rPr>
              <w:t>nergoefektivitāte un taupība dod labumu Latvijas tauts</w:t>
            </w:r>
            <w:r w:rsidR="00966FBC" w:rsidRPr="000D6EE3">
              <w:rPr>
                <w:sz w:val="26"/>
                <w:szCs w:val="26"/>
              </w:rPr>
              <w:t>aimniecībai kopumā</w:t>
            </w:r>
            <w:r w:rsidR="002A2D43" w:rsidRPr="000D6EE3">
              <w:rPr>
                <w:sz w:val="26"/>
                <w:szCs w:val="26"/>
              </w:rPr>
              <w:t>.</w:t>
            </w:r>
          </w:p>
          <w:p w:rsidR="00876845" w:rsidRPr="000D6EE3" w:rsidRDefault="00876845" w:rsidP="00876845">
            <w:pPr>
              <w:jc w:val="both"/>
              <w:rPr>
                <w:sz w:val="26"/>
                <w:szCs w:val="26"/>
              </w:rPr>
            </w:pPr>
            <w:r w:rsidRPr="000D6EE3">
              <w:rPr>
                <w:sz w:val="26"/>
                <w:szCs w:val="26"/>
              </w:rPr>
              <w:t>Administratīvā sloga palielināšanās ir iespējama komersantam gadījumos, kad tam nav iespējams izpildīt</w:t>
            </w:r>
            <w:r w:rsidR="00752F05" w:rsidRPr="000D6EE3">
              <w:rPr>
                <w:sz w:val="26"/>
                <w:szCs w:val="26"/>
              </w:rPr>
              <w:t xml:space="preserve"> Energoefektivit</w:t>
            </w:r>
            <w:r w:rsidR="00B26ABB" w:rsidRPr="000D6EE3">
              <w:rPr>
                <w:sz w:val="26"/>
                <w:szCs w:val="26"/>
              </w:rPr>
              <w:t>āt</w:t>
            </w:r>
            <w:r w:rsidR="00966FBC" w:rsidRPr="000D6EE3">
              <w:rPr>
                <w:sz w:val="26"/>
                <w:szCs w:val="26"/>
              </w:rPr>
              <w:t>es likumā noteiktos nosacījumus un jāveic valsts nodevas maksājums.</w:t>
            </w:r>
            <w:r w:rsidR="002644FC" w:rsidRPr="000D6EE3">
              <w:rPr>
                <w:sz w:val="26"/>
                <w:szCs w:val="26"/>
              </w:rPr>
              <w:t xml:space="preserve"> </w:t>
            </w:r>
            <w:r w:rsidRPr="000D6EE3">
              <w:rPr>
                <w:sz w:val="26"/>
                <w:szCs w:val="26"/>
              </w:rPr>
              <w:t xml:space="preserve">   </w:t>
            </w:r>
          </w:p>
        </w:tc>
      </w:tr>
      <w:tr w:rsidR="00DF6E70" w:rsidRPr="000D6EE3" w:rsidTr="00593A8E">
        <w:trPr>
          <w:trHeight w:val="517"/>
        </w:trPr>
        <w:tc>
          <w:tcPr>
            <w:tcW w:w="709" w:type="dxa"/>
          </w:tcPr>
          <w:p w:rsidR="00DF6E70" w:rsidRPr="000D6EE3" w:rsidRDefault="00DF6E70" w:rsidP="00DF6E70">
            <w:pPr>
              <w:pStyle w:val="naiskr"/>
              <w:spacing w:before="0" w:after="0"/>
              <w:rPr>
                <w:sz w:val="26"/>
                <w:szCs w:val="26"/>
              </w:rPr>
            </w:pPr>
            <w:r w:rsidRPr="000D6EE3">
              <w:rPr>
                <w:sz w:val="26"/>
                <w:szCs w:val="26"/>
              </w:rPr>
              <w:lastRenderedPageBreak/>
              <w:t>3.</w:t>
            </w:r>
          </w:p>
        </w:tc>
        <w:tc>
          <w:tcPr>
            <w:tcW w:w="2131" w:type="dxa"/>
          </w:tcPr>
          <w:p w:rsidR="00DF6E70" w:rsidRPr="000D6EE3" w:rsidRDefault="00DF6E70" w:rsidP="00DF6E70">
            <w:pPr>
              <w:pStyle w:val="naiskr"/>
              <w:spacing w:before="0" w:after="0"/>
              <w:rPr>
                <w:sz w:val="26"/>
                <w:szCs w:val="26"/>
              </w:rPr>
            </w:pPr>
            <w:r w:rsidRPr="000D6EE3">
              <w:rPr>
                <w:sz w:val="26"/>
                <w:szCs w:val="26"/>
              </w:rPr>
              <w:t xml:space="preserve">Administratīvo izmaksu monetārs novērtējums </w:t>
            </w:r>
          </w:p>
        </w:tc>
        <w:tc>
          <w:tcPr>
            <w:tcW w:w="6946" w:type="dxa"/>
          </w:tcPr>
          <w:p w:rsidR="00DF6E70" w:rsidRPr="000D6EE3" w:rsidRDefault="001D2483" w:rsidP="00F51A70">
            <w:pPr>
              <w:jc w:val="both"/>
              <w:rPr>
                <w:sz w:val="26"/>
                <w:szCs w:val="26"/>
              </w:rPr>
            </w:pPr>
            <w:r w:rsidRPr="000D6EE3">
              <w:rPr>
                <w:sz w:val="26"/>
                <w:szCs w:val="26"/>
              </w:rPr>
              <w:t>Administratīvās izmaksas nav paredzamas</w:t>
            </w:r>
          </w:p>
        </w:tc>
      </w:tr>
      <w:tr w:rsidR="00DF6E70" w:rsidRPr="000D6EE3" w:rsidTr="00593A8E">
        <w:tc>
          <w:tcPr>
            <w:tcW w:w="709" w:type="dxa"/>
          </w:tcPr>
          <w:p w:rsidR="00DF6E70" w:rsidRPr="000D6EE3" w:rsidRDefault="00DF6E70" w:rsidP="00DF6E70">
            <w:pPr>
              <w:pStyle w:val="naiskr"/>
              <w:spacing w:before="0" w:after="0"/>
              <w:rPr>
                <w:sz w:val="26"/>
                <w:szCs w:val="26"/>
              </w:rPr>
            </w:pPr>
            <w:r w:rsidRPr="000D6EE3">
              <w:rPr>
                <w:sz w:val="26"/>
                <w:szCs w:val="26"/>
              </w:rPr>
              <w:t>4.</w:t>
            </w:r>
          </w:p>
        </w:tc>
        <w:tc>
          <w:tcPr>
            <w:tcW w:w="2131" w:type="dxa"/>
          </w:tcPr>
          <w:p w:rsidR="00DF6E70" w:rsidRPr="000D6EE3" w:rsidRDefault="00DF6E70" w:rsidP="00DF6E70">
            <w:pPr>
              <w:pStyle w:val="naiskr"/>
              <w:spacing w:before="0" w:after="0"/>
              <w:rPr>
                <w:sz w:val="26"/>
                <w:szCs w:val="26"/>
              </w:rPr>
            </w:pPr>
            <w:r w:rsidRPr="000D6EE3">
              <w:rPr>
                <w:sz w:val="26"/>
                <w:szCs w:val="26"/>
              </w:rPr>
              <w:t>Cita informācija</w:t>
            </w:r>
          </w:p>
        </w:tc>
        <w:tc>
          <w:tcPr>
            <w:tcW w:w="6946" w:type="dxa"/>
          </w:tcPr>
          <w:p w:rsidR="00DF6E70" w:rsidRPr="000D6EE3" w:rsidRDefault="00DF6E70" w:rsidP="00DF6E70">
            <w:pPr>
              <w:rPr>
                <w:sz w:val="26"/>
                <w:szCs w:val="26"/>
              </w:rPr>
            </w:pPr>
            <w:r w:rsidRPr="000D6EE3">
              <w:rPr>
                <w:sz w:val="26"/>
                <w:szCs w:val="26"/>
              </w:rPr>
              <w:t>Nav.</w:t>
            </w:r>
          </w:p>
        </w:tc>
      </w:tr>
    </w:tbl>
    <w:p w:rsidR="008C5649" w:rsidRPr="000D6EE3" w:rsidRDefault="008C5649" w:rsidP="006C4607">
      <w:pPr>
        <w:pStyle w:val="naisf"/>
        <w:spacing w:before="0" w:after="0"/>
        <w:rPr>
          <w:sz w:val="26"/>
          <w:szCs w:val="26"/>
        </w:rPr>
      </w:pPr>
    </w:p>
    <w:p w:rsidR="00BD244C" w:rsidRPr="000D6EE3" w:rsidRDefault="00BD244C" w:rsidP="006C4607">
      <w:pPr>
        <w:pStyle w:val="naisf"/>
        <w:spacing w:before="0" w:after="0"/>
        <w:rPr>
          <w:sz w:val="26"/>
          <w:szCs w:val="26"/>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0D6EE3" w:rsidTr="00AA32E9">
        <w:trPr>
          <w:trHeight w:val="652"/>
          <w:jc w:val="center"/>
        </w:trPr>
        <w:tc>
          <w:tcPr>
            <w:tcW w:w="10023" w:type="dxa"/>
          </w:tcPr>
          <w:p w:rsidR="00DF6E70" w:rsidRPr="000D6EE3" w:rsidRDefault="00DF6E70" w:rsidP="00DF6E70">
            <w:pPr>
              <w:jc w:val="center"/>
              <w:rPr>
                <w:b/>
                <w:bCs/>
                <w:i/>
                <w:sz w:val="26"/>
                <w:szCs w:val="26"/>
              </w:rPr>
            </w:pPr>
            <w:r w:rsidRPr="000D6EE3">
              <w:rPr>
                <w:b/>
                <w:bCs/>
                <w:sz w:val="26"/>
                <w:szCs w:val="26"/>
              </w:rPr>
              <w:t>III. Tiesību akta projekta ietekme uz valsts budžetu un pašvaldību budžetiem</w:t>
            </w:r>
            <w:r w:rsidRPr="000D6EE3" w:rsidDel="00DA7A25">
              <w:rPr>
                <w:b/>
                <w:bCs/>
                <w:sz w:val="26"/>
                <w:szCs w:val="26"/>
              </w:rPr>
              <w:t xml:space="preserve"> </w:t>
            </w:r>
          </w:p>
        </w:tc>
      </w:tr>
      <w:tr w:rsidR="00DF6E70" w:rsidRPr="000D6EE3"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0D6EE3" w:rsidTr="00EE7E43">
              <w:trPr>
                <w:trHeight w:val="652"/>
                <w:jc w:val="center"/>
              </w:trPr>
              <w:tc>
                <w:tcPr>
                  <w:tcW w:w="10023" w:type="dxa"/>
                  <w:tcBorders>
                    <w:top w:val="nil"/>
                    <w:left w:val="nil"/>
                    <w:bottom w:val="nil"/>
                    <w:right w:val="nil"/>
                  </w:tcBorders>
                </w:tcPr>
                <w:p w:rsidR="00DF6E70" w:rsidRPr="000D6EE3" w:rsidRDefault="00DF6E70" w:rsidP="00DF6E70">
                  <w:pPr>
                    <w:jc w:val="center"/>
                    <w:rPr>
                      <w:b/>
                      <w:bCs/>
                      <w:i/>
                      <w:sz w:val="26"/>
                      <w:szCs w:val="26"/>
                    </w:rPr>
                  </w:pPr>
                </w:p>
              </w:tc>
            </w:tr>
            <w:tr w:rsidR="00DF6E70" w:rsidRPr="000D6EE3" w:rsidTr="00EE7E43">
              <w:trPr>
                <w:trHeight w:val="508"/>
                <w:jc w:val="center"/>
              </w:trPr>
              <w:tc>
                <w:tcPr>
                  <w:tcW w:w="10023" w:type="dxa"/>
                  <w:tcBorders>
                    <w:top w:val="nil"/>
                    <w:left w:val="nil"/>
                    <w:bottom w:val="nil"/>
                    <w:right w:val="nil"/>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04"/>
                    <w:gridCol w:w="1377"/>
                    <w:gridCol w:w="1043"/>
                    <w:gridCol w:w="1302"/>
                    <w:gridCol w:w="1636"/>
                    <w:gridCol w:w="1363"/>
                    <w:gridCol w:w="349"/>
                  </w:tblGrid>
                  <w:tr w:rsidR="00DF6E70" w:rsidRPr="000D6EE3" w:rsidTr="00400F6B">
                    <w:trPr>
                      <w:gridAfter w:val="1"/>
                      <w:wAfter w:w="360" w:type="dxa"/>
                    </w:trPr>
                    <w:tc>
                      <w:tcPr>
                        <w:tcW w:w="2189" w:type="dxa"/>
                        <w:vMerge w:val="restart"/>
                        <w:tcBorders>
                          <w:top w:val="outset" w:sz="6" w:space="0" w:color="000000"/>
                          <w:left w:val="outset" w:sz="6" w:space="0" w:color="000000"/>
                          <w:bottom w:val="outset" w:sz="6" w:space="0" w:color="000000"/>
                          <w:right w:val="outset" w:sz="6" w:space="0" w:color="000000"/>
                        </w:tcBorders>
                        <w:vAlign w:val="center"/>
                      </w:tcPr>
                      <w:p w:rsidR="00DF6E70" w:rsidRPr="000D6EE3" w:rsidRDefault="000F7CF8" w:rsidP="00DF6E70">
                        <w:pPr>
                          <w:spacing w:before="100" w:beforeAutospacing="1" w:after="100" w:afterAutospacing="1"/>
                          <w:jc w:val="center"/>
                          <w:rPr>
                            <w:b/>
                            <w:bCs/>
                            <w:sz w:val="26"/>
                            <w:szCs w:val="26"/>
                          </w:rPr>
                        </w:pPr>
                        <w:r>
                          <w:rPr>
                            <w:b/>
                            <w:bCs/>
                            <w:sz w:val="26"/>
                            <w:szCs w:val="26"/>
                          </w:rPr>
                          <w:tab/>
                        </w:r>
                        <w:r w:rsidR="00DF6E70" w:rsidRPr="000D6EE3">
                          <w:rPr>
                            <w:b/>
                            <w:bCs/>
                            <w:sz w:val="26"/>
                            <w:szCs w:val="26"/>
                          </w:rPr>
                          <w:t>Rādītāji</w:t>
                        </w:r>
                      </w:p>
                    </w:tc>
                    <w:tc>
                      <w:tcPr>
                        <w:tcW w:w="2514" w:type="dxa"/>
                        <w:gridSpan w:val="2"/>
                        <w:vMerge w:val="restart"/>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616257">
                        <w:pPr>
                          <w:spacing w:before="100" w:beforeAutospacing="1" w:after="100" w:afterAutospacing="1"/>
                          <w:jc w:val="center"/>
                          <w:rPr>
                            <w:b/>
                            <w:bCs/>
                            <w:sz w:val="26"/>
                            <w:szCs w:val="26"/>
                          </w:rPr>
                        </w:pPr>
                        <w:r w:rsidRPr="000D6EE3">
                          <w:rPr>
                            <w:b/>
                            <w:bCs/>
                            <w:sz w:val="26"/>
                            <w:szCs w:val="26"/>
                          </w:rPr>
                          <w:t>201</w:t>
                        </w:r>
                        <w:r w:rsidR="00CF08C5" w:rsidRPr="000D6EE3">
                          <w:rPr>
                            <w:b/>
                            <w:bCs/>
                            <w:sz w:val="26"/>
                            <w:szCs w:val="26"/>
                          </w:rPr>
                          <w:t>6</w:t>
                        </w:r>
                        <w:r w:rsidRPr="000D6EE3">
                          <w:rPr>
                            <w:b/>
                            <w:bCs/>
                            <w:sz w:val="26"/>
                            <w:szCs w:val="26"/>
                          </w:rPr>
                          <w:t>. gads</w:t>
                        </w:r>
                      </w:p>
                    </w:tc>
                    <w:tc>
                      <w:tcPr>
                        <w:tcW w:w="4471" w:type="dxa"/>
                        <w:gridSpan w:val="3"/>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Turpmākie trīs gadi (</w:t>
                        </w:r>
                        <w:proofErr w:type="spellStart"/>
                        <w:r w:rsidRPr="000D6EE3">
                          <w:rPr>
                            <w:i/>
                            <w:sz w:val="26"/>
                            <w:szCs w:val="26"/>
                          </w:rPr>
                          <w:t>euro</w:t>
                        </w:r>
                        <w:proofErr w:type="spellEnd"/>
                        <w:r w:rsidRPr="000D6EE3">
                          <w:rPr>
                            <w:sz w:val="26"/>
                            <w:szCs w:val="26"/>
                          </w:rPr>
                          <w:t>)</w:t>
                        </w:r>
                      </w:p>
                    </w:tc>
                  </w:tr>
                  <w:tr w:rsidR="00DF6E70" w:rsidRPr="000D6EE3" w:rsidTr="00400F6B">
                    <w:trPr>
                      <w:gridAfter w:val="1"/>
                      <w:wAfter w:w="360" w:type="dxa"/>
                    </w:trPr>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b/>
                            <w:bCs/>
                            <w:sz w:val="26"/>
                            <w:szCs w:val="26"/>
                          </w:rPr>
                        </w:pPr>
                      </w:p>
                    </w:tc>
                    <w:tc>
                      <w:tcPr>
                        <w:tcW w:w="2514" w:type="dxa"/>
                        <w:gridSpan w:val="2"/>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b/>
                            <w:bCs/>
                            <w:sz w:val="26"/>
                            <w:szCs w:val="26"/>
                          </w:rPr>
                        </w:pP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616257">
                        <w:pPr>
                          <w:spacing w:before="100" w:beforeAutospacing="1" w:after="100" w:afterAutospacing="1"/>
                          <w:jc w:val="center"/>
                          <w:rPr>
                            <w:b/>
                            <w:bCs/>
                            <w:sz w:val="26"/>
                            <w:szCs w:val="26"/>
                          </w:rPr>
                        </w:pPr>
                        <w:r w:rsidRPr="000D6EE3">
                          <w:rPr>
                            <w:b/>
                            <w:bCs/>
                            <w:sz w:val="26"/>
                            <w:szCs w:val="26"/>
                          </w:rPr>
                          <w:t>201</w:t>
                        </w:r>
                        <w:r w:rsidR="00CF08C5" w:rsidRPr="000D6EE3">
                          <w:rPr>
                            <w:b/>
                            <w:bCs/>
                            <w:sz w:val="26"/>
                            <w:szCs w:val="26"/>
                          </w:rPr>
                          <w:t>7</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616257">
                        <w:pPr>
                          <w:spacing w:before="100" w:beforeAutospacing="1" w:after="100" w:afterAutospacing="1"/>
                          <w:jc w:val="center"/>
                          <w:rPr>
                            <w:b/>
                            <w:bCs/>
                            <w:sz w:val="26"/>
                            <w:szCs w:val="26"/>
                          </w:rPr>
                        </w:pPr>
                        <w:r w:rsidRPr="000D6EE3">
                          <w:rPr>
                            <w:b/>
                            <w:bCs/>
                            <w:sz w:val="26"/>
                            <w:szCs w:val="26"/>
                          </w:rPr>
                          <w:t>201</w:t>
                        </w:r>
                        <w:r w:rsidR="00CF08C5" w:rsidRPr="000D6EE3">
                          <w:rPr>
                            <w:b/>
                            <w:bCs/>
                            <w:sz w:val="26"/>
                            <w:szCs w:val="26"/>
                          </w:rPr>
                          <w:t>8</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CF08C5" w:rsidP="00616257">
                        <w:pPr>
                          <w:spacing w:before="100" w:beforeAutospacing="1" w:after="100" w:afterAutospacing="1"/>
                          <w:jc w:val="center"/>
                          <w:rPr>
                            <w:b/>
                            <w:bCs/>
                            <w:sz w:val="26"/>
                            <w:szCs w:val="26"/>
                          </w:rPr>
                        </w:pPr>
                        <w:r w:rsidRPr="000D6EE3">
                          <w:rPr>
                            <w:b/>
                            <w:bCs/>
                            <w:sz w:val="26"/>
                            <w:szCs w:val="26"/>
                          </w:rPr>
                          <w:t>2019</w:t>
                        </w:r>
                      </w:p>
                    </w:tc>
                  </w:tr>
                  <w:tr w:rsidR="00DF6E70" w:rsidRPr="000D6EE3" w:rsidTr="00400F6B">
                    <w:trPr>
                      <w:gridAfter w:val="1"/>
                      <w:wAfter w:w="360" w:type="dxa"/>
                    </w:trPr>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b/>
                            <w:bCs/>
                            <w:sz w:val="26"/>
                            <w:szCs w:val="26"/>
                          </w:rPr>
                        </w:pP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Saskaņā ar valsts budžetu kārtējam gadam</w:t>
                        </w: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Izmaiņas kārtējā gadā, salīdzinot ar budžetu kārtējam gadam</w:t>
                        </w: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Izmaiņas, salīdzinot ar kārtējo (n)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Izmaiņas, salīdzinot ar kārtējo (n) gadu</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Izmaiņas, salīdzinot ar kārtējo (n) gadu</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1</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2</w:t>
                        </w: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3</w:t>
                        </w: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5</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before="100" w:beforeAutospacing="1" w:after="100" w:afterAutospacing="1"/>
                          <w:jc w:val="center"/>
                          <w:rPr>
                            <w:sz w:val="26"/>
                            <w:szCs w:val="26"/>
                          </w:rPr>
                        </w:pPr>
                        <w:r w:rsidRPr="000D6EE3">
                          <w:rPr>
                            <w:sz w:val="26"/>
                            <w:szCs w:val="26"/>
                          </w:rPr>
                          <w:t>6</w:t>
                        </w:r>
                      </w:p>
                    </w:tc>
                  </w:tr>
                  <w:tr w:rsidR="00106FB1" w:rsidRPr="000D6EE3" w:rsidTr="00170CB8">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106FB1" w:rsidRPr="000D6EE3" w:rsidRDefault="00106FB1" w:rsidP="00106FB1">
                        <w:pPr>
                          <w:spacing w:before="100" w:beforeAutospacing="1" w:after="100" w:afterAutospacing="1"/>
                          <w:rPr>
                            <w:sz w:val="26"/>
                            <w:szCs w:val="26"/>
                          </w:rPr>
                        </w:pPr>
                        <w:r w:rsidRPr="000D6EE3">
                          <w:rPr>
                            <w:sz w:val="26"/>
                            <w:szCs w:val="26"/>
                          </w:rPr>
                          <w:t>1. Budžeta ieņēmumi:</w:t>
                        </w:r>
                      </w:p>
                    </w:tc>
                    <w:tc>
                      <w:tcPr>
                        <w:tcW w:w="1431" w:type="dxa"/>
                        <w:tcBorders>
                          <w:top w:val="outset" w:sz="6" w:space="0" w:color="000000"/>
                          <w:left w:val="outset" w:sz="6" w:space="0" w:color="000000"/>
                          <w:bottom w:val="outset" w:sz="6" w:space="0" w:color="000000"/>
                          <w:right w:val="outset" w:sz="6" w:space="0" w:color="000000"/>
                        </w:tcBorders>
                        <w:vAlign w:val="center"/>
                      </w:tcPr>
                      <w:p w:rsidR="00106FB1" w:rsidRPr="000D6EE3" w:rsidRDefault="00106FB1" w:rsidP="00106FB1">
                        <w:pPr>
                          <w:spacing w:line="270" w:lineRule="atLeast"/>
                          <w:jc w:val="center"/>
                          <w:rPr>
                            <w:b/>
                            <w:sz w:val="26"/>
                            <w:szCs w:val="26"/>
                          </w:rPr>
                        </w:pPr>
                        <w:r w:rsidRPr="000D6EE3">
                          <w:rPr>
                            <w:b/>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106FB1" w:rsidRPr="000D6EE3" w:rsidRDefault="00106FB1" w:rsidP="00106FB1">
                        <w:pPr>
                          <w:spacing w:line="270" w:lineRule="atLeast"/>
                          <w:jc w:val="center"/>
                          <w:rPr>
                            <w:b/>
                            <w:sz w:val="26"/>
                            <w:szCs w:val="26"/>
                          </w:rPr>
                        </w:pPr>
                        <w:r w:rsidRPr="000D6EE3">
                          <w:rPr>
                            <w:b/>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106FB1" w:rsidRPr="000D6EE3" w:rsidRDefault="003762C6" w:rsidP="00106FB1">
                        <w:pPr>
                          <w:jc w:val="center"/>
                          <w:rPr>
                            <w:b/>
                            <w:sz w:val="26"/>
                            <w:szCs w:val="26"/>
                          </w:rPr>
                        </w:pPr>
                        <w:r w:rsidRPr="000D6EE3">
                          <w:rPr>
                            <w:b/>
                            <w:sz w:val="26"/>
                            <w:szCs w:val="26"/>
                          </w:rPr>
                          <w:t>55</w:t>
                        </w:r>
                        <w:r w:rsidR="00302C7D" w:rsidRPr="000D6EE3">
                          <w:rPr>
                            <w:b/>
                            <w:sz w:val="26"/>
                            <w:szCs w:val="26"/>
                          </w:rPr>
                          <w:t>3</w:t>
                        </w:r>
                        <w:r w:rsidRPr="000D6EE3">
                          <w:rPr>
                            <w:b/>
                            <w:sz w:val="26"/>
                            <w:szCs w:val="26"/>
                          </w:rPr>
                          <w:t xml:space="preserve"> </w:t>
                        </w:r>
                        <w:r w:rsidR="00302C7D" w:rsidRPr="000D6EE3">
                          <w:rPr>
                            <w:b/>
                            <w:sz w:val="26"/>
                            <w:szCs w:val="26"/>
                          </w:rPr>
                          <w:t>14</w:t>
                        </w:r>
                        <w:r w:rsidRPr="000D6EE3">
                          <w:rPr>
                            <w:b/>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106FB1" w:rsidRPr="000D6EE3" w:rsidRDefault="00672838" w:rsidP="00106FB1">
                        <w:pPr>
                          <w:jc w:val="center"/>
                          <w:rPr>
                            <w:b/>
                            <w:sz w:val="26"/>
                            <w:szCs w:val="26"/>
                          </w:rPr>
                        </w:pPr>
                        <w:r w:rsidRPr="000D6EE3">
                          <w:rPr>
                            <w:b/>
                            <w:sz w:val="26"/>
                            <w:szCs w:val="26"/>
                          </w:rPr>
                          <w:t>2 520 000</w:t>
                        </w:r>
                      </w:p>
                    </w:tc>
                    <w:tc>
                      <w:tcPr>
                        <w:tcW w:w="1417" w:type="dxa"/>
                        <w:tcBorders>
                          <w:top w:val="outset" w:sz="6" w:space="0" w:color="000000"/>
                          <w:left w:val="outset" w:sz="6" w:space="0" w:color="000000"/>
                          <w:bottom w:val="outset" w:sz="6" w:space="0" w:color="000000"/>
                        </w:tcBorders>
                      </w:tcPr>
                      <w:p w:rsidR="00106FB1" w:rsidRPr="000D6EE3" w:rsidRDefault="00780557" w:rsidP="00106FB1">
                        <w:pPr>
                          <w:jc w:val="center"/>
                          <w:rPr>
                            <w:b/>
                            <w:sz w:val="26"/>
                            <w:szCs w:val="26"/>
                          </w:rPr>
                        </w:pPr>
                        <w:r w:rsidRPr="000D6EE3">
                          <w:rPr>
                            <w:b/>
                            <w:sz w:val="26"/>
                            <w:szCs w:val="26"/>
                          </w:rPr>
                          <w:t>1 449 000</w:t>
                        </w:r>
                      </w:p>
                    </w:tc>
                  </w:tr>
                  <w:tr w:rsidR="009E7D00" w:rsidRPr="000D6EE3" w:rsidTr="00D11465">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9E7D00" w:rsidRPr="000D6EE3" w:rsidRDefault="009E7D00" w:rsidP="009E7D00">
                        <w:pPr>
                          <w:spacing w:before="100" w:beforeAutospacing="1" w:after="100" w:afterAutospacing="1"/>
                          <w:rPr>
                            <w:sz w:val="26"/>
                            <w:szCs w:val="26"/>
                          </w:rPr>
                        </w:pPr>
                        <w:r w:rsidRPr="000D6EE3">
                          <w:rPr>
                            <w:sz w:val="26"/>
                            <w:szCs w:val="26"/>
                          </w:rPr>
                          <w:t>1.1. valsts pamatbudžets, tai skaitā ieņēmumi no maksas pakalpojumiem un citi pašu ieņēmumi</w:t>
                        </w:r>
                      </w:p>
                    </w:tc>
                    <w:tc>
                      <w:tcPr>
                        <w:tcW w:w="1431" w:type="dxa"/>
                        <w:tcBorders>
                          <w:top w:val="outset" w:sz="6" w:space="0" w:color="000000"/>
                          <w:left w:val="outset" w:sz="6" w:space="0" w:color="000000"/>
                          <w:bottom w:val="outset" w:sz="6" w:space="0" w:color="000000"/>
                          <w:right w:val="outset" w:sz="6" w:space="0" w:color="000000"/>
                        </w:tcBorders>
                      </w:tcPr>
                      <w:p w:rsidR="009E7D00" w:rsidRPr="000D6EE3" w:rsidRDefault="009E7D00" w:rsidP="009E7D00">
                        <w:pPr>
                          <w:jc w:val="center"/>
                          <w:rPr>
                            <w:sz w:val="26"/>
                            <w:szCs w:val="26"/>
                          </w:rPr>
                        </w:pPr>
                        <w:r w:rsidRPr="000D6EE3">
                          <w:rPr>
                            <w:sz w:val="26"/>
                            <w:szCs w:val="26"/>
                          </w:rPr>
                          <w:t>0</w:t>
                        </w:r>
                      </w:p>
                    </w:tc>
                    <w:tc>
                      <w:tcPr>
                        <w:tcW w:w="1083" w:type="dxa"/>
                        <w:tcBorders>
                          <w:top w:val="outset" w:sz="6" w:space="0" w:color="000000"/>
                          <w:left w:val="outset" w:sz="6" w:space="0" w:color="000000"/>
                          <w:bottom w:val="outset" w:sz="6" w:space="0" w:color="000000"/>
                          <w:right w:val="outset" w:sz="6" w:space="0" w:color="000000"/>
                        </w:tcBorders>
                      </w:tcPr>
                      <w:p w:rsidR="009E7D00" w:rsidRPr="000D6EE3" w:rsidRDefault="009E7D00" w:rsidP="009E7D00">
                        <w:pPr>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9E7D00" w:rsidRPr="000D6EE3" w:rsidRDefault="003762C6" w:rsidP="009E7D00">
                        <w:pPr>
                          <w:jc w:val="center"/>
                          <w:rPr>
                            <w:sz w:val="26"/>
                            <w:szCs w:val="26"/>
                          </w:rPr>
                        </w:pPr>
                        <w:r w:rsidRPr="000D6EE3">
                          <w:rPr>
                            <w:sz w:val="26"/>
                            <w:szCs w:val="26"/>
                          </w:rPr>
                          <w:t>55</w:t>
                        </w:r>
                        <w:r w:rsidR="009E7D00" w:rsidRPr="000D6EE3">
                          <w:rPr>
                            <w:sz w:val="26"/>
                            <w:szCs w:val="26"/>
                          </w:rPr>
                          <w:t>3</w:t>
                        </w:r>
                        <w:r w:rsidRPr="000D6EE3">
                          <w:rPr>
                            <w:sz w:val="26"/>
                            <w:szCs w:val="26"/>
                          </w:rPr>
                          <w:t xml:space="preserve"> </w:t>
                        </w:r>
                        <w:r w:rsidR="009E7D00" w:rsidRPr="000D6EE3">
                          <w:rPr>
                            <w:sz w:val="26"/>
                            <w:szCs w:val="26"/>
                          </w:rPr>
                          <w:t>14</w:t>
                        </w: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9E7D00" w:rsidRPr="000D6EE3" w:rsidRDefault="009E7D00" w:rsidP="009E7D00">
                        <w:pPr>
                          <w:jc w:val="center"/>
                          <w:rPr>
                            <w:sz w:val="26"/>
                            <w:szCs w:val="26"/>
                          </w:rPr>
                        </w:pPr>
                        <w:r w:rsidRPr="000D6EE3">
                          <w:rPr>
                            <w:sz w:val="26"/>
                            <w:szCs w:val="26"/>
                          </w:rPr>
                          <w:t>2 520 000</w:t>
                        </w:r>
                      </w:p>
                    </w:tc>
                    <w:tc>
                      <w:tcPr>
                        <w:tcW w:w="1417" w:type="dxa"/>
                        <w:tcBorders>
                          <w:top w:val="outset" w:sz="6" w:space="0" w:color="000000"/>
                          <w:left w:val="outset" w:sz="6" w:space="0" w:color="000000"/>
                          <w:bottom w:val="outset" w:sz="6" w:space="0" w:color="000000"/>
                          <w:right w:val="outset" w:sz="6" w:space="0" w:color="000000"/>
                        </w:tcBorders>
                      </w:tcPr>
                      <w:p w:rsidR="009E7D00" w:rsidRPr="000D6EE3" w:rsidRDefault="009E7D00" w:rsidP="009E7D00">
                        <w:pPr>
                          <w:jc w:val="center"/>
                          <w:rPr>
                            <w:sz w:val="26"/>
                            <w:szCs w:val="26"/>
                          </w:rPr>
                        </w:pPr>
                        <w:r w:rsidRPr="000D6EE3">
                          <w:rPr>
                            <w:sz w:val="26"/>
                            <w:szCs w:val="26"/>
                          </w:rPr>
                          <w:t>1 449 000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1.2.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1.3.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r>
                  <w:tr w:rsidR="00302C7D" w:rsidRPr="000D6EE3" w:rsidTr="00170CB8">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302C7D" w:rsidRPr="000D6EE3" w:rsidRDefault="00302C7D" w:rsidP="00302C7D">
                        <w:pPr>
                          <w:spacing w:before="100" w:beforeAutospacing="1" w:after="100" w:afterAutospacing="1"/>
                          <w:jc w:val="center"/>
                          <w:rPr>
                            <w:sz w:val="26"/>
                            <w:szCs w:val="26"/>
                          </w:rPr>
                        </w:pPr>
                        <w:r w:rsidRPr="000D6EE3">
                          <w:rPr>
                            <w:sz w:val="26"/>
                            <w:szCs w:val="26"/>
                          </w:rPr>
                          <w:t>2. Budžeta izdevumi:</w:t>
                        </w:r>
                      </w:p>
                    </w:tc>
                    <w:tc>
                      <w:tcPr>
                        <w:tcW w:w="1431" w:type="dxa"/>
                        <w:tcBorders>
                          <w:top w:val="outset" w:sz="6" w:space="0" w:color="000000"/>
                          <w:left w:val="outset" w:sz="6" w:space="0" w:color="000000"/>
                          <w:bottom w:val="outset" w:sz="6" w:space="0" w:color="000000"/>
                          <w:right w:val="outset" w:sz="6" w:space="0" w:color="000000"/>
                        </w:tcBorders>
                        <w:vAlign w:val="center"/>
                      </w:tcPr>
                      <w:p w:rsidR="00302C7D" w:rsidRPr="000D6EE3" w:rsidRDefault="00302C7D" w:rsidP="00302C7D">
                        <w:pPr>
                          <w:spacing w:line="270" w:lineRule="atLeast"/>
                          <w:jc w:val="center"/>
                          <w:rPr>
                            <w:b/>
                            <w:sz w:val="26"/>
                            <w:szCs w:val="26"/>
                          </w:rPr>
                        </w:pPr>
                        <w:r w:rsidRPr="000D6EE3">
                          <w:rPr>
                            <w:b/>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302C7D" w:rsidRPr="000D6EE3" w:rsidRDefault="00302C7D" w:rsidP="00302C7D">
                        <w:pPr>
                          <w:spacing w:line="270" w:lineRule="atLeast"/>
                          <w:jc w:val="center"/>
                          <w:rPr>
                            <w:b/>
                            <w:sz w:val="26"/>
                            <w:szCs w:val="26"/>
                          </w:rPr>
                        </w:pPr>
                        <w:r w:rsidRPr="000D6EE3">
                          <w:rPr>
                            <w:b/>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302C7D" w:rsidRPr="000D6EE3" w:rsidRDefault="009E7D00" w:rsidP="00302C7D">
                        <w:pPr>
                          <w:jc w:val="center"/>
                          <w:rPr>
                            <w:b/>
                            <w:sz w:val="26"/>
                            <w:szCs w:val="26"/>
                          </w:rPr>
                        </w:pPr>
                        <w:r w:rsidRPr="000D6EE3">
                          <w:rPr>
                            <w:b/>
                            <w:sz w:val="26"/>
                            <w:szCs w:val="26"/>
                          </w:rPr>
                          <w:t>553 140</w:t>
                        </w:r>
                      </w:p>
                    </w:tc>
                    <w:tc>
                      <w:tcPr>
                        <w:tcW w:w="1701" w:type="dxa"/>
                        <w:tcBorders>
                          <w:top w:val="outset" w:sz="6" w:space="0" w:color="000000"/>
                          <w:left w:val="outset" w:sz="6" w:space="0" w:color="000000"/>
                          <w:bottom w:val="outset" w:sz="6" w:space="0" w:color="000000"/>
                          <w:right w:val="outset" w:sz="6" w:space="0" w:color="000000"/>
                        </w:tcBorders>
                      </w:tcPr>
                      <w:p w:rsidR="00302C7D" w:rsidRPr="000D6EE3" w:rsidRDefault="00302C7D" w:rsidP="00302C7D">
                        <w:pPr>
                          <w:jc w:val="center"/>
                          <w:rPr>
                            <w:b/>
                            <w:sz w:val="26"/>
                            <w:szCs w:val="26"/>
                          </w:rPr>
                        </w:pPr>
                        <w:r w:rsidRPr="000D6EE3">
                          <w:rPr>
                            <w:b/>
                            <w:sz w:val="26"/>
                            <w:szCs w:val="26"/>
                          </w:rPr>
                          <w:t>2 520 000</w:t>
                        </w:r>
                      </w:p>
                    </w:tc>
                    <w:tc>
                      <w:tcPr>
                        <w:tcW w:w="1417" w:type="dxa"/>
                        <w:tcBorders>
                          <w:top w:val="outset" w:sz="6" w:space="0" w:color="000000"/>
                          <w:left w:val="outset" w:sz="6" w:space="0" w:color="000000"/>
                          <w:bottom w:val="outset" w:sz="6" w:space="0" w:color="000000"/>
                          <w:right w:val="outset" w:sz="6" w:space="0" w:color="000000"/>
                        </w:tcBorders>
                      </w:tcPr>
                      <w:p w:rsidR="00302C7D" w:rsidRPr="000D6EE3" w:rsidRDefault="00302C7D" w:rsidP="00302C7D">
                        <w:pPr>
                          <w:jc w:val="center"/>
                          <w:rPr>
                            <w:b/>
                            <w:sz w:val="26"/>
                            <w:szCs w:val="26"/>
                          </w:rPr>
                        </w:pPr>
                        <w:r w:rsidRPr="000D6EE3">
                          <w:rPr>
                            <w:b/>
                            <w:sz w:val="26"/>
                            <w:szCs w:val="26"/>
                          </w:rPr>
                          <w:t>1 449 000</w:t>
                        </w:r>
                      </w:p>
                    </w:tc>
                  </w:tr>
                  <w:tr w:rsidR="00B74C45" w:rsidRPr="000D6EE3" w:rsidTr="00D11465">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B74C45" w:rsidRPr="000D6EE3" w:rsidRDefault="00B74C45" w:rsidP="00B74C45">
                        <w:pPr>
                          <w:spacing w:before="100" w:beforeAutospacing="1" w:after="100" w:afterAutospacing="1"/>
                          <w:rPr>
                            <w:sz w:val="26"/>
                            <w:szCs w:val="26"/>
                          </w:rPr>
                        </w:pPr>
                        <w:r w:rsidRPr="000D6EE3">
                          <w:rPr>
                            <w:sz w:val="26"/>
                            <w:szCs w:val="26"/>
                          </w:rPr>
                          <w:t>2.1.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B74C45" w:rsidRPr="000D6EE3" w:rsidRDefault="00B74C45" w:rsidP="00B74C45">
                        <w:pPr>
                          <w:spacing w:line="270" w:lineRule="atLeast"/>
                          <w:jc w:val="center"/>
                          <w:rPr>
                            <w:sz w:val="26"/>
                            <w:szCs w:val="26"/>
                          </w:rPr>
                        </w:pPr>
                        <w:r w:rsidRPr="000D6EE3">
                          <w:rPr>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B74C45" w:rsidRPr="000D6EE3" w:rsidRDefault="00B74C45" w:rsidP="00B74C45">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B74C45" w:rsidRPr="000D6EE3" w:rsidRDefault="00B74C45" w:rsidP="00B74C45">
                        <w:pPr>
                          <w:jc w:val="center"/>
                          <w:rPr>
                            <w:sz w:val="26"/>
                            <w:szCs w:val="26"/>
                          </w:rPr>
                        </w:pPr>
                        <w:r w:rsidRPr="000D6EE3">
                          <w:rPr>
                            <w:sz w:val="26"/>
                            <w:szCs w:val="26"/>
                          </w:rPr>
                          <w:t>553 140</w:t>
                        </w:r>
                      </w:p>
                    </w:tc>
                    <w:tc>
                      <w:tcPr>
                        <w:tcW w:w="1701" w:type="dxa"/>
                        <w:tcBorders>
                          <w:top w:val="outset" w:sz="6" w:space="0" w:color="000000"/>
                          <w:left w:val="outset" w:sz="6" w:space="0" w:color="000000"/>
                          <w:bottom w:val="outset" w:sz="6" w:space="0" w:color="000000"/>
                          <w:right w:val="outset" w:sz="6" w:space="0" w:color="000000"/>
                        </w:tcBorders>
                      </w:tcPr>
                      <w:p w:rsidR="00B74C45" w:rsidRPr="000D6EE3" w:rsidRDefault="00B74C45" w:rsidP="00B74C45">
                        <w:pPr>
                          <w:jc w:val="center"/>
                          <w:rPr>
                            <w:sz w:val="26"/>
                            <w:szCs w:val="26"/>
                          </w:rPr>
                        </w:pPr>
                        <w:r w:rsidRPr="000D6EE3">
                          <w:rPr>
                            <w:sz w:val="26"/>
                            <w:szCs w:val="26"/>
                          </w:rPr>
                          <w:t>2 520 000</w:t>
                        </w:r>
                      </w:p>
                    </w:tc>
                    <w:tc>
                      <w:tcPr>
                        <w:tcW w:w="1417" w:type="dxa"/>
                        <w:tcBorders>
                          <w:top w:val="outset" w:sz="6" w:space="0" w:color="000000"/>
                          <w:left w:val="outset" w:sz="6" w:space="0" w:color="000000"/>
                          <w:bottom w:val="outset" w:sz="6" w:space="0" w:color="000000"/>
                          <w:right w:val="outset" w:sz="6" w:space="0" w:color="000000"/>
                        </w:tcBorders>
                      </w:tcPr>
                      <w:p w:rsidR="00B74C45" w:rsidRPr="000D6EE3" w:rsidRDefault="00B74C45" w:rsidP="00B74C45">
                        <w:pPr>
                          <w:jc w:val="center"/>
                          <w:rPr>
                            <w:sz w:val="26"/>
                            <w:szCs w:val="26"/>
                          </w:rPr>
                        </w:pPr>
                        <w:r w:rsidRPr="000D6EE3">
                          <w:rPr>
                            <w:sz w:val="26"/>
                            <w:szCs w:val="26"/>
                          </w:rPr>
                          <w:t>1 449 000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2.2. valsts speciālais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2.3. pašvaldību 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0F7CF8" w:rsidRDefault="000F7CF8" w:rsidP="00DF6E70">
                        <w:pPr>
                          <w:spacing w:line="270" w:lineRule="atLeast"/>
                          <w:jc w:val="center"/>
                          <w:rPr>
                            <w:sz w:val="26"/>
                            <w:szCs w:val="26"/>
                          </w:rPr>
                        </w:pPr>
                      </w:p>
                      <w:p w:rsidR="000F7CF8" w:rsidRPr="000F7CF8" w:rsidRDefault="000F7CF8" w:rsidP="000F7CF8">
                        <w:pPr>
                          <w:rPr>
                            <w:sz w:val="26"/>
                            <w:szCs w:val="26"/>
                          </w:rPr>
                        </w:pPr>
                      </w:p>
                      <w:p w:rsidR="000F7CF8" w:rsidRPr="000F7CF8" w:rsidRDefault="000F7CF8" w:rsidP="000F7CF8">
                        <w:pPr>
                          <w:rPr>
                            <w:sz w:val="26"/>
                            <w:szCs w:val="26"/>
                          </w:rPr>
                        </w:pPr>
                      </w:p>
                      <w:p w:rsidR="00DF6E70" w:rsidRPr="000F7CF8" w:rsidRDefault="00DF6E70" w:rsidP="000F7CF8">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spacing w:line="270" w:lineRule="atLeast"/>
                          <w:jc w:val="center"/>
                          <w:rPr>
                            <w:sz w:val="26"/>
                            <w:szCs w:val="26"/>
                          </w:rPr>
                        </w:pPr>
                        <w:r w:rsidRPr="000D6EE3">
                          <w:rPr>
                            <w:sz w:val="26"/>
                            <w:szCs w:val="26"/>
                          </w:rPr>
                          <w:t>0</w:t>
                        </w:r>
                      </w:p>
                    </w:tc>
                    <w:tc>
                      <w:tcPr>
                        <w:tcW w:w="360" w:type="dxa"/>
                      </w:tcPr>
                      <w:p w:rsidR="00DF6E70" w:rsidRPr="000D6EE3" w:rsidRDefault="000F7CF8">
                        <w:r>
                          <w:tab/>
                        </w:r>
                      </w:p>
                    </w:tc>
                  </w:tr>
                  <w:tr w:rsidR="00552116" w:rsidRPr="000D6EE3" w:rsidTr="00170CB8">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0F7CF8" w:rsidRDefault="00552116" w:rsidP="00552116">
                        <w:pPr>
                          <w:spacing w:before="100" w:beforeAutospacing="1" w:after="100" w:afterAutospacing="1"/>
                          <w:rPr>
                            <w:sz w:val="26"/>
                            <w:szCs w:val="26"/>
                          </w:rPr>
                        </w:pPr>
                        <w:r w:rsidRPr="000D6EE3">
                          <w:rPr>
                            <w:sz w:val="26"/>
                            <w:szCs w:val="26"/>
                          </w:rPr>
                          <w:lastRenderedPageBreak/>
                          <w:t>3. Finansiālā ietekme:</w:t>
                        </w:r>
                      </w:p>
                      <w:p w:rsidR="00552116" w:rsidRPr="000F7CF8" w:rsidRDefault="00552116" w:rsidP="000F7CF8">
                        <w:pPr>
                          <w:rPr>
                            <w:sz w:val="26"/>
                            <w:szCs w:val="26"/>
                          </w:rPr>
                        </w:pPr>
                      </w:p>
                    </w:tc>
                    <w:tc>
                      <w:tcPr>
                        <w:tcW w:w="1431" w:type="dxa"/>
                        <w:tcBorders>
                          <w:top w:val="outset" w:sz="6" w:space="0" w:color="000000"/>
                          <w:left w:val="outset" w:sz="6" w:space="0" w:color="000000"/>
                          <w:bottom w:val="outset" w:sz="6" w:space="0" w:color="000000"/>
                          <w:right w:val="outset" w:sz="6" w:space="0" w:color="000000"/>
                        </w:tcBorders>
                        <w:vAlign w:val="center"/>
                      </w:tcPr>
                      <w:p w:rsidR="00552116" w:rsidRPr="000D6EE3" w:rsidRDefault="00552116" w:rsidP="00552116">
                        <w:pPr>
                          <w:spacing w:line="270" w:lineRule="atLeast"/>
                          <w:jc w:val="center"/>
                          <w:rPr>
                            <w:sz w:val="26"/>
                            <w:szCs w:val="26"/>
                          </w:rPr>
                        </w:pPr>
                        <w:r w:rsidRPr="000D6EE3">
                          <w:rPr>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552116" w:rsidRPr="000D6EE3" w:rsidRDefault="00552116" w:rsidP="00552116">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r>
                  <w:tr w:rsidR="00552116" w:rsidRPr="000D6EE3" w:rsidTr="00170CB8">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552116" w:rsidRPr="000D6EE3" w:rsidRDefault="00552116" w:rsidP="00552116">
                        <w:pPr>
                          <w:spacing w:before="100" w:beforeAutospacing="1" w:after="100" w:afterAutospacing="1"/>
                          <w:rPr>
                            <w:sz w:val="26"/>
                            <w:szCs w:val="26"/>
                          </w:rPr>
                        </w:pPr>
                        <w:r w:rsidRPr="000D6EE3">
                          <w:rPr>
                            <w:sz w:val="26"/>
                            <w:szCs w:val="26"/>
                          </w:rPr>
                          <w:t>3.1. valsts pamatbudžets</w:t>
                        </w:r>
                      </w:p>
                    </w:tc>
                    <w:tc>
                      <w:tcPr>
                        <w:tcW w:w="1431" w:type="dxa"/>
                        <w:tcBorders>
                          <w:top w:val="outset" w:sz="6" w:space="0" w:color="000000"/>
                          <w:left w:val="outset" w:sz="6" w:space="0" w:color="000000"/>
                          <w:bottom w:val="outset" w:sz="6" w:space="0" w:color="000000"/>
                          <w:right w:val="outset" w:sz="6" w:space="0" w:color="000000"/>
                        </w:tcBorders>
                        <w:vAlign w:val="center"/>
                      </w:tcPr>
                      <w:p w:rsidR="00552116" w:rsidRPr="000D6EE3" w:rsidRDefault="00552116" w:rsidP="00552116">
                        <w:pPr>
                          <w:spacing w:line="270" w:lineRule="atLeast"/>
                          <w:jc w:val="center"/>
                          <w:rPr>
                            <w:sz w:val="26"/>
                            <w:szCs w:val="26"/>
                          </w:rPr>
                        </w:pPr>
                        <w:r w:rsidRPr="000D6EE3">
                          <w:rPr>
                            <w:sz w:val="26"/>
                            <w:szCs w:val="26"/>
                          </w:rPr>
                          <w:t>0</w:t>
                        </w:r>
                      </w:p>
                    </w:tc>
                    <w:tc>
                      <w:tcPr>
                        <w:tcW w:w="1083" w:type="dxa"/>
                        <w:tcBorders>
                          <w:top w:val="outset" w:sz="6" w:space="0" w:color="000000"/>
                          <w:left w:val="outset" w:sz="6" w:space="0" w:color="000000"/>
                          <w:bottom w:val="outset" w:sz="6" w:space="0" w:color="000000"/>
                          <w:right w:val="outset" w:sz="6" w:space="0" w:color="000000"/>
                        </w:tcBorders>
                        <w:vAlign w:val="center"/>
                      </w:tcPr>
                      <w:p w:rsidR="00552116" w:rsidRPr="000D6EE3" w:rsidRDefault="00552116" w:rsidP="00552116">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552116" w:rsidRPr="000D6EE3" w:rsidRDefault="00706987" w:rsidP="00552116">
                        <w:pPr>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3.2. speciālais budžets</w:t>
                        </w:r>
                      </w:p>
                    </w:tc>
                    <w:tc>
                      <w:tcPr>
                        <w:tcW w:w="143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rPr>
                            <w:sz w:val="26"/>
                            <w:szCs w:val="26"/>
                          </w:rPr>
                        </w:pPr>
                        <w:r w:rsidRPr="000D6EE3">
                          <w:rPr>
                            <w:sz w:val="26"/>
                            <w:szCs w:val="26"/>
                          </w:rPr>
                          <w:t> </w:t>
                        </w: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3.3. pašvaldību budžets</w:t>
                        </w:r>
                      </w:p>
                    </w:tc>
                    <w:tc>
                      <w:tcPr>
                        <w:tcW w:w="143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rPr>
                            <w:sz w:val="26"/>
                            <w:szCs w:val="26"/>
                          </w:rPr>
                        </w:pPr>
                        <w:r w:rsidRPr="000D6EE3">
                          <w:rPr>
                            <w:sz w:val="26"/>
                            <w:szCs w:val="26"/>
                          </w:rPr>
                          <w:t> </w:t>
                        </w: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vMerge w:val="restart"/>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4. Finanšu līdzekļi papildu izdevumu finansēšanai (kompensējošu izdevumu samazinājumu norāda ar "+" zīmi)</w:t>
                        </w:r>
                      </w:p>
                    </w:tc>
                    <w:tc>
                      <w:tcPr>
                        <w:tcW w:w="1431" w:type="dxa"/>
                        <w:vMerge w:val="restart"/>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jc w:val="center"/>
                          <w:rPr>
                            <w:sz w:val="26"/>
                            <w:szCs w:val="26"/>
                          </w:rPr>
                        </w:pPr>
                        <w:r w:rsidRPr="000D6EE3">
                          <w:rPr>
                            <w:sz w:val="26"/>
                            <w:szCs w:val="26"/>
                          </w:rPr>
                          <w:t>X</w:t>
                        </w: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r>
                  <w:tr w:rsidR="00DF6E70" w:rsidRPr="000D6EE3" w:rsidTr="00400F6B">
                    <w:trPr>
                      <w:gridAfter w:val="1"/>
                      <w:wAfter w:w="360" w:type="dxa"/>
                    </w:trPr>
                    <w:tc>
                      <w:tcPr>
                        <w:tcW w:w="2189"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5. Precizēta finansiālā ietekme:</w:t>
                        </w:r>
                      </w:p>
                    </w:tc>
                    <w:tc>
                      <w:tcPr>
                        <w:tcW w:w="1431" w:type="dxa"/>
                        <w:vMerge w:val="restart"/>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jc w:val="center"/>
                          <w:rPr>
                            <w:sz w:val="26"/>
                            <w:szCs w:val="26"/>
                          </w:rPr>
                        </w:pPr>
                        <w:r w:rsidRPr="000D6EE3">
                          <w:rPr>
                            <w:sz w:val="26"/>
                            <w:szCs w:val="26"/>
                          </w:rPr>
                          <w:t>X</w:t>
                        </w: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5.1. valsts pamatbudžets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B74C45"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5.2. speciālais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B74C45"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400F6B">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5.3. pašvaldību budžets</w:t>
                        </w:r>
                      </w:p>
                    </w:tc>
                    <w:tc>
                      <w:tcPr>
                        <w:tcW w:w="1431" w:type="dxa"/>
                        <w:vMerge/>
                        <w:tcBorders>
                          <w:top w:val="outset" w:sz="6" w:space="0" w:color="000000"/>
                          <w:left w:val="outset" w:sz="6" w:space="0" w:color="000000"/>
                          <w:bottom w:val="outset" w:sz="6" w:space="0" w:color="000000"/>
                          <w:right w:val="outset" w:sz="6" w:space="0" w:color="000000"/>
                        </w:tcBorders>
                        <w:vAlign w:val="center"/>
                      </w:tcPr>
                      <w:p w:rsidR="00DF6E70" w:rsidRPr="000D6EE3" w:rsidRDefault="00DF6E70" w:rsidP="00DF6E70">
                        <w:pPr>
                          <w:rPr>
                            <w:sz w:val="26"/>
                            <w:szCs w:val="26"/>
                          </w:rPr>
                        </w:pPr>
                      </w:p>
                    </w:tc>
                    <w:tc>
                      <w:tcPr>
                        <w:tcW w:w="1083" w:type="dxa"/>
                        <w:tcBorders>
                          <w:top w:val="outset" w:sz="6" w:space="0" w:color="000000"/>
                          <w:left w:val="outset" w:sz="6" w:space="0" w:color="000000"/>
                          <w:bottom w:val="outset" w:sz="6" w:space="0" w:color="000000"/>
                          <w:right w:val="outset" w:sz="6" w:space="0" w:color="000000"/>
                        </w:tcBorders>
                      </w:tcPr>
                      <w:p w:rsidR="00DF6E70" w:rsidRPr="000D6EE3" w:rsidRDefault="00B74C45" w:rsidP="00DF6E70">
                        <w:pPr>
                          <w:spacing w:line="270" w:lineRule="atLeast"/>
                          <w:jc w:val="center"/>
                          <w:rPr>
                            <w:sz w:val="26"/>
                            <w:szCs w:val="26"/>
                          </w:rPr>
                        </w:pPr>
                        <w:r w:rsidRPr="000D6EE3">
                          <w:rPr>
                            <w:sz w:val="26"/>
                            <w:szCs w:val="26"/>
                          </w:rPr>
                          <w:t>0</w:t>
                        </w:r>
                      </w:p>
                    </w:tc>
                    <w:tc>
                      <w:tcPr>
                        <w:tcW w:w="1353"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701"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c>
                      <w:tcPr>
                        <w:tcW w:w="1417"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line="270" w:lineRule="atLeast"/>
                          <w:jc w:val="center"/>
                          <w:rPr>
                            <w:sz w:val="26"/>
                            <w:szCs w:val="26"/>
                          </w:rPr>
                        </w:pPr>
                        <w:r w:rsidRPr="000D6EE3">
                          <w:rPr>
                            <w:sz w:val="26"/>
                            <w:szCs w:val="26"/>
                          </w:rPr>
                          <w:t>0</w:t>
                        </w:r>
                      </w:p>
                    </w:tc>
                  </w:tr>
                  <w:tr w:rsidR="00DF6E70" w:rsidRPr="000D6EE3" w:rsidTr="00AA32E9">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t>6. Detalizēts ieņēmumu un izdevumu aprēķins (ja nepieciešams, detalizētu ieņēmumu 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p w:rsidR="00706987" w:rsidRPr="001C6C16" w:rsidRDefault="00022C33" w:rsidP="00706987">
                        <w:pPr>
                          <w:jc w:val="both"/>
                          <w:rPr>
                            <w:sz w:val="26"/>
                            <w:szCs w:val="26"/>
                          </w:rPr>
                        </w:pPr>
                        <w:r w:rsidRPr="001C6C16">
                          <w:rPr>
                            <w:sz w:val="26"/>
                            <w:szCs w:val="26"/>
                          </w:rPr>
                          <w:t xml:space="preserve">Likumprojekts </w:t>
                        </w:r>
                        <w:r w:rsidR="00706987" w:rsidRPr="001C6C16">
                          <w:rPr>
                            <w:sz w:val="26"/>
                            <w:szCs w:val="26"/>
                          </w:rPr>
                          <w:t>ietekmē valsts budžeta ieņēmumu un izdevumu daļu. Taču šobrīd precīza ietekme uz valsts budžetu nav nosakāma, ievērojot to, ka līdz šim energoefektivitātes nodeva nav piemērota. Turklāt atbilstoši Energoefektivitātes likuma regulējumam minētā nodeva būs maksājama tikai pie nosacījuma, ja komersantam nav iespējams rea</w:t>
                        </w:r>
                        <w:r w:rsidR="00ED3A58" w:rsidRPr="001C6C16">
                          <w:rPr>
                            <w:sz w:val="26"/>
                            <w:szCs w:val="26"/>
                          </w:rPr>
                          <w:t>lizēt</w:t>
                        </w:r>
                        <w:r w:rsidR="007A1B95" w:rsidRPr="001C6C16">
                          <w:rPr>
                            <w:sz w:val="26"/>
                            <w:szCs w:val="26"/>
                          </w:rPr>
                          <w:t xml:space="preserve"> </w:t>
                        </w:r>
                        <w:r w:rsidR="00ED3A58" w:rsidRPr="001C6C16">
                          <w:rPr>
                            <w:sz w:val="26"/>
                            <w:szCs w:val="26"/>
                          </w:rPr>
                          <w:t xml:space="preserve">normatīvajos aktos noteiktās prasības. </w:t>
                        </w:r>
                        <w:r w:rsidR="00706987" w:rsidRPr="001C6C16">
                          <w:rPr>
                            <w:sz w:val="26"/>
                            <w:szCs w:val="26"/>
                          </w:rPr>
                          <w:t xml:space="preserve">Tādējādi uz šo brīdi nav </w:t>
                        </w:r>
                        <w:r w:rsidR="00830560" w:rsidRPr="001C6C16">
                          <w:rPr>
                            <w:sz w:val="26"/>
                            <w:szCs w:val="26"/>
                          </w:rPr>
                          <w:t xml:space="preserve">precīzi prognozējams </w:t>
                        </w:r>
                        <w:r w:rsidR="00706987" w:rsidRPr="001C6C16">
                          <w:rPr>
                            <w:sz w:val="26"/>
                            <w:szCs w:val="26"/>
                          </w:rPr>
                          <w:t>komersantu skaits, uz kuru būtu attiecināms nodevas maksāšanas pienākums. Nodevu ieņēmumu apjoms ir atkarīgs no komersantu skaita un tā pieaugums vai samazinājums nav precīzi prognozējams, jo lielā mērā tas ir saistīts ar komersantu spējām nodrošināt Energoefektivitātes likumā noteikto prasību izpildi. Tāpat prognozējamais nodevas apmērs, kura aprēķināšanas metodika ir atkarīga no dažādiem ietekmējošajiem faktoriem, piemēram, tādiem kā vidējā elektroenerģijas tirgus cena (</w:t>
                        </w:r>
                        <w:proofErr w:type="spellStart"/>
                        <w:r w:rsidR="00706987" w:rsidRPr="001C6C16">
                          <w:rPr>
                            <w:sz w:val="26"/>
                            <w:szCs w:val="26"/>
                          </w:rPr>
                          <w:t>euro</w:t>
                        </w:r>
                        <w:proofErr w:type="spellEnd"/>
                        <w:r w:rsidR="00706987" w:rsidRPr="001C6C16">
                          <w:rPr>
                            <w:sz w:val="26"/>
                            <w:szCs w:val="26"/>
                          </w:rPr>
                          <w:t>/</w:t>
                        </w:r>
                        <w:proofErr w:type="spellStart"/>
                        <w:r w:rsidR="00706987" w:rsidRPr="001C6C16">
                          <w:rPr>
                            <w:sz w:val="26"/>
                            <w:szCs w:val="26"/>
                          </w:rPr>
                          <w:t>MWh</w:t>
                        </w:r>
                        <w:proofErr w:type="spellEnd"/>
                        <w:r w:rsidR="00706987" w:rsidRPr="001C6C16">
                          <w:rPr>
                            <w:sz w:val="26"/>
                            <w:szCs w:val="26"/>
                          </w:rPr>
                          <w:t>), pārdotās enerģijas daudzums, izmaksas par ietaupīto enerģijas vienību u.c., var būt mainīgs.</w:t>
                        </w:r>
                      </w:p>
                      <w:p w:rsidR="00706987" w:rsidRPr="001C6C16" w:rsidRDefault="00706987" w:rsidP="00706987">
                        <w:pPr>
                          <w:jc w:val="both"/>
                          <w:rPr>
                            <w:sz w:val="26"/>
                            <w:szCs w:val="26"/>
                          </w:rPr>
                        </w:pPr>
                        <w:r w:rsidRPr="001C6C16">
                          <w:rPr>
                            <w:sz w:val="26"/>
                            <w:szCs w:val="26"/>
                          </w:rPr>
                          <w:t>Veicot provizoriskus ieņēmumu aprēķinus, prognozējams, ka kopējie ieņēmumi no energoefektivitātes nodevas varētu b</w:t>
                        </w:r>
                        <w:r w:rsidR="00877A5E" w:rsidRPr="001C6C16">
                          <w:rPr>
                            <w:sz w:val="26"/>
                            <w:szCs w:val="26"/>
                          </w:rPr>
                          <w:t xml:space="preserve">ūt </w:t>
                        </w:r>
                        <w:r w:rsidR="00877A5E" w:rsidRPr="001C6C16">
                          <w:rPr>
                            <w:sz w:val="26"/>
                            <w:szCs w:val="26"/>
                          </w:rPr>
                          <w:lastRenderedPageBreak/>
                          <w:t xml:space="preserve">aptuveni  </w:t>
                        </w:r>
                        <w:r w:rsidR="00681705" w:rsidRPr="001C6C16">
                          <w:rPr>
                            <w:sz w:val="26"/>
                            <w:szCs w:val="26"/>
                          </w:rPr>
                          <w:t xml:space="preserve">553 140 </w:t>
                        </w:r>
                        <w:proofErr w:type="spellStart"/>
                        <w:r w:rsidRPr="001C6C16">
                          <w:rPr>
                            <w:sz w:val="26"/>
                            <w:szCs w:val="26"/>
                          </w:rPr>
                          <w:t>euro</w:t>
                        </w:r>
                        <w:proofErr w:type="spellEnd"/>
                        <w:r w:rsidRPr="001C6C16">
                          <w:rPr>
                            <w:sz w:val="26"/>
                            <w:szCs w:val="26"/>
                          </w:rPr>
                          <w:t xml:space="preserve"> 2017.gadā, ar kuru tiek noteikts pienākums komersant</w:t>
                        </w:r>
                        <w:r w:rsidR="00346DC0" w:rsidRPr="001C6C16">
                          <w:rPr>
                            <w:sz w:val="26"/>
                            <w:szCs w:val="26"/>
                          </w:rPr>
                          <w:t>am maksāt nodevu, attiecīgi 2018</w:t>
                        </w:r>
                        <w:r w:rsidRPr="001C6C16">
                          <w:rPr>
                            <w:sz w:val="26"/>
                            <w:szCs w:val="26"/>
                          </w:rPr>
                          <w:t xml:space="preserve">.gadā plānotie ieņēmumi varētu būt </w:t>
                        </w:r>
                        <w:r w:rsidR="00780557" w:rsidRPr="001C6C16">
                          <w:rPr>
                            <w:sz w:val="26"/>
                            <w:szCs w:val="26"/>
                          </w:rPr>
                          <w:t>2 520 000</w:t>
                        </w:r>
                        <w:r w:rsidRPr="001C6C16">
                          <w:rPr>
                            <w:sz w:val="26"/>
                            <w:szCs w:val="26"/>
                          </w:rPr>
                          <w:t xml:space="preserve"> </w:t>
                        </w:r>
                        <w:proofErr w:type="spellStart"/>
                        <w:r w:rsidRPr="001C6C16">
                          <w:rPr>
                            <w:sz w:val="26"/>
                            <w:szCs w:val="26"/>
                          </w:rPr>
                          <w:t>euro</w:t>
                        </w:r>
                        <w:proofErr w:type="spellEnd"/>
                        <w:r w:rsidRPr="001C6C16">
                          <w:rPr>
                            <w:sz w:val="26"/>
                            <w:szCs w:val="26"/>
                          </w:rPr>
                          <w:t xml:space="preserve"> apmērā, bet 20</w:t>
                        </w:r>
                        <w:r w:rsidR="00346DC0" w:rsidRPr="001C6C16">
                          <w:rPr>
                            <w:sz w:val="26"/>
                            <w:szCs w:val="26"/>
                          </w:rPr>
                          <w:t>19</w:t>
                        </w:r>
                        <w:r w:rsidRPr="001C6C16">
                          <w:rPr>
                            <w:sz w:val="26"/>
                            <w:szCs w:val="26"/>
                          </w:rPr>
                          <w:t xml:space="preserve">.gadā kopējie ieņēmumi varētu sastādīt </w:t>
                        </w:r>
                        <w:r w:rsidR="00293E07" w:rsidRPr="001C6C16">
                          <w:rPr>
                            <w:sz w:val="26"/>
                            <w:szCs w:val="26"/>
                          </w:rPr>
                          <w:t xml:space="preserve">1 449 000 </w:t>
                        </w:r>
                        <w:proofErr w:type="spellStart"/>
                        <w:r w:rsidRPr="001C6C16">
                          <w:rPr>
                            <w:sz w:val="26"/>
                            <w:szCs w:val="26"/>
                          </w:rPr>
                          <w:t>euro</w:t>
                        </w:r>
                        <w:proofErr w:type="spellEnd"/>
                        <w:r w:rsidRPr="001C6C16">
                          <w:rPr>
                            <w:sz w:val="26"/>
                            <w:szCs w:val="26"/>
                          </w:rPr>
                          <w:t>.</w:t>
                        </w:r>
                      </w:p>
                      <w:p w:rsidR="00706987" w:rsidRPr="001C6C16" w:rsidRDefault="00706987" w:rsidP="00706987">
                        <w:pPr>
                          <w:jc w:val="both"/>
                          <w:rPr>
                            <w:sz w:val="26"/>
                            <w:szCs w:val="26"/>
                          </w:rPr>
                        </w:pPr>
                        <w:r w:rsidRPr="001C6C16">
                          <w:rPr>
                            <w:sz w:val="26"/>
                            <w:szCs w:val="26"/>
                          </w:rPr>
                          <w:t xml:space="preserve">Minēto nodevu ieņēmumu aprēķini veidojas, ievērojot šādus apsvērumus: </w:t>
                        </w:r>
                      </w:p>
                      <w:p w:rsidR="00047A4D" w:rsidRPr="001C6C16" w:rsidRDefault="00706987" w:rsidP="00706987">
                        <w:pPr>
                          <w:jc w:val="both"/>
                          <w:rPr>
                            <w:sz w:val="26"/>
                            <w:szCs w:val="26"/>
                          </w:rPr>
                        </w:pPr>
                        <w:r w:rsidRPr="001C6C16">
                          <w:rPr>
                            <w:sz w:val="26"/>
                            <w:szCs w:val="26"/>
                          </w:rPr>
                          <w:t xml:space="preserve">Pēc AS Sadales tīkls sniegtajiem datiem 2014.gadā bija 1149 lielie elektroenerģijas patērētāji, no kuriem 1006 ir mazie un vidējie </w:t>
                        </w:r>
                        <w:r w:rsidR="00BC1CD8" w:rsidRPr="001C6C16">
                          <w:rPr>
                            <w:sz w:val="26"/>
                            <w:szCs w:val="26"/>
                          </w:rPr>
                          <w:t>komersanti</w:t>
                        </w:r>
                        <w:r w:rsidRPr="001C6C16">
                          <w:rPr>
                            <w:sz w:val="26"/>
                            <w:szCs w:val="26"/>
                          </w:rPr>
                          <w:t xml:space="preserve">, kuru kopējais gada elektroenerģijas patēriņš pārsniedz 500 </w:t>
                        </w:r>
                        <w:proofErr w:type="spellStart"/>
                        <w:r w:rsidRPr="001C6C16">
                          <w:rPr>
                            <w:sz w:val="26"/>
                            <w:szCs w:val="26"/>
                          </w:rPr>
                          <w:t>MWh</w:t>
                        </w:r>
                        <w:proofErr w:type="spellEnd"/>
                        <w:r w:rsidRPr="001C6C16">
                          <w:rPr>
                            <w:sz w:val="26"/>
                            <w:szCs w:val="26"/>
                          </w:rPr>
                          <w:t xml:space="preserve"> un 143 </w:t>
                        </w:r>
                        <w:r w:rsidR="00BC1CD8" w:rsidRPr="001C6C16">
                          <w:rPr>
                            <w:sz w:val="26"/>
                            <w:szCs w:val="26"/>
                          </w:rPr>
                          <w:t xml:space="preserve">komersanti, kas ir </w:t>
                        </w:r>
                        <w:r w:rsidRPr="001C6C16">
                          <w:rPr>
                            <w:sz w:val="26"/>
                            <w:szCs w:val="26"/>
                          </w:rPr>
                          <w:t xml:space="preserve">lielie uzņēmumi Energoefektivitātes likuma 10.panta pirmās daļas izpratnē, kuru elektroenerģijas patēriņš arī pārsniedz 500 </w:t>
                        </w:r>
                        <w:proofErr w:type="spellStart"/>
                        <w:r w:rsidRPr="001C6C16">
                          <w:rPr>
                            <w:sz w:val="26"/>
                            <w:szCs w:val="26"/>
                          </w:rPr>
                          <w:t>MWh</w:t>
                        </w:r>
                        <w:proofErr w:type="spellEnd"/>
                        <w:r w:rsidRPr="001C6C16">
                          <w:rPr>
                            <w:sz w:val="26"/>
                            <w:szCs w:val="26"/>
                          </w:rPr>
                          <w:t>.</w:t>
                        </w:r>
                      </w:p>
                      <w:p w:rsidR="004C4926" w:rsidRPr="001C6C16" w:rsidRDefault="009B1375" w:rsidP="00706987">
                        <w:pPr>
                          <w:jc w:val="both"/>
                          <w:rPr>
                            <w:sz w:val="26"/>
                            <w:szCs w:val="26"/>
                          </w:rPr>
                        </w:pPr>
                        <w:r w:rsidRPr="001C6C16">
                          <w:rPr>
                            <w:sz w:val="26"/>
                            <w:szCs w:val="26"/>
                          </w:rPr>
                          <w:t xml:space="preserve">Līdz ar Energoefektivitātes likumā noteiktā pienākuma attiecībā uz pirmā </w:t>
                        </w:r>
                        <w:proofErr w:type="spellStart"/>
                        <w:r w:rsidRPr="001C6C16">
                          <w:rPr>
                            <w:sz w:val="26"/>
                            <w:szCs w:val="26"/>
                          </w:rPr>
                          <w:t>energoaudita</w:t>
                        </w:r>
                        <w:proofErr w:type="spellEnd"/>
                        <w:r w:rsidRPr="001C6C16">
                          <w:rPr>
                            <w:sz w:val="26"/>
                            <w:szCs w:val="26"/>
                          </w:rPr>
                          <w:t xml:space="preserve"> veikšanu un ziņo</w:t>
                        </w:r>
                        <w:r w:rsidR="005E5560" w:rsidRPr="001C6C16">
                          <w:rPr>
                            <w:sz w:val="26"/>
                            <w:szCs w:val="26"/>
                          </w:rPr>
                          <w:t xml:space="preserve">šanu </w:t>
                        </w:r>
                        <w:r w:rsidR="00D827BB" w:rsidRPr="001C6C16">
                          <w:rPr>
                            <w:sz w:val="26"/>
                            <w:szCs w:val="26"/>
                          </w:rPr>
                          <w:t xml:space="preserve">par ieviestajiem energoefektivitātes uzlabošanas pasākumiem un to rezultātā sasniegto enerģijas ietaupījumu </w:t>
                        </w:r>
                        <w:r w:rsidRPr="001C6C16">
                          <w:rPr>
                            <w:sz w:val="26"/>
                            <w:szCs w:val="26"/>
                          </w:rPr>
                          <w:t xml:space="preserve">neizpildi līdz 2017.gada 31.martam, lielajam uzņēmumam iestājas pienākums maksāt energoefektivitātes nodevu. </w:t>
                        </w:r>
                        <w:r w:rsidR="00706987" w:rsidRPr="001C6C16">
                          <w:rPr>
                            <w:sz w:val="26"/>
                            <w:szCs w:val="26"/>
                          </w:rPr>
                          <w:t xml:space="preserve">Pieņemot, ka attiecīgo uzņēmumu skaits un elektroenerģijas patēriņš būtiski nemainīsies tuvāko triju gadu laikā, pieļaujamais komersantu skaits, uz kuru būtu attiecināms pienākums maksāt energoefektivitātes nodevu noteiktajā apmērā, pirmajā gadā varētu būt </w:t>
                        </w:r>
                        <w:r w:rsidRPr="001C6C16">
                          <w:rPr>
                            <w:sz w:val="26"/>
                            <w:szCs w:val="26"/>
                          </w:rPr>
                          <w:t xml:space="preserve">ap </w:t>
                        </w:r>
                        <w:r w:rsidR="00302C7D" w:rsidRPr="001C6C16">
                          <w:rPr>
                            <w:sz w:val="26"/>
                            <w:szCs w:val="26"/>
                          </w:rPr>
                          <w:t>1</w:t>
                        </w:r>
                        <w:r w:rsidR="005E5560" w:rsidRPr="001C6C16">
                          <w:rPr>
                            <w:sz w:val="26"/>
                            <w:szCs w:val="26"/>
                          </w:rPr>
                          <w:t>0</w:t>
                        </w:r>
                        <w:r w:rsidR="00A75BA5" w:rsidRPr="001C6C16">
                          <w:rPr>
                            <w:sz w:val="26"/>
                            <w:szCs w:val="26"/>
                          </w:rPr>
                          <w:t xml:space="preserve"> komersantiem</w:t>
                        </w:r>
                        <w:r w:rsidR="00F83F38" w:rsidRPr="001C6C16">
                          <w:rPr>
                            <w:sz w:val="26"/>
                            <w:szCs w:val="26"/>
                          </w:rPr>
                          <w:t xml:space="preserve"> (kas nebūs izpildījuši likumā noteiktās prasības)</w:t>
                        </w:r>
                        <w:r w:rsidR="00706987" w:rsidRPr="001C6C16">
                          <w:rPr>
                            <w:sz w:val="26"/>
                            <w:szCs w:val="26"/>
                          </w:rPr>
                          <w:t xml:space="preserve">. </w:t>
                        </w:r>
                        <w:r w:rsidRPr="001C6C16">
                          <w:rPr>
                            <w:sz w:val="26"/>
                            <w:szCs w:val="26"/>
                          </w:rPr>
                          <w:t xml:space="preserve">Šāds pieņēmums balstīts uz to, ka lielie uzņēmumi savlaicīgi jau pirms Energoefektivitātes likuma spēkā stāšanās tika informēti par tiem paredzamo pienākumu attiecībā uz </w:t>
                        </w:r>
                        <w:proofErr w:type="spellStart"/>
                        <w:r w:rsidRPr="001C6C16">
                          <w:rPr>
                            <w:sz w:val="26"/>
                            <w:szCs w:val="26"/>
                          </w:rPr>
                          <w:t>energopārvaldības</w:t>
                        </w:r>
                        <w:proofErr w:type="spellEnd"/>
                        <w:r w:rsidRPr="001C6C16">
                          <w:rPr>
                            <w:sz w:val="26"/>
                            <w:szCs w:val="26"/>
                          </w:rPr>
                          <w:t xml:space="preserve"> sistēmas ieviešanu un </w:t>
                        </w:r>
                        <w:proofErr w:type="spellStart"/>
                        <w:r w:rsidRPr="001C6C16">
                          <w:rPr>
                            <w:sz w:val="26"/>
                            <w:szCs w:val="26"/>
                          </w:rPr>
                          <w:t>energoaudita</w:t>
                        </w:r>
                        <w:proofErr w:type="spellEnd"/>
                        <w:r w:rsidRPr="001C6C16">
                          <w:rPr>
                            <w:sz w:val="26"/>
                            <w:szCs w:val="26"/>
                          </w:rPr>
                          <w:t xml:space="preserve"> veikšanu, kā arī tika publicēti ieteikumi obligāto </w:t>
                        </w:r>
                        <w:proofErr w:type="spellStart"/>
                        <w:r w:rsidRPr="001C6C16">
                          <w:rPr>
                            <w:sz w:val="26"/>
                            <w:szCs w:val="26"/>
                          </w:rPr>
                          <w:t>energoauditu</w:t>
                        </w:r>
                        <w:proofErr w:type="spellEnd"/>
                        <w:r w:rsidRPr="001C6C16">
                          <w:rPr>
                            <w:sz w:val="26"/>
                            <w:szCs w:val="26"/>
                          </w:rPr>
                          <w:t xml:space="preserve"> veikšanai. Tādējādi vairākums liel</w:t>
                        </w:r>
                        <w:r w:rsidR="000F7CF8">
                          <w:rPr>
                            <w:sz w:val="26"/>
                            <w:szCs w:val="26"/>
                          </w:rPr>
                          <w:t>o uzņēmumu</w:t>
                        </w:r>
                        <w:r w:rsidRPr="001C6C16">
                          <w:rPr>
                            <w:sz w:val="26"/>
                            <w:szCs w:val="26"/>
                          </w:rPr>
                          <w:t xml:space="preserve">, kuriem ir pieejami lielāki finanšu resursi un kompetence </w:t>
                        </w:r>
                        <w:proofErr w:type="spellStart"/>
                        <w:r w:rsidRPr="001C6C16">
                          <w:rPr>
                            <w:sz w:val="26"/>
                            <w:szCs w:val="26"/>
                          </w:rPr>
                          <w:t>energoauditu</w:t>
                        </w:r>
                        <w:proofErr w:type="spellEnd"/>
                        <w:r w:rsidRPr="001C6C16">
                          <w:rPr>
                            <w:sz w:val="26"/>
                            <w:szCs w:val="26"/>
                          </w:rPr>
                          <w:t xml:space="preserve"> savlaicīgai ieviešanai, ir </w:t>
                        </w:r>
                        <w:r w:rsidR="000F7CF8">
                          <w:rPr>
                            <w:sz w:val="26"/>
                            <w:szCs w:val="26"/>
                          </w:rPr>
                          <w:t>spējīgi veikt</w:t>
                        </w:r>
                        <w:r w:rsidRPr="001C6C16">
                          <w:rPr>
                            <w:sz w:val="26"/>
                            <w:szCs w:val="26"/>
                          </w:rPr>
                          <w:t xml:space="preserve"> minētā pienākuma izpildi. Turklāt </w:t>
                        </w:r>
                        <w:proofErr w:type="spellStart"/>
                        <w:r w:rsidRPr="001C6C16">
                          <w:rPr>
                            <w:sz w:val="26"/>
                            <w:szCs w:val="26"/>
                          </w:rPr>
                          <w:t>energopārvaldības</w:t>
                        </w:r>
                        <w:proofErr w:type="spellEnd"/>
                        <w:r w:rsidRPr="001C6C16">
                          <w:rPr>
                            <w:sz w:val="26"/>
                            <w:szCs w:val="26"/>
                          </w:rPr>
                          <w:t xml:space="preserve"> ieviešana ir noteikta kā obligāts kritērijs, lai uzņēmums varētu pretendēt uz obligātā iepirkuma komponentes samazinājumu elektroenerģijas cenai</w:t>
                        </w:r>
                        <w:r w:rsidR="00C42688" w:rsidRPr="001C6C16">
                          <w:rPr>
                            <w:sz w:val="26"/>
                            <w:szCs w:val="26"/>
                          </w:rPr>
                          <w:t xml:space="preserve">. Papildus tam </w:t>
                        </w:r>
                        <w:proofErr w:type="spellStart"/>
                        <w:r w:rsidR="00C42688" w:rsidRPr="001C6C16">
                          <w:rPr>
                            <w:sz w:val="26"/>
                            <w:szCs w:val="26"/>
                          </w:rPr>
                          <w:t>energopārvaldības</w:t>
                        </w:r>
                        <w:proofErr w:type="spellEnd"/>
                        <w:r w:rsidR="00C42688" w:rsidRPr="001C6C16">
                          <w:rPr>
                            <w:sz w:val="26"/>
                            <w:szCs w:val="26"/>
                          </w:rPr>
                          <w:t xml:space="preserve"> un </w:t>
                        </w:r>
                        <w:proofErr w:type="spellStart"/>
                        <w:r w:rsidR="00C42688" w:rsidRPr="001C6C16">
                          <w:rPr>
                            <w:sz w:val="26"/>
                            <w:szCs w:val="26"/>
                          </w:rPr>
                          <w:t>energoaudita</w:t>
                        </w:r>
                        <w:proofErr w:type="spellEnd"/>
                        <w:r w:rsidR="00C42688" w:rsidRPr="001C6C16">
                          <w:rPr>
                            <w:sz w:val="26"/>
                            <w:szCs w:val="26"/>
                          </w:rPr>
                          <w:t xml:space="preserve"> ieviešana ir paredzēta </w:t>
                        </w:r>
                        <w:r w:rsidR="00505ED1" w:rsidRPr="001C6C16">
                          <w:rPr>
                            <w:sz w:val="26"/>
                            <w:szCs w:val="26"/>
                          </w:rPr>
                          <w:t xml:space="preserve">projektu iesniegumu vērtēšanas </w:t>
                        </w:r>
                        <w:r w:rsidR="00C42688" w:rsidRPr="001C6C16">
                          <w:rPr>
                            <w:sz w:val="26"/>
                            <w:szCs w:val="26"/>
                          </w:rPr>
                          <w:t>kvalitātes kritērij</w:t>
                        </w:r>
                        <w:r w:rsidR="00505ED1" w:rsidRPr="001C6C16">
                          <w:rPr>
                            <w:sz w:val="26"/>
                            <w:szCs w:val="26"/>
                          </w:rPr>
                          <w:t>os darbības programmas Izaugsme un nodarbinātība specifiskā a</w:t>
                        </w:r>
                        <w:r w:rsidR="00E863A8" w:rsidRPr="001C6C16">
                          <w:rPr>
                            <w:sz w:val="26"/>
                            <w:szCs w:val="26"/>
                          </w:rPr>
                          <w:t>t</w:t>
                        </w:r>
                        <w:r w:rsidR="00505ED1" w:rsidRPr="001C6C16">
                          <w:rPr>
                            <w:sz w:val="26"/>
                            <w:szCs w:val="26"/>
                          </w:rPr>
                          <w:t>balsta mērķa “4.1.1. Veicināt efektīvu energoresursu izmantošanu, enerģijas patēriņa samazināšanu un pāreju uz AER apstrādes rūpniecības nozarē”</w:t>
                        </w:r>
                        <w:r w:rsidR="00E863A8" w:rsidRPr="001C6C16">
                          <w:rPr>
                            <w:sz w:val="26"/>
                            <w:szCs w:val="26"/>
                          </w:rPr>
                          <w:t xml:space="preserve"> ietvaros</w:t>
                        </w:r>
                        <w:r w:rsidR="00242B18" w:rsidRPr="001C6C16">
                          <w:rPr>
                            <w:sz w:val="26"/>
                            <w:szCs w:val="26"/>
                          </w:rPr>
                          <w:t xml:space="preserve">, kas </w:t>
                        </w:r>
                        <w:r w:rsidRPr="001C6C16">
                          <w:rPr>
                            <w:sz w:val="26"/>
                            <w:szCs w:val="26"/>
                          </w:rPr>
                          <w:t xml:space="preserve">uzskatāms par stimulējošu faktoru ātrākai </w:t>
                        </w:r>
                        <w:proofErr w:type="spellStart"/>
                        <w:r w:rsidRPr="001C6C16">
                          <w:rPr>
                            <w:sz w:val="26"/>
                            <w:szCs w:val="26"/>
                          </w:rPr>
                          <w:t>energopārvaldības</w:t>
                        </w:r>
                        <w:proofErr w:type="spellEnd"/>
                        <w:r w:rsidRPr="001C6C16">
                          <w:rPr>
                            <w:sz w:val="26"/>
                            <w:szCs w:val="26"/>
                          </w:rPr>
                          <w:t xml:space="preserve"> ieviešanai.</w:t>
                        </w:r>
                        <w:r w:rsidR="00D827BB" w:rsidRPr="001C6C16">
                          <w:rPr>
                            <w:sz w:val="26"/>
                            <w:szCs w:val="26"/>
                          </w:rPr>
                          <w:t xml:space="preserve"> </w:t>
                        </w:r>
                        <w:r w:rsidR="00706987" w:rsidRPr="001C6C16">
                          <w:rPr>
                            <w:sz w:val="26"/>
                            <w:szCs w:val="26"/>
                          </w:rPr>
                          <w:t xml:space="preserve">Savukārt turpmākajos gados paredzama </w:t>
                        </w:r>
                        <w:r w:rsidR="00290595" w:rsidRPr="001C6C16">
                          <w:rPr>
                            <w:sz w:val="26"/>
                            <w:szCs w:val="26"/>
                          </w:rPr>
                          <w:t xml:space="preserve">šo </w:t>
                        </w:r>
                        <w:r w:rsidR="00706987" w:rsidRPr="001C6C16">
                          <w:rPr>
                            <w:sz w:val="26"/>
                            <w:szCs w:val="26"/>
                          </w:rPr>
                          <w:t>komersantu kā potenciālo nodev</w:t>
                        </w:r>
                        <w:r w:rsidR="000F7CF8">
                          <w:rPr>
                            <w:sz w:val="26"/>
                            <w:szCs w:val="26"/>
                          </w:rPr>
                          <w:t>as</w:t>
                        </w:r>
                        <w:r w:rsidR="00706987" w:rsidRPr="001C6C16">
                          <w:rPr>
                            <w:sz w:val="26"/>
                            <w:szCs w:val="26"/>
                          </w:rPr>
                          <w:t xml:space="preserve"> maksātāju samazināšanās </w:t>
                        </w:r>
                        <w:r w:rsidR="005E5560" w:rsidRPr="001C6C16">
                          <w:rPr>
                            <w:sz w:val="26"/>
                            <w:szCs w:val="26"/>
                          </w:rPr>
                          <w:t xml:space="preserve">līdz pat </w:t>
                        </w:r>
                        <w:r w:rsidR="00706987" w:rsidRPr="001C6C16">
                          <w:rPr>
                            <w:sz w:val="26"/>
                            <w:szCs w:val="26"/>
                          </w:rPr>
                          <w:t xml:space="preserve">5% no kopējā komersantu skaita, līdz ar to paredzama arī nodevu ieņēmumu samazināšanās. </w:t>
                        </w:r>
                      </w:p>
                      <w:p w:rsidR="00B84D94" w:rsidRPr="001C6C16" w:rsidRDefault="00706987" w:rsidP="00706987">
                        <w:pPr>
                          <w:jc w:val="both"/>
                          <w:rPr>
                            <w:sz w:val="26"/>
                            <w:szCs w:val="26"/>
                          </w:rPr>
                        </w:pPr>
                        <w:r w:rsidRPr="001C6C16">
                          <w:rPr>
                            <w:sz w:val="26"/>
                            <w:szCs w:val="26"/>
                          </w:rPr>
                          <w:lastRenderedPageBreak/>
                          <w:t xml:space="preserve">Nodevas likme tiek aprēķināta 6,30 </w:t>
                        </w:r>
                        <w:proofErr w:type="spellStart"/>
                        <w:r w:rsidRPr="001C6C16">
                          <w:rPr>
                            <w:sz w:val="26"/>
                            <w:szCs w:val="26"/>
                          </w:rPr>
                          <w:t>euro</w:t>
                        </w:r>
                        <w:proofErr w:type="spellEnd"/>
                        <w:r w:rsidRPr="001C6C16">
                          <w:rPr>
                            <w:sz w:val="26"/>
                            <w:szCs w:val="26"/>
                          </w:rPr>
                          <w:t xml:space="preserve"> apmērā par katru patērēto megavatstundu, kas ir 7 % no </w:t>
                        </w:r>
                        <w:proofErr w:type="spellStart"/>
                        <w:r w:rsidRPr="001C6C16">
                          <w:rPr>
                            <w:sz w:val="26"/>
                            <w:szCs w:val="26"/>
                          </w:rPr>
                          <w:t>Eurostat</w:t>
                        </w:r>
                        <w:proofErr w:type="spellEnd"/>
                        <w:r w:rsidRPr="001C6C16">
                          <w:rPr>
                            <w:sz w:val="26"/>
                            <w:szCs w:val="26"/>
                          </w:rPr>
                          <w:t xml:space="preserve"> publicētās 2015.gada vidējās elektroenerģijas cenas rūpniecībā</w:t>
                        </w:r>
                        <w:r w:rsidR="00546978" w:rsidRPr="001C6C16">
                          <w:rPr>
                            <w:sz w:val="26"/>
                            <w:szCs w:val="26"/>
                          </w:rPr>
                          <w:t>.</w:t>
                        </w:r>
                      </w:p>
                      <w:p w:rsidR="00546978" w:rsidRPr="001C6C16" w:rsidRDefault="000F7CF8" w:rsidP="00706987">
                        <w:pPr>
                          <w:jc w:val="both"/>
                          <w:rPr>
                            <w:sz w:val="26"/>
                            <w:szCs w:val="26"/>
                          </w:rPr>
                        </w:pPr>
                        <w:r>
                          <w:rPr>
                            <w:sz w:val="26"/>
                            <w:szCs w:val="26"/>
                          </w:rPr>
                          <w:t>Pieņem</w:t>
                        </w:r>
                        <w:r w:rsidR="00546978" w:rsidRPr="001C6C16">
                          <w:rPr>
                            <w:sz w:val="26"/>
                            <w:szCs w:val="26"/>
                          </w:rPr>
                          <w:t>t</w:t>
                        </w:r>
                        <w:r>
                          <w:rPr>
                            <w:sz w:val="26"/>
                            <w:szCs w:val="26"/>
                          </w:rPr>
                          <w:t>s</w:t>
                        </w:r>
                        <w:r w:rsidR="00546978" w:rsidRPr="001C6C16">
                          <w:rPr>
                            <w:sz w:val="26"/>
                            <w:szCs w:val="26"/>
                          </w:rPr>
                          <w:t>, ka kopējais vidējais elektroenerģijas patēriņš lielajiem uzņēmumiem</w:t>
                        </w:r>
                        <w:r w:rsidR="00B84D94" w:rsidRPr="001C6C16">
                          <w:rPr>
                            <w:sz w:val="26"/>
                            <w:szCs w:val="26"/>
                          </w:rPr>
                          <w:t>, ievērojot</w:t>
                        </w:r>
                        <w:r w:rsidR="005723EC" w:rsidRPr="001C6C16">
                          <w:rPr>
                            <w:sz w:val="26"/>
                            <w:szCs w:val="26"/>
                          </w:rPr>
                          <w:t xml:space="preserve"> AS Sadales tīkls 2014.gadā apkopotos datus, </w:t>
                        </w:r>
                        <w:r w:rsidR="00546978" w:rsidRPr="001C6C16">
                          <w:rPr>
                            <w:sz w:val="26"/>
                            <w:szCs w:val="26"/>
                          </w:rPr>
                          <w:t xml:space="preserve">gadā varētu sasniegt </w:t>
                        </w:r>
                        <w:r w:rsidR="003130D6" w:rsidRPr="001C6C16">
                          <w:rPr>
                            <w:sz w:val="26"/>
                            <w:szCs w:val="26"/>
                          </w:rPr>
                          <w:t xml:space="preserve">8780 </w:t>
                        </w:r>
                        <w:proofErr w:type="spellStart"/>
                        <w:r w:rsidR="00546978" w:rsidRPr="001C6C16">
                          <w:rPr>
                            <w:sz w:val="26"/>
                            <w:szCs w:val="26"/>
                          </w:rPr>
                          <w:t>MWh</w:t>
                        </w:r>
                        <w:proofErr w:type="spellEnd"/>
                        <w:r w:rsidR="005723EC" w:rsidRPr="001C6C16">
                          <w:rPr>
                            <w:sz w:val="26"/>
                            <w:szCs w:val="26"/>
                          </w:rPr>
                          <w:t>, kas ir ar nodevu apliekamā bāze</w:t>
                        </w:r>
                        <w:r w:rsidR="00EE4736" w:rsidRPr="001C6C16">
                          <w:rPr>
                            <w:sz w:val="26"/>
                            <w:szCs w:val="26"/>
                          </w:rPr>
                          <w:t>. Tādējādi 2017.gadā plānotie nodevu ieņēmumi veidoj</w:t>
                        </w:r>
                        <w:r w:rsidR="00C42688" w:rsidRPr="001C6C16">
                          <w:rPr>
                            <w:sz w:val="26"/>
                            <w:szCs w:val="26"/>
                          </w:rPr>
                          <w:t>a</w:t>
                        </w:r>
                        <w:r w:rsidR="00EE4736" w:rsidRPr="001C6C16">
                          <w:rPr>
                            <w:sz w:val="26"/>
                            <w:szCs w:val="26"/>
                          </w:rPr>
                          <w:t>s atbilstoši šādam aprēķinam:</w:t>
                        </w:r>
                      </w:p>
                      <w:p w:rsidR="00357397" w:rsidRPr="001C6C16" w:rsidRDefault="00706987" w:rsidP="00706987">
                        <w:pPr>
                          <w:jc w:val="both"/>
                          <w:rPr>
                            <w:sz w:val="26"/>
                            <w:szCs w:val="26"/>
                          </w:rPr>
                        </w:pPr>
                        <w:r w:rsidRPr="001C6C16">
                          <w:rPr>
                            <w:sz w:val="26"/>
                            <w:szCs w:val="26"/>
                          </w:rPr>
                          <w:t xml:space="preserve"> </w:t>
                        </w:r>
                        <w:r w:rsidR="00EE4736" w:rsidRPr="001C6C16">
                          <w:rPr>
                            <w:sz w:val="26"/>
                            <w:szCs w:val="26"/>
                          </w:rPr>
                          <w:t xml:space="preserve"> (</w:t>
                        </w:r>
                        <w:r w:rsidR="00D53DAF" w:rsidRPr="001C6C16">
                          <w:rPr>
                            <w:sz w:val="26"/>
                            <w:szCs w:val="26"/>
                          </w:rPr>
                          <w:t>8780</w:t>
                        </w:r>
                        <w:r w:rsidR="00EE4736" w:rsidRPr="001C6C16">
                          <w:rPr>
                            <w:sz w:val="26"/>
                            <w:szCs w:val="26"/>
                          </w:rPr>
                          <w:t xml:space="preserve"> </w:t>
                        </w:r>
                        <w:proofErr w:type="spellStart"/>
                        <w:r w:rsidR="00EE4736" w:rsidRPr="001C6C16">
                          <w:rPr>
                            <w:sz w:val="26"/>
                            <w:szCs w:val="26"/>
                          </w:rPr>
                          <w:t>MWh</w:t>
                        </w:r>
                        <w:proofErr w:type="spellEnd"/>
                        <w:r w:rsidR="00EE4736" w:rsidRPr="001C6C16">
                          <w:rPr>
                            <w:sz w:val="26"/>
                            <w:szCs w:val="26"/>
                          </w:rPr>
                          <w:t xml:space="preserve"> × 6,30 </w:t>
                        </w:r>
                        <w:proofErr w:type="spellStart"/>
                        <w:r w:rsidR="00EE4736" w:rsidRPr="001C6C16">
                          <w:rPr>
                            <w:sz w:val="26"/>
                            <w:szCs w:val="26"/>
                          </w:rPr>
                          <w:t>euro</w:t>
                        </w:r>
                        <w:proofErr w:type="spellEnd"/>
                        <w:r w:rsidR="00D53DAF" w:rsidRPr="001C6C16">
                          <w:rPr>
                            <w:sz w:val="26"/>
                            <w:szCs w:val="26"/>
                          </w:rPr>
                          <w:t xml:space="preserve">) x </w:t>
                        </w:r>
                        <w:r w:rsidR="00302C7D" w:rsidRPr="001C6C16">
                          <w:rPr>
                            <w:sz w:val="26"/>
                            <w:szCs w:val="26"/>
                          </w:rPr>
                          <w:t>1</w:t>
                        </w:r>
                        <w:r w:rsidR="003130D6" w:rsidRPr="001C6C16">
                          <w:rPr>
                            <w:sz w:val="26"/>
                            <w:szCs w:val="26"/>
                          </w:rPr>
                          <w:t xml:space="preserve">0 = </w:t>
                        </w:r>
                        <w:r w:rsidR="009E7D00" w:rsidRPr="001C6C16">
                          <w:rPr>
                            <w:sz w:val="26"/>
                            <w:szCs w:val="26"/>
                          </w:rPr>
                          <w:t xml:space="preserve">553 140 </w:t>
                        </w:r>
                        <w:proofErr w:type="spellStart"/>
                        <w:r w:rsidR="00EE4736" w:rsidRPr="001C6C16">
                          <w:rPr>
                            <w:sz w:val="26"/>
                            <w:szCs w:val="26"/>
                          </w:rPr>
                          <w:t>euro</w:t>
                        </w:r>
                        <w:proofErr w:type="spellEnd"/>
                        <w:r w:rsidR="00133F30" w:rsidRPr="001C6C16">
                          <w:rPr>
                            <w:sz w:val="26"/>
                            <w:szCs w:val="26"/>
                          </w:rPr>
                          <w:t>.</w:t>
                        </w:r>
                      </w:p>
                      <w:p w:rsidR="009B1375" w:rsidRPr="001C6C16" w:rsidRDefault="00EE4736" w:rsidP="00706987">
                        <w:pPr>
                          <w:jc w:val="both"/>
                          <w:rPr>
                            <w:sz w:val="26"/>
                            <w:szCs w:val="26"/>
                          </w:rPr>
                        </w:pPr>
                        <w:r w:rsidRPr="001C6C16">
                          <w:rPr>
                            <w:sz w:val="26"/>
                            <w:szCs w:val="26"/>
                          </w:rPr>
                          <w:t xml:space="preserve">Savukārt </w:t>
                        </w:r>
                        <w:r w:rsidR="004505AF" w:rsidRPr="001C6C16">
                          <w:rPr>
                            <w:sz w:val="26"/>
                            <w:szCs w:val="26"/>
                          </w:rPr>
                          <w:t xml:space="preserve">visiem tiem komersantiem, kas saskaņā ar Energoefektivitātes likuma 12.panta pirmo daļu </w:t>
                        </w:r>
                        <w:r w:rsidR="00136D9C">
                          <w:rPr>
                            <w:sz w:val="26"/>
                            <w:szCs w:val="26"/>
                          </w:rPr>
                          <w:t>ir arī</w:t>
                        </w:r>
                        <w:r w:rsidR="004505AF" w:rsidRPr="001C6C16">
                          <w:rPr>
                            <w:sz w:val="26"/>
                            <w:szCs w:val="26"/>
                          </w:rPr>
                          <w:t xml:space="preserve"> lielie</w:t>
                        </w:r>
                        <w:r w:rsidR="00136D9C">
                          <w:rPr>
                            <w:sz w:val="26"/>
                            <w:szCs w:val="26"/>
                          </w:rPr>
                          <w:t xml:space="preserve"> elektroenerģijas patērētāji</w:t>
                        </w:r>
                        <w:r w:rsidR="004505AF" w:rsidRPr="001C6C16">
                          <w:rPr>
                            <w:sz w:val="26"/>
                            <w:szCs w:val="26"/>
                          </w:rPr>
                          <w:t>, bet kas nav uzskatāmi par lielajiem uzņēmumiem Energoefektivitātes likuma 10.panta pirmās daļas izpratnē, likumā noteiktās prasības jāizpilda līdz 2018.gada 1.aprīlim. Pienākumu neizpildes gadījumā no noteiktā termiņa tiek uzsākta nodevas piemērošana saskaņā ar Energoefektivitātes likuma 13.panta otro daļu</w:t>
                        </w:r>
                        <w:r w:rsidR="00BD2FA7" w:rsidRPr="001C6C16">
                          <w:rPr>
                            <w:sz w:val="26"/>
                            <w:szCs w:val="26"/>
                          </w:rPr>
                          <w:t xml:space="preserve">. </w:t>
                        </w:r>
                        <w:r w:rsidR="00133F30" w:rsidRPr="001C6C16">
                          <w:rPr>
                            <w:sz w:val="26"/>
                            <w:szCs w:val="26"/>
                          </w:rPr>
                          <w:t>Tādējādi</w:t>
                        </w:r>
                        <w:r w:rsidR="00E6536C" w:rsidRPr="001C6C16">
                          <w:rPr>
                            <w:sz w:val="26"/>
                            <w:szCs w:val="26"/>
                          </w:rPr>
                          <w:t>,</w:t>
                        </w:r>
                        <w:r w:rsidR="00835036" w:rsidRPr="001C6C16">
                          <w:rPr>
                            <w:sz w:val="26"/>
                            <w:szCs w:val="26"/>
                          </w:rPr>
                          <w:t xml:space="preserve"> p</w:t>
                        </w:r>
                        <w:r w:rsidR="00DC78FF" w:rsidRPr="001C6C16">
                          <w:rPr>
                            <w:sz w:val="26"/>
                            <w:szCs w:val="26"/>
                          </w:rPr>
                          <w:t xml:space="preserve">ieņemot, ka </w:t>
                        </w:r>
                        <w:r w:rsidR="00835036" w:rsidRPr="001C6C16">
                          <w:rPr>
                            <w:sz w:val="26"/>
                            <w:szCs w:val="26"/>
                          </w:rPr>
                          <w:t xml:space="preserve">2018.gadā </w:t>
                        </w:r>
                        <w:r w:rsidR="00BD2FA7" w:rsidRPr="001C6C16">
                          <w:rPr>
                            <w:sz w:val="26"/>
                            <w:szCs w:val="26"/>
                          </w:rPr>
                          <w:t xml:space="preserve">komersantu loks, uz kuru būtu attiecināms nodevas maksāšanas pienākums, paplašināsies. Ievērojot to, ka </w:t>
                        </w:r>
                        <w:r w:rsidR="0034236C" w:rsidRPr="001C6C16">
                          <w:rPr>
                            <w:sz w:val="26"/>
                            <w:szCs w:val="26"/>
                          </w:rPr>
                          <w:t xml:space="preserve">Energoefektivitātes likuma 12.panta pirmajā daļā </w:t>
                        </w:r>
                        <w:proofErr w:type="spellStart"/>
                        <w:r w:rsidR="0034236C" w:rsidRPr="001C6C16">
                          <w:rPr>
                            <w:sz w:val="26"/>
                            <w:szCs w:val="26"/>
                          </w:rPr>
                          <w:t>noteikatajiem</w:t>
                        </w:r>
                        <w:proofErr w:type="spellEnd"/>
                        <w:r w:rsidR="0034236C" w:rsidRPr="001C6C16">
                          <w:rPr>
                            <w:sz w:val="26"/>
                            <w:szCs w:val="26"/>
                          </w:rPr>
                          <w:t xml:space="preserve"> </w:t>
                        </w:r>
                        <w:r w:rsidR="00BC1CD8" w:rsidRPr="001C6C16">
                          <w:rPr>
                            <w:sz w:val="26"/>
                            <w:szCs w:val="26"/>
                          </w:rPr>
                          <w:t>komersantiem</w:t>
                        </w:r>
                        <w:r w:rsidR="0034236C" w:rsidRPr="001C6C16">
                          <w:rPr>
                            <w:sz w:val="26"/>
                            <w:szCs w:val="26"/>
                          </w:rPr>
                          <w:t>, kas būtībā ir mazie un vidējie komersanti,</w:t>
                        </w:r>
                        <w:r w:rsidR="00BC1CD8" w:rsidRPr="001C6C16">
                          <w:rPr>
                            <w:sz w:val="26"/>
                            <w:szCs w:val="26"/>
                          </w:rPr>
                          <w:t xml:space="preserve"> </w:t>
                        </w:r>
                        <w:r w:rsidR="00BD2FA7" w:rsidRPr="001C6C16">
                          <w:rPr>
                            <w:sz w:val="26"/>
                            <w:szCs w:val="26"/>
                          </w:rPr>
                          <w:t xml:space="preserve">pirmajā gadā finansiālu apsvērumu dēļ nebūs iespējams </w:t>
                        </w:r>
                        <w:r w:rsidR="00514C0E" w:rsidRPr="001C6C16">
                          <w:rPr>
                            <w:sz w:val="26"/>
                            <w:szCs w:val="26"/>
                          </w:rPr>
                          <w:t xml:space="preserve">savlaicīgi </w:t>
                        </w:r>
                        <w:r w:rsidR="00BD2FA7" w:rsidRPr="001C6C16">
                          <w:rPr>
                            <w:sz w:val="26"/>
                            <w:szCs w:val="26"/>
                          </w:rPr>
                          <w:t xml:space="preserve">nodrošināt </w:t>
                        </w:r>
                        <w:proofErr w:type="spellStart"/>
                        <w:r w:rsidR="00514C0E" w:rsidRPr="001C6C16">
                          <w:rPr>
                            <w:sz w:val="26"/>
                            <w:szCs w:val="26"/>
                          </w:rPr>
                          <w:t>energopārvaldības</w:t>
                        </w:r>
                        <w:proofErr w:type="spellEnd"/>
                        <w:r w:rsidR="00514C0E" w:rsidRPr="001C6C16">
                          <w:rPr>
                            <w:sz w:val="26"/>
                            <w:szCs w:val="26"/>
                          </w:rPr>
                          <w:t xml:space="preserve"> sistēmas ieviešanu un </w:t>
                        </w:r>
                        <w:proofErr w:type="spellStart"/>
                        <w:r w:rsidR="00514C0E" w:rsidRPr="001C6C16">
                          <w:rPr>
                            <w:sz w:val="26"/>
                            <w:szCs w:val="26"/>
                          </w:rPr>
                          <w:t>energoaudita</w:t>
                        </w:r>
                        <w:proofErr w:type="spellEnd"/>
                        <w:r w:rsidR="00514C0E" w:rsidRPr="001C6C16">
                          <w:rPr>
                            <w:sz w:val="26"/>
                            <w:szCs w:val="26"/>
                          </w:rPr>
                          <w:t xml:space="preserve"> veikšanu</w:t>
                        </w:r>
                        <w:r w:rsidR="00E6536C" w:rsidRPr="001C6C16">
                          <w:rPr>
                            <w:sz w:val="26"/>
                            <w:szCs w:val="26"/>
                          </w:rPr>
                          <w:t>, p</w:t>
                        </w:r>
                        <w:r w:rsidR="00847C79" w:rsidRPr="001C6C16">
                          <w:rPr>
                            <w:sz w:val="26"/>
                            <w:szCs w:val="26"/>
                          </w:rPr>
                          <w:t>rognozējam</w:t>
                        </w:r>
                        <w:r w:rsidR="00835036" w:rsidRPr="001C6C16">
                          <w:rPr>
                            <w:sz w:val="26"/>
                            <w:szCs w:val="26"/>
                          </w:rPr>
                          <w:t xml:space="preserve">ais </w:t>
                        </w:r>
                        <w:r w:rsidR="00847C79" w:rsidRPr="001C6C16">
                          <w:rPr>
                            <w:sz w:val="26"/>
                            <w:szCs w:val="26"/>
                          </w:rPr>
                          <w:t>kopējais komersantu skaits 2018.gadā varētu būt ap 800 komersantiem</w:t>
                        </w:r>
                        <w:r w:rsidR="00080158" w:rsidRPr="001C6C16">
                          <w:rPr>
                            <w:sz w:val="26"/>
                            <w:szCs w:val="26"/>
                          </w:rPr>
                          <w:t>, kuriem tiktu piemērota nodeva. Taču nodevu apliekamā bāze</w:t>
                        </w:r>
                        <w:r w:rsidR="00847F4D" w:rsidRPr="001C6C16">
                          <w:rPr>
                            <w:sz w:val="26"/>
                            <w:szCs w:val="26"/>
                          </w:rPr>
                          <w:t xml:space="preserve"> </w:t>
                        </w:r>
                        <w:r w:rsidR="0034236C" w:rsidRPr="001C6C16">
                          <w:rPr>
                            <w:sz w:val="26"/>
                            <w:szCs w:val="26"/>
                          </w:rPr>
                          <w:t xml:space="preserve">šiem komersantiem </w:t>
                        </w:r>
                        <w:r w:rsidR="00847F4D" w:rsidRPr="001C6C16">
                          <w:rPr>
                            <w:sz w:val="26"/>
                            <w:szCs w:val="26"/>
                          </w:rPr>
                          <w:t xml:space="preserve">salīdzinoši ar lielajiem uzņēmumiem plānojama </w:t>
                        </w:r>
                        <w:r w:rsidR="003130D6" w:rsidRPr="001C6C16">
                          <w:rPr>
                            <w:sz w:val="26"/>
                            <w:szCs w:val="26"/>
                          </w:rPr>
                          <w:t xml:space="preserve">ievērojami </w:t>
                        </w:r>
                        <w:r w:rsidR="00847F4D" w:rsidRPr="001C6C16">
                          <w:rPr>
                            <w:sz w:val="26"/>
                            <w:szCs w:val="26"/>
                          </w:rPr>
                          <w:t>mazāka un pieļaujamais slieksnis, no kura var</w:t>
                        </w:r>
                        <w:r w:rsidR="003130D6" w:rsidRPr="001C6C16">
                          <w:rPr>
                            <w:sz w:val="26"/>
                            <w:szCs w:val="26"/>
                          </w:rPr>
                          <w:t xml:space="preserve">ētu </w:t>
                        </w:r>
                        <w:r w:rsidR="00847F4D" w:rsidRPr="001C6C16">
                          <w:rPr>
                            <w:sz w:val="26"/>
                            <w:szCs w:val="26"/>
                          </w:rPr>
                          <w:t xml:space="preserve">uzsākt </w:t>
                        </w:r>
                        <w:r w:rsidR="00EF7E75" w:rsidRPr="001C6C16">
                          <w:rPr>
                            <w:sz w:val="26"/>
                            <w:szCs w:val="26"/>
                          </w:rPr>
                          <w:t xml:space="preserve">budžetā plānojamo </w:t>
                        </w:r>
                        <w:r w:rsidR="00847F4D" w:rsidRPr="001C6C16">
                          <w:rPr>
                            <w:sz w:val="26"/>
                            <w:szCs w:val="26"/>
                          </w:rPr>
                          <w:t>kopējo nodevu ieņēmumu aprēķināšanu un izmantot nodevu ie</w:t>
                        </w:r>
                        <w:r w:rsidR="00136D9C">
                          <w:rPr>
                            <w:sz w:val="26"/>
                            <w:szCs w:val="26"/>
                          </w:rPr>
                          <w:t xml:space="preserve">ņēmumu prognozēšanai ir 500 </w:t>
                        </w:r>
                        <w:proofErr w:type="spellStart"/>
                        <w:r w:rsidR="00136D9C">
                          <w:rPr>
                            <w:sz w:val="26"/>
                            <w:szCs w:val="26"/>
                          </w:rPr>
                          <w:t>MWh</w:t>
                        </w:r>
                        <w:proofErr w:type="spellEnd"/>
                        <w:r w:rsidR="00847F4D" w:rsidRPr="001C6C16">
                          <w:rPr>
                            <w:sz w:val="26"/>
                            <w:szCs w:val="26"/>
                          </w:rPr>
                          <w:t>.</w:t>
                        </w:r>
                        <w:r w:rsidR="00080158" w:rsidRPr="001C6C16">
                          <w:rPr>
                            <w:sz w:val="26"/>
                            <w:szCs w:val="26"/>
                          </w:rPr>
                          <w:t xml:space="preserve"> Līdz ar to </w:t>
                        </w:r>
                        <w:r w:rsidR="00E0548F" w:rsidRPr="001C6C16">
                          <w:rPr>
                            <w:sz w:val="26"/>
                            <w:szCs w:val="26"/>
                          </w:rPr>
                          <w:t xml:space="preserve">kopējie </w:t>
                        </w:r>
                        <w:r w:rsidR="00080158" w:rsidRPr="001C6C16">
                          <w:rPr>
                            <w:sz w:val="26"/>
                            <w:szCs w:val="26"/>
                          </w:rPr>
                          <w:t xml:space="preserve">2018.gada ieņēmumi </w:t>
                        </w:r>
                        <w:r w:rsidR="00E0548F" w:rsidRPr="001C6C16">
                          <w:rPr>
                            <w:sz w:val="26"/>
                            <w:szCs w:val="26"/>
                          </w:rPr>
                          <w:t xml:space="preserve">no nodevas </w:t>
                        </w:r>
                        <w:r w:rsidR="00080158" w:rsidRPr="001C6C16">
                          <w:rPr>
                            <w:sz w:val="26"/>
                            <w:szCs w:val="26"/>
                          </w:rPr>
                          <w:t>veidojas</w:t>
                        </w:r>
                        <w:r w:rsidR="000A6D61" w:rsidRPr="001C6C16">
                          <w:rPr>
                            <w:sz w:val="26"/>
                            <w:szCs w:val="26"/>
                          </w:rPr>
                          <w:t xml:space="preserve"> atbilstoši šādam aprēķinam:</w:t>
                        </w:r>
                      </w:p>
                      <w:p w:rsidR="000A6D61" w:rsidRPr="001C6C16" w:rsidRDefault="007F679A" w:rsidP="00706987">
                        <w:pPr>
                          <w:jc w:val="both"/>
                          <w:rPr>
                            <w:sz w:val="26"/>
                            <w:szCs w:val="26"/>
                          </w:rPr>
                        </w:pPr>
                        <w:r w:rsidRPr="001C6C16">
                          <w:rPr>
                            <w:sz w:val="26"/>
                            <w:szCs w:val="26"/>
                          </w:rPr>
                          <w:t xml:space="preserve">(500 </w:t>
                        </w:r>
                        <w:proofErr w:type="spellStart"/>
                        <w:r w:rsidRPr="001C6C16">
                          <w:rPr>
                            <w:sz w:val="26"/>
                            <w:szCs w:val="26"/>
                          </w:rPr>
                          <w:t>MWh</w:t>
                        </w:r>
                        <w:proofErr w:type="spellEnd"/>
                        <w:r w:rsidRPr="001C6C16">
                          <w:rPr>
                            <w:sz w:val="26"/>
                            <w:szCs w:val="26"/>
                          </w:rPr>
                          <w:t xml:space="preserve"> × 6,30 </w:t>
                        </w:r>
                        <w:proofErr w:type="spellStart"/>
                        <w:r w:rsidRPr="001C6C16">
                          <w:rPr>
                            <w:sz w:val="26"/>
                            <w:szCs w:val="26"/>
                          </w:rPr>
                          <w:t>euro</w:t>
                        </w:r>
                        <w:proofErr w:type="spellEnd"/>
                        <w:r w:rsidRPr="001C6C16">
                          <w:rPr>
                            <w:sz w:val="26"/>
                            <w:szCs w:val="26"/>
                          </w:rPr>
                          <w:t xml:space="preserve">) x 800 = </w:t>
                        </w:r>
                        <w:r w:rsidR="00BB7A9C" w:rsidRPr="001C6C16">
                          <w:rPr>
                            <w:sz w:val="26"/>
                            <w:szCs w:val="26"/>
                          </w:rPr>
                          <w:t>2 520 000</w:t>
                        </w:r>
                        <w:r w:rsidRPr="001C6C16">
                          <w:rPr>
                            <w:sz w:val="26"/>
                            <w:szCs w:val="26"/>
                          </w:rPr>
                          <w:t xml:space="preserve"> </w:t>
                        </w:r>
                        <w:proofErr w:type="spellStart"/>
                        <w:r w:rsidRPr="001C6C16">
                          <w:rPr>
                            <w:sz w:val="26"/>
                            <w:szCs w:val="26"/>
                          </w:rPr>
                          <w:t>euro</w:t>
                        </w:r>
                        <w:proofErr w:type="spellEnd"/>
                        <w:r w:rsidRPr="001C6C16">
                          <w:rPr>
                            <w:sz w:val="26"/>
                            <w:szCs w:val="26"/>
                          </w:rPr>
                          <w:t>.</w:t>
                        </w:r>
                      </w:p>
                      <w:p w:rsidR="000A6D61" w:rsidRPr="001C6C16" w:rsidRDefault="009A4B5C" w:rsidP="00706987">
                        <w:pPr>
                          <w:jc w:val="both"/>
                          <w:rPr>
                            <w:sz w:val="26"/>
                            <w:szCs w:val="26"/>
                          </w:rPr>
                        </w:pPr>
                        <w:r w:rsidRPr="001C6C16">
                          <w:rPr>
                            <w:sz w:val="26"/>
                            <w:szCs w:val="26"/>
                          </w:rPr>
                          <w:t xml:space="preserve">Savukārt 2019.gadā ir iespējama komersantu loka sašaurināšanās par 40% no kopējā komersanta skaita, kā rezultātā prognozējama nodevu ieņēmumu samazināšanās. (500 </w:t>
                        </w:r>
                        <w:proofErr w:type="spellStart"/>
                        <w:r w:rsidRPr="001C6C16">
                          <w:rPr>
                            <w:sz w:val="26"/>
                            <w:szCs w:val="26"/>
                          </w:rPr>
                          <w:t>MWh</w:t>
                        </w:r>
                        <w:proofErr w:type="spellEnd"/>
                        <w:r w:rsidRPr="001C6C16">
                          <w:rPr>
                            <w:sz w:val="26"/>
                            <w:szCs w:val="26"/>
                          </w:rPr>
                          <w:t xml:space="preserve"> x 6,30) x 460 = 1 449 000 </w:t>
                        </w:r>
                        <w:proofErr w:type="spellStart"/>
                        <w:r w:rsidRPr="001C6C16">
                          <w:rPr>
                            <w:sz w:val="26"/>
                            <w:szCs w:val="26"/>
                          </w:rPr>
                          <w:t>euro</w:t>
                        </w:r>
                        <w:proofErr w:type="spellEnd"/>
                        <w:r w:rsidR="00E12DDB" w:rsidRPr="001C6C16">
                          <w:rPr>
                            <w:sz w:val="26"/>
                            <w:szCs w:val="26"/>
                          </w:rPr>
                          <w:t>.</w:t>
                        </w:r>
                      </w:p>
                      <w:p w:rsidR="00706987" w:rsidRPr="001C6C16" w:rsidRDefault="00706987" w:rsidP="00706987">
                        <w:pPr>
                          <w:jc w:val="both"/>
                          <w:rPr>
                            <w:sz w:val="26"/>
                            <w:szCs w:val="26"/>
                          </w:rPr>
                        </w:pPr>
                        <w:r w:rsidRPr="001C6C16">
                          <w:rPr>
                            <w:sz w:val="26"/>
                            <w:szCs w:val="26"/>
                          </w:rPr>
                          <w:t xml:space="preserve">Atbilstoši Energoefektivitātes likuma 7.panta trešās daļas  2.punktam 90 % no energoefektivitātes nodevas ieņēmumiem tiks pārskaitīti valsts energoefektivitātes fondam, tā pārvaldītājam akciju sabiedrībai “Attīstības finanšu institūcija </w:t>
                        </w:r>
                        <w:proofErr w:type="spellStart"/>
                        <w:r w:rsidRPr="001C6C16">
                          <w:rPr>
                            <w:sz w:val="26"/>
                            <w:szCs w:val="26"/>
                          </w:rPr>
                          <w:t>Altum</w:t>
                        </w:r>
                        <w:proofErr w:type="spellEnd"/>
                        <w:r w:rsidRPr="001C6C16">
                          <w:rPr>
                            <w:sz w:val="26"/>
                            <w:szCs w:val="26"/>
                          </w:rPr>
                          <w:t>”. Attiecīgi 10% no energoefektivitātes nodevas ieņēmumiem tiks nodrošināti Ekonomikas ministrijai izdevumu</w:t>
                        </w:r>
                        <w:r w:rsidR="00830560" w:rsidRPr="001C6C16">
                          <w:rPr>
                            <w:sz w:val="26"/>
                            <w:szCs w:val="26"/>
                          </w:rPr>
                          <w:t xml:space="preserve"> segšanai, kas saistīti ar </w:t>
                        </w:r>
                        <w:r w:rsidRPr="001C6C16">
                          <w:rPr>
                            <w:sz w:val="26"/>
                            <w:szCs w:val="26"/>
                          </w:rPr>
                          <w:t>energoefektivitātes mērķu sasniegšanas uzraudzību, ziņošanas nodrošināšanai, kā arī enerģijas i</w:t>
                        </w:r>
                        <w:r w:rsidR="00830560" w:rsidRPr="001C6C16">
                          <w:rPr>
                            <w:sz w:val="26"/>
                            <w:szCs w:val="26"/>
                          </w:rPr>
                          <w:t>etaupījumu datubāzes uzturēšanu.</w:t>
                        </w:r>
                      </w:p>
                      <w:p w:rsidR="00785E78" w:rsidRPr="001C6C16" w:rsidRDefault="00785E78" w:rsidP="00706987">
                        <w:pPr>
                          <w:jc w:val="both"/>
                          <w:rPr>
                            <w:sz w:val="26"/>
                            <w:szCs w:val="26"/>
                            <w:u w:val="single"/>
                          </w:rPr>
                        </w:pPr>
                      </w:p>
                      <w:p w:rsidR="00785E78" w:rsidRPr="001C6C16" w:rsidRDefault="00785E78" w:rsidP="00706987">
                        <w:pPr>
                          <w:jc w:val="both"/>
                          <w:rPr>
                            <w:sz w:val="26"/>
                            <w:szCs w:val="26"/>
                            <w:u w:val="single"/>
                          </w:rPr>
                        </w:pPr>
                        <w:r w:rsidRPr="001C6C16">
                          <w:rPr>
                            <w:sz w:val="26"/>
                            <w:szCs w:val="26"/>
                          </w:rPr>
                          <w:lastRenderedPageBreak/>
                          <w:t>I</w:t>
                        </w:r>
                        <w:r w:rsidR="00D827BB" w:rsidRPr="001C6C16">
                          <w:rPr>
                            <w:sz w:val="26"/>
                            <w:szCs w:val="26"/>
                          </w:rPr>
                          <w:t>zdevumu aprēķins</w:t>
                        </w:r>
                        <w:r w:rsidRPr="001C6C16">
                          <w:rPr>
                            <w:sz w:val="26"/>
                            <w:szCs w:val="26"/>
                          </w:rPr>
                          <w:t>:</w:t>
                        </w:r>
                      </w:p>
                      <w:p w:rsidR="00D827BB" w:rsidRPr="001C6C16" w:rsidRDefault="00D827BB" w:rsidP="00706987">
                        <w:pPr>
                          <w:jc w:val="both"/>
                          <w:rPr>
                            <w:sz w:val="26"/>
                            <w:szCs w:val="26"/>
                            <w:u w:val="single"/>
                          </w:rPr>
                        </w:pPr>
                        <w:r w:rsidRPr="001C6C16">
                          <w:rPr>
                            <w:sz w:val="26"/>
                            <w:szCs w:val="26"/>
                            <w:u w:val="single"/>
                          </w:rPr>
                          <w:t xml:space="preserve"> </w:t>
                        </w:r>
                        <w:r w:rsidR="00785E78" w:rsidRPr="001C6C16">
                          <w:rPr>
                            <w:sz w:val="26"/>
                            <w:szCs w:val="26"/>
                            <w:u w:val="single"/>
                          </w:rPr>
                          <w:t xml:space="preserve">1) </w:t>
                        </w:r>
                        <w:r w:rsidR="00706987" w:rsidRPr="001C6C16">
                          <w:rPr>
                            <w:sz w:val="26"/>
                            <w:szCs w:val="26"/>
                            <w:u w:val="single"/>
                          </w:rPr>
                          <w:t>energoefektivitātes mērķu sasniegšanas uzraudzības nodro</w:t>
                        </w:r>
                        <w:r w:rsidR="00136D9C">
                          <w:rPr>
                            <w:sz w:val="26"/>
                            <w:szCs w:val="26"/>
                            <w:u w:val="single"/>
                          </w:rPr>
                          <w:t>šināšana</w:t>
                        </w:r>
                        <w:r w:rsidRPr="001C6C16">
                          <w:rPr>
                            <w:sz w:val="26"/>
                            <w:szCs w:val="26"/>
                            <w:u w:val="single"/>
                          </w:rPr>
                          <w:t>.</w:t>
                        </w:r>
                      </w:p>
                      <w:p w:rsidR="00706987" w:rsidRPr="001C6C16" w:rsidRDefault="002F143C" w:rsidP="00706987">
                        <w:pPr>
                          <w:jc w:val="both"/>
                          <w:rPr>
                            <w:sz w:val="26"/>
                            <w:szCs w:val="26"/>
                          </w:rPr>
                        </w:pPr>
                        <w:r w:rsidRPr="001C6C16">
                          <w:rPr>
                            <w:sz w:val="26"/>
                            <w:szCs w:val="26"/>
                          </w:rPr>
                          <w:t xml:space="preserve"> Ekonomikas ministrija, ievērojot</w:t>
                        </w:r>
                        <w:r w:rsidR="004C4926" w:rsidRPr="001C6C16">
                          <w:rPr>
                            <w:sz w:val="26"/>
                            <w:szCs w:val="26"/>
                          </w:rPr>
                          <w:t xml:space="preserve"> Ministru kabineta 2013.gada 3.janvāra noteik</w:t>
                        </w:r>
                        <w:r w:rsidRPr="001C6C16">
                          <w:rPr>
                            <w:sz w:val="26"/>
                            <w:szCs w:val="26"/>
                          </w:rPr>
                          <w:t>umos</w:t>
                        </w:r>
                        <w:r w:rsidR="004C4926" w:rsidRPr="001C6C16">
                          <w:rPr>
                            <w:sz w:val="26"/>
                            <w:szCs w:val="26"/>
                          </w:rPr>
                          <w:t xml:space="preserve"> Nr.1 “Kārtība, kādā publiska persona </w:t>
                        </w:r>
                        <w:proofErr w:type="spellStart"/>
                        <w:r w:rsidR="004C4926" w:rsidRPr="001C6C16">
                          <w:rPr>
                            <w:sz w:val="26"/>
                            <w:szCs w:val="26"/>
                          </w:rPr>
                          <w:t>pasūta</w:t>
                        </w:r>
                        <w:proofErr w:type="spellEnd"/>
                        <w:r w:rsidR="004C4926" w:rsidRPr="001C6C16">
                          <w:rPr>
                            <w:sz w:val="26"/>
                            <w:szCs w:val="26"/>
                          </w:rPr>
                          <w:t xml:space="preserve"> pētījumus”</w:t>
                        </w:r>
                        <w:r w:rsidRPr="001C6C16">
                          <w:rPr>
                            <w:sz w:val="26"/>
                            <w:szCs w:val="26"/>
                          </w:rPr>
                          <w:t xml:space="preserve"> noteikto kārtību</w:t>
                        </w:r>
                        <w:r w:rsidR="007A45B9" w:rsidRPr="001C6C16">
                          <w:rPr>
                            <w:sz w:val="26"/>
                            <w:szCs w:val="26"/>
                          </w:rPr>
                          <w:t>,</w:t>
                        </w:r>
                        <w:r w:rsidR="004C4926" w:rsidRPr="001C6C16">
                          <w:rPr>
                            <w:sz w:val="26"/>
                            <w:szCs w:val="26"/>
                          </w:rPr>
                          <w:t xml:space="preserve"> </w:t>
                        </w:r>
                        <w:r w:rsidR="00706987" w:rsidRPr="001C6C16">
                          <w:rPr>
                            <w:sz w:val="26"/>
                            <w:szCs w:val="26"/>
                          </w:rPr>
                          <w:t>veiks ārpakalpojumu iepirkumus, t.i., pētījumus, kuri pamato enerģijas ietaupījumu aprēķinus jomās, kurās nav pieejami tieši enerģijas patēriņa mērījumi (nodokļu pasākumi, informatīvie pasākumi u.c. pasākumi, kas saistīti ar enerģijas patērētāju izturēšanos.) Pavi</w:t>
                        </w:r>
                        <w:r w:rsidR="004C4926" w:rsidRPr="001C6C16">
                          <w:rPr>
                            <w:sz w:val="26"/>
                            <w:szCs w:val="26"/>
                          </w:rPr>
                          <w:t>sam tiek plānoti 3 pētījumi, kuru kopējā</w:t>
                        </w:r>
                        <w:r w:rsidR="00706987" w:rsidRPr="001C6C16">
                          <w:rPr>
                            <w:sz w:val="26"/>
                            <w:szCs w:val="26"/>
                          </w:rPr>
                          <w:t xml:space="preserve"> </w:t>
                        </w:r>
                        <w:r w:rsidR="004C4926" w:rsidRPr="001C6C16">
                          <w:rPr>
                            <w:sz w:val="26"/>
                            <w:szCs w:val="26"/>
                          </w:rPr>
                          <w:t xml:space="preserve">summa </w:t>
                        </w:r>
                        <w:r w:rsidR="00706987" w:rsidRPr="001C6C16">
                          <w:rPr>
                            <w:sz w:val="26"/>
                            <w:szCs w:val="26"/>
                          </w:rPr>
                          <w:t xml:space="preserve">sastādīs 30 000 </w:t>
                        </w:r>
                        <w:proofErr w:type="spellStart"/>
                        <w:r w:rsidR="00706987" w:rsidRPr="001C6C16">
                          <w:rPr>
                            <w:sz w:val="26"/>
                            <w:szCs w:val="26"/>
                          </w:rPr>
                          <w:t>euro</w:t>
                        </w:r>
                        <w:proofErr w:type="spellEnd"/>
                        <w:r w:rsidR="00706987" w:rsidRPr="001C6C16">
                          <w:rPr>
                            <w:sz w:val="26"/>
                            <w:szCs w:val="26"/>
                          </w:rPr>
                          <w:t xml:space="preserve"> (</w:t>
                        </w:r>
                        <w:r w:rsidR="00106FB1" w:rsidRPr="001C6C16">
                          <w:rPr>
                            <w:sz w:val="26"/>
                            <w:szCs w:val="26"/>
                          </w:rPr>
                          <w:t>ar PVN 21%)</w:t>
                        </w:r>
                        <w:r w:rsidR="00706987" w:rsidRPr="001C6C16">
                          <w:rPr>
                            <w:sz w:val="26"/>
                            <w:szCs w:val="26"/>
                          </w:rPr>
                          <w:t>)</w:t>
                        </w:r>
                        <w:r w:rsidR="00681705" w:rsidRPr="001C6C16">
                          <w:rPr>
                            <w:sz w:val="26"/>
                            <w:szCs w:val="26"/>
                          </w:rPr>
                          <w:t xml:space="preserve"> 2017.gadā</w:t>
                        </w:r>
                        <w:r w:rsidR="00706987" w:rsidRPr="001C6C16">
                          <w:rPr>
                            <w:sz w:val="26"/>
                            <w:szCs w:val="26"/>
                          </w:rPr>
                          <w:t>.</w:t>
                        </w:r>
                        <w:r w:rsidR="00877A5E" w:rsidRPr="001C6C16">
                          <w:rPr>
                            <w:sz w:val="26"/>
                            <w:szCs w:val="26"/>
                          </w:rPr>
                          <w:t xml:space="preserve"> Izdevumu aprēķinā iekļautās izmaksas ir pielīdzinātas līdzšin</w:t>
                        </w:r>
                        <w:r w:rsidR="00FD7E5B" w:rsidRPr="001C6C16">
                          <w:rPr>
                            <w:sz w:val="26"/>
                            <w:szCs w:val="26"/>
                          </w:rPr>
                          <w:t xml:space="preserve">ējo </w:t>
                        </w:r>
                        <w:r w:rsidR="00877A5E" w:rsidRPr="001C6C16">
                          <w:rPr>
                            <w:sz w:val="26"/>
                            <w:szCs w:val="26"/>
                          </w:rPr>
                          <w:t>pētījumu izmaksām</w:t>
                        </w:r>
                        <w:r w:rsidR="00FD7E5B" w:rsidRPr="001C6C16">
                          <w:rPr>
                            <w:sz w:val="26"/>
                            <w:szCs w:val="26"/>
                          </w:rPr>
                          <w:t xml:space="preserve"> atkarīgi no nepieciešamajām tehniskās specifikācijas prasībām </w:t>
                        </w:r>
                        <w:r w:rsidR="00877A5E" w:rsidRPr="001C6C16">
                          <w:rPr>
                            <w:sz w:val="26"/>
                            <w:szCs w:val="26"/>
                          </w:rPr>
                          <w:t>(</w:t>
                        </w:r>
                        <w:r w:rsidR="00FD7E5B" w:rsidRPr="001C6C16">
                          <w:rPr>
                            <w:sz w:val="26"/>
                            <w:szCs w:val="26"/>
                          </w:rPr>
                          <w:t>patērētais laiks stundās, vienas stundas izmaksa).</w:t>
                        </w:r>
                      </w:p>
                      <w:p w:rsidR="00785E78" w:rsidRPr="001C6C16" w:rsidRDefault="00785E78" w:rsidP="00706987">
                        <w:pPr>
                          <w:jc w:val="both"/>
                          <w:rPr>
                            <w:sz w:val="26"/>
                            <w:szCs w:val="26"/>
                            <w:u w:val="single"/>
                          </w:rPr>
                        </w:pPr>
                        <w:r w:rsidRPr="001C6C16">
                          <w:rPr>
                            <w:sz w:val="26"/>
                            <w:szCs w:val="26"/>
                            <w:u w:val="single"/>
                          </w:rPr>
                          <w:t>2) ziņošanas nodrošinā</w:t>
                        </w:r>
                        <w:r w:rsidR="002C53D3" w:rsidRPr="001C6C16">
                          <w:rPr>
                            <w:sz w:val="26"/>
                            <w:szCs w:val="26"/>
                            <w:u w:val="single"/>
                          </w:rPr>
                          <w:t>šana</w:t>
                        </w:r>
                        <w:r w:rsidRPr="001C6C16">
                          <w:rPr>
                            <w:sz w:val="26"/>
                            <w:szCs w:val="26"/>
                            <w:u w:val="single"/>
                          </w:rPr>
                          <w:t xml:space="preserve"> Eiropas Komisijai.</w:t>
                        </w:r>
                      </w:p>
                      <w:p w:rsidR="00785E78" w:rsidRPr="001C6C16" w:rsidRDefault="00785E78" w:rsidP="00785E78">
                        <w:pPr>
                          <w:jc w:val="both"/>
                          <w:rPr>
                            <w:sz w:val="26"/>
                            <w:szCs w:val="26"/>
                          </w:rPr>
                        </w:pPr>
                        <w:r w:rsidRPr="001C6C16">
                          <w:rPr>
                            <w:sz w:val="26"/>
                            <w:szCs w:val="26"/>
                          </w:rPr>
                          <w:t>Ziņošanas un plānošanas pienākumi Eiropas parlamenta un padomes direktīvu (2012. gada 25. oktobris) par energoefektivitāti, ar ko groza Direktīvas 2009/125/EK un 2010/30/ES un atceļ Dir</w:t>
                        </w:r>
                        <w:r w:rsidR="00681705" w:rsidRPr="001C6C16">
                          <w:rPr>
                            <w:sz w:val="26"/>
                            <w:szCs w:val="26"/>
                          </w:rPr>
                          <w:t xml:space="preserve">ektīvas 2004/8/EK un 2006/32/EK </w:t>
                        </w:r>
                        <w:r w:rsidRPr="001C6C16">
                          <w:rPr>
                            <w:sz w:val="26"/>
                            <w:szCs w:val="26"/>
                          </w:rPr>
                          <w:t>(turpmāk – EED) EED un Klimata un enerģētikas politikas satvaru laikposmam no 2020.gada līdz 2030.gadam (KEPS2030) ietver enerģētikas datu apstrādi, aprēķinu un analīzes veikšanu, tai skaitā</w:t>
                        </w:r>
                        <w:r w:rsidR="00136D9C">
                          <w:rPr>
                            <w:sz w:val="26"/>
                            <w:szCs w:val="26"/>
                          </w:rPr>
                          <w:t>, ja nepieciešams,</w:t>
                        </w:r>
                        <w:r w:rsidRPr="001C6C16">
                          <w:rPr>
                            <w:sz w:val="26"/>
                            <w:szCs w:val="26"/>
                          </w:rPr>
                          <w:t xml:space="preserve"> stratēģiskā ietekmes uz vidi novērtēju</w:t>
                        </w:r>
                        <w:r w:rsidR="00681705" w:rsidRPr="001C6C16">
                          <w:rPr>
                            <w:sz w:val="26"/>
                            <w:szCs w:val="26"/>
                          </w:rPr>
                          <w:t>ma veikšanu šādiem EK ziņoju</w:t>
                        </w:r>
                        <w:r w:rsidRPr="001C6C16">
                          <w:rPr>
                            <w:sz w:val="26"/>
                            <w:szCs w:val="26"/>
                          </w:rPr>
                          <w:t xml:space="preserve">mu dokumentiem: </w:t>
                        </w:r>
                      </w:p>
                      <w:p w:rsidR="00681705" w:rsidRPr="001C6C16" w:rsidRDefault="00785E78" w:rsidP="0071352E">
                        <w:pPr>
                          <w:numPr>
                            <w:ilvl w:val="0"/>
                            <w:numId w:val="46"/>
                          </w:numPr>
                          <w:jc w:val="both"/>
                          <w:rPr>
                            <w:sz w:val="26"/>
                            <w:szCs w:val="26"/>
                          </w:rPr>
                        </w:pPr>
                        <w:r w:rsidRPr="001C6C16">
                          <w:rPr>
                            <w:sz w:val="26"/>
                            <w:szCs w:val="26"/>
                          </w:rPr>
                          <w:t>Ikgadējais progresa ziņojums par gūtajiem panākumiem virzībā uz valsts energoefektivitātes mērķ</w:t>
                        </w:r>
                        <w:r w:rsidR="00681705" w:rsidRPr="001C6C16">
                          <w:rPr>
                            <w:sz w:val="26"/>
                            <w:szCs w:val="26"/>
                          </w:rPr>
                          <w:t>i saskaņā ar EED XIV pielikumu;</w:t>
                        </w:r>
                      </w:p>
                      <w:p w:rsidR="00681705" w:rsidRPr="001C6C16" w:rsidRDefault="00785E78" w:rsidP="0071352E">
                        <w:pPr>
                          <w:numPr>
                            <w:ilvl w:val="0"/>
                            <w:numId w:val="46"/>
                          </w:numPr>
                          <w:jc w:val="both"/>
                          <w:rPr>
                            <w:sz w:val="26"/>
                            <w:szCs w:val="26"/>
                          </w:rPr>
                        </w:pPr>
                        <w:r w:rsidRPr="001C6C16">
                          <w:rPr>
                            <w:sz w:val="26"/>
                            <w:szCs w:val="26"/>
                          </w:rPr>
                          <w:t xml:space="preserve">Augstas efektivitātes koģenerācijas un efektīvas centralizētas siltumapgādes un dzesēšanas izmantošanas potenciāla visaptverošs </w:t>
                        </w:r>
                        <w:proofErr w:type="spellStart"/>
                        <w:r w:rsidRPr="001C6C16">
                          <w:rPr>
                            <w:sz w:val="26"/>
                            <w:szCs w:val="26"/>
                          </w:rPr>
                          <w:t>izvērtējums</w:t>
                        </w:r>
                        <w:proofErr w:type="spellEnd"/>
                        <w:r w:rsidRPr="001C6C16">
                          <w:rPr>
                            <w:sz w:val="26"/>
                            <w:szCs w:val="26"/>
                          </w:rPr>
                          <w:t xml:space="preserve"> </w:t>
                        </w:r>
                        <w:r w:rsidR="004B25DD" w:rsidRPr="001C6C16">
                          <w:rPr>
                            <w:sz w:val="26"/>
                            <w:szCs w:val="26"/>
                          </w:rPr>
                          <w:t xml:space="preserve">(ārpakalpojums), kas </w:t>
                        </w:r>
                        <w:r w:rsidR="00681705" w:rsidRPr="001C6C16">
                          <w:rPr>
                            <w:sz w:val="26"/>
                            <w:szCs w:val="26"/>
                          </w:rPr>
                          <w:t>veicams ik pēc 5 gadiem);</w:t>
                        </w:r>
                      </w:p>
                      <w:p w:rsidR="00785E78" w:rsidRPr="001C6C16" w:rsidRDefault="00785E78" w:rsidP="0071352E">
                        <w:pPr>
                          <w:numPr>
                            <w:ilvl w:val="0"/>
                            <w:numId w:val="46"/>
                          </w:numPr>
                          <w:jc w:val="both"/>
                          <w:rPr>
                            <w:sz w:val="26"/>
                            <w:szCs w:val="26"/>
                          </w:rPr>
                        </w:pPr>
                        <w:r w:rsidRPr="001C6C16">
                          <w:rPr>
                            <w:sz w:val="26"/>
                            <w:szCs w:val="26"/>
                          </w:rPr>
                          <w:t>Pēc Eiropas Komisijas Komisijai apstiprinātā parauga izstrādājamā Ilgtspējīgas enerģētikas un klimata stratēģija un valsts en</w:t>
                        </w:r>
                        <w:r w:rsidR="00681705" w:rsidRPr="001C6C16">
                          <w:rPr>
                            <w:sz w:val="26"/>
                            <w:szCs w:val="26"/>
                          </w:rPr>
                          <w:t>ergoefektivitātes rīcības plāns.</w:t>
                        </w:r>
                      </w:p>
                      <w:p w:rsidR="00785E78" w:rsidRPr="001C6C16" w:rsidRDefault="004B25DD" w:rsidP="00785E78">
                        <w:pPr>
                          <w:jc w:val="both"/>
                          <w:rPr>
                            <w:sz w:val="26"/>
                            <w:szCs w:val="26"/>
                          </w:rPr>
                        </w:pPr>
                        <w:r w:rsidRPr="001C6C16">
                          <w:rPr>
                            <w:sz w:val="26"/>
                            <w:szCs w:val="26"/>
                          </w:rPr>
                          <w:t>Lai nodrošinātu minēto d</w:t>
                        </w:r>
                        <w:r w:rsidR="00BD27F4" w:rsidRPr="001C6C16">
                          <w:rPr>
                            <w:sz w:val="26"/>
                            <w:szCs w:val="26"/>
                          </w:rPr>
                          <w:t>o</w:t>
                        </w:r>
                        <w:r w:rsidRPr="001C6C16">
                          <w:rPr>
                            <w:sz w:val="26"/>
                            <w:szCs w:val="26"/>
                          </w:rPr>
                          <w:t>kumentu sagatavošanu, paredzamas šādas izmaksas:</w:t>
                        </w:r>
                      </w:p>
                      <w:p w:rsidR="004B25DD" w:rsidRPr="001C6C16" w:rsidRDefault="004B25DD" w:rsidP="00785E78">
                        <w:pPr>
                          <w:jc w:val="both"/>
                          <w:rPr>
                            <w:sz w:val="26"/>
                            <w:szCs w:val="26"/>
                          </w:rPr>
                        </w:pPr>
                        <w:r w:rsidRPr="001C6C16">
                          <w:rPr>
                            <w:sz w:val="26"/>
                            <w:szCs w:val="26"/>
                          </w:rPr>
                          <w:t xml:space="preserve">2017.gadā – 25 314 </w:t>
                        </w:r>
                        <w:proofErr w:type="spellStart"/>
                        <w:r w:rsidRPr="001C6C16">
                          <w:rPr>
                            <w:sz w:val="26"/>
                            <w:szCs w:val="26"/>
                          </w:rPr>
                          <w:t>euro</w:t>
                        </w:r>
                        <w:proofErr w:type="spellEnd"/>
                        <w:r w:rsidRPr="001C6C16">
                          <w:rPr>
                            <w:sz w:val="26"/>
                            <w:szCs w:val="26"/>
                          </w:rPr>
                          <w:t xml:space="preserve"> apmērā;</w:t>
                        </w:r>
                      </w:p>
                      <w:p w:rsidR="00C3768E" w:rsidRPr="001C6C16" w:rsidRDefault="004B25DD" w:rsidP="00785E78">
                        <w:pPr>
                          <w:jc w:val="both"/>
                          <w:rPr>
                            <w:sz w:val="26"/>
                            <w:szCs w:val="26"/>
                          </w:rPr>
                        </w:pPr>
                        <w:r w:rsidRPr="001C6C16">
                          <w:rPr>
                            <w:sz w:val="26"/>
                            <w:szCs w:val="26"/>
                          </w:rPr>
                          <w:t xml:space="preserve">2018.gadā </w:t>
                        </w:r>
                        <w:r w:rsidR="00C3768E" w:rsidRPr="001C6C16">
                          <w:rPr>
                            <w:sz w:val="26"/>
                            <w:szCs w:val="26"/>
                          </w:rPr>
                          <w:t xml:space="preserve">– 42 000 </w:t>
                        </w:r>
                        <w:proofErr w:type="spellStart"/>
                        <w:r w:rsidR="00C3768E" w:rsidRPr="001C6C16">
                          <w:rPr>
                            <w:sz w:val="26"/>
                            <w:szCs w:val="26"/>
                          </w:rPr>
                          <w:t>euro</w:t>
                        </w:r>
                        <w:proofErr w:type="spellEnd"/>
                        <w:r w:rsidR="00C3768E" w:rsidRPr="001C6C16">
                          <w:rPr>
                            <w:sz w:val="26"/>
                            <w:szCs w:val="26"/>
                          </w:rPr>
                          <w:t xml:space="preserve"> apmērā;</w:t>
                        </w:r>
                      </w:p>
                      <w:p w:rsidR="004B25DD" w:rsidRPr="001C6C16" w:rsidRDefault="00C3768E" w:rsidP="00785E78">
                        <w:pPr>
                          <w:jc w:val="both"/>
                          <w:rPr>
                            <w:sz w:val="26"/>
                            <w:szCs w:val="26"/>
                          </w:rPr>
                        </w:pPr>
                        <w:r w:rsidRPr="001C6C16">
                          <w:rPr>
                            <w:sz w:val="26"/>
                            <w:szCs w:val="26"/>
                          </w:rPr>
                          <w:t xml:space="preserve">2019.gadā - </w:t>
                        </w:r>
                        <w:r w:rsidR="004B25DD" w:rsidRPr="001C6C16">
                          <w:rPr>
                            <w:sz w:val="26"/>
                            <w:szCs w:val="26"/>
                          </w:rPr>
                          <w:t xml:space="preserve"> </w:t>
                        </w:r>
                        <w:r w:rsidR="00FC39AC" w:rsidRPr="001C6C16">
                          <w:rPr>
                            <w:sz w:val="26"/>
                            <w:szCs w:val="26"/>
                          </w:rPr>
                          <w:t xml:space="preserve">24 900 </w:t>
                        </w:r>
                        <w:proofErr w:type="spellStart"/>
                        <w:r w:rsidR="00FC39AC" w:rsidRPr="001C6C16">
                          <w:rPr>
                            <w:sz w:val="26"/>
                            <w:szCs w:val="26"/>
                          </w:rPr>
                          <w:t>euro</w:t>
                        </w:r>
                        <w:proofErr w:type="spellEnd"/>
                        <w:r w:rsidR="00FC39AC" w:rsidRPr="001C6C16">
                          <w:rPr>
                            <w:sz w:val="26"/>
                            <w:szCs w:val="26"/>
                          </w:rPr>
                          <w:t xml:space="preserve"> apmērā</w:t>
                        </w:r>
                      </w:p>
                      <w:p w:rsidR="005B2DB5" w:rsidRPr="001C6C16" w:rsidRDefault="005B2DB5" w:rsidP="00706987">
                        <w:pPr>
                          <w:jc w:val="both"/>
                          <w:rPr>
                            <w:sz w:val="26"/>
                            <w:szCs w:val="26"/>
                          </w:rPr>
                        </w:pPr>
                      </w:p>
                      <w:p w:rsidR="00706987" w:rsidRPr="001C6C16" w:rsidRDefault="002C53D3" w:rsidP="00706987">
                        <w:pPr>
                          <w:jc w:val="both"/>
                          <w:rPr>
                            <w:sz w:val="26"/>
                            <w:szCs w:val="26"/>
                            <w:u w:val="single"/>
                          </w:rPr>
                        </w:pPr>
                        <w:r w:rsidRPr="001C6C16">
                          <w:rPr>
                            <w:sz w:val="26"/>
                            <w:szCs w:val="26"/>
                            <w:u w:val="single"/>
                          </w:rPr>
                          <w:t xml:space="preserve">3) </w:t>
                        </w:r>
                        <w:r w:rsidR="00D827BB" w:rsidRPr="001C6C16">
                          <w:rPr>
                            <w:sz w:val="26"/>
                            <w:szCs w:val="26"/>
                            <w:u w:val="single"/>
                          </w:rPr>
                          <w:t xml:space="preserve">enerģijas </w:t>
                        </w:r>
                        <w:r w:rsidR="00706987" w:rsidRPr="001C6C16">
                          <w:rPr>
                            <w:sz w:val="26"/>
                            <w:szCs w:val="26"/>
                            <w:u w:val="single"/>
                          </w:rPr>
                          <w:t>ie</w:t>
                        </w:r>
                        <w:r w:rsidR="00106FB1" w:rsidRPr="001C6C16">
                          <w:rPr>
                            <w:sz w:val="26"/>
                            <w:szCs w:val="26"/>
                            <w:u w:val="single"/>
                          </w:rPr>
                          <w:t xml:space="preserve">taupījumu </w:t>
                        </w:r>
                        <w:r w:rsidR="00136D9C">
                          <w:rPr>
                            <w:sz w:val="26"/>
                            <w:szCs w:val="26"/>
                            <w:u w:val="single"/>
                          </w:rPr>
                          <w:t>informācijas sistēmas ieviešana</w:t>
                        </w:r>
                        <w:r w:rsidR="00C3768E" w:rsidRPr="001C6C16">
                          <w:rPr>
                            <w:sz w:val="26"/>
                            <w:szCs w:val="26"/>
                            <w:u w:val="single"/>
                          </w:rPr>
                          <w:t xml:space="preserve"> </w:t>
                        </w:r>
                        <w:r w:rsidR="001468F3" w:rsidRPr="001C6C16">
                          <w:rPr>
                            <w:sz w:val="26"/>
                            <w:szCs w:val="26"/>
                            <w:u w:val="single"/>
                          </w:rPr>
                          <w:t xml:space="preserve"> un </w:t>
                        </w:r>
                        <w:r w:rsidR="00136D9C">
                          <w:rPr>
                            <w:sz w:val="26"/>
                            <w:szCs w:val="26"/>
                            <w:u w:val="single"/>
                          </w:rPr>
                          <w:t>uzturēšana</w:t>
                        </w:r>
                        <w:r w:rsidR="00706987" w:rsidRPr="001C6C16">
                          <w:rPr>
                            <w:sz w:val="26"/>
                            <w:szCs w:val="26"/>
                            <w:u w:val="single"/>
                          </w:rPr>
                          <w:t>:</w:t>
                        </w:r>
                      </w:p>
                      <w:p w:rsidR="00706987" w:rsidRPr="001C6C16" w:rsidRDefault="009E2483" w:rsidP="00706987">
                        <w:pPr>
                          <w:jc w:val="both"/>
                          <w:rPr>
                            <w:sz w:val="26"/>
                            <w:szCs w:val="26"/>
                          </w:rPr>
                        </w:pPr>
                        <w:r w:rsidRPr="001C6C16">
                          <w:rPr>
                            <w:sz w:val="26"/>
                            <w:szCs w:val="26"/>
                          </w:rPr>
                          <w:t xml:space="preserve">• </w:t>
                        </w:r>
                        <w:r w:rsidR="00685EFE" w:rsidRPr="001C6C16">
                          <w:rPr>
                            <w:sz w:val="26"/>
                            <w:szCs w:val="26"/>
                          </w:rPr>
                          <w:t xml:space="preserve"> </w:t>
                        </w:r>
                        <w:r w:rsidR="00706987" w:rsidRPr="001C6C16">
                          <w:rPr>
                            <w:sz w:val="26"/>
                            <w:szCs w:val="26"/>
                          </w:rPr>
                          <w:t xml:space="preserve">tehniskās specifikācijas izstrāde (ārpakalpojums) </w:t>
                        </w:r>
                        <w:r w:rsidR="003A473F" w:rsidRPr="001C6C16">
                          <w:rPr>
                            <w:sz w:val="26"/>
                            <w:szCs w:val="26"/>
                          </w:rPr>
                          <w:t xml:space="preserve">2018.gadā </w:t>
                        </w:r>
                        <w:r w:rsidR="00706987" w:rsidRPr="001C6C16">
                          <w:rPr>
                            <w:sz w:val="26"/>
                            <w:szCs w:val="26"/>
                          </w:rPr>
                          <w:t xml:space="preserve">- 20 000 </w:t>
                        </w:r>
                        <w:proofErr w:type="spellStart"/>
                        <w:r w:rsidR="00706987" w:rsidRPr="001C6C16">
                          <w:rPr>
                            <w:sz w:val="26"/>
                            <w:szCs w:val="26"/>
                          </w:rPr>
                          <w:t>euro</w:t>
                        </w:r>
                        <w:proofErr w:type="spellEnd"/>
                        <w:r w:rsidR="00706987" w:rsidRPr="001C6C16">
                          <w:rPr>
                            <w:sz w:val="26"/>
                            <w:szCs w:val="26"/>
                          </w:rPr>
                          <w:t>;</w:t>
                        </w:r>
                      </w:p>
                      <w:p w:rsidR="00706987" w:rsidRPr="001C6C16" w:rsidRDefault="003A473F" w:rsidP="001468F3">
                        <w:pPr>
                          <w:jc w:val="both"/>
                          <w:rPr>
                            <w:sz w:val="26"/>
                            <w:szCs w:val="26"/>
                          </w:rPr>
                        </w:pPr>
                        <w:r w:rsidRPr="001C6C16">
                          <w:rPr>
                            <w:sz w:val="26"/>
                            <w:szCs w:val="26"/>
                          </w:rPr>
                          <w:t xml:space="preserve">• </w:t>
                        </w:r>
                        <w:r w:rsidR="001468F3" w:rsidRPr="001C6C16">
                          <w:rPr>
                            <w:sz w:val="26"/>
                            <w:szCs w:val="26"/>
                          </w:rPr>
                          <w:t xml:space="preserve">informācijas sistēmai </w:t>
                        </w:r>
                        <w:r w:rsidR="00706987" w:rsidRPr="001C6C16">
                          <w:rPr>
                            <w:sz w:val="26"/>
                            <w:szCs w:val="26"/>
                          </w:rPr>
                          <w:t>nepieciešamās infrastruktūras sagatavošana (</w:t>
                        </w:r>
                        <w:r w:rsidR="001468F3" w:rsidRPr="001C6C16">
                          <w:rPr>
                            <w:sz w:val="26"/>
                            <w:szCs w:val="26"/>
                          </w:rPr>
                          <w:t>skaitļošanas jauda [</w:t>
                        </w:r>
                        <w:r w:rsidR="00706987" w:rsidRPr="001C6C16">
                          <w:rPr>
                            <w:sz w:val="26"/>
                            <w:szCs w:val="26"/>
                          </w:rPr>
                          <w:t>serveris</w:t>
                        </w:r>
                        <w:r w:rsidR="001468F3" w:rsidRPr="001C6C16">
                          <w:rPr>
                            <w:sz w:val="26"/>
                            <w:szCs w:val="26"/>
                          </w:rPr>
                          <w:t>]</w:t>
                        </w:r>
                        <w:r w:rsidR="00706987" w:rsidRPr="001C6C16">
                          <w:rPr>
                            <w:sz w:val="26"/>
                            <w:szCs w:val="26"/>
                          </w:rPr>
                          <w:t>,</w:t>
                        </w:r>
                        <w:r w:rsidR="001468F3" w:rsidRPr="001C6C16">
                          <w:rPr>
                            <w:sz w:val="26"/>
                            <w:szCs w:val="26"/>
                          </w:rPr>
                          <w:t xml:space="preserve"> datu glabāšanas un </w:t>
                        </w:r>
                        <w:r w:rsidR="001468F3" w:rsidRPr="001C6C16">
                          <w:rPr>
                            <w:sz w:val="26"/>
                            <w:szCs w:val="26"/>
                          </w:rPr>
                          <w:lastRenderedPageBreak/>
                          <w:t>apstrādāšanas iekārtas</w:t>
                        </w:r>
                        <w:r w:rsidR="00706987" w:rsidRPr="001C6C16">
                          <w:rPr>
                            <w:sz w:val="26"/>
                            <w:szCs w:val="26"/>
                          </w:rPr>
                          <w:t xml:space="preserve"> </w:t>
                        </w:r>
                        <w:r w:rsidR="001468F3" w:rsidRPr="001C6C16">
                          <w:rPr>
                            <w:sz w:val="26"/>
                            <w:szCs w:val="26"/>
                          </w:rPr>
                          <w:t xml:space="preserve">[disku masīvs, komutācijas iekārtas u.tml.] </w:t>
                        </w:r>
                        <w:r w:rsidR="00706987" w:rsidRPr="001C6C16">
                          <w:rPr>
                            <w:sz w:val="26"/>
                            <w:szCs w:val="26"/>
                          </w:rPr>
                          <w:t xml:space="preserve">un </w:t>
                        </w:r>
                        <w:r w:rsidR="001468F3" w:rsidRPr="001C6C16">
                          <w:rPr>
                            <w:sz w:val="26"/>
                            <w:szCs w:val="26"/>
                          </w:rPr>
                          <w:t>nepieciešamās programmatūras</w:t>
                        </w:r>
                        <w:r w:rsidR="00706987" w:rsidRPr="001C6C16">
                          <w:rPr>
                            <w:sz w:val="26"/>
                            <w:szCs w:val="26"/>
                          </w:rPr>
                          <w:t xml:space="preserve"> licenc</w:t>
                        </w:r>
                        <w:r w:rsidR="001468F3" w:rsidRPr="001C6C16">
                          <w:rPr>
                            <w:sz w:val="26"/>
                            <w:szCs w:val="26"/>
                          </w:rPr>
                          <w:t>e</w:t>
                        </w:r>
                        <w:r w:rsidR="00706987" w:rsidRPr="001C6C16">
                          <w:rPr>
                            <w:sz w:val="26"/>
                            <w:szCs w:val="26"/>
                          </w:rPr>
                          <w:t>s)</w:t>
                        </w:r>
                        <w:r w:rsidRPr="001C6C16">
                          <w:rPr>
                            <w:sz w:val="26"/>
                            <w:szCs w:val="26"/>
                          </w:rPr>
                          <w:t xml:space="preserve"> 2018.gadā</w:t>
                        </w:r>
                        <w:r w:rsidR="00706987" w:rsidRPr="001C6C16">
                          <w:rPr>
                            <w:sz w:val="26"/>
                            <w:szCs w:val="26"/>
                          </w:rPr>
                          <w:t xml:space="preserve"> - 40 000 </w:t>
                        </w:r>
                        <w:proofErr w:type="spellStart"/>
                        <w:r w:rsidR="00706987" w:rsidRPr="001C6C16">
                          <w:rPr>
                            <w:sz w:val="26"/>
                            <w:szCs w:val="26"/>
                          </w:rPr>
                          <w:t>euro</w:t>
                        </w:r>
                        <w:proofErr w:type="spellEnd"/>
                        <w:r w:rsidR="00706987" w:rsidRPr="001C6C16">
                          <w:rPr>
                            <w:sz w:val="26"/>
                            <w:szCs w:val="26"/>
                          </w:rPr>
                          <w:t>;</w:t>
                        </w:r>
                      </w:p>
                      <w:p w:rsidR="00C3768E" w:rsidRPr="001C6C16" w:rsidRDefault="009E2483" w:rsidP="00706987">
                        <w:pPr>
                          <w:jc w:val="both"/>
                          <w:rPr>
                            <w:sz w:val="26"/>
                            <w:szCs w:val="26"/>
                          </w:rPr>
                        </w:pPr>
                        <w:r w:rsidRPr="001C6C16">
                          <w:rPr>
                            <w:sz w:val="26"/>
                            <w:szCs w:val="26"/>
                          </w:rPr>
                          <w:t xml:space="preserve">• </w:t>
                        </w:r>
                        <w:r w:rsidR="00E820CC" w:rsidRPr="001C6C16">
                          <w:rPr>
                            <w:sz w:val="26"/>
                            <w:szCs w:val="26"/>
                          </w:rPr>
                          <w:t>informācijas sistēmas</w:t>
                        </w:r>
                        <w:r w:rsidR="003A473F" w:rsidRPr="001C6C16">
                          <w:rPr>
                            <w:sz w:val="26"/>
                            <w:szCs w:val="26"/>
                          </w:rPr>
                          <w:t xml:space="preserve"> izstrāde, ieskaitot </w:t>
                        </w:r>
                        <w:r w:rsidR="00706987" w:rsidRPr="001C6C16">
                          <w:rPr>
                            <w:sz w:val="26"/>
                            <w:szCs w:val="26"/>
                          </w:rPr>
                          <w:t>integrācijas risinājumu un</w:t>
                        </w:r>
                        <w:r w:rsidR="00C3768E" w:rsidRPr="001C6C16">
                          <w:rPr>
                            <w:sz w:val="26"/>
                            <w:szCs w:val="26"/>
                          </w:rPr>
                          <w:t xml:space="preserve"> </w:t>
                        </w:r>
                        <w:r w:rsidR="00706987" w:rsidRPr="001C6C16">
                          <w:rPr>
                            <w:sz w:val="26"/>
                            <w:szCs w:val="26"/>
                          </w:rPr>
                          <w:t>garantijas uz 2 gadiem</w:t>
                        </w:r>
                        <w:r w:rsidR="00FC39AC" w:rsidRPr="001C6C16">
                          <w:rPr>
                            <w:sz w:val="26"/>
                            <w:szCs w:val="26"/>
                          </w:rPr>
                          <w:t xml:space="preserve"> 2018.gadā</w:t>
                        </w:r>
                        <w:r w:rsidR="00706987" w:rsidRPr="001C6C16">
                          <w:rPr>
                            <w:sz w:val="26"/>
                            <w:szCs w:val="26"/>
                          </w:rPr>
                          <w:t xml:space="preserve"> – 120 000 </w:t>
                        </w:r>
                        <w:proofErr w:type="spellStart"/>
                        <w:r w:rsidR="00706987" w:rsidRPr="001C6C16">
                          <w:rPr>
                            <w:sz w:val="26"/>
                            <w:szCs w:val="26"/>
                          </w:rPr>
                          <w:t>euro</w:t>
                        </w:r>
                        <w:proofErr w:type="spellEnd"/>
                        <w:r w:rsidR="00706987" w:rsidRPr="001C6C16">
                          <w:rPr>
                            <w:sz w:val="26"/>
                            <w:szCs w:val="26"/>
                          </w:rPr>
                          <w:t xml:space="preserve"> </w:t>
                        </w:r>
                        <w:r w:rsidR="00FC39AC" w:rsidRPr="001C6C16">
                          <w:rPr>
                            <w:sz w:val="26"/>
                            <w:szCs w:val="26"/>
                          </w:rPr>
                          <w:t xml:space="preserve">un 2019.gadā 90 000 </w:t>
                        </w:r>
                        <w:proofErr w:type="spellStart"/>
                        <w:r w:rsidR="00FC39AC" w:rsidRPr="001C6C16">
                          <w:rPr>
                            <w:sz w:val="26"/>
                            <w:szCs w:val="26"/>
                          </w:rPr>
                          <w:t>euro</w:t>
                        </w:r>
                        <w:proofErr w:type="spellEnd"/>
                        <w:r w:rsidR="00FC39AC" w:rsidRPr="001C6C16">
                          <w:rPr>
                            <w:sz w:val="26"/>
                            <w:szCs w:val="26"/>
                          </w:rPr>
                          <w:t xml:space="preserve"> </w:t>
                        </w:r>
                        <w:r w:rsidR="00706987" w:rsidRPr="001C6C16">
                          <w:rPr>
                            <w:sz w:val="26"/>
                            <w:szCs w:val="26"/>
                          </w:rPr>
                          <w:t>(aprēķinā ietverts izstrādātāju darba</w:t>
                        </w:r>
                        <w:r w:rsidR="00C3768E" w:rsidRPr="001C6C16">
                          <w:rPr>
                            <w:sz w:val="26"/>
                            <w:szCs w:val="26"/>
                          </w:rPr>
                          <w:t xml:space="preserve"> </w:t>
                        </w:r>
                        <w:r w:rsidR="00706987" w:rsidRPr="001C6C16">
                          <w:rPr>
                            <w:sz w:val="26"/>
                            <w:szCs w:val="26"/>
                          </w:rPr>
                          <w:t xml:space="preserve">375 cilvēkdienas un garantijas apkalpošana, dienas likme 320 </w:t>
                        </w:r>
                        <w:proofErr w:type="spellStart"/>
                        <w:r w:rsidR="00706987" w:rsidRPr="001C6C16">
                          <w:rPr>
                            <w:sz w:val="26"/>
                            <w:szCs w:val="26"/>
                          </w:rPr>
                          <w:t>euro</w:t>
                        </w:r>
                        <w:proofErr w:type="spellEnd"/>
                        <w:r w:rsidR="00706987" w:rsidRPr="001C6C16">
                          <w:rPr>
                            <w:sz w:val="26"/>
                            <w:szCs w:val="26"/>
                          </w:rPr>
                          <w:t>)</w:t>
                        </w:r>
                        <w:r w:rsidR="00C3768E" w:rsidRPr="001C6C16">
                          <w:rPr>
                            <w:sz w:val="26"/>
                            <w:szCs w:val="26"/>
                          </w:rPr>
                          <w:t>;</w:t>
                        </w:r>
                      </w:p>
                      <w:p w:rsidR="00365DC1" w:rsidRPr="001C6C16" w:rsidRDefault="009E2483" w:rsidP="00741D3D">
                        <w:pPr>
                          <w:jc w:val="both"/>
                          <w:rPr>
                            <w:sz w:val="26"/>
                            <w:szCs w:val="26"/>
                          </w:rPr>
                        </w:pPr>
                        <w:r w:rsidRPr="001C6C16">
                          <w:rPr>
                            <w:sz w:val="26"/>
                            <w:szCs w:val="26"/>
                          </w:rPr>
                          <w:t xml:space="preserve">• </w:t>
                        </w:r>
                        <w:r w:rsidR="00706987" w:rsidRPr="001C6C16">
                          <w:rPr>
                            <w:sz w:val="26"/>
                            <w:szCs w:val="26"/>
                          </w:rPr>
                          <w:t>programmatūras uzturēšana</w:t>
                        </w:r>
                        <w:r w:rsidR="001468F3" w:rsidRPr="001C6C16">
                          <w:rPr>
                            <w:sz w:val="26"/>
                            <w:szCs w:val="26"/>
                          </w:rPr>
                          <w:t xml:space="preserve"> un jaunu izmaiņu pieprasījumi</w:t>
                        </w:r>
                        <w:r w:rsidR="00706987" w:rsidRPr="001C6C16">
                          <w:rPr>
                            <w:sz w:val="26"/>
                            <w:szCs w:val="26"/>
                          </w:rPr>
                          <w:t xml:space="preserve"> n</w:t>
                        </w:r>
                        <w:r w:rsidR="00741D3D" w:rsidRPr="001C6C16">
                          <w:rPr>
                            <w:sz w:val="26"/>
                            <w:szCs w:val="26"/>
                          </w:rPr>
                          <w:t xml:space="preserve">ākamos 2 gadus pēc ieviešanas </w:t>
                        </w:r>
                        <w:r w:rsidR="00FC39AC" w:rsidRPr="001C6C16">
                          <w:rPr>
                            <w:sz w:val="26"/>
                            <w:szCs w:val="26"/>
                          </w:rPr>
                          <w:t xml:space="preserve">2018.gadā </w:t>
                        </w:r>
                        <w:r w:rsidR="00706987" w:rsidRPr="001C6C16">
                          <w:rPr>
                            <w:sz w:val="26"/>
                            <w:szCs w:val="26"/>
                          </w:rPr>
                          <w:t xml:space="preserve">30 000 </w:t>
                        </w:r>
                        <w:proofErr w:type="spellStart"/>
                        <w:r w:rsidR="00706987" w:rsidRPr="001C6C16">
                          <w:rPr>
                            <w:sz w:val="26"/>
                            <w:szCs w:val="26"/>
                          </w:rPr>
                          <w:t>euro</w:t>
                        </w:r>
                        <w:proofErr w:type="spellEnd"/>
                        <w:r w:rsidR="00FC39AC" w:rsidRPr="001C6C16">
                          <w:rPr>
                            <w:sz w:val="26"/>
                            <w:szCs w:val="26"/>
                          </w:rPr>
                          <w:t xml:space="preserve"> un 2019.gadā 30 000 </w:t>
                        </w:r>
                        <w:proofErr w:type="spellStart"/>
                        <w:r w:rsidR="00FC39AC" w:rsidRPr="001C6C16">
                          <w:rPr>
                            <w:sz w:val="26"/>
                            <w:szCs w:val="26"/>
                          </w:rPr>
                          <w:t>euro</w:t>
                        </w:r>
                        <w:proofErr w:type="spellEnd"/>
                        <w:r w:rsidR="00706987" w:rsidRPr="001C6C16">
                          <w:rPr>
                            <w:sz w:val="26"/>
                            <w:szCs w:val="26"/>
                          </w:rPr>
                          <w:t xml:space="preserve">. </w:t>
                        </w:r>
                      </w:p>
                    </w:tc>
                  </w:tr>
                  <w:tr w:rsidR="00DF6E70" w:rsidRPr="000D6EE3" w:rsidTr="00AA32E9">
                    <w:trPr>
                      <w:gridAfter w:val="1"/>
                      <w:wAfter w:w="360" w:type="dxa"/>
                    </w:trPr>
                    <w:tc>
                      <w:tcPr>
                        <w:tcW w:w="2189" w:type="dxa"/>
                        <w:tcBorders>
                          <w:top w:val="outset" w:sz="6" w:space="0" w:color="000000"/>
                          <w:left w:val="outset" w:sz="6" w:space="0" w:color="000000"/>
                          <w:bottom w:val="outset" w:sz="6" w:space="0" w:color="000000"/>
                          <w:right w:val="outset" w:sz="6" w:space="0" w:color="000000"/>
                        </w:tcBorders>
                      </w:tcPr>
                      <w:p w:rsidR="00DF6E70" w:rsidRPr="000D6EE3" w:rsidRDefault="00DF6E70" w:rsidP="00DF6E70">
                        <w:pPr>
                          <w:spacing w:before="100" w:beforeAutospacing="1" w:after="100" w:afterAutospacing="1"/>
                          <w:rPr>
                            <w:sz w:val="26"/>
                            <w:szCs w:val="26"/>
                          </w:rPr>
                        </w:pPr>
                        <w:r w:rsidRPr="000D6EE3">
                          <w:rPr>
                            <w:sz w:val="26"/>
                            <w:szCs w:val="26"/>
                          </w:rPr>
                          <w:lastRenderedPageBreak/>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rsidR="00616257" w:rsidRPr="001C6C16" w:rsidRDefault="00A530EA" w:rsidP="00BB7A9C">
                        <w:pPr>
                          <w:ind w:left="26"/>
                          <w:jc w:val="both"/>
                          <w:rPr>
                            <w:sz w:val="26"/>
                            <w:szCs w:val="26"/>
                          </w:rPr>
                        </w:pPr>
                        <w:bookmarkStart w:id="0" w:name="_GoBack"/>
                        <w:r w:rsidRPr="001C6C16">
                          <w:rPr>
                            <w:sz w:val="26"/>
                            <w:szCs w:val="26"/>
                          </w:rPr>
                          <w:t xml:space="preserve">Likumprojekta “Par valsts budžetu 2017. gadam” un likumprojekta "Par vidēja termiņa budžeta ietvaru 2017., 2018. un 2019.gadam" sagatavošanas procesā Ekonomikas ministrija iesniegs Finanšu ministrijai informāciju par valsts budžeta ieņēmumu no energoefektivitātes nodevas prognozi, atbilstoši kurai </w:t>
                        </w:r>
                        <w:proofErr w:type="spellStart"/>
                        <w:r w:rsidRPr="001C6C16">
                          <w:rPr>
                            <w:sz w:val="26"/>
                            <w:szCs w:val="26"/>
                          </w:rPr>
                          <w:t>jaunizveidojamajā</w:t>
                        </w:r>
                        <w:proofErr w:type="spellEnd"/>
                        <w:r w:rsidRPr="001C6C16">
                          <w:rPr>
                            <w:sz w:val="26"/>
                            <w:szCs w:val="26"/>
                          </w:rPr>
                          <w:t xml:space="preserve"> Ekonomikas ministrijas budžeta programmā/apakšprogrammā tiks ieplānota dotācija no vispārējiem ieņēmumiem un tai atbilstoši izdevumi.</w:t>
                        </w:r>
                        <w:bookmarkEnd w:id="0"/>
                      </w:p>
                    </w:tc>
                  </w:tr>
                </w:tbl>
                <w:p w:rsidR="00DF6E70" w:rsidRPr="000D6EE3" w:rsidRDefault="00DF6E70" w:rsidP="00DF6E70">
                  <w:pPr>
                    <w:jc w:val="center"/>
                    <w:rPr>
                      <w:bCs/>
                      <w:i/>
                      <w:sz w:val="26"/>
                      <w:szCs w:val="26"/>
                    </w:rPr>
                  </w:pPr>
                </w:p>
              </w:tc>
            </w:tr>
          </w:tbl>
          <w:p w:rsidR="00DF6E70" w:rsidRPr="000D6EE3" w:rsidRDefault="00DF6E70" w:rsidP="00DF6E70">
            <w:pPr>
              <w:jc w:val="center"/>
              <w:rPr>
                <w:bCs/>
                <w:i/>
                <w:sz w:val="26"/>
                <w:szCs w:val="26"/>
              </w:rPr>
            </w:pPr>
          </w:p>
        </w:tc>
      </w:tr>
    </w:tbl>
    <w:p w:rsidR="000F737F" w:rsidRPr="000D6EE3" w:rsidRDefault="000F737F" w:rsidP="00B74C45">
      <w:pPr>
        <w:pStyle w:val="naisf"/>
        <w:spacing w:before="0" w:after="0"/>
        <w:ind w:firstLine="0"/>
        <w:rPr>
          <w:sz w:val="26"/>
          <w:szCs w:val="2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532"/>
        <w:gridCol w:w="6155"/>
      </w:tblGrid>
      <w:tr w:rsidR="002C10A7" w:rsidRPr="000D6EE3" w:rsidTr="00535E98">
        <w:trPr>
          <w:jc w:val="center"/>
        </w:trPr>
        <w:tc>
          <w:tcPr>
            <w:tcW w:w="10098" w:type="dxa"/>
            <w:gridSpan w:val="3"/>
          </w:tcPr>
          <w:p w:rsidR="002C10A7" w:rsidRPr="000D6EE3" w:rsidRDefault="002C10A7" w:rsidP="00535E98">
            <w:pPr>
              <w:pStyle w:val="naisnod"/>
              <w:spacing w:before="0" w:after="0"/>
              <w:rPr>
                <w:sz w:val="26"/>
                <w:szCs w:val="26"/>
              </w:rPr>
            </w:pPr>
            <w:r w:rsidRPr="000D6EE3">
              <w:rPr>
                <w:sz w:val="26"/>
                <w:szCs w:val="26"/>
              </w:rPr>
              <w:t>IV. Tiesību akta projekta ietekme uz spēkā esošo tiesību normu sistēmu</w:t>
            </w:r>
          </w:p>
        </w:tc>
      </w:tr>
      <w:tr w:rsidR="007E2C13" w:rsidRPr="000D6EE3" w:rsidTr="00090AC8">
        <w:trPr>
          <w:jc w:val="center"/>
        </w:trPr>
        <w:tc>
          <w:tcPr>
            <w:tcW w:w="372" w:type="dxa"/>
          </w:tcPr>
          <w:p w:rsidR="007E2C13" w:rsidRPr="000D6EE3" w:rsidRDefault="007E2C13" w:rsidP="007E2C13">
            <w:pPr>
              <w:pStyle w:val="naiskr"/>
              <w:tabs>
                <w:tab w:val="left" w:pos="2628"/>
              </w:tabs>
              <w:spacing w:before="0" w:after="0"/>
              <w:jc w:val="both"/>
              <w:rPr>
                <w:iCs/>
                <w:sz w:val="26"/>
                <w:szCs w:val="26"/>
              </w:rPr>
            </w:pPr>
            <w:r w:rsidRPr="000D6EE3">
              <w:rPr>
                <w:iCs/>
                <w:sz w:val="26"/>
                <w:szCs w:val="26"/>
              </w:rPr>
              <w:t>1.</w:t>
            </w:r>
          </w:p>
        </w:tc>
        <w:tc>
          <w:tcPr>
            <w:tcW w:w="3544" w:type="dxa"/>
          </w:tcPr>
          <w:p w:rsidR="007E2C13" w:rsidRPr="000D6EE3" w:rsidRDefault="007E2C13" w:rsidP="007E2C13">
            <w:pPr>
              <w:pStyle w:val="naiskr"/>
              <w:tabs>
                <w:tab w:val="left" w:pos="2628"/>
              </w:tabs>
              <w:spacing w:before="0" w:after="0"/>
              <w:jc w:val="both"/>
              <w:rPr>
                <w:iCs/>
                <w:sz w:val="26"/>
                <w:szCs w:val="26"/>
              </w:rPr>
            </w:pPr>
            <w:r w:rsidRPr="000D6EE3">
              <w:rPr>
                <w:sz w:val="26"/>
                <w:szCs w:val="26"/>
              </w:rPr>
              <w:t>Nepieciešamie saistītie tiesību aktu projekti</w:t>
            </w:r>
          </w:p>
        </w:tc>
        <w:tc>
          <w:tcPr>
            <w:tcW w:w="6182" w:type="dxa"/>
          </w:tcPr>
          <w:p w:rsidR="00616257" w:rsidRPr="000D6EE3" w:rsidRDefault="00EA4E98" w:rsidP="000473D0">
            <w:pPr>
              <w:pStyle w:val="naiskr"/>
              <w:tabs>
                <w:tab w:val="left" w:pos="2628"/>
              </w:tabs>
              <w:spacing w:before="0" w:after="0"/>
              <w:jc w:val="both"/>
              <w:rPr>
                <w:iCs/>
                <w:sz w:val="26"/>
                <w:szCs w:val="26"/>
                <w:highlight w:val="yellow"/>
              </w:rPr>
            </w:pPr>
            <w:r w:rsidRPr="000D6EE3">
              <w:rPr>
                <w:iCs/>
                <w:sz w:val="26"/>
                <w:szCs w:val="26"/>
              </w:rPr>
              <w:t>Ministru kabi</w:t>
            </w:r>
            <w:r w:rsidR="00E706F0" w:rsidRPr="000D6EE3">
              <w:rPr>
                <w:iCs/>
                <w:sz w:val="26"/>
                <w:szCs w:val="26"/>
              </w:rPr>
              <w:t>neta noteikumu projekts, kas paredz</w:t>
            </w:r>
            <w:r w:rsidR="00B4461E" w:rsidRPr="000D6EE3">
              <w:rPr>
                <w:iCs/>
                <w:sz w:val="26"/>
                <w:szCs w:val="26"/>
              </w:rPr>
              <w:t xml:space="preserve"> noteik</w:t>
            </w:r>
            <w:r w:rsidR="00E706F0" w:rsidRPr="000D6EE3">
              <w:rPr>
                <w:iCs/>
                <w:sz w:val="26"/>
                <w:szCs w:val="26"/>
              </w:rPr>
              <w:t xml:space="preserve">t </w:t>
            </w:r>
            <w:r w:rsidR="00B4461E" w:rsidRPr="000D6EE3">
              <w:rPr>
                <w:iCs/>
                <w:sz w:val="26"/>
                <w:szCs w:val="26"/>
              </w:rPr>
              <w:t>en</w:t>
            </w:r>
            <w:r w:rsidR="00E706F0" w:rsidRPr="000D6EE3">
              <w:rPr>
                <w:iCs/>
                <w:sz w:val="26"/>
                <w:szCs w:val="26"/>
              </w:rPr>
              <w:t>ergoefektivitātes nodevas apmēru</w:t>
            </w:r>
            <w:r w:rsidR="00B4461E" w:rsidRPr="000D6EE3">
              <w:rPr>
                <w:iCs/>
                <w:sz w:val="26"/>
                <w:szCs w:val="26"/>
              </w:rPr>
              <w:t>, p</w:t>
            </w:r>
            <w:r w:rsidR="00E706F0" w:rsidRPr="000D6EE3">
              <w:rPr>
                <w:iCs/>
                <w:sz w:val="26"/>
                <w:szCs w:val="26"/>
              </w:rPr>
              <w:t>iemērošanas un kontroles kārtību</w:t>
            </w:r>
            <w:r w:rsidR="00B4461E" w:rsidRPr="000D6EE3">
              <w:rPr>
                <w:iCs/>
                <w:sz w:val="26"/>
                <w:szCs w:val="26"/>
              </w:rPr>
              <w:t xml:space="preserve">. </w:t>
            </w:r>
            <w:r w:rsidRPr="000D6EE3">
              <w:rPr>
                <w:iCs/>
                <w:sz w:val="26"/>
                <w:szCs w:val="26"/>
              </w:rPr>
              <w:t xml:space="preserve"> </w:t>
            </w:r>
          </w:p>
        </w:tc>
      </w:tr>
      <w:tr w:rsidR="0084772A" w:rsidRPr="000D6EE3" w:rsidTr="00090AC8">
        <w:trPr>
          <w:jc w:val="center"/>
        </w:trPr>
        <w:tc>
          <w:tcPr>
            <w:tcW w:w="372" w:type="dxa"/>
          </w:tcPr>
          <w:p w:rsidR="0084772A" w:rsidRPr="000D6EE3" w:rsidRDefault="0084772A" w:rsidP="00535E98">
            <w:pPr>
              <w:pStyle w:val="naiskr"/>
              <w:tabs>
                <w:tab w:val="left" w:pos="2628"/>
              </w:tabs>
              <w:spacing w:before="0" w:after="0"/>
              <w:jc w:val="both"/>
              <w:rPr>
                <w:iCs/>
                <w:sz w:val="26"/>
                <w:szCs w:val="26"/>
              </w:rPr>
            </w:pPr>
            <w:r w:rsidRPr="000D6EE3">
              <w:rPr>
                <w:iCs/>
                <w:sz w:val="26"/>
                <w:szCs w:val="26"/>
              </w:rPr>
              <w:t>2.</w:t>
            </w:r>
          </w:p>
        </w:tc>
        <w:tc>
          <w:tcPr>
            <w:tcW w:w="3544" w:type="dxa"/>
          </w:tcPr>
          <w:p w:rsidR="0084772A" w:rsidRPr="000D6EE3" w:rsidRDefault="0084772A" w:rsidP="00535E98">
            <w:pPr>
              <w:pStyle w:val="naiskr"/>
              <w:tabs>
                <w:tab w:val="left" w:pos="2628"/>
              </w:tabs>
              <w:spacing w:before="0" w:after="0"/>
              <w:jc w:val="both"/>
              <w:rPr>
                <w:sz w:val="26"/>
                <w:szCs w:val="26"/>
              </w:rPr>
            </w:pPr>
            <w:r w:rsidRPr="000D6EE3">
              <w:rPr>
                <w:sz w:val="26"/>
                <w:szCs w:val="26"/>
              </w:rPr>
              <w:t>Atbildīgā institūcija</w:t>
            </w:r>
          </w:p>
        </w:tc>
        <w:tc>
          <w:tcPr>
            <w:tcW w:w="6182" w:type="dxa"/>
          </w:tcPr>
          <w:p w:rsidR="0084772A" w:rsidRPr="000D6EE3" w:rsidRDefault="00471969" w:rsidP="00DF6E70">
            <w:pPr>
              <w:pStyle w:val="naiskr"/>
              <w:tabs>
                <w:tab w:val="left" w:pos="2628"/>
              </w:tabs>
              <w:spacing w:before="0" w:after="0"/>
              <w:jc w:val="both"/>
              <w:rPr>
                <w:iCs/>
                <w:sz w:val="26"/>
                <w:szCs w:val="26"/>
                <w:highlight w:val="yellow"/>
              </w:rPr>
            </w:pPr>
            <w:r w:rsidRPr="000D6EE3">
              <w:rPr>
                <w:sz w:val="26"/>
                <w:szCs w:val="26"/>
              </w:rPr>
              <w:t>Ekonomikas</w:t>
            </w:r>
            <w:r w:rsidR="00F9643E" w:rsidRPr="000D6EE3">
              <w:rPr>
                <w:sz w:val="26"/>
                <w:szCs w:val="26"/>
              </w:rPr>
              <w:t xml:space="preserve"> ministrija </w:t>
            </w:r>
          </w:p>
        </w:tc>
      </w:tr>
      <w:tr w:rsidR="002C10A7" w:rsidRPr="000D6EE3" w:rsidTr="00090AC8">
        <w:trPr>
          <w:jc w:val="center"/>
        </w:trPr>
        <w:tc>
          <w:tcPr>
            <w:tcW w:w="372" w:type="dxa"/>
          </w:tcPr>
          <w:p w:rsidR="002C10A7" w:rsidRPr="000D6EE3" w:rsidRDefault="0084772A" w:rsidP="00535E98">
            <w:pPr>
              <w:pStyle w:val="naiskr"/>
              <w:tabs>
                <w:tab w:val="left" w:pos="2628"/>
              </w:tabs>
              <w:spacing w:before="0" w:after="0"/>
              <w:jc w:val="both"/>
              <w:rPr>
                <w:iCs/>
                <w:sz w:val="26"/>
                <w:szCs w:val="26"/>
              </w:rPr>
            </w:pPr>
            <w:r w:rsidRPr="000D6EE3">
              <w:rPr>
                <w:iCs/>
                <w:sz w:val="26"/>
                <w:szCs w:val="26"/>
              </w:rPr>
              <w:t>3.</w:t>
            </w:r>
          </w:p>
        </w:tc>
        <w:tc>
          <w:tcPr>
            <w:tcW w:w="3544" w:type="dxa"/>
          </w:tcPr>
          <w:p w:rsidR="002C10A7" w:rsidRPr="000D6EE3" w:rsidRDefault="002C10A7" w:rsidP="00535E98">
            <w:pPr>
              <w:pStyle w:val="naiskr"/>
              <w:tabs>
                <w:tab w:val="left" w:pos="2628"/>
              </w:tabs>
              <w:spacing w:before="0" w:after="0"/>
              <w:jc w:val="both"/>
              <w:rPr>
                <w:iCs/>
                <w:sz w:val="26"/>
                <w:szCs w:val="26"/>
              </w:rPr>
            </w:pPr>
            <w:r w:rsidRPr="000D6EE3">
              <w:rPr>
                <w:sz w:val="26"/>
                <w:szCs w:val="26"/>
              </w:rPr>
              <w:t>Cita informācija</w:t>
            </w:r>
          </w:p>
        </w:tc>
        <w:tc>
          <w:tcPr>
            <w:tcW w:w="6182" w:type="dxa"/>
          </w:tcPr>
          <w:p w:rsidR="002C10A7" w:rsidRPr="000D6EE3" w:rsidRDefault="002C10A7" w:rsidP="00535E98">
            <w:pPr>
              <w:pStyle w:val="naiskr"/>
              <w:tabs>
                <w:tab w:val="left" w:pos="2628"/>
              </w:tabs>
              <w:spacing w:before="0" w:after="0"/>
              <w:jc w:val="both"/>
              <w:rPr>
                <w:iCs/>
                <w:sz w:val="26"/>
                <w:szCs w:val="26"/>
              </w:rPr>
            </w:pPr>
            <w:r w:rsidRPr="000D6EE3">
              <w:rPr>
                <w:sz w:val="26"/>
                <w:szCs w:val="26"/>
              </w:rPr>
              <w:t>Nav.</w:t>
            </w:r>
          </w:p>
        </w:tc>
      </w:tr>
    </w:tbl>
    <w:p w:rsidR="000F737F" w:rsidRPr="000D6EE3" w:rsidRDefault="000F737F" w:rsidP="006C4607">
      <w:pPr>
        <w:pStyle w:val="naisf"/>
        <w:spacing w:before="0" w:after="0"/>
        <w:rPr>
          <w:sz w:val="26"/>
          <w:szCs w:val="26"/>
        </w:rPr>
      </w:pPr>
    </w:p>
    <w:p w:rsidR="00CC7E8C" w:rsidRPr="000D6EE3" w:rsidRDefault="00CC7E8C" w:rsidP="006C4607">
      <w:pPr>
        <w:pStyle w:val="naisf"/>
        <w:spacing w:before="0" w:after="0"/>
        <w:rPr>
          <w:sz w:val="26"/>
          <w:szCs w:val="26"/>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0D6EE3"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0D6EE3" w:rsidRDefault="002C10A7" w:rsidP="00535E98">
            <w:pPr>
              <w:jc w:val="center"/>
              <w:rPr>
                <w:b/>
                <w:sz w:val="26"/>
                <w:szCs w:val="26"/>
              </w:rPr>
            </w:pPr>
            <w:r w:rsidRPr="000D6EE3">
              <w:rPr>
                <w:b/>
                <w:sz w:val="26"/>
                <w:szCs w:val="26"/>
              </w:rPr>
              <w:t>V. Tiesību akta projekta atbilstība Latvijas Republikas starptautiskajām saistībām</w:t>
            </w:r>
          </w:p>
        </w:tc>
      </w:tr>
      <w:tr w:rsidR="002C10A7" w:rsidRPr="000D6EE3"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0D6EE3" w:rsidRDefault="002C10A7" w:rsidP="00535E98">
            <w:pPr>
              <w:jc w:val="center"/>
              <w:rPr>
                <w:sz w:val="26"/>
                <w:szCs w:val="26"/>
              </w:rPr>
            </w:pPr>
            <w:r w:rsidRPr="000D6EE3">
              <w:rPr>
                <w:i/>
                <w:sz w:val="26"/>
                <w:szCs w:val="26"/>
              </w:rPr>
              <w:t>Projekts šo jomu neskar</w:t>
            </w:r>
          </w:p>
        </w:tc>
      </w:tr>
    </w:tbl>
    <w:p w:rsidR="000F737F" w:rsidRPr="000D6EE3" w:rsidRDefault="000F737F" w:rsidP="006C4607">
      <w:pPr>
        <w:pStyle w:val="naisf"/>
        <w:spacing w:before="0" w:after="0"/>
        <w:rPr>
          <w:sz w:val="26"/>
          <w:szCs w:val="26"/>
        </w:rPr>
      </w:pPr>
    </w:p>
    <w:p w:rsidR="00CC7E8C" w:rsidRPr="000D6EE3" w:rsidRDefault="00CC7E8C" w:rsidP="006C4607">
      <w:pPr>
        <w:pStyle w:val="naisf"/>
        <w:spacing w:before="0" w:after="0"/>
        <w:rPr>
          <w:sz w:val="26"/>
          <w:szCs w:val="2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0D6EE3" w:rsidTr="00535E98">
        <w:trPr>
          <w:jc w:val="center"/>
        </w:trPr>
        <w:tc>
          <w:tcPr>
            <w:tcW w:w="10256" w:type="dxa"/>
          </w:tcPr>
          <w:p w:rsidR="002C10A7" w:rsidRPr="000D6EE3" w:rsidRDefault="002C10A7" w:rsidP="0084772A">
            <w:pPr>
              <w:pStyle w:val="naisnod"/>
              <w:spacing w:before="0" w:after="0"/>
              <w:ind w:left="57" w:right="57"/>
              <w:rPr>
                <w:sz w:val="26"/>
                <w:szCs w:val="26"/>
              </w:rPr>
            </w:pPr>
            <w:r w:rsidRPr="000D6EE3">
              <w:rPr>
                <w:sz w:val="26"/>
                <w:szCs w:val="26"/>
              </w:rPr>
              <w:t xml:space="preserve">VI. Sabiedrības līdzdalība un </w:t>
            </w:r>
            <w:r w:rsidR="0084772A" w:rsidRPr="000D6EE3">
              <w:rPr>
                <w:sz w:val="26"/>
                <w:szCs w:val="26"/>
              </w:rPr>
              <w:t>komunikācijas aktivitātes</w:t>
            </w:r>
          </w:p>
        </w:tc>
      </w:tr>
      <w:tr w:rsidR="0054459C" w:rsidRPr="000D6EE3"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54459C" w:rsidRPr="000D6EE3" w:rsidTr="0054459C">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1.</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84772A">
                  <w:pPr>
                    <w:spacing w:before="100" w:beforeAutospacing="1" w:after="100" w:afterAutospacing="1"/>
                    <w:rPr>
                      <w:sz w:val="26"/>
                      <w:szCs w:val="26"/>
                    </w:rPr>
                  </w:pPr>
                  <w:r w:rsidRPr="000D6EE3">
                    <w:rPr>
                      <w:sz w:val="26"/>
                      <w:szCs w:val="26"/>
                    </w:rPr>
                    <w:t> </w:t>
                  </w:r>
                  <w:r w:rsidR="0084772A" w:rsidRPr="000D6EE3">
                    <w:rPr>
                      <w:sz w:val="26"/>
                      <w:szCs w:val="26"/>
                    </w:rPr>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rsidR="0054459C" w:rsidRPr="000D6EE3" w:rsidRDefault="0054459C" w:rsidP="006221AB">
                  <w:pPr>
                    <w:spacing w:before="100" w:beforeAutospacing="1" w:after="100" w:afterAutospacing="1"/>
                    <w:jc w:val="both"/>
                    <w:rPr>
                      <w:sz w:val="26"/>
                      <w:szCs w:val="26"/>
                    </w:rPr>
                  </w:pPr>
                  <w:r w:rsidRPr="000D6EE3">
                    <w:rPr>
                      <w:sz w:val="26"/>
                      <w:szCs w:val="26"/>
                    </w:rPr>
                    <w:t xml:space="preserve">Informācija par </w:t>
                  </w:r>
                  <w:r w:rsidR="00AC582E" w:rsidRPr="000D6EE3">
                    <w:rPr>
                      <w:sz w:val="26"/>
                      <w:szCs w:val="26"/>
                    </w:rPr>
                    <w:t>likumprojektu</w:t>
                  </w:r>
                  <w:r w:rsidRPr="000D6EE3">
                    <w:rPr>
                      <w:sz w:val="26"/>
                      <w:szCs w:val="26"/>
                    </w:rPr>
                    <w:t xml:space="preserve"> </w:t>
                  </w:r>
                  <w:r w:rsidR="00E77BBD" w:rsidRPr="000D6EE3">
                    <w:rPr>
                      <w:sz w:val="26"/>
                      <w:szCs w:val="26"/>
                    </w:rPr>
                    <w:t xml:space="preserve">2016.gada 19.aprīlī </w:t>
                  </w:r>
                  <w:r w:rsidR="00E12DDB" w:rsidRPr="000D6EE3">
                    <w:rPr>
                      <w:sz w:val="26"/>
                      <w:szCs w:val="26"/>
                    </w:rPr>
                    <w:t>tika</w:t>
                  </w:r>
                  <w:r w:rsidRPr="000D6EE3">
                    <w:rPr>
                      <w:sz w:val="26"/>
                      <w:szCs w:val="26"/>
                    </w:rPr>
                    <w:t xml:space="preserve"> ievietota </w:t>
                  </w:r>
                  <w:r w:rsidR="00471969" w:rsidRPr="000D6EE3">
                    <w:rPr>
                      <w:sz w:val="26"/>
                      <w:szCs w:val="26"/>
                    </w:rPr>
                    <w:t>Ekonomikas</w:t>
                  </w:r>
                  <w:r w:rsidRPr="000D6EE3">
                    <w:rPr>
                      <w:sz w:val="26"/>
                      <w:szCs w:val="26"/>
                    </w:rPr>
                    <w:t xml:space="preserve"> ministrijas mājas lapā</w:t>
                  </w:r>
                  <w:r w:rsidR="00AC582E" w:rsidRPr="000D6EE3">
                    <w:rPr>
                      <w:sz w:val="26"/>
                      <w:szCs w:val="26"/>
                    </w:rPr>
                    <w:t>, publicējot informāciju par likumprojekta  “Grozījumi</w:t>
                  </w:r>
                  <w:r w:rsidR="00471969" w:rsidRPr="000D6EE3">
                    <w:rPr>
                      <w:sz w:val="26"/>
                      <w:szCs w:val="26"/>
                    </w:rPr>
                    <w:t xml:space="preserve"> likumā “Par nodokļiem un nodevām</w:t>
                  </w:r>
                  <w:r w:rsidR="00364F54" w:rsidRPr="000D6EE3">
                    <w:rPr>
                      <w:sz w:val="26"/>
                      <w:szCs w:val="26"/>
                    </w:rPr>
                    <w:t>””</w:t>
                  </w:r>
                  <w:r w:rsidR="009D6061" w:rsidRPr="000D6EE3">
                    <w:rPr>
                      <w:sz w:val="26"/>
                      <w:szCs w:val="26"/>
                    </w:rPr>
                    <w:t xml:space="preserve"> </w:t>
                  </w:r>
                  <w:r w:rsidR="00AC582E" w:rsidRPr="000D6EE3">
                    <w:rPr>
                      <w:sz w:val="26"/>
                      <w:szCs w:val="26"/>
                    </w:rPr>
                    <w:t>izstrādi</w:t>
                  </w:r>
                  <w:r w:rsidRPr="000D6EE3">
                    <w:rPr>
                      <w:sz w:val="26"/>
                      <w:szCs w:val="26"/>
                    </w:rPr>
                    <w:t>.</w:t>
                  </w:r>
                  <w:r w:rsidR="0080361E" w:rsidRPr="000D6EE3">
                    <w:rPr>
                      <w:sz w:val="26"/>
                      <w:szCs w:val="26"/>
                    </w:rPr>
                    <w:t xml:space="preserve"> </w:t>
                  </w:r>
                  <w:r w:rsidR="006221AB">
                    <w:rPr>
                      <w:sz w:val="26"/>
                      <w:szCs w:val="26"/>
                    </w:rPr>
                    <w:t>L</w:t>
                  </w:r>
                  <w:r w:rsidR="00360939" w:rsidRPr="000D6EE3">
                    <w:rPr>
                      <w:sz w:val="26"/>
                      <w:szCs w:val="26"/>
                    </w:rPr>
                    <w:t>ikum</w:t>
                  </w:r>
                  <w:r w:rsidR="0080361E" w:rsidRPr="000D6EE3">
                    <w:rPr>
                      <w:sz w:val="26"/>
                      <w:szCs w:val="26"/>
                    </w:rPr>
                    <w:t>projekt</w:t>
                  </w:r>
                  <w:r w:rsidR="006221AB">
                    <w:rPr>
                      <w:sz w:val="26"/>
                      <w:szCs w:val="26"/>
                    </w:rPr>
                    <w:t>s</w:t>
                  </w:r>
                  <w:r w:rsidR="0080361E" w:rsidRPr="000D6EE3">
                    <w:rPr>
                      <w:sz w:val="26"/>
                      <w:szCs w:val="26"/>
                    </w:rPr>
                    <w:t xml:space="preserve"> </w:t>
                  </w:r>
                  <w:r w:rsidR="006221AB">
                    <w:rPr>
                      <w:sz w:val="26"/>
                      <w:szCs w:val="26"/>
                    </w:rPr>
                    <w:t>tika izsludināts Valsts sekretāru sanāksmē. S</w:t>
                  </w:r>
                  <w:r w:rsidR="0080361E" w:rsidRPr="000D6EE3">
                    <w:rPr>
                      <w:sz w:val="26"/>
                      <w:szCs w:val="26"/>
                    </w:rPr>
                    <w:t>abiedrības turpmāka līdzdalība tiks nodrošināta atbilstoši Ministru kabineta kārtības rullī noteiktajai kārtībai.</w:t>
                  </w:r>
                </w:p>
              </w:tc>
            </w:tr>
            <w:tr w:rsidR="0054459C" w:rsidRPr="000D6EE3" w:rsidTr="0054459C">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2.</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rsidR="0054459C" w:rsidRPr="000D6EE3" w:rsidRDefault="0080361E" w:rsidP="007E1ACD">
                  <w:pPr>
                    <w:spacing w:before="100" w:beforeAutospacing="1" w:after="100" w:afterAutospacing="1"/>
                    <w:jc w:val="both"/>
                    <w:rPr>
                      <w:sz w:val="26"/>
                      <w:szCs w:val="26"/>
                    </w:rPr>
                  </w:pPr>
                  <w:r w:rsidRPr="000D6EE3">
                    <w:rPr>
                      <w:sz w:val="26"/>
                      <w:szCs w:val="26"/>
                    </w:rPr>
                    <w:t>Par Ekonomikas ministrijas mājas l</w:t>
                  </w:r>
                  <w:r w:rsidR="003B37D6" w:rsidRPr="000D6EE3">
                    <w:rPr>
                      <w:sz w:val="26"/>
                      <w:szCs w:val="26"/>
                    </w:rPr>
                    <w:t xml:space="preserve">apā publicēto likumprojektu </w:t>
                  </w:r>
                  <w:r w:rsidRPr="000D6EE3">
                    <w:rPr>
                      <w:sz w:val="26"/>
                      <w:szCs w:val="26"/>
                    </w:rPr>
                    <w:t xml:space="preserve">  sabiedrības viedoklis netika </w:t>
                  </w:r>
                  <w:r w:rsidR="007E1ACD">
                    <w:rPr>
                      <w:sz w:val="26"/>
                      <w:szCs w:val="26"/>
                    </w:rPr>
                    <w:t>saņemts</w:t>
                  </w:r>
                  <w:r w:rsidRPr="000D6EE3">
                    <w:rPr>
                      <w:sz w:val="26"/>
                      <w:szCs w:val="26"/>
                    </w:rPr>
                    <w:t xml:space="preserve">. </w:t>
                  </w:r>
                </w:p>
              </w:tc>
            </w:tr>
            <w:tr w:rsidR="0054459C" w:rsidRPr="000D6EE3" w:rsidTr="007E2C13">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3.</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rsidR="0054459C" w:rsidRPr="000D6EE3" w:rsidRDefault="0080361E" w:rsidP="003B37D6">
                  <w:pPr>
                    <w:spacing w:before="100" w:beforeAutospacing="1" w:after="100" w:afterAutospacing="1"/>
                    <w:jc w:val="both"/>
                    <w:rPr>
                      <w:sz w:val="26"/>
                      <w:szCs w:val="26"/>
                    </w:rPr>
                  </w:pPr>
                  <w:r w:rsidRPr="000D6EE3">
                    <w:rPr>
                      <w:sz w:val="26"/>
                      <w:szCs w:val="26"/>
                    </w:rPr>
                    <w:t>Par Ekonomikas ministrijas mājas lapā publicēto likumpro</w:t>
                  </w:r>
                  <w:r w:rsidR="003B37D6" w:rsidRPr="000D6EE3">
                    <w:rPr>
                      <w:sz w:val="26"/>
                      <w:szCs w:val="26"/>
                    </w:rPr>
                    <w:t xml:space="preserve">jektu </w:t>
                  </w:r>
                  <w:r w:rsidRPr="000D6EE3">
                    <w:rPr>
                      <w:sz w:val="26"/>
                      <w:szCs w:val="26"/>
                    </w:rPr>
                    <w:t xml:space="preserve"> sab</w:t>
                  </w:r>
                  <w:r w:rsidR="007E1ACD">
                    <w:rPr>
                      <w:sz w:val="26"/>
                      <w:szCs w:val="26"/>
                    </w:rPr>
                    <w:t>iedrības viedoklis netika saņemts</w:t>
                  </w:r>
                  <w:r w:rsidRPr="000D6EE3">
                    <w:rPr>
                      <w:sz w:val="26"/>
                      <w:szCs w:val="26"/>
                    </w:rPr>
                    <w:t>.</w:t>
                  </w:r>
                </w:p>
              </w:tc>
            </w:tr>
            <w:tr w:rsidR="0054459C" w:rsidRPr="000D6EE3" w:rsidTr="00F64F3A">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9B253E">
                  <w:pPr>
                    <w:spacing w:before="100" w:beforeAutospacing="1" w:after="100" w:afterAutospacing="1"/>
                    <w:rPr>
                      <w:sz w:val="26"/>
                      <w:szCs w:val="26"/>
                    </w:rPr>
                  </w:pPr>
                  <w:r w:rsidRPr="000D6EE3">
                    <w:rPr>
                      <w:sz w:val="26"/>
                      <w:szCs w:val="26"/>
                    </w:rPr>
                    <w:t> </w:t>
                  </w:r>
                  <w:r w:rsidR="009B253E" w:rsidRPr="000D6EE3">
                    <w:rPr>
                      <w:sz w:val="26"/>
                      <w:szCs w:val="26"/>
                    </w:rPr>
                    <w:t>4</w:t>
                  </w:r>
                  <w:r w:rsidRPr="000D6EE3">
                    <w:rPr>
                      <w:sz w:val="26"/>
                      <w:szCs w:val="26"/>
                    </w:rPr>
                    <w:t>.</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09121E">
                  <w:pPr>
                    <w:spacing w:before="100" w:beforeAutospacing="1" w:after="100" w:afterAutospacing="1"/>
                    <w:rPr>
                      <w:sz w:val="26"/>
                      <w:szCs w:val="26"/>
                    </w:rPr>
                  </w:pPr>
                  <w:r w:rsidRPr="000D6EE3">
                    <w:rPr>
                      <w:sz w:val="26"/>
                      <w:szCs w:val="26"/>
                    </w:rPr>
                    <w:t> Cita informācija</w:t>
                  </w:r>
                </w:p>
              </w:tc>
              <w:tc>
                <w:tcPr>
                  <w:tcW w:w="6161" w:type="dxa"/>
                  <w:tcBorders>
                    <w:top w:val="outset" w:sz="6" w:space="0" w:color="auto"/>
                    <w:left w:val="outset" w:sz="6" w:space="0" w:color="auto"/>
                    <w:bottom w:val="outset" w:sz="6" w:space="0" w:color="auto"/>
                    <w:right w:val="outset" w:sz="6" w:space="0" w:color="auto"/>
                  </w:tcBorders>
                  <w:hideMark/>
                </w:tcPr>
                <w:p w:rsidR="0054459C" w:rsidRPr="000D6EE3" w:rsidRDefault="009E7815" w:rsidP="0052760F">
                  <w:pPr>
                    <w:spacing w:before="100" w:beforeAutospacing="1" w:after="100" w:afterAutospacing="1"/>
                    <w:rPr>
                      <w:sz w:val="26"/>
                      <w:szCs w:val="26"/>
                    </w:rPr>
                  </w:pPr>
                  <w:r w:rsidRPr="000D6EE3">
                    <w:rPr>
                      <w:sz w:val="26"/>
                      <w:szCs w:val="26"/>
                    </w:rPr>
                    <w:t>Nav.</w:t>
                  </w:r>
                </w:p>
              </w:tc>
            </w:tr>
          </w:tbl>
          <w:p w:rsidR="0054459C" w:rsidRPr="000D6EE3" w:rsidRDefault="0054459C">
            <w:pPr>
              <w:rPr>
                <w:sz w:val="26"/>
                <w:szCs w:val="26"/>
              </w:rPr>
            </w:pPr>
          </w:p>
        </w:tc>
      </w:tr>
    </w:tbl>
    <w:p w:rsidR="00924023" w:rsidRPr="000D6EE3" w:rsidRDefault="00924023" w:rsidP="006C4607">
      <w:pPr>
        <w:pStyle w:val="naiskr"/>
        <w:tabs>
          <w:tab w:val="left" w:pos="2628"/>
        </w:tabs>
        <w:spacing w:before="0" w:after="0"/>
        <w:rPr>
          <w:i/>
          <w:sz w:val="26"/>
          <w:szCs w:val="26"/>
        </w:rPr>
      </w:pPr>
    </w:p>
    <w:p w:rsidR="000F737F" w:rsidRPr="000D6EE3" w:rsidRDefault="000F737F" w:rsidP="006C4607">
      <w:pPr>
        <w:pStyle w:val="naiskr"/>
        <w:tabs>
          <w:tab w:val="left" w:pos="2628"/>
        </w:tabs>
        <w:spacing w:before="0" w:after="0"/>
        <w:rPr>
          <w:i/>
          <w:sz w:val="26"/>
          <w:szCs w:val="26"/>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4C49D2" w:rsidRPr="000D6EE3" w:rsidTr="009B253E">
        <w:tc>
          <w:tcPr>
            <w:tcW w:w="10264" w:type="dxa"/>
            <w:gridSpan w:val="3"/>
            <w:tcBorders>
              <w:top w:val="single" w:sz="4" w:space="0" w:color="auto"/>
              <w:left w:val="single" w:sz="4" w:space="0" w:color="auto"/>
              <w:bottom w:val="single" w:sz="4" w:space="0" w:color="auto"/>
              <w:right w:val="single" w:sz="4" w:space="0" w:color="auto"/>
            </w:tcBorders>
          </w:tcPr>
          <w:p w:rsidR="004C49D2" w:rsidRPr="000D6EE3" w:rsidRDefault="004C49D2" w:rsidP="004C49D2">
            <w:pPr>
              <w:pStyle w:val="naisnod"/>
              <w:ind w:left="57" w:right="57"/>
              <w:rPr>
                <w:sz w:val="26"/>
                <w:szCs w:val="26"/>
              </w:rPr>
            </w:pPr>
            <w:r w:rsidRPr="000D6EE3">
              <w:rPr>
                <w:sz w:val="26"/>
                <w:szCs w:val="26"/>
              </w:rPr>
              <w:t>VII. Tiesību akta projekta izpildes nodrošināšana un tās ietekme uz institūcijām</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785058" w:rsidP="004A288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Ekonomikas ministrija</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7F290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Projekta izpildes ietekme uz pārvaldes funkcijām</w:t>
            </w:r>
            <w:r w:rsidR="009B253E" w:rsidRPr="000D6EE3">
              <w:rPr>
                <w:rFonts w:ascii="Times New Roman" w:hAnsi="Times New Roman" w:cs="Times New Roman"/>
                <w:sz w:val="26"/>
                <w:szCs w:val="26"/>
                <w:lang w:val="lv-LV"/>
              </w:rPr>
              <w:t xml:space="preserve"> un institucionālo struktūru.</w:t>
            </w:r>
          </w:p>
          <w:p w:rsidR="009B253E" w:rsidRPr="000D6EE3" w:rsidRDefault="009B253E" w:rsidP="007F290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aiskr"/>
              <w:spacing w:before="0" w:after="0"/>
              <w:jc w:val="both"/>
              <w:rPr>
                <w:iCs/>
                <w:sz w:val="26"/>
                <w:szCs w:val="26"/>
              </w:rPr>
            </w:pPr>
            <w:r w:rsidRPr="000D6EE3">
              <w:rPr>
                <w:sz w:val="26"/>
                <w:szCs w:val="26"/>
              </w:rPr>
              <w:t>Projekts šo jomu neskar.</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Nav.</w:t>
            </w:r>
          </w:p>
        </w:tc>
      </w:tr>
    </w:tbl>
    <w:p w:rsidR="0029614F" w:rsidRPr="000D6EE3" w:rsidRDefault="0029614F" w:rsidP="0029614F">
      <w:pPr>
        <w:pStyle w:val="naisf"/>
        <w:tabs>
          <w:tab w:val="left" w:pos="6804"/>
        </w:tabs>
        <w:ind w:firstLine="0"/>
        <w:rPr>
          <w:sz w:val="26"/>
          <w:szCs w:val="26"/>
        </w:rPr>
      </w:pPr>
    </w:p>
    <w:p w:rsidR="0029614F" w:rsidRPr="000D6EE3" w:rsidRDefault="0029614F" w:rsidP="0029614F">
      <w:pPr>
        <w:pStyle w:val="naisf"/>
        <w:tabs>
          <w:tab w:val="left" w:pos="6804"/>
        </w:tabs>
        <w:rPr>
          <w:sz w:val="26"/>
          <w:szCs w:val="26"/>
        </w:rPr>
      </w:pPr>
      <w:r w:rsidRPr="000D6EE3">
        <w:rPr>
          <w:sz w:val="26"/>
          <w:szCs w:val="26"/>
        </w:rPr>
        <w:t>Iesniedzējs:</w:t>
      </w:r>
    </w:p>
    <w:p w:rsidR="0029614F" w:rsidRPr="000D6EE3" w:rsidRDefault="0029614F" w:rsidP="0029614F">
      <w:pPr>
        <w:pStyle w:val="naisf"/>
        <w:tabs>
          <w:tab w:val="left" w:pos="6804"/>
        </w:tabs>
        <w:rPr>
          <w:sz w:val="26"/>
          <w:szCs w:val="26"/>
        </w:rPr>
      </w:pPr>
      <w:r w:rsidRPr="000D6EE3">
        <w:rPr>
          <w:sz w:val="26"/>
          <w:szCs w:val="26"/>
        </w:rPr>
        <w:t>Ministru prezidenta biedrs,</w:t>
      </w:r>
    </w:p>
    <w:p w:rsidR="0029614F" w:rsidRPr="000D6EE3" w:rsidRDefault="0029614F" w:rsidP="0029614F">
      <w:pPr>
        <w:pStyle w:val="naisf"/>
        <w:tabs>
          <w:tab w:val="left" w:pos="6804"/>
        </w:tabs>
        <w:rPr>
          <w:sz w:val="26"/>
          <w:szCs w:val="26"/>
        </w:rPr>
      </w:pPr>
      <w:r w:rsidRPr="000D6EE3">
        <w:rPr>
          <w:sz w:val="26"/>
          <w:szCs w:val="26"/>
        </w:rPr>
        <w:t>ekonomikas ministrs</w:t>
      </w:r>
      <w:r w:rsidRPr="000D6EE3">
        <w:rPr>
          <w:sz w:val="26"/>
          <w:szCs w:val="26"/>
        </w:rPr>
        <w:tab/>
      </w:r>
      <w:proofErr w:type="spellStart"/>
      <w:r w:rsidRPr="000D6EE3">
        <w:rPr>
          <w:sz w:val="26"/>
          <w:szCs w:val="26"/>
        </w:rPr>
        <w:t>A.Ašeradens</w:t>
      </w:r>
      <w:proofErr w:type="spellEnd"/>
    </w:p>
    <w:p w:rsidR="0029614F" w:rsidRPr="000D6EE3" w:rsidRDefault="0029614F" w:rsidP="00842D73">
      <w:pPr>
        <w:pStyle w:val="naisf"/>
        <w:tabs>
          <w:tab w:val="left" w:pos="6804"/>
        </w:tabs>
        <w:ind w:firstLine="0"/>
        <w:rPr>
          <w:sz w:val="26"/>
          <w:szCs w:val="26"/>
        </w:rPr>
      </w:pPr>
    </w:p>
    <w:p w:rsidR="0087156B" w:rsidRPr="000D6EE3" w:rsidRDefault="0087156B" w:rsidP="0029614F">
      <w:pPr>
        <w:pStyle w:val="naisf"/>
        <w:tabs>
          <w:tab w:val="left" w:pos="6804"/>
        </w:tabs>
        <w:rPr>
          <w:sz w:val="26"/>
          <w:szCs w:val="26"/>
        </w:rPr>
      </w:pPr>
    </w:p>
    <w:p w:rsidR="0029614F" w:rsidRPr="000D6EE3" w:rsidRDefault="0029614F" w:rsidP="0029614F">
      <w:pPr>
        <w:pStyle w:val="naisf"/>
        <w:tabs>
          <w:tab w:val="left" w:pos="6804"/>
        </w:tabs>
        <w:rPr>
          <w:sz w:val="26"/>
          <w:szCs w:val="26"/>
        </w:rPr>
      </w:pPr>
      <w:r w:rsidRPr="000D6EE3">
        <w:rPr>
          <w:sz w:val="26"/>
          <w:szCs w:val="26"/>
        </w:rPr>
        <w:t>Vīza:</w:t>
      </w:r>
    </w:p>
    <w:p w:rsidR="0029614F" w:rsidRPr="000D6EE3" w:rsidRDefault="00ED3A58" w:rsidP="0029614F">
      <w:pPr>
        <w:pStyle w:val="naisf"/>
        <w:tabs>
          <w:tab w:val="left" w:pos="6804"/>
        </w:tabs>
        <w:rPr>
          <w:sz w:val="26"/>
          <w:szCs w:val="26"/>
        </w:rPr>
      </w:pPr>
      <w:r w:rsidRPr="000D6EE3">
        <w:rPr>
          <w:sz w:val="26"/>
          <w:szCs w:val="26"/>
        </w:rPr>
        <w:t xml:space="preserve">Valsts sekretārs                                                                   </w:t>
      </w:r>
      <w:proofErr w:type="spellStart"/>
      <w:r w:rsidRPr="000D6EE3">
        <w:rPr>
          <w:sz w:val="26"/>
          <w:szCs w:val="26"/>
        </w:rPr>
        <w:t>J.Stinka</w:t>
      </w:r>
      <w:proofErr w:type="spellEnd"/>
    </w:p>
    <w:p w:rsidR="00940A2B" w:rsidRDefault="00940A2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34DBF" w:rsidP="00834DBF">
      <w:pPr>
        <w:pStyle w:val="naisf"/>
        <w:tabs>
          <w:tab w:val="left" w:pos="3525"/>
        </w:tabs>
        <w:spacing w:before="0" w:after="0"/>
        <w:ind w:firstLine="0"/>
        <w:rPr>
          <w:sz w:val="28"/>
          <w:szCs w:val="28"/>
        </w:rPr>
      </w:pPr>
      <w:r>
        <w:rPr>
          <w:sz w:val="28"/>
          <w:szCs w:val="28"/>
        </w:rPr>
        <w:tab/>
      </w: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87156B" w:rsidRDefault="0087156B" w:rsidP="003040EA">
      <w:pPr>
        <w:pStyle w:val="naisf"/>
        <w:tabs>
          <w:tab w:val="left" w:pos="6804"/>
        </w:tabs>
        <w:spacing w:before="0" w:after="0"/>
        <w:ind w:firstLine="0"/>
        <w:rPr>
          <w:sz w:val="28"/>
          <w:szCs w:val="28"/>
        </w:rPr>
      </w:pPr>
    </w:p>
    <w:p w:rsidR="000F7CF8" w:rsidRDefault="000F7CF8" w:rsidP="0029446D">
      <w:pPr>
        <w:rPr>
          <w:sz w:val="16"/>
          <w:szCs w:val="16"/>
        </w:rPr>
      </w:pPr>
      <w:r>
        <w:rPr>
          <w:sz w:val="16"/>
          <w:szCs w:val="16"/>
        </w:rPr>
        <w:t>14.07.2016 12:44</w:t>
      </w:r>
    </w:p>
    <w:p w:rsidR="007F290E" w:rsidRPr="00842D73" w:rsidRDefault="0029446D" w:rsidP="0029446D">
      <w:pPr>
        <w:rPr>
          <w:sz w:val="16"/>
          <w:szCs w:val="16"/>
        </w:rPr>
      </w:pPr>
      <w:r w:rsidRPr="00842D73">
        <w:rPr>
          <w:sz w:val="16"/>
          <w:szCs w:val="16"/>
        </w:rPr>
        <w:fldChar w:fldCharType="begin"/>
      </w:r>
      <w:r w:rsidRPr="00842D73">
        <w:rPr>
          <w:sz w:val="16"/>
          <w:szCs w:val="16"/>
        </w:rPr>
        <w:instrText xml:space="preserve"> NUMWORDS   \* MERGEFORMAT </w:instrText>
      </w:r>
      <w:r w:rsidRPr="00842D73">
        <w:rPr>
          <w:sz w:val="16"/>
          <w:szCs w:val="16"/>
        </w:rPr>
        <w:fldChar w:fldCharType="separate"/>
      </w:r>
      <w:r w:rsidR="006221AB">
        <w:rPr>
          <w:noProof/>
          <w:sz w:val="16"/>
          <w:szCs w:val="16"/>
        </w:rPr>
        <w:t>2252</w:t>
      </w:r>
      <w:r w:rsidRPr="00842D73">
        <w:rPr>
          <w:sz w:val="16"/>
          <w:szCs w:val="16"/>
        </w:rPr>
        <w:fldChar w:fldCharType="end"/>
      </w:r>
    </w:p>
    <w:p w:rsidR="0029446D" w:rsidRPr="00842D73" w:rsidRDefault="00981C4D" w:rsidP="0029446D">
      <w:pPr>
        <w:rPr>
          <w:sz w:val="16"/>
          <w:szCs w:val="16"/>
        </w:rPr>
      </w:pPr>
      <w:proofErr w:type="spellStart"/>
      <w:r w:rsidRPr="00842D73">
        <w:rPr>
          <w:sz w:val="16"/>
          <w:szCs w:val="16"/>
        </w:rPr>
        <w:t>I.Grīnberga</w:t>
      </w:r>
      <w:proofErr w:type="spellEnd"/>
    </w:p>
    <w:p w:rsidR="00CC7E8C" w:rsidRPr="00842D73" w:rsidRDefault="00471969" w:rsidP="006E227C">
      <w:pPr>
        <w:rPr>
          <w:sz w:val="16"/>
          <w:szCs w:val="16"/>
        </w:rPr>
      </w:pPr>
      <w:r w:rsidRPr="00842D73">
        <w:rPr>
          <w:sz w:val="16"/>
          <w:szCs w:val="16"/>
        </w:rPr>
        <w:t>67013231</w:t>
      </w:r>
      <w:r w:rsidR="0029446D" w:rsidRPr="00842D73">
        <w:rPr>
          <w:sz w:val="16"/>
          <w:szCs w:val="16"/>
        </w:rPr>
        <w:t xml:space="preserve">, </w:t>
      </w:r>
      <w:hyperlink r:id="rId12" w:history="1">
        <w:r w:rsidR="00216438" w:rsidRPr="00842D73">
          <w:rPr>
            <w:rStyle w:val="Hyperlink"/>
            <w:sz w:val="16"/>
            <w:szCs w:val="16"/>
          </w:rPr>
          <w:t>Ilze.Grinberga@em.gov.lv</w:t>
        </w:r>
      </w:hyperlink>
      <w:r w:rsidR="0029446D" w:rsidRPr="00842D73">
        <w:rPr>
          <w:i/>
          <w:iCs/>
          <w:sz w:val="16"/>
          <w:szCs w:val="16"/>
        </w:rPr>
        <w:t> </w:t>
      </w:r>
    </w:p>
    <w:sectPr w:rsidR="00CC7E8C" w:rsidRPr="00842D73" w:rsidSect="00F62F43">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85" w:rsidRDefault="00E03085">
      <w:r>
        <w:separator/>
      </w:r>
    </w:p>
  </w:endnote>
  <w:endnote w:type="continuationSeparator" w:id="0">
    <w:p w:rsidR="00E03085" w:rsidRDefault="00E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B" w:rsidRDefault="00622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Pr="00D442BD" w:rsidRDefault="00981C4D" w:rsidP="00D442BD">
    <w:pPr>
      <w:pStyle w:val="Footer"/>
      <w:jc w:val="both"/>
    </w:pPr>
    <w:r>
      <w:rPr>
        <w:sz w:val="20"/>
        <w:szCs w:val="20"/>
      </w:rPr>
      <w:t>E</w:t>
    </w:r>
    <w:r w:rsidR="00B17B6B">
      <w:rPr>
        <w:sz w:val="20"/>
        <w:szCs w:val="20"/>
      </w:rPr>
      <w:t>MAnot_</w:t>
    </w:r>
    <w:r w:rsidR="000F7CF8">
      <w:rPr>
        <w:sz w:val="20"/>
        <w:szCs w:val="20"/>
      </w:rPr>
      <w:t>13</w:t>
    </w:r>
    <w:r w:rsidR="00515FF6">
      <w:rPr>
        <w:sz w:val="20"/>
        <w:szCs w:val="20"/>
      </w:rPr>
      <w:t>07</w:t>
    </w:r>
    <w:r w:rsidR="00B17B6B">
      <w:rPr>
        <w:sz w:val="20"/>
        <w:szCs w:val="20"/>
      </w:rPr>
      <w:t>16</w:t>
    </w:r>
    <w:r w:rsidR="00B17B6B" w:rsidRPr="002A3E3E">
      <w:rPr>
        <w:sz w:val="20"/>
        <w:szCs w:val="20"/>
      </w:rPr>
      <w:t>_</w:t>
    </w:r>
    <w:r w:rsidR="00B17B6B">
      <w:rPr>
        <w:sz w:val="20"/>
        <w:szCs w:val="20"/>
      </w:rPr>
      <w:t>NNL</w:t>
    </w:r>
    <w:r w:rsidR="00B17B6B" w:rsidRPr="002A3E3E">
      <w:rPr>
        <w:sz w:val="20"/>
        <w:szCs w:val="20"/>
      </w:rPr>
      <w:t>; Likumprojekta „</w:t>
    </w:r>
    <w:r w:rsidR="003D7DF3">
      <w:rPr>
        <w:sz w:val="20"/>
        <w:szCs w:val="20"/>
      </w:rPr>
      <w:t>Grozījumi</w:t>
    </w:r>
    <w:r w:rsidR="00B17B6B">
      <w:rPr>
        <w:sz w:val="20"/>
        <w:szCs w:val="20"/>
      </w:rPr>
      <w:t xml:space="preserve"> likumā „Par nodokļiem un nodevām”</w:t>
    </w:r>
    <w:r w:rsidR="00B17B6B" w:rsidRPr="002A3E3E">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Pr="0029446D" w:rsidRDefault="00981C4D" w:rsidP="0029446D">
    <w:pPr>
      <w:pStyle w:val="Footer"/>
      <w:jc w:val="both"/>
    </w:pPr>
    <w:r>
      <w:rPr>
        <w:sz w:val="20"/>
        <w:szCs w:val="20"/>
      </w:rPr>
      <w:t>E</w:t>
    </w:r>
    <w:r w:rsidR="0009121E">
      <w:rPr>
        <w:sz w:val="20"/>
        <w:szCs w:val="20"/>
      </w:rPr>
      <w:t>MAnot_</w:t>
    </w:r>
    <w:r w:rsidR="006221AB">
      <w:rPr>
        <w:sz w:val="20"/>
        <w:szCs w:val="20"/>
      </w:rPr>
      <w:t>13</w:t>
    </w:r>
    <w:r w:rsidR="00515FF6">
      <w:rPr>
        <w:sz w:val="20"/>
        <w:szCs w:val="20"/>
      </w:rPr>
      <w:t>07</w:t>
    </w:r>
    <w:r w:rsidR="00B17B6B">
      <w:rPr>
        <w:sz w:val="20"/>
        <w:szCs w:val="20"/>
      </w:rPr>
      <w:t>16</w:t>
    </w:r>
    <w:r w:rsidR="00B17B6B" w:rsidRPr="002A3E3E">
      <w:rPr>
        <w:sz w:val="20"/>
        <w:szCs w:val="20"/>
      </w:rPr>
      <w:t>_</w:t>
    </w:r>
    <w:r w:rsidR="00B17B6B">
      <w:rPr>
        <w:sz w:val="20"/>
        <w:szCs w:val="20"/>
      </w:rPr>
      <w:t>NNL</w:t>
    </w:r>
    <w:r w:rsidR="00B17B6B" w:rsidRPr="002A3E3E">
      <w:rPr>
        <w:sz w:val="20"/>
        <w:szCs w:val="20"/>
      </w:rPr>
      <w:t>; Likumprojekta „</w:t>
    </w:r>
    <w:r w:rsidR="00B17B6B">
      <w:rPr>
        <w:sz w:val="20"/>
        <w:szCs w:val="20"/>
      </w:rPr>
      <w:t>Grozījumi likumā „Par nodokļiem un nodevām”</w:t>
    </w:r>
    <w:r w:rsidR="00B17B6B" w:rsidRPr="002A3E3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85" w:rsidRDefault="00E03085">
      <w:r>
        <w:separator/>
      </w:r>
    </w:p>
  </w:footnote>
  <w:footnote w:type="continuationSeparator" w:id="0">
    <w:p w:rsidR="00E03085" w:rsidRDefault="00E0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B6B" w:rsidRDefault="00B17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49A">
      <w:rPr>
        <w:rStyle w:val="PageNumber"/>
        <w:noProof/>
      </w:rPr>
      <w:t>9</w:t>
    </w:r>
    <w:r>
      <w:rPr>
        <w:rStyle w:val="PageNumber"/>
      </w:rPr>
      <w:fldChar w:fldCharType="end"/>
    </w:r>
  </w:p>
  <w:p w:rsidR="00B17B6B" w:rsidRPr="002C0A7A" w:rsidRDefault="00B17B6B" w:rsidP="007F290E">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AB" w:rsidRDefault="0062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901E2B"/>
    <w:multiLevelType w:val="hybridMultilevel"/>
    <w:tmpl w:val="4FC49982"/>
    <w:lvl w:ilvl="0" w:tplc="0056530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7113BA"/>
    <w:multiLevelType w:val="hybridMultilevel"/>
    <w:tmpl w:val="D3666D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3" w15:restartNumberingAfterBreak="0">
    <w:nsid w:val="2BFB7720"/>
    <w:multiLevelType w:val="hybridMultilevel"/>
    <w:tmpl w:val="5ADC00EC"/>
    <w:lvl w:ilvl="0" w:tplc="64F21A68">
      <w:start w:val="1"/>
      <w:numFmt w:val="lowerLetter"/>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10D73DC"/>
    <w:multiLevelType w:val="hybridMultilevel"/>
    <w:tmpl w:val="41C23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B223B7"/>
    <w:multiLevelType w:val="hybridMultilevel"/>
    <w:tmpl w:val="ADF2BD02"/>
    <w:lvl w:ilvl="0" w:tplc="55C0291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9"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0"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3FBA7926"/>
    <w:multiLevelType w:val="hybridMultilevel"/>
    <w:tmpl w:val="4E5C737A"/>
    <w:lvl w:ilvl="0" w:tplc="9308133C">
      <w:start w:val="2"/>
      <w:numFmt w:val="lowerLetter"/>
      <w:lvlText w:val="%1)"/>
      <w:lvlJc w:val="left"/>
      <w:pPr>
        <w:ind w:left="746" w:hanging="360"/>
      </w:pPr>
      <w:rPr>
        <w:rFonts w:hint="default"/>
        <w:i/>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386C0C"/>
    <w:multiLevelType w:val="hybridMultilevel"/>
    <w:tmpl w:val="816EF8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B497874"/>
    <w:multiLevelType w:val="hybridMultilevel"/>
    <w:tmpl w:val="0BA8A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E5728"/>
    <w:multiLevelType w:val="hybridMultilevel"/>
    <w:tmpl w:val="F2D8D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33" w15:restartNumberingAfterBreak="0">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0CE04DC"/>
    <w:multiLevelType w:val="hybridMultilevel"/>
    <w:tmpl w:val="97087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8B9456F"/>
    <w:multiLevelType w:val="hybridMultilevel"/>
    <w:tmpl w:val="17707032"/>
    <w:lvl w:ilvl="0" w:tplc="A13ABBDA">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745B1D"/>
    <w:multiLevelType w:val="hybridMultilevel"/>
    <w:tmpl w:val="884EC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810322"/>
    <w:multiLevelType w:val="hybridMultilevel"/>
    <w:tmpl w:val="D57467C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4"/>
  </w:num>
  <w:num w:numId="2">
    <w:abstractNumId w:val="35"/>
  </w:num>
  <w:num w:numId="3">
    <w:abstractNumId w:val="11"/>
  </w:num>
  <w:num w:numId="4">
    <w:abstractNumId w:val="8"/>
  </w:num>
  <w:num w:numId="5">
    <w:abstractNumId w:val="2"/>
  </w:num>
  <w:num w:numId="6">
    <w:abstractNumId w:val="29"/>
  </w:num>
  <w:num w:numId="7">
    <w:abstractNumId w:val="37"/>
  </w:num>
  <w:num w:numId="8">
    <w:abstractNumId w:val="24"/>
  </w:num>
  <w:num w:numId="9">
    <w:abstractNumId w:val="10"/>
  </w:num>
  <w:num w:numId="10">
    <w:abstractNumId w:val="25"/>
  </w:num>
  <w:num w:numId="11">
    <w:abstractNumId w:val="26"/>
  </w:num>
  <w:num w:numId="12">
    <w:abstractNumId w:val="30"/>
  </w:num>
  <w:num w:numId="13">
    <w:abstractNumId w:val="34"/>
  </w:num>
  <w:num w:numId="14">
    <w:abstractNumId w:val="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0"/>
  </w:num>
  <w:num w:numId="20">
    <w:abstractNumId w:val="12"/>
  </w:num>
  <w:num w:numId="21">
    <w:abstractNumId w:val="32"/>
  </w:num>
  <w:num w:numId="22">
    <w:abstractNumId w:val="17"/>
  </w:num>
  <w:num w:numId="23">
    <w:abstractNumId w:val="28"/>
  </w:num>
  <w:num w:numId="24">
    <w:abstractNumId w:val="21"/>
  </w:num>
  <w:num w:numId="25">
    <w:abstractNumId w:val="27"/>
  </w:num>
  <w:num w:numId="26">
    <w:abstractNumId w:val="13"/>
  </w:num>
  <w:num w:numId="27">
    <w:abstractNumId w:val="38"/>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6"/>
  </w:num>
  <w:num w:numId="35">
    <w:abstractNumId w:val="31"/>
  </w:num>
  <w:num w:numId="36">
    <w:abstractNumId w:val="4"/>
  </w:num>
  <w:num w:numId="37">
    <w:abstractNumId w:val="1"/>
  </w:num>
  <w:num w:numId="38">
    <w:abstractNumId w:val="36"/>
  </w:num>
  <w:num w:numId="39">
    <w:abstractNumId w:val="7"/>
  </w:num>
  <w:num w:numId="40">
    <w:abstractNumId w:val="40"/>
  </w:num>
  <w:num w:numId="41">
    <w:abstractNumId w:val="9"/>
  </w:num>
  <w:num w:numId="42">
    <w:abstractNumId w:val="33"/>
  </w:num>
  <w:num w:numId="43">
    <w:abstractNumId w:val="5"/>
  </w:num>
  <w:num w:numId="44">
    <w:abstractNumId w:val="22"/>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835"/>
    <w:rsid w:val="00003C7B"/>
    <w:rsid w:val="0000414C"/>
    <w:rsid w:val="0000641C"/>
    <w:rsid w:val="00007482"/>
    <w:rsid w:val="000074E0"/>
    <w:rsid w:val="00011C00"/>
    <w:rsid w:val="00011D24"/>
    <w:rsid w:val="000122C5"/>
    <w:rsid w:val="00013FF4"/>
    <w:rsid w:val="00014656"/>
    <w:rsid w:val="00015213"/>
    <w:rsid w:val="00017EAF"/>
    <w:rsid w:val="00020FE1"/>
    <w:rsid w:val="00022C33"/>
    <w:rsid w:val="00022E13"/>
    <w:rsid w:val="00024B15"/>
    <w:rsid w:val="00027394"/>
    <w:rsid w:val="00032388"/>
    <w:rsid w:val="00032543"/>
    <w:rsid w:val="00035CE2"/>
    <w:rsid w:val="00035DDF"/>
    <w:rsid w:val="00037354"/>
    <w:rsid w:val="00041806"/>
    <w:rsid w:val="00041EC3"/>
    <w:rsid w:val="0004515A"/>
    <w:rsid w:val="000473D0"/>
    <w:rsid w:val="00047A4D"/>
    <w:rsid w:val="0005280A"/>
    <w:rsid w:val="00054EC4"/>
    <w:rsid w:val="0005553B"/>
    <w:rsid w:val="00057273"/>
    <w:rsid w:val="000604D2"/>
    <w:rsid w:val="00061587"/>
    <w:rsid w:val="000637E1"/>
    <w:rsid w:val="0006517C"/>
    <w:rsid w:val="00065998"/>
    <w:rsid w:val="00070D7A"/>
    <w:rsid w:val="00080158"/>
    <w:rsid w:val="000806F1"/>
    <w:rsid w:val="00082FB0"/>
    <w:rsid w:val="000870D1"/>
    <w:rsid w:val="0009005E"/>
    <w:rsid w:val="00090AC8"/>
    <w:rsid w:val="0009121E"/>
    <w:rsid w:val="00092367"/>
    <w:rsid w:val="000941C5"/>
    <w:rsid w:val="0009495E"/>
    <w:rsid w:val="00095B88"/>
    <w:rsid w:val="000960B1"/>
    <w:rsid w:val="000A0989"/>
    <w:rsid w:val="000A3697"/>
    <w:rsid w:val="000A45E6"/>
    <w:rsid w:val="000A6451"/>
    <w:rsid w:val="000A6D61"/>
    <w:rsid w:val="000A7BC4"/>
    <w:rsid w:val="000B064E"/>
    <w:rsid w:val="000B1545"/>
    <w:rsid w:val="000B1F91"/>
    <w:rsid w:val="000B301B"/>
    <w:rsid w:val="000B33B3"/>
    <w:rsid w:val="000B69CF"/>
    <w:rsid w:val="000B6D63"/>
    <w:rsid w:val="000B7357"/>
    <w:rsid w:val="000C0AE4"/>
    <w:rsid w:val="000C1E30"/>
    <w:rsid w:val="000C4D73"/>
    <w:rsid w:val="000C5857"/>
    <w:rsid w:val="000C5E59"/>
    <w:rsid w:val="000C5ECF"/>
    <w:rsid w:val="000C5F27"/>
    <w:rsid w:val="000C6DD5"/>
    <w:rsid w:val="000C790C"/>
    <w:rsid w:val="000D0891"/>
    <w:rsid w:val="000D3AED"/>
    <w:rsid w:val="000D4868"/>
    <w:rsid w:val="000D6EE3"/>
    <w:rsid w:val="000D7C3C"/>
    <w:rsid w:val="000D7C47"/>
    <w:rsid w:val="000E1B69"/>
    <w:rsid w:val="000E7B95"/>
    <w:rsid w:val="000F0516"/>
    <w:rsid w:val="000F061D"/>
    <w:rsid w:val="000F1982"/>
    <w:rsid w:val="000F3026"/>
    <w:rsid w:val="000F4794"/>
    <w:rsid w:val="000F5458"/>
    <w:rsid w:val="000F737F"/>
    <w:rsid w:val="000F7690"/>
    <w:rsid w:val="000F7CF8"/>
    <w:rsid w:val="001002C6"/>
    <w:rsid w:val="00100EF9"/>
    <w:rsid w:val="001010FC"/>
    <w:rsid w:val="00105059"/>
    <w:rsid w:val="00105634"/>
    <w:rsid w:val="00106FB1"/>
    <w:rsid w:val="00115838"/>
    <w:rsid w:val="00117E30"/>
    <w:rsid w:val="00120881"/>
    <w:rsid w:val="00124F12"/>
    <w:rsid w:val="00125C78"/>
    <w:rsid w:val="00133F30"/>
    <w:rsid w:val="001347F7"/>
    <w:rsid w:val="00136A2F"/>
    <w:rsid w:val="00136D9C"/>
    <w:rsid w:val="00141024"/>
    <w:rsid w:val="001417B4"/>
    <w:rsid w:val="00142EFC"/>
    <w:rsid w:val="00144E3A"/>
    <w:rsid w:val="00145747"/>
    <w:rsid w:val="001468F3"/>
    <w:rsid w:val="00146D89"/>
    <w:rsid w:val="0015060C"/>
    <w:rsid w:val="0015498F"/>
    <w:rsid w:val="0015566D"/>
    <w:rsid w:val="00155C69"/>
    <w:rsid w:val="0016018A"/>
    <w:rsid w:val="00161F0E"/>
    <w:rsid w:val="00164E48"/>
    <w:rsid w:val="00165B11"/>
    <w:rsid w:val="0016758D"/>
    <w:rsid w:val="00167B4C"/>
    <w:rsid w:val="00167DE7"/>
    <w:rsid w:val="00170CB8"/>
    <w:rsid w:val="00170E2A"/>
    <w:rsid w:val="00172CB0"/>
    <w:rsid w:val="0017387F"/>
    <w:rsid w:val="001756C7"/>
    <w:rsid w:val="00176C74"/>
    <w:rsid w:val="00177394"/>
    <w:rsid w:val="00180EB9"/>
    <w:rsid w:val="00182462"/>
    <w:rsid w:val="00182C18"/>
    <w:rsid w:val="001838CD"/>
    <w:rsid w:val="00183CC2"/>
    <w:rsid w:val="00186235"/>
    <w:rsid w:val="001900E4"/>
    <w:rsid w:val="00190F88"/>
    <w:rsid w:val="00192B82"/>
    <w:rsid w:val="001A2E25"/>
    <w:rsid w:val="001A4066"/>
    <w:rsid w:val="001A4FCA"/>
    <w:rsid w:val="001A6AE4"/>
    <w:rsid w:val="001A769D"/>
    <w:rsid w:val="001B01FD"/>
    <w:rsid w:val="001B1F86"/>
    <w:rsid w:val="001B3707"/>
    <w:rsid w:val="001B4A71"/>
    <w:rsid w:val="001B52F1"/>
    <w:rsid w:val="001C03A4"/>
    <w:rsid w:val="001C087B"/>
    <w:rsid w:val="001C1198"/>
    <w:rsid w:val="001C1B08"/>
    <w:rsid w:val="001C1D4B"/>
    <w:rsid w:val="001C1F29"/>
    <w:rsid w:val="001C34A0"/>
    <w:rsid w:val="001C3B51"/>
    <w:rsid w:val="001C4A59"/>
    <w:rsid w:val="001C50D2"/>
    <w:rsid w:val="001C558A"/>
    <w:rsid w:val="001C5BF7"/>
    <w:rsid w:val="001C5C2C"/>
    <w:rsid w:val="001C6C16"/>
    <w:rsid w:val="001C6FE5"/>
    <w:rsid w:val="001C7CD0"/>
    <w:rsid w:val="001D166B"/>
    <w:rsid w:val="001D1780"/>
    <w:rsid w:val="001D2483"/>
    <w:rsid w:val="001D5B54"/>
    <w:rsid w:val="001D6738"/>
    <w:rsid w:val="001D67BA"/>
    <w:rsid w:val="001E1DBF"/>
    <w:rsid w:val="001E2C62"/>
    <w:rsid w:val="001E3070"/>
    <w:rsid w:val="001E3467"/>
    <w:rsid w:val="001E4639"/>
    <w:rsid w:val="001E4A7D"/>
    <w:rsid w:val="001E5781"/>
    <w:rsid w:val="001E61C0"/>
    <w:rsid w:val="001F4209"/>
    <w:rsid w:val="001F43A8"/>
    <w:rsid w:val="001F493E"/>
    <w:rsid w:val="001F56A4"/>
    <w:rsid w:val="001F5857"/>
    <w:rsid w:val="001F5CD6"/>
    <w:rsid w:val="001F6B98"/>
    <w:rsid w:val="00202F4B"/>
    <w:rsid w:val="002030C5"/>
    <w:rsid w:val="00203C4C"/>
    <w:rsid w:val="0020597F"/>
    <w:rsid w:val="00210D0B"/>
    <w:rsid w:val="002111D2"/>
    <w:rsid w:val="0021238E"/>
    <w:rsid w:val="0021263D"/>
    <w:rsid w:val="00212747"/>
    <w:rsid w:val="00212B88"/>
    <w:rsid w:val="0021308A"/>
    <w:rsid w:val="00213F0C"/>
    <w:rsid w:val="00214094"/>
    <w:rsid w:val="0021592D"/>
    <w:rsid w:val="00216438"/>
    <w:rsid w:val="00217559"/>
    <w:rsid w:val="00217F1F"/>
    <w:rsid w:val="0022089B"/>
    <w:rsid w:val="00221040"/>
    <w:rsid w:val="00222D76"/>
    <w:rsid w:val="00223EB1"/>
    <w:rsid w:val="00224225"/>
    <w:rsid w:val="002257D7"/>
    <w:rsid w:val="002259E6"/>
    <w:rsid w:val="002304AA"/>
    <w:rsid w:val="00230FFB"/>
    <w:rsid w:val="00231344"/>
    <w:rsid w:val="00233A92"/>
    <w:rsid w:val="0023436E"/>
    <w:rsid w:val="002345CD"/>
    <w:rsid w:val="002347C0"/>
    <w:rsid w:val="00234D5A"/>
    <w:rsid w:val="00235EC3"/>
    <w:rsid w:val="002364AE"/>
    <w:rsid w:val="00241A6C"/>
    <w:rsid w:val="00242B18"/>
    <w:rsid w:val="00242D2B"/>
    <w:rsid w:val="00245B93"/>
    <w:rsid w:val="002462BB"/>
    <w:rsid w:val="00250F38"/>
    <w:rsid w:val="00251ADB"/>
    <w:rsid w:val="00251B37"/>
    <w:rsid w:val="00252AAD"/>
    <w:rsid w:val="00262117"/>
    <w:rsid w:val="0026261B"/>
    <w:rsid w:val="00262E2B"/>
    <w:rsid w:val="002630DE"/>
    <w:rsid w:val="002640EA"/>
    <w:rsid w:val="002644FC"/>
    <w:rsid w:val="0026641D"/>
    <w:rsid w:val="00270429"/>
    <w:rsid w:val="002719BA"/>
    <w:rsid w:val="002723E9"/>
    <w:rsid w:val="00272882"/>
    <w:rsid w:val="002740F1"/>
    <w:rsid w:val="00274756"/>
    <w:rsid w:val="00276B44"/>
    <w:rsid w:val="00277929"/>
    <w:rsid w:val="00277C8D"/>
    <w:rsid w:val="002818DF"/>
    <w:rsid w:val="002825F3"/>
    <w:rsid w:val="00283255"/>
    <w:rsid w:val="00283B82"/>
    <w:rsid w:val="0028459C"/>
    <w:rsid w:val="002846E9"/>
    <w:rsid w:val="00284C34"/>
    <w:rsid w:val="002850FF"/>
    <w:rsid w:val="002855D3"/>
    <w:rsid w:val="00287EA5"/>
    <w:rsid w:val="00290595"/>
    <w:rsid w:val="0029066C"/>
    <w:rsid w:val="00292DB4"/>
    <w:rsid w:val="00293E07"/>
    <w:rsid w:val="0029446D"/>
    <w:rsid w:val="00294A8F"/>
    <w:rsid w:val="00294B19"/>
    <w:rsid w:val="00295A0B"/>
    <w:rsid w:val="00295EE4"/>
    <w:rsid w:val="0029614F"/>
    <w:rsid w:val="002969B7"/>
    <w:rsid w:val="00296B45"/>
    <w:rsid w:val="00297DAE"/>
    <w:rsid w:val="002A2D43"/>
    <w:rsid w:val="002A3007"/>
    <w:rsid w:val="002A34BE"/>
    <w:rsid w:val="002A37B8"/>
    <w:rsid w:val="002A3E3E"/>
    <w:rsid w:val="002A41F1"/>
    <w:rsid w:val="002A50A8"/>
    <w:rsid w:val="002A6FD9"/>
    <w:rsid w:val="002B0982"/>
    <w:rsid w:val="002B50DB"/>
    <w:rsid w:val="002B5CE8"/>
    <w:rsid w:val="002B7034"/>
    <w:rsid w:val="002C0A7A"/>
    <w:rsid w:val="002C10A7"/>
    <w:rsid w:val="002C12AB"/>
    <w:rsid w:val="002C2DFC"/>
    <w:rsid w:val="002C53D3"/>
    <w:rsid w:val="002C5C60"/>
    <w:rsid w:val="002C5FBA"/>
    <w:rsid w:val="002C7669"/>
    <w:rsid w:val="002C7CAC"/>
    <w:rsid w:val="002D01DE"/>
    <w:rsid w:val="002D3306"/>
    <w:rsid w:val="002D48AA"/>
    <w:rsid w:val="002D4F60"/>
    <w:rsid w:val="002D7875"/>
    <w:rsid w:val="002D7BAA"/>
    <w:rsid w:val="002D7F54"/>
    <w:rsid w:val="002E11C7"/>
    <w:rsid w:val="002E28B4"/>
    <w:rsid w:val="002E3BEA"/>
    <w:rsid w:val="002E3FF4"/>
    <w:rsid w:val="002E4126"/>
    <w:rsid w:val="002E5C2D"/>
    <w:rsid w:val="002E7A98"/>
    <w:rsid w:val="002F143C"/>
    <w:rsid w:val="002F25C7"/>
    <w:rsid w:val="002F4440"/>
    <w:rsid w:val="002F581C"/>
    <w:rsid w:val="002F646F"/>
    <w:rsid w:val="002F759C"/>
    <w:rsid w:val="002F78C8"/>
    <w:rsid w:val="003006CA"/>
    <w:rsid w:val="00301CF3"/>
    <w:rsid w:val="00302C7D"/>
    <w:rsid w:val="003032C1"/>
    <w:rsid w:val="003034CF"/>
    <w:rsid w:val="003040EA"/>
    <w:rsid w:val="00306656"/>
    <w:rsid w:val="00306A38"/>
    <w:rsid w:val="00310310"/>
    <w:rsid w:val="00312C3B"/>
    <w:rsid w:val="003130D6"/>
    <w:rsid w:val="00313191"/>
    <w:rsid w:val="00314CB6"/>
    <w:rsid w:val="00316B71"/>
    <w:rsid w:val="00321247"/>
    <w:rsid w:val="003226A2"/>
    <w:rsid w:val="00323289"/>
    <w:rsid w:val="00324429"/>
    <w:rsid w:val="00324E0E"/>
    <w:rsid w:val="003268AA"/>
    <w:rsid w:val="0032715C"/>
    <w:rsid w:val="00331278"/>
    <w:rsid w:val="0033365E"/>
    <w:rsid w:val="00333EDC"/>
    <w:rsid w:val="003340B1"/>
    <w:rsid w:val="00336B3B"/>
    <w:rsid w:val="00337A03"/>
    <w:rsid w:val="00337CA5"/>
    <w:rsid w:val="00340530"/>
    <w:rsid w:val="0034236C"/>
    <w:rsid w:val="0034270B"/>
    <w:rsid w:val="003457F6"/>
    <w:rsid w:val="00346DC0"/>
    <w:rsid w:val="00347A79"/>
    <w:rsid w:val="003523CF"/>
    <w:rsid w:val="00357397"/>
    <w:rsid w:val="00360939"/>
    <w:rsid w:val="00361498"/>
    <w:rsid w:val="00362478"/>
    <w:rsid w:val="00364F54"/>
    <w:rsid w:val="003658AE"/>
    <w:rsid w:val="00365DC1"/>
    <w:rsid w:val="003677C2"/>
    <w:rsid w:val="0037076F"/>
    <w:rsid w:val="0037082A"/>
    <w:rsid w:val="003713B6"/>
    <w:rsid w:val="00374D96"/>
    <w:rsid w:val="00375B25"/>
    <w:rsid w:val="003762C6"/>
    <w:rsid w:val="003807FF"/>
    <w:rsid w:val="0038132C"/>
    <w:rsid w:val="0038759B"/>
    <w:rsid w:val="003904AA"/>
    <w:rsid w:val="00390D8B"/>
    <w:rsid w:val="00396542"/>
    <w:rsid w:val="0039685B"/>
    <w:rsid w:val="003972B9"/>
    <w:rsid w:val="003975EF"/>
    <w:rsid w:val="003A2246"/>
    <w:rsid w:val="003A2510"/>
    <w:rsid w:val="003A31A6"/>
    <w:rsid w:val="003A3906"/>
    <w:rsid w:val="003A473F"/>
    <w:rsid w:val="003A6A3C"/>
    <w:rsid w:val="003A75C0"/>
    <w:rsid w:val="003A7F0C"/>
    <w:rsid w:val="003A7F79"/>
    <w:rsid w:val="003B15BA"/>
    <w:rsid w:val="003B37D6"/>
    <w:rsid w:val="003B3FCF"/>
    <w:rsid w:val="003B6404"/>
    <w:rsid w:val="003B6E17"/>
    <w:rsid w:val="003C35C6"/>
    <w:rsid w:val="003C449B"/>
    <w:rsid w:val="003C6409"/>
    <w:rsid w:val="003D1445"/>
    <w:rsid w:val="003D173F"/>
    <w:rsid w:val="003D21FF"/>
    <w:rsid w:val="003D40BF"/>
    <w:rsid w:val="003D7022"/>
    <w:rsid w:val="003D7DF3"/>
    <w:rsid w:val="003E0628"/>
    <w:rsid w:val="003E27F7"/>
    <w:rsid w:val="003E63D5"/>
    <w:rsid w:val="003E7AD4"/>
    <w:rsid w:val="003F0112"/>
    <w:rsid w:val="003F071A"/>
    <w:rsid w:val="003F160B"/>
    <w:rsid w:val="003F1EF3"/>
    <w:rsid w:val="003F23EF"/>
    <w:rsid w:val="003F2ED6"/>
    <w:rsid w:val="003F3555"/>
    <w:rsid w:val="003F3557"/>
    <w:rsid w:val="003F3B8F"/>
    <w:rsid w:val="003F6631"/>
    <w:rsid w:val="003F6AE4"/>
    <w:rsid w:val="003F7754"/>
    <w:rsid w:val="003F78E2"/>
    <w:rsid w:val="00400032"/>
    <w:rsid w:val="00400B5B"/>
    <w:rsid w:val="00400F6B"/>
    <w:rsid w:val="004029CC"/>
    <w:rsid w:val="00402AED"/>
    <w:rsid w:val="004050F9"/>
    <w:rsid w:val="004056ED"/>
    <w:rsid w:val="00405A00"/>
    <w:rsid w:val="004066ED"/>
    <w:rsid w:val="00410246"/>
    <w:rsid w:val="004105E8"/>
    <w:rsid w:val="004172BF"/>
    <w:rsid w:val="00417765"/>
    <w:rsid w:val="00420870"/>
    <w:rsid w:val="004219A1"/>
    <w:rsid w:val="00421F93"/>
    <w:rsid w:val="004220DB"/>
    <w:rsid w:val="00427C10"/>
    <w:rsid w:val="00432D0C"/>
    <w:rsid w:val="004348F5"/>
    <w:rsid w:val="0043791B"/>
    <w:rsid w:val="00441483"/>
    <w:rsid w:val="00441BCB"/>
    <w:rsid w:val="00442E92"/>
    <w:rsid w:val="00444363"/>
    <w:rsid w:val="00444F72"/>
    <w:rsid w:val="00445CFC"/>
    <w:rsid w:val="004466F4"/>
    <w:rsid w:val="004505AF"/>
    <w:rsid w:val="0045176A"/>
    <w:rsid w:val="0045202F"/>
    <w:rsid w:val="00454DF0"/>
    <w:rsid w:val="00455BFA"/>
    <w:rsid w:val="00456332"/>
    <w:rsid w:val="00456663"/>
    <w:rsid w:val="00456F74"/>
    <w:rsid w:val="004575FD"/>
    <w:rsid w:val="00457DFA"/>
    <w:rsid w:val="00460C2B"/>
    <w:rsid w:val="00461826"/>
    <w:rsid w:val="00461E42"/>
    <w:rsid w:val="004621AB"/>
    <w:rsid w:val="00466983"/>
    <w:rsid w:val="004706EA"/>
    <w:rsid w:val="00471969"/>
    <w:rsid w:val="0047259E"/>
    <w:rsid w:val="004732A1"/>
    <w:rsid w:val="0047358D"/>
    <w:rsid w:val="004741D2"/>
    <w:rsid w:val="00475011"/>
    <w:rsid w:val="00475ABC"/>
    <w:rsid w:val="004800F9"/>
    <w:rsid w:val="004857E7"/>
    <w:rsid w:val="0048589E"/>
    <w:rsid w:val="00487DC0"/>
    <w:rsid w:val="0049134A"/>
    <w:rsid w:val="004918A5"/>
    <w:rsid w:val="00492597"/>
    <w:rsid w:val="004979A6"/>
    <w:rsid w:val="004A0B80"/>
    <w:rsid w:val="004A1600"/>
    <w:rsid w:val="004A288E"/>
    <w:rsid w:val="004A58CB"/>
    <w:rsid w:val="004A6A6A"/>
    <w:rsid w:val="004B0913"/>
    <w:rsid w:val="004B1795"/>
    <w:rsid w:val="004B23C7"/>
    <w:rsid w:val="004B25DD"/>
    <w:rsid w:val="004B321D"/>
    <w:rsid w:val="004B4931"/>
    <w:rsid w:val="004B56DD"/>
    <w:rsid w:val="004B5898"/>
    <w:rsid w:val="004B5B0C"/>
    <w:rsid w:val="004C020F"/>
    <w:rsid w:val="004C17C2"/>
    <w:rsid w:val="004C1AFD"/>
    <w:rsid w:val="004C4926"/>
    <w:rsid w:val="004C49D2"/>
    <w:rsid w:val="004C4E8F"/>
    <w:rsid w:val="004C558B"/>
    <w:rsid w:val="004C57AB"/>
    <w:rsid w:val="004C62BB"/>
    <w:rsid w:val="004D4AEB"/>
    <w:rsid w:val="004D526B"/>
    <w:rsid w:val="004D5749"/>
    <w:rsid w:val="004D74C1"/>
    <w:rsid w:val="004E23A0"/>
    <w:rsid w:val="004E2E8D"/>
    <w:rsid w:val="004E3837"/>
    <w:rsid w:val="004E4B00"/>
    <w:rsid w:val="004E6931"/>
    <w:rsid w:val="004F0809"/>
    <w:rsid w:val="004F17F9"/>
    <w:rsid w:val="004F199A"/>
    <w:rsid w:val="004F1F88"/>
    <w:rsid w:val="004F54AE"/>
    <w:rsid w:val="004F5F1B"/>
    <w:rsid w:val="004F6DCC"/>
    <w:rsid w:val="004F75BF"/>
    <w:rsid w:val="00502374"/>
    <w:rsid w:val="005037C5"/>
    <w:rsid w:val="00504152"/>
    <w:rsid w:val="0050559F"/>
    <w:rsid w:val="00505ED1"/>
    <w:rsid w:val="005060A1"/>
    <w:rsid w:val="005122BA"/>
    <w:rsid w:val="005139FC"/>
    <w:rsid w:val="00513AAB"/>
    <w:rsid w:val="00514C0E"/>
    <w:rsid w:val="0051501D"/>
    <w:rsid w:val="00515671"/>
    <w:rsid w:val="00515FF6"/>
    <w:rsid w:val="00516072"/>
    <w:rsid w:val="00517D0D"/>
    <w:rsid w:val="0052575C"/>
    <w:rsid w:val="005258C9"/>
    <w:rsid w:val="005259C2"/>
    <w:rsid w:val="0052760F"/>
    <w:rsid w:val="005303C6"/>
    <w:rsid w:val="00531404"/>
    <w:rsid w:val="00532456"/>
    <w:rsid w:val="0053269A"/>
    <w:rsid w:val="005332EC"/>
    <w:rsid w:val="00533ADC"/>
    <w:rsid w:val="00534418"/>
    <w:rsid w:val="005353AB"/>
    <w:rsid w:val="00535E98"/>
    <w:rsid w:val="00544222"/>
    <w:rsid w:val="0054459C"/>
    <w:rsid w:val="005447D0"/>
    <w:rsid w:val="005461B8"/>
    <w:rsid w:val="00546978"/>
    <w:rsid w:val="00546EBF"/>
    <w:rsid w:val="0055021F"/>
    <w:rsid w:val="00552116"/>
    <w:rsid w:val="00555391"/>
    <w:rsid w:val="005554B2"/>
    <w:rsid w:val="005560BC"/>
    <w:rsid w:val="00556F23"/>
    <w:rsid w:val="005573BE"/>
    <w:rsid w:val="00562633"/>
    <w:rsid w:val="00565FDC"/>
    <w:rsid w:val="00565FF2"/>
    <w:rsid w:val="00570FAC"/>
    <w:rsid w:val="00571979"/>
    <w:rsid w:val="005723EC"/>
    <w:rsid w:val="00572700"/>
    <w:rsid w:val="005739B0"/>
    <w:rsid w:val="00576379"/>
    <w:rsid w:val="00580468"/>
    <w:rsid w:val="00582231"/>
    <w:rsid w:val="00583F4E"/>
    <w:rsid w:val="00583F9F"/>
    <w:rsid w:val="00584B1A"/>
    <w:rsid w:val="0058603B"/>
    <w:rsid w:val="0058706A"/>
    <w:rsid w:val="00592B2D"/>
    <w:rsid w:val="005932F4"/>
    <w:rsid w:val="00593A8E"/>
    <w:rsid w:val="00593C47"/>
    <w:rsid w:val="0059431B"/>
    <w:rsid w:val="00594B2B"/>
    <w:rsid w:val="005976A3"/>
    <w:rsid w:val="005A37FA"/>
    <w:rsid w:val="005A39CC"/>
    <w:rsid w:val="005A5425"/>
    <w:rsid w:val="005A56BC"/>
    <w:rsid w:val="005A59B7"/>
    <w:rsid w:val="005A6055"/>
    <w:rsid w:val="005A6E9A"/>
    <w:rsid w:val="005A7146"/>
    <w:rsid w:val="005A71D3"/>
    <w:rsid w:val="005B2324"/>
    <w:rsid w:val="005B2735"/>
    <w:rsid w:val="005B2DB5"/>
    <w:rsid w:val="005B4730"/>
    <w:rsid w:val="005B551F"/>
    <w:rsid w:val="005B68FD"/>
    <w:rsid w:val="005B6D99"/>
    <w:rsid w:val="005C05FD"/>
    <w:rsid w:val="005C1F07"/>
    <w:rsid w:val="005C1F2A"/>
    <w:rsid w:val="005C280D"/>
    <w:rsid w:val="005C3CBE"/>
    <w:rsid w:val="005C4769"/>
    <w:rsid w:val="005C749F"/>
    <w:rsid w:val="005D2957"/>
    <w:rsid w:val="005D3728"/>
    <w:rsid w:val="005D3D6B"/>
    <w:rsid w:val="005D4A3F"/>
    <w:rsid w:val="005D4D86"/>
    <w:rsid w:val="005E05D7"/>
    <w:rsid w:val="005E099D"/>
    <w:rsid w:val="005E3251"/>
    <w:rsid w:val="005E41E7"/>
    <w:rsid w:val="005E450F"/>
    <w:rsid w:val="005E4D9D"/>
    <w:rsid w:val="005E5560"/>
    <w:rsid w:val="005E6A82"/>
    <w:rsid w:val="005F1B28"/>
    <w:rsid w:val="005F2580"/>
    <w:rsid w:val="005F488E"/>
    <w:rsid w:val="005F5962"/>
    <w:rsid w:val="005F65B5"/>
    <w:rsid w:val="00600219"/>
    <w:rsid w:val="0060223A"/>
    <w:rsid w:val="00602778"/>
    <w:rsid w:val="00603362"/>
    <w:rsid w:val="00603FC9"/>
    <w:rsid w:val="00606BC5"/>
    <w:rsid w:val="00606EF5"/>
    <w:rsid w:val="00610E52"/>
    <w:rsid w:val="00611406"/>
    <w:rsid w:val="00613418"/>
    <w:rsid w:val="006135BC"/>
    <w:rsid w:val="00613B7F"/>
    <w:rsid w:val="00614B2F"/>
    <w:rsid w:val="00615E0B"/>
    <w:rsid w:val="00616257"/>
    <w:rsid w:val="00616E9D"/>
    <w:rsid w:val="006213DB"/>
    <w:rsid w:val="006221AB"/>
    <w:rsid w:val="00622796"/>
    <w:rsid w:val="0062298A"/>
    <w:rsid w:val="00622BB8"/>
    <w:rsid w:val="0062518B"/>
    <w:rsid w:val="00625C4A"/>
    <w:rsid w:val="00626262"/>
    <w:rsid w:val="00626514"/>
    <w:rsid w:val="00626589"/>
    <w:rsid w:val="0063160B"/>
    <w:rsid w:val="00632064"/>
    <w:rsid w:val="00633818"/>
    <w:rsid w:val="006339A0"/>
    <w:rsid w:val="00633D8F"/>
    <w:rsid w:val="00634677"/>
    <w:rsid w:val="006378E9"/>
    <w:rsid w:val="00637C60"/>
    <w:rsid w:val="00640460"/>
    <w:rsid w:val="006406D4"/>
    <w:rsid w:val="006413A8"/>
    <w:rsid w:val="00641F8C"/>
    <w:rsid w:val="00642E56"/>
    <w:rsid w:val="00642FF6"/>
    <w:rsid w:val="00644238"/>
    <w:rsid w:val="006447FA"/>
    <w:rsid w:val="0064524D"/>
    <w:rsid w:val="006467FD"/>
    <w:rsid w:val="006476C0"/>
    <w:rsid w:val="00647A66"/>
    <w:rsid w:val="00647B85"/>
    <w:rsid w:val="00651E00"/>
    <w:rsid w:val="00653EA2"/>
    <w:rsid w:val="006544FC"/>
    <w:rsid w:val="0065656B"/>
    <w:rsid w:val="00672838"/>
    <w:rsid w:val="0067327B"/>
    <w:rsid w:val="00673729"/>
    <w:rsid w:val="00674572"/>
    <w:rsid w:val="00676453"/>
    <w:rsid w:val="006768EE"/>
    <w:rsid w:val="006770DE"/>
    <w:rsid w:val="00681705"/>
    <w:rsid w:val="00681900"/>
    <w:rsid w:val="006834D9"/>
    <w:rsid w:val="006847CF"/>
    <w:rsid w:val="00685592"/>
    <w:rsid w:val="00685EFE"/>
    <w:rsid w:val="00687763"/>
    <w:rsid w:val="00692B0D"/>
    <w:rsid w:val="00692ED0"/>
    <w:rsid w:val="00693E0E"/>
    <w:rsid w:val="0069556C"/>
    <w:rsid w:val="00695BB7"/>
    <w:rsid w:val="0069726B"/>
    <w:rsid w:val="00697D89"/>
    <w:rsid w:val="006A1AE3"/>
    <w:rsid w:val="006A7456"/>
    <w:rsid w:val="006B2ABB"/>
    <w:rsid w:val="006B49ED"/>
    <w:rsid w:val="006B6C72"/>
    <w:rsid w:val="006C1F14"/>
    <w:rsid w:val="006C30E1"/>
    <w:rsid w:val="006C3178"/>
    <w:rsid w:val="006C32CE"/>
    <w:rsid w:val="006C3373"/>
    <w:rsid w:val="006C42A9"/>
    <w:rsid w:val="006C4607"/>
    <w:rsid w:val="006C63DC"/>
    <w:rsid w:val="006C7846"/>
    <w:rsid w:val="006D0440"/>
    <w:rsid w:val="006D14F4"/>
    <w:rsid w:val="006D398D"/>
    <w:rsid w:val="006D48F1"/>
    <w:rsid w:val="006D5135"/>
    <w:rsid w:val="006D67E5"/>
    <w:rsid w:val="006D6EB1"/>
    <w:rsid w:val="006D70C8"/>
    <w:rsid w:val="006D7E24"/>
    <w:rsid w:val="006E1682"/>
    <w:rsid w:val="006E2243"/>
    <w:rsid w:val="006E227C"/>
    <w:rsid w:val="006E31A6"/>
    <w:rsid w:val="006E4315"/>
    <w:rsid w:val="006E6F5E"/>
    <w:rsid w:val="006F110A"/>
    <w:rsid w:val="006F45BE"/>
    <w:rsid w:val="006F5826"/>
    <w:rsid w:val="006F7EB7"/>
    <w:rsid w:val="007004FC"/>
    <w:rsid w:val="00701FD4"/>
    <w:rsid w:val="00702985"/>
    <w:rsid w:val="00703131"/>
    <w:rsid w:val="00705F50"/>
    <w:rsid w:val="00706670"/>
    <w:rsid w:val="00706987"/>
    <w:rsid w:val="0071121B"/>
    <w:rsid w:val="00711267"/>
    <w:rsid w:val="00711F59"/>
    <w:rsid w:val="0071352E"/>
    <w:rsid w:val="00714BE2"/>
    <w:rsid w:val="0072111D"/>
    <w:rsid w:val="00721B2D"/>
    <w:rsid w:val="0072417C"/>
    <w:rsid w:val="0072621E"/>
    <w:rsid w:val="00726D7D"/>
    <w:rsid w:val="007319F1"/>
    <w:rsid w:val="00734450"/>
    <w:rsid w:val="007365E7"/>
    <w:rsid w:val="00736BA1"/>
    <w:rsid w:val="00741D3D"/>
    <w:rsid w:val="00744B43"/>
    <w:rsid w:val="00745F67"/>
    <w:rsid w:val="00746D50"/>
    <w:rsid w:val="00747595"/>
    <w:rsid w:val="00747939"/>
    <w:rsid w:val="00747C7C"/>
    <w:rsid w:val="00747D31"/>
    <w:rsid w:val="0075039E"/>
    <w:rsid w:val="00752C89"/>
    <w:rsid w:val="00752D9D"/>
    <w:rsid w:val="00752F05"/>
    <w:rsid w:val="00754784"/>
    <w:rsid w:val="007568F1"/>
    <w:rsid w:val="00757C6E"/>
    <w:rsid w:val="00757FF6"/>
    <w:rsid w:val="00762BDA"/>
    <w:rsid w:val="00765346"/>
    <w:rsid w:val="0077032D"/>
    <w:rsid w:val="007714A1"/>
    <w:rsid w:val="007736F1"/>
    <w:rsid w:val="00776EBB"/>
    <w:rsid w:val="00780557"/>
    <w:rsid w:val="007805FD"/>
    <w:rsid w:val="0078317E"/>
    <w:rsid w:val="007831D8"/>
    <w:rsid w:val="00784422"/>
    <w:rsid w:val="00785058"/>
    <w:rsid w:val="00785E78"/>
    <w:rsid w:val="007923A7"/>
    <w:rsid w:val="00793C37"/>
    <w:rsid w:val="0079440C"/>
    <w:rsid w:val="007964D6"/>
    <w:rsid w:val="007968A9"/>
    <w:rsid w:val="00796B9A"/>
    <w:rsid w:val="00796DA2"/>
    <w:rsid w:val="007A1B95"/>
    <w:rsid w:val="007A28B9"/>
    <w:rsid w:val="007A3115"/>
    <w:rsid w:val="007A3BCF"/>
    <w:rsid w:val="007A45B9"/>
    <w:rsid w:val="007A51ED"/>
    <w:rsid w:val="007A630A"/>
    <w:rsid w:val="007A7CAB"/>
    <w:rsid w:val="007B12AB"/>
    <w:rsid w:val="007B19C2"/>
    <w:rsid w:val="007B28A6"/>
    <w:rsid w:val="007B2E6C"/>
    <w:rsid w:val="007B3B54"/>
    <w:rsid w:val="007B3B7B"/>
    <w:rsid w:val="007B3B90"/>
    <w:rsid w:val="007B3FA0"/>
    <w:rsid w:val="007B4BC6"/>
    <w:rsid w:val="007C09E7"/>
    <w:rsid w:val="007C0A8F"/>
    <w:rsid w:val="007C0F2C"/>
    <w:rsid w:val="007C249A"/>
    <w:rsid w:val="007C2612"/>
    <w:rsid w:val="007C2BCC"/>
    <w:rsid w:val="007C35B2"/>
    <w:rsid w:val="007C402C"/>
    <w:rsid w:val="007C4EF0"/>
    <w:rsid w:val="007C5675"/>
    <w:rsid w:val="007C6503"/>
    <w:rsid w:val="007D099D"/>
    <w:rsid w:val="007D1C3D"/>
    <w:rsid w:val="007D2723"/>
    <w:rsid w:val="007D2EEA"/>
    <w:rsid w:val="007D52EB"/>
    <w:rsid w:val="007E1089"/>
    <w:rsid w:val="007E140E"/>
    <w:rsid w:val="007E17C0"/>
    <w:rsid w:val="007E1ACD"/>
    <w:rsid w:val="007E2664"/>
    <w:rsid w:val="007E2C13"/>
    <w:rsid w:val="007E2F07"/>
    <w:rsid w:val="007E366A"/>
    <w:rsid w:val="007E3ABF"/>
    <w:rsid w:val="007E402B"/>
    <w:rsid w:val="007E43CC"/>
    <w:rsid w:val="007E44C5"/>
    <w:rsid w:val="007E5BFA"/>
    <w:rsid w:val="007E5EEC"/>
    <w:rsid w:val="007E6689"/>
    <w:rsid w:val="007E731C"/>
    <w:rsid w:val="007E73E5"/>
    <w:rsid w:val="007F01CE"/>
    <w:rsid w:val="007F0A03"/>
    <w:rsid w:val="007F290E"/>
    <w:rsid w:val="007F679A"/>
    <w:rsid w:val="007F74FE"/>
    <w:rsid w:val="007F7EAD"/>
    <w:rsid w:val="007F7EC4"/>
    <w:rsid w:val="0080160D"/>
    <w:rsid w:val="00801A70"/>
    <w:rsid w:val="0080361E"/>
    <w:rsid w:val="008051F0"/>
    <w:rsid w:val="00805951"/>
    <w:rsid w:val="008060DF"/>
    <w:rsid w:val="00810040"/>
    <w:rsid w:val="00811A54"/>
    <w:rsid w:val="008121F5"/>
    <w:rsid w:val="008134FE"/>
    <w:rsid w:val="0081727D"/>
    <w:rsid w:val="0081754E"/>
    <w:rsid w:val="008201D2"/>
    <w:rsid w:val="0082023A"/>
    <w:rsid w:val="00821A7A"/>
    <w:rsid w:val="00823982"/>
    <w:rsid w:val="0082449C"/>
    <w:rsid w:val="008253F8"/>
    <w:rsid w:val="008261DE"/>
    <w:rsid w:val="00826B74"/>
    <w:rsid w:val="00826C67"/>
    <w:rsid w:val="00826F98"/>
    <w:rsid w:val="00830560"/>
    <w:rsid w:val="00831F31"/>
    <w:rsid w:val="008325E4"/>
    <w:rsid w:val="00832A2B"/>
    <w:rsid w:val="0083498E"/>
    <w:rsid w:val="00834DBF"/>
    <w:rsid w:val="00835036"/>
    <w:rsid w:val="0083777F"/>
    <w:rsid w:val="00837EB5"/>
    <w:rsid w:val="00840E69"/>
    <w:rsid w:val="0084247E"/>
    <w:rsid w:val="00842D73"/>
    <w:rsid w:val="008433E8"/>
    <w:rsid w:val="00843A2D"/>
    <w:rsid w:val="008454D6"/>
    <w:rsid w:val="00845811"/>
    <w:rsid w:val="00845DF5"/>
    <w:rsid w:val="00846994"/>
    <w:rsid w:val="00846EA9"/>
    <w:rsid w:val="0084772A"/>
    <w:rsid w:val="00847C79"/>
    <w:rsid w:val="00847F4D"/>
    <w:rsid w:val="00850451"/>
    <w:rsid w:val="00852042"/>
    <w:rsid w:val="008534C9"/>
    <w:rsid w:val="00853F9F"/>
    <w:rsid w:val="008544C5"/>
    <w:rsid w:val="008549B3"/>
    <w:rsid w:val="0085547C"/>
    <w:rsid w:val="00855761"/>
    <w:rsid w:val="0085599D"/>
    <w:rsid w:val="00855A34"/>
    <w:rsid w:val="00855FC3"/>
    <w:rsid w:val="00855FF4"/>
    <w:rsid w:val="00857A84"/>
    <w:rsid w:val="008609C7"/>
    <w:rsid w:val="0086123D"/>
    <w:rsid w:val="008669E2"/>
    <w:rsid w:val="008676FC"/>
    <w:rsid w:val="00870903"/>
    <w:rsid w:val="0087156B"/>
    <w:rsid w:val="0087510C"/>
    <w:rsid w:val="00875A15"/>
    <w:rsid w:val="00876845"/>
    <w:rsid w:val="00877A5E"/>
    <w:rsid w:val="00881B32"/>
    <w:rsid w:val="008822DB"/>
    <w:rsid w:val="00883649"/>
    <w:rsid w:val="008851F7"/>
    <w:rsid w:val="0088527F"/>
    <w:rsid w:val="00887373"/>
    <w:rsid w:val="008874BC"/>
    <w:rsid w:val="00890442"/>
    <w:rsid w:val="00892025"/>
    <w:rsid w:val="00892E5A"/>
    <w:rsid w:val="00893666"/>
    <w:rsid w:val="00893E73"/>
    <w:rsid w:val="00893ED4"/>
    <w:rsid w:val="00894412"/>
    <w:rsid w:val="00895F5F"/>
    <w:rsid w:val="008968D2"/>
    <w:rsid w:val="0089738E"/>
    <w:rsid w:val="008A1225"/>
    <w:rsid w:val="008A3456"/>
    <w:rsid w:val="008A42B8"/>
    <w:rsid w:val="008A50A6"/>
    <w:rsid w:val="008B2250"/>
    <w:rsid w:val="008B25E2"/>
    <w:rsid w:val="008B354B"/>
    <w:rsid w:val="008B5FDB"/>
    <w:rsid w:val="008B763D"/>
    <w:rsid w:val="008C0632"/>
    <w:rsid w:val="008C2F07"/>
    <w:rsid w:val="008C50F4"/>
    <w:rsid w:val="008C55BB"/>
    <w:rsid w:val="008C5649"/>
    <w:rsid w:val="008C6A56"/>
    <w:rsid w:val="008D24D9"/>
    <w:rsid w:val="008D39A7"/>
    <w:rsid w:val="008E3D00"/>
    <w:rsid w:val="008E44A2"/>
    <w:rsid w:val="008E697D"/>
    <w:rsid w:val="008E7EBA"/>
    <w:rsid w:val="008F0604"/>
    <w:rsid w:val="008F2E5B"/>
    <w:rsid w:val="008F34D0"/>
    <w:rsid w:val="008F65AD"/>
    <w:rsid w:val="0090267E"/>
    <w:rsid w:val="00903263"/>
    <w:rsid w:val="009058E2"/>
    <w:rsid w:val="00906A21"/>
    <w:rsid w:val="009074C0"/>
    <w:rsid w:val="009079C3"/>
    <w:rsid w:val="00910462"/>
    <w:rsid w:val="00910573"/>
    <w:rsid w:val="009118DE"/>
    <w:rsid w:val="00915AB1"/>
    <w:rsid w:val="00915E87"/>
    <w:rsid w:val="00917532"/>
    <w:rsid w:val="009202D1"/>
    <w:rsid w:val="00921518"/>
    <w:rsid w:val="009235BA"/>
    <w:rsid w:val="00924023"/>
    <w:rsid w:val="00924CE2"/>
    <w:rsid w:val="00925B9F"/>
    <w:rsid w:val="00927D59"/>
    <w:rsid w:val="009301A9"/>
    <w:rsid w:val="009309EB"/>
    <w:rsid w:val="0093157F"/>
    <w:rsid w:val="00931AED"/>
    <w:rsid w:val="009321EB"/>
    <w:rsid w:val="00935635"/>
    <w:rsid w:val="00937A2F"/>
    <w:rsid w:val="00940A2B"/>
    <w:rsid w:val="00940ADA"/>
    <w:rsid w:val="00940C31"/>
    <w:rsid w:val="00940CE8"/>
    <w:rsid w:val="00940E07"/>
    <w:rsid w:val="00941903"/>
    <w:rsid w:val="009419F4"/>
    <w:rsid w:val="00945766"/>
    <w:rsid w:val="009465E8"/>
    <w:rsid w:val="009476A3"/>
    <w:rsid w:val="00952538"/>
    <w:rsid w:val="0095334F"/>
    <w:rsid w:val="00953D76"/>
    <w:rsid w:val="00955058"/>
    <w:rsid w:val="0095513D"/>
    <w:rsid w:val="00955249"/>
    <w:rsid w:val="00955688"/>
    <w:rsid w:val="009565A0"/>
    <w:rsid w:val="00956612"/>
    <w:rsid w:val="009575CC"/>
    <w:rsid w:val="009575ED"/>
    <w:rsid w:val="009624D8"/>
    <w:rsid w:val="009639C2"/>
    <w:rsid w:val="00963C4B"/>
    <w:rsid w:val="00965897"/>
    <w:rsid w:val="009669C7"/>
    <w:rsid w:val="00966FBC"/>
    <w:rsid w:val="00967535"/>
    <w:rsid w:val="0096765C"/>
    <w:rsid w:val="009700F4"/>
    <w:rsid w:val="00970DCE"/>
    <w:rsid w:val="009727E4"/>
    <w:rsid w:val="0097394B"/>
    <w:rsid w:val="0097501D"/>
    <w:rsid w:val="009810B1"/>
    <w:rsid w:val="00981C4D"/>
    <w:rsid w:val="00985ABB"/>
    <w:rsid w:val="009865F7"/>
    <w:rsid w:val="00986FA2"/>
    <w:rsid w:val="0098741E"/>
    <w:rsid w:val="00987B16"/>
    <w:rsid w:val="00990885"/>
    <w:rsid w:val="00990A01"/>
    <w:rsid w:val="009925AA"/>
    <w:rsid w:val="00992E99"/>
    <w:rsid w:val="009934C5"/>
    <w:rsid w:val="00994C0F"/>
    <w:rsid w:val="00995C43"/>
    <w:rsid w:val="00996B52"/>
    <w:rsid w:val="00996B5C"/>
    <w:rsid w:val="00997F03"/>
    <w:rsid w:val="009A0210"/>
    <w:rsid w:val="009A12DF"/>
    <w:rsid w:val="009A1F24"/>
    <w:rsid w:val="009A2D59"/>
    <w:rsid w:val="009A4B5C"/>
    <w:rsid w:val="009B0072"/>
    <w:rsid w:val="009B118C"/>
    <w:rsid w:val="009B1375"/>
    <w:rsid w:val="009B1A72"/>
    <w:rsid w:val="009B22D7"/>
    <w:rsid w:val="009B253E"/>
    <w:rsid w:val="009B2A92"/>
    <w:rsid w:val="009B4270"/>
    <w:rsid w:val="009B49B6"/>
    <w:rsid w:val="009B72ED"/>
    <w:rsid w:val="009C090C"/>
    <w:rsid w:val="009C30E0"/>
    <w:rsid w:val="009C5659"/>
    <w:rsid w:val="009C6DEB"/>
    <w:rsid w:val="009C7005"/>
    <w:rsid w:val="009D13DD"/>
    <w:rsid w:val="009D27A6"/>
    <w:rsid w:val="009D4974"/>
    <w:rsid w:val="009D5F10"/>
    <w:rsid w:val="009D6061"/>
    <w:rsid w:val="009D6504"/>
    <w:rsid w:val="009E12D7"/>
    <w:rsid w:val="009E2483"/>
    <w:rsid w:val="009E2C09"/>
    <w:rsid w:val="009E661A"/>
    <w:rsid w:val="009E7815"/>
    <w:rsid w:val="009E7D00"/>
    <w:rsid w:val="009F29AE"/>
    <w:rsid w:val="009F3A73"/>
    <w:rsid w:val="009F3B75"/>
    <w:rsid w:val="009F3C3E"/>
    <w:rsid w:val="009F44A5"/>
    <w:rsid w:val="009F727F"/>
    <w:rsid w:val="009F7D7D"/>
    <w:rsid w:val="009F7F71"/>
    <w:rsid w:val="00A00393"/>
    <w:rsid w:val="00A03A5B"/>
    <w:rsid w:val="00A0431A"/>
    <w:rsid w:val="00A04A15"/>
    <w:rsid w:val="00A05E77"/>
    <w:rsid w:val="00A06077"/>
    <w:rsid w:val="00A06781"/>
    <w:rsid w:val="00A0682B"/>
    <w:rsid w:val="00A074C3"/>
    <w:rsid w:val="00A100ED"/>
    <w:rsid w:val="00A12B3E"/>
    <w:rsid w:val="00A1367E"/>
    <w:rsid w:val="00A1509C"/>
    <w:rsid w:val="00A16866"/>
    <w:rsid w:val="00A16B82"/>
    <w:rsid w:val="00A170FB"/>
    <w:rsid w:val="00A1755F"/>
    <w:rsid w:val="00A21B72"/>
    <w:rsid w:val="00A21F48"/>
    <w:rsid w:val="00A249B9"/>
    <w:rsid w:val="00A26187"/>
    <w:rsid w:val="00A26B7F"/>
    <w:rsid w:val="00A31F77"/>
    <w:rsid w:val="00A34260"/>
    <w:rsid w:val="00A36F48"/>
    <w:rsid w:val="00A36F5C"/>
    <w:rsid w:val="00A37D75"/>
    <w:rsid w:val="00A43802"/>
    <w:rsid w:val="00A46362"/>
    <w:rsid w:val="00A4685E"/>
    <w:rsid w:val="00A513CA"/>
    <w:rsid w:val="00A523F9"/>
    <w:rsid w:val="00A530EA"/>
    <w:rsid w:val="00A6022F"/>
    <w:rsid w:val="00A6048E"/>
    <w:rsid w:val="00A63CF6"/>
    <w:rsid w:val="00A648A4"/>
    <w:rsid w:val="00A654DE"/>
    <w:rsid w:val="00A67280"/>
    <w:rsid w:val="00A67D25"/>
    <w:rsid w:val="00A70CFD"/>
    <w:rsid w:val="00A710FC"/>
    <w:rsid w:val="00A72A0B"/>
    <w:rsid w:val="00A72CAB"/>
    <w:rsid w:val="00A75BA5"/>
    <w:rsid w:val="00A762FC"/>
    <w:rsid w:val="00A77110"/>
    <w:rsid w:val="00A77FCF"/>
    <w:rsid w:val="00A81C89"/>
    <w:rsid w:val="00A81E42"/>
    <w:rsid w:val="00A82F8D"/>
    <w:rsid w:val="00A8598D"/>
    <w:rsid w:val="00A860A8"/>
    <w:rsid w:val="00A864FE"/>
    <w:rsid w:val="00A86F41"/>
    <w:rsid w:val="00A8776B"/>
    <w:rsid w:val="00A87D04"/>
    <w:rsid w:val="00A90160"/>
    <w:rsid w:val="00A92220"/>
    <w:rsid w:val="00A950C5"/>
    <w:rsid w:val="00A95BD9"/>
    <w:rsid w:val="00A964B0"/>
    <w:rsid w:val="00A97DFA"/>
    <w:rsid w:val="00A97FC1"/>
    <w:rsid w:val="00AA1BF0"/>
    <w:rsid w:val="00AA1D25"/>
    <w:rsid w:val="00AA289F"/>
    <w:rsid w:val="00AA28BC"/>
    <w:rsid w:val="00AA2E8E"/>
    <w:rsid w:val="00AA32E9"/>
    <w:rsid w:val="00AA3562"/>
    <w:rsid w:val="00AA3CD7"/>
    <w:rsid w:val="00AB05F5"/>
    <w:rsid w:val="00AB268A"/>
    <w:rsid w:val="00AB2B1A"/>
    <w:rsid w:val="00AB397F"/>
    <w:rsid w:val="00AB5637"/>
    <w:rsid w:val="00AB5832"/>
    <w:rsid w:val="00AB77C6"/>
    <w:rsid w:val="00AC12C9"/>
    <w:rsid w:val="00AC50B0"/>
    <w:rsid w:val="00AC51F2"/>
    <w:rsid w:val="00AC582E"/>
    <w:rsid w:val="00AD104F"/>
    <w:rsid w:val="00AD3269"/>
    <w:rsid w:val="00AD3936"/>
    <w:rsid w:val="00AD58E0"/>
    <w:rsid w:val="00AD64BC"/>
    <w:rsid w:val="00AD72A5"/>
    <w:rsid w:val="00AE0B4B"/>
    <w:rsid w:val="00AE2DB5"/>
    <w:rsid w:val="00AE2E04"/>
    <w:rsid w:val="00AE5066"/>
    <w:rsid w:val="00AE5E24"/>
    <w:rsid w:val="00AE61B7"/>
    <w:rsid w:val="00AE68B3"/>
    <w:rsid w:val="00AE6CBA"/>
    <w:rsid w:val="00AE79AD"/>
    <w:rsid w:val="00AF01D0"/>
    <w:rsid w:val="00AF1887"/>
    <w:rsid w:val="00AF35E4"/>
    <w:rsid w:val="00AF3612"/>
    <w:rsid w:val="00AF3B0B"/>
    <w:rsid w:val="00AF5CDE"/>
    <w:rsid w:val="00AF6A09"/>
    <w:rsid w:val="00B0225E"/>
    <w:rsid w:val="00B05E37"/>
    <w:rsid w:val="00B06693"/>
    <w:rsid w:val="00B07CBC"/>
    <w:rsid w:val="00B10021"/>
    <w:rsid w:val="00B11A57"/>
    <w:rsid w:val="00B143BA"/>
    <w:rsid w:val="00B15B50"/>
    <w:rsid w:val="00B16B01"/>
    <w:rsid w:val="00B17B6B"/>
    <w:rsid w:val="00B2011A"/>
    <w:rsid w:val="00B20217"/>
    <w:rsid w:val="00B21087"/>
    <w:rsid w:val="00B211C3"/>
    <w:rsid w:val="00B2239B"/>
    <w:rsid w:val="00B22F94"/>
    <w:rsid w:val="00B24460"/>
    <w:rsid w:val="00B24937"/>
    <w:rsid w:val="00B24A97"/>
    <w:rsid w:val="00B25597"/>
    <w:rsid w:val="00B267B9"/>
    <w:rsid w:val="00B26ABB"/>
    <w:rsid w:val="00B30D8C"/>
    <w:rsid w:val="00B3218C"/>
    <w:rsid w:val="00B33E09"/>
    <w:rsid w:val="00B35749"/>
    <w:rsid w:val="00B37651"/>
    <w:rsid w:val="00B40D37"/>
    <w:rsid w:val="00B41270"/>
    <w:rsid w:val="00B4248B"/>
    <w:rsid w:val="00B4366A"/>
    <w:rsid w:val="00B4461E"/>
    <w:rsid w:val="00B50708"/>
    <w:rsid w:val="00B508C9"/>
    <w:rsid w:val="00B50C68"/>
    <w:rsid w:val="00B51293"/>
    <w:rsid w:val="00B52B1E"/>
    <w:rsid w:val="00B5300D"/>
    <w:rsid w:val="00B55481"/>
    <w:rsid w:val="00B55D18"/>
    <w:rsid w:val="00B569D1"/>
    <w:rsid w:val="00B56BE0"/>
    <w:rsid w:val="00B56C32"/>
    <w:rsid w:val="00B56D61"/>
    <w:rsid w:val="00B5796F"/>
    <w:rsid w:val="00B57ACF"/>
    <w:rsid w:val="00B61BC2"/>
    <w:rsid w:val="00B61E4D"/>
    <w:rsid w:val="00B649B4"/>
    <w:rsid w:val="00B64BB1"/>
    <w:rsid w:val="00B65D43"/>
    <w:rsid w:val="00B66CE8"/>
    <w:rsid w:val="00B73166"/>
    <w:rsid w:val="00B73D56"/>
    <w:rsid w:val="00B74C45"/>
    <w:rsid w:val="00B8426C"/>
    <w:rsid w:val="00B84D94"/>
    <w:rsid w:val="00B86462"/>
    <w:rsid w:val="00B90759"/>
    <w:rsid w:val="00B91B8D"/>
    <w:rsid w:val="00B94E90"/>
    <w:rsid w:val="00B957D7"/>
    <w:rsid w:val="00B96B74"/>
    <w:rsid w:val="00B97360"/>
    <w:rsid w:val="00BA13A5"/>
    <w:rsid w:val="00BA16CB"/>
    <w:rsid w:val="00BA1FD3"/>
    <w:rsid w:val="00BA2916"/>
    <w:rsid w:val="00BA4578"/>
    <w:rsid w:val="00BA7CAD"/>
    <w:rsid w:val="00BB0A82"/>
    <w:rsid w:val="00BB54DC"/>
    <w:rsid w:val="00BB7A9C"/>
    <w:rsid w:val="00BB7C94"/>
    <w:rsid w:val="00BC0A9D"/>
    <w:rsid w:val="00BC1CD8"/>
    <w:rsid w:val="00BC2EC6"/>
    <w:rsid w:val="00BC3C68"/>
    <w:rsid w:val="00BC4569"/>
    <w:rsid w:val="00BC4605"/>
    <w:rsid w:val="00BD0F53"/>
    <w:rsid w:val="00BD18D0"/>
    <w:rsid w:val="00BD22DE"/>
    <w:rsid w:val="00BD2337"/>
    <w:rsid w:val="00BD244C"/>
    <w:rsid w:val="00BD27F4"/>
    <w:rsid w:val="00BD2987"/>
    <w:rsid w:val="00BD2E3D"/>
    <w:rsid w:val="00BD2FA7"/>
    <w:rsid w:val="00BD3191"/>
    <w:rsid w:val="00BD3D8C"/>
    <w:rsid w:val="00BD412B"/>
    <w:rsid w:val="00BD494D"/>
    <w:rsid w:val="00BD4D26"/>
    <w:rsid w:val="00BD5A4C"/>
    <w:rsid w:val="00BD6911"/>
    <w:rsid w:val="00BD6E42"/>
    <w:rsid w:val="00BD7D4B"/>
    <w:rsid w:val="00BE1763"/>
    <w:rsid w:val="00BE1D98"/>
    <w:rsid w:val="00BE24E4"/>
    <w:rsid w:val="00BF07A0"/>
    <w:rsid w:val="00BF0810"/>
    <w:rsid w:val="00BF3171"/>
    <w:rsid w:val="00BF40ED"/>
    <w:rsid w:val="00BF5BC2"/>
    <w:rsid w:val="00BF5E6B"/>
    <w:rsid w:val="00BF7260"/>
    <w:rsid w:val="00BF73E3"/>
    <w:rsid w:val="00BF75BE"/>
    <w:rsid w:val="00BF78E2"/>
    <w:rsid w:val="00C003B9"/>
    <w:rsid w:val="00C01B5C"/>
    <w:rsid w:val="00C031A6"/>
    <w:rsid w:val="00C03D1E"/>
    <w:rsid w:val="00C04A51"/>
    <w:rsid w:val="00C04BEE"/>
    <w:rsid w:val="00C10939"/>
    <w:rsid w:val="00C109F4"/>
    <w:rsid w:val="00C10EA6"/>
    <w:rsid w:val="00C1133D"/>
    <w:rsid w:val="00C123CF"/>
    <w:rsid w:val="00C12DD2"/>
    <w:rsid w:val="00C21D43"/>
    <w:rsid w:val="00C264B9"/>
    <w:rsid w:val="00C278FF"/>
    <w:rsid w:val="00C27A08"/>
    <w:rsid w:val="00C31312"/>
    <w:rsid w:val="00C31E36"/>
    <w:rsid w:val="00C326C6"/>
    <w:rsid w:val="00C35295"/>
    <w:rsid w:val="00C369DC"/>
    <w:rsid w:val="00C36ADD"/>
    <w:rsid w:val="00C36E74"/>
    <w:rsid w:val="00C3768E"/>
    <w:rsid w:val="00C40595"/>
    <w:rsid w:val="00C40A8D"/>
    <w:rsid w:val="00C40D7B"/>
    <w:rsid w:val="00C41621"/>
    <w:rsid w:val="00C418DB"/>
    <w:rsid w:val="00C41B7C"/>
    <w:rsid w:val="00C41C02"/>
    <w:rsid w:val="00C42688"/>
    <w:rsid w:val="00C43758"/>
    <w:rsid w:val="00C43BA0"/>
    <w:rsid w:val="00C449FA"/>
    <w:rsid w:val="00C452FA"/>
    <w:rsid w:val="00C50D60"/>
    <w:rsid w:val="00C5384F"/>
    <w:rsid w:val="00C53EBF"/>
    <w:rsid w:val="00C55384"/>
    <w:rsid w:val="00C55B22"/>
    <w:rsid w:val="00C56964"/>
    <w:rsid w:val="00C57E0E"/>
    <w:rsid w:val="00C62EFE"/>
    <w:rsid w:val="00C64F0E"/>
    <w:rsid w:val="00C656D5"/>
    <w:rsid w:val="00C67103"/>
    <w:rsid w:val="00C71BB9"/>
    <w:rsid w:val="00C736FB"/>
    <w:rsid w:val="00C74DEE"/>
    <w:rsid w:val="00C82A12"/>
    <w:rsid w:val="00C8612F"/>
    <w:rsid w:val="00C87007"/>
    <w:rsid w:val="00C90B2F"/>
    <w:rsid w:val="00C924C1"/>
    <w:rsid w:val="00C94C28"/>
    <w:rsid w:val="00CA15AA"/>
    <w:rsid w:val="00CA5E45"/>
    <w:rsid w:val="00CA61E2"/>
    <w:rsid w:val="00CB0247"/>
    <w:rsid w:val="00CB0A64"/>
    <w:rsid w:val="00CB19F9"/>
    <w:rsid w:val="00CB2D45"/>
    <w:rsid w:val="00CB3440"/>
    <w:rsid w:val="00CB3C4C"/>
    <w:rsid w:val="00CB3FC2"/>
    <w:rsid w:val="00CB4084"/>
    <w:rsid w:val="00CC1692"/>
    <w:rsid w:val="00CC3303"/>
    <w:rsid w:val="00CC405B"/>
    <w:rsid w:val="00CC59D6"/>
    <w:rsid w:val="00CC5C39"/>
    <w:rsid w:val="00CC64B6"/>
    <w:rsid w:val="00CC7AC4"/>
    <w:rsid w:val="00CC7E8C"/>
    <w:rsid w:val="00CD138B"/>
    <w:rsid w:val="00CD2483"/>
    <w:rsid w:val="00CD3E31"/>
    <w:rsid w:val="00CD44C1"/>
    <w:rsid w:val="00CD6961"/>
    <w:rsid w:val="00CD7117"/>
    <w:rsid w:val="00CD74A3"/>
    <w:rsid w:val="00CE0527"/>
    <w:rsid w:val="00CE1CF3"/>
    <w:rsid w:val="00CE1DEE"/>
    <w:rsid w:val="00CE30D0"/>
    <w:rsid w:val="00CE3C25"/>
    <w:rsid w:val="00CE3D7C"/>
    <w:rsid w:val="00CE5B23"/>
    <w:rsid w:val="00CF0405"/>
    <w:rsid w:val="00CF08C5"/>
    <w:rsid w:val="00CF290F"/>
    <w:rsid w:val="00CF2D40"/>
    <w:rsid w:val="00CF336D"/>
    <w:rsid w:val="00CF573B"/>
    <w:rsid w:val="00CF5FC4"/>
    <w:rsid w:val="00CF70AD"/>
    <w:rsid w:val="00CF7729"/>
    <w:rsid w:val="00CF7C14"/>
    <w:rsid w:val="00D00059"/>
    <w:rsid w:val="00D009CE"/>
    <w:rsid w:val="00D02F34"/>
    <w:rsid w:val="00D0487F"/>
    <w:rsid w:val="00D107FA"/>
    <w:rsid w:val="00D11465"/>
    <w:rsid w:val="00D11555"/>
    <w:rsid w:val="00D120A6"/>
    <w:rsid w:val="00D12275"/>
    <w:rsid w:val="00D12766"/>
    <w:rsid w:val="00D14C4D"/>
    <w:rsid w:val="00D16CA9"/>
    <w:rsid w:val="00D16E6F"/>
    <w:rsid w:val="00D20E4E"/>
    <w:rsid w:val="00D20FF4"/>
    <w:rsid w:val="00D21F3E"/>
    <w:rsid w:val="00D22B0E"/>
    <w:rsid w:val="00D22F0F"/>
    <w:rsid w:val="00D24D2C"/>
    <w:rsid w:val="00D252B9"/>
    <w:rsid w:val="00D27FFC"/>
    <w:rsid w:val="00D3317A"/>
    <w:rsid w:val="00D34AA4"/>
    <w:rsid w:val="00D35881"/>
    <w:rsid w:val="00D35D7A"/>
    <w:rsid w:val="00D377B5"/>
    <w:rsid w:val="00D43FC9"/>
    <w:rsid w:val="00D442BD"/>
    <w:rsid w:val="00D44A23"/>
    <w:rsid w:val="00D479AF"/>
    <w:rsid w:val="00D53DAF"/>
    <w:rsid w:val="00D55399"/>
    <w:rsid w:val="00D56A2C"/>
    <w:rsid w:val="00D56F3B"/>
    <w:rsid w:val="00D575F6"/>
    <w:rsid w:val="00D6276A"/>
    <w:rsid w:val="00D64EEA"/>
    <w:rsid w:val="00D65321"/>
    <w:rsid w:val="00D6610F"/>
    <w:rsid w:val="00D6630B"/>
    <w:rsid w:val="00D71E21"/>
    <w:rsid w:val="00D736CA"/>
    <w:rsid w:val="00D76007"/>
    <w:rsid w:val="00D76123"/>
    <w:rsid w:val="00D77F85"/>
    <w:rsid w:val="00D8044E"/>
    <w:rsid w:val="00D80641"/>
    <w:rsid w:val="00D80675"/>
    <w:rsid w:val="00D81818"/>
    <w:rsid w:val="00D827BB"/>
    <w:rsid w:val="00D83E21"/>
    <w:rsid w:val="00D860FC"/>
    <w:rsid w:val="00D87710"/>
    <w:rsid w:val="00D87DC6"/>
    <w:rsid w:val="00D90822"/>
    <w:rsid w:val="00D95F57"/>
    <w:rsid w:val="00D9675C"/>
    <w:rsid w:val="00D97A9E"/>
    <w:rsid w:val="00DA2908"/>
    <w:rsid w:val="00DA522A"/>
    <w:rsid w:val="00DA6168"/>
    <w:rsid w:val="00DA664C"/>
    <w:rsid w:val="00DA78A7"/>
    <w:rsid w:val="00DA7DA5"/>
    <w:rsid w:val="00DB0012"/>
    <w:rsid w:val="00DB0440"/>
    <w:rsid w:val="00DB073B"/>
    <w:rsid w:val="00DB0A02"/>
    <w:rsid w:val="00DB0DE1"/>
    <w:rsid w:val="00DB2297"/>
    <w:rsid w:val="00DB302C"/>
    <w:rsid w:val="00DB7308"/>
    <w:rsid w:val="00DB78F0"/>
    <w:rsid w:val="00DC0CEA"/>
    <w:rsid w:val="00DC0E4B"/>
    <w:rsid w:val="00DC2E43"/>
    <w:rsid w:val="00DC34AC"/>
    <w:rsid w:val="00DC78FF"/>
    <w:rsid w:val="00DD095C"/>
    <w:rsid w:val="00DD0A7A"/>
    <w:rsid w:val="00DD1020"/>
    <w:rsid w:val="00DD1330"/>
    <w:rsid w:val="00DD28E0"/>
    <w:rsid w:val="00DD3231"/>
    <w:rsid w:val="00DD3D15"/>
    <w:rsid w:val="00DD63AD"/>
    <w:rsid w:val="00DE0B83"/>
    <w:rsid w:val="00DE0D0F"/>
    <w:rsid w:val="00DE1516"/>
    <w:rsid w:val="00DE1A81"/>
    <w:rsid w:val="00DE1C13"/>
    <w:rsid w:val="00DE2220"/>
    <w:rsid w:val="00DE2677"/>
    <w:rsid w:val="00DE4D02"/>
    <w:rsid w:val="00DE4E10"/>
    <w:rsid w:val="00DE7083"/>
    <w:rsid w:val="00DE7CD0"/>
    <w:rsid w:val="00DF22DA"/>
    <w:rsid w:val="00DF261C"/>
    <w:rsid w:val="00DF358F"/>
    <w:rsid w:val="00DF4689"/>
    <w:rsid w:val="00DF5923"/>
    <w:rsid w:val="00DF5C90"/>
    <w:rsid w:val="00DF6797"/>
    <w:rsid w:val="00DF6A1A"/>
    <w:rsid w:val="00DF6E70"/>
    <w:rsid w:val="00DF7B08"/>
    <w:rsid w:val="00E003D1"/>
    <w:rsid w:val="00E007BC"/>
    <w:rsid w:val="00E027F2"/>
    <w:rsid w:val="00E02ABF"/>
    <w:rsid w:val="00E03085"/>
    <w:rsid w:val="00E03F42"/>
    <w:rsid w:val="00E04BDE"/>
    <w:rsid w:val="00E0548F"/>
    <w:rsid w:val="00E110F8"/>
    <w:rsid w:val="00E11826"/>
    <w:rsid w:val="00E12DDB"/>
    <w:rsid w:val="00E14905"/>
    <w:rsid w:val="00E14995"/>
    <w:rsid w:val="00E166B0"/>
    <w:rsid w:val="00E167B8"/>
    <w:rsid w:val="00E173AF"/>
    <w:rsid w:val="00E179CD"/>
    <w:rsid w:val="00E207B0"/>
    <w:rsid w:val="00E2149F"/>
    <w:rsid w:val="00E22DBD"/>
    <w:rsid w:val="00E23250"/>
    <w:rsid w:val="00E23E8D"/>
    <w:rsid w:val="00E246E3"/>
    <w:rsid w:val="00E253EB"/>
    <w:rsid w:val="00E2611D"/>
    <w:rsid w:val="00E3076A"/>
    <w:rsid w:val="00E30E9F"/>
    <w:rsid w:val="00E311A3"/>
    <w:rsid w:val="00E3180B"/>
    <w:rsid w:val="00E334F6"/>
    <w:rsid w:val="00E37A01"/>
    <w:rsid w:val="00E37F98"/>
    <w:rsid w:val="00E40E32"/>
    <w:rsid w:val="00E4171B"/>
    <w:rsid w:val="00E44A7B"/>
    <w:rsid w:val="00E46559"/>
    <w:rsid w:val="00E47EAA"/>
    <w:rsid w:val="00E512BD"/>
    <w:rsid w:val="00E538EE"/>
    <w:rsid w:val="00E54309"/>
    <w:rsid w:val="00E5431F"/>
    <w:rsid w:val="00E6053F"/>
    <w:rsid w:val="00E60644"/>
    <w:rsid w:val="00E608F7"/>
    <w:rsid w:val="00E60AC9"/>
    <w:rsid w:val="00E64AC6"/>
    <w:rsid w:val="00E651F8"/>
    <w:rsid w:val="00E6536C"/>
    <w:rsid w:val="00E65828"/>
    <w:rsid w:val="00E65A0B"/>
    <w:rsid w:val="00E6670C"/>
    <w:rsid w:val="00E706F0"/>
    <w:rsid w:val="00E707AC"/>
    <w:rsid w:val="00E71969"/>
    <w:rsid w:val="00E758E2"/>
    <w:rsid w:val="00E776E8"/>
    <w:rsid w:val="00E77BBD"/>
    <w:rsid w:val="00E8029E"/>
    <w:rsid w:val="00E82085"/>
    <w:rsid w:val="00E820CC"/>
    <w:rsid w:val="00E82FDF"/>
    <w:rsid w:val="00E83AD7"/>
    <w:rsid w:val="00E83B4A"/>
    <w:rsid w:val="00E85F76"/>
    <w:rsid w:val="00E863A8"/>
    <w:rsid w:val="00E90ADA"/>
    <w:rsid w:val="00E90EF5"/>
    <w:rsid w:val="00E915CB"/>
    <w:rsid w:val="00E9240E"/>
    <w:rsid w:val="00E92C1F"/>
    <w:rsid w:val="00E95D4B"/>
    <w:rsid w:val="00E97CE9"/>
    <w:rsid w:val="00EA4E98"/>
    <w:rsid w:val="00EA5176"/>
    <w:rsid w:val="00EA6728"/>
    <w:rsid w:val="00EA76B8"/>
    <w:rsid w:val="00EA7FDD"/>
    <w:rsid w:val="00EB053D"/>
    <w:rsid w:val="00EB0D3C"/>
    <w:rsid w:val="00EB199F"/>
    <w:rsid w:val="00EB1E1D"/>
    <w:rsid w:val="00EB4B74"/>
    <w:rsid w:val="00EB55F1"/>
    <w:rsid w:val="00EB7B75"/>
    <w:rsid w:val="00EC139D"/>
    <w:rsid w:val="00EC23F7"/>
    <w:rsid w:val="00EC4BD8"/>
    <w:rsid w:val="00EC63EB"/>
    <w:rsid w:val="00ED3684"/>
    <w:rsid w:val="00ED3A58"/>
    <w:rsid w:val="00ED412F"/>
    <w:rsid w:val="00ED4173"/>
    <w:rsid w:val="00ED4A7B"/>
    <w:rsid w:val="00ED5E13"/>
    <w:rsid w:val="00ED5E93"/>
    <w:rsid w:val="00EE2B43"/>
    <w:rsid w:val="00EE3696"/>
    <w:rsid w:val="00EE4736"/>
    <w:rsid w:val="00EE5840"/>
    <w:rsid w:val="00EE6D9A"/>
    <w:rsid w:val="00EE7E43"/>
    <w:rsid w:val="00EF0186"/>
    <w:rsid w:val="00EF36B2"/>
    <w:rsid w:val="00EF47EA"/>
    <w:rsid w:val="00EF55D3"/>
    <w:rsid w:val="00EF684E"/>
    <w:rsid w:val="00EF7E75"/>
    <w:rsid w:val="00F00385"/>
    <w:rsid w:val="00F07066"/>
    <w:rsid w:val="00F10C7E"/>
    <w:rsid w:val="00F10EF7"/>
    <w:rsid w:val="00F11010"/>
    <w:rsid w:val="00F1230D"/>
    <w:rsid w:val="00F1231C"/>
    <w:rsid w:val="00F1246B"/>
    <w:rsid w:val="00F15459"/>
    <w:rsid w:val="00F201EC"/>
    <w:rsid w:val="00F20222"/>
    <w:rsid w:val="00F202FA"/>
    <w:rsid w:val="00F208A9"/>
    <w:rsid w:val="00F2102F"/>
    <w:rsid w:val="00F22CAF"/>
    <w:rsid w:val="00F23A5E"/>
    <w:rsid w:val="00F26112"/>
    <w:rsid w:val="00F27AAD"/>
    <w:rsid w:val="00F3002C"/>
    <w:rsid w:val="00F3162C"/>
    <w:rsid w:val="00F32728"/>
    <w:rsid w:val="00F36B50"/>
    <w:rsid w:val="00F40F69"/>
    <w:rsid w:val="00F41D75"/>
    <w:rsid w:val="00F478B9"/>
    <w:rsid w:val="00F508C7"/>
    <w:rsid w:val="00F50BA6"/>
    <w:rsid w:val="00F5139D"/>
    <w:rsid w:val="00F51A70"/>
    <w:rsid w:val="00F51F04"/>
    <w:rsid w:val="00F523B6"/>
    <w:rsid w:val="00F52D2E"/>
    <w:rsid w:val="00F5363B"/>
    <w:rsid w:val="00F53FB7"/>
    <w:rsid w:val="00F5498A"/>
    <w:rsid w:val="00F56E87"/>
    <w:rsid w:val="00F571D6"/>
    <w:rsid w:val="00F57628"/>
    <w:rsid w:val="00F621F4"/>
    <w:rsid w:val="00F62F43"/>
    <w:rsid w:val="00F634E7"/>
    <w:rsid w:val="00F63DAC"/>
    <w:rsid w:val="00F63E88"/>
    <w:rsid w:val="00F64F3A"/>
    <w:rsid w:val="00F652AB"/>
    <w:rsid w:val="00F71B07"/>
    <w:rsid w:val="00F71BE2"/>
    <w:rsid w:val="00F71CFB"/>
    <w:rsid w:val="00F7454F"/>
    <w:rsid w:val="00F76049"/>
    <w:rsid w:val="00F76DDE"/>
    <w:rsid w:val="00F77511"/>
    <w:rsid w:val="00F77988"/>
    <w:rsid w:val="00F77F48"/>
    <w:rsid w:val="00F80637"/>
    <w:rsid w:val="00F80A2C"/>
    <w:rsid w:val="00F81E6D"/>
    <w:rsid w:val="00F82FD3"/>
    <w:rsid w:val="00F83F38"/>
    <w:rsid w:val="00F85C7C"/>
    <w:rsid w:val="00F90A76"/>
    <w:rsid w:val="00F9643E"/>
    <w:rsid w:val="00F97531"/>
    <w:rsid w:val="00FA0FD5"/>
    <w:rsid w:val="00FA13E0"/>
    <w:rsid w:val="00FB0959"/>
    <w:rsid w:val="00FB1083"/>
    <w:rsid w:val="00FB253C"/>
    <w:rsid w:val="00FB30F1"/>
    <w:rsid w:val="00FB37FF"/>
    <w:rsid w:val="00FB53E7"/>
    <w:rsid w:val="00FB6203"/>
    <w:rsid w:val="00FB69DD"/>
    <w:rsid w:val="00FC32B5"/>
    <w:rsid w:val="00FC39AC"/>
    <w:rsid w:val="00FC529B"/>
    <w:rsid w:val="00FC676F"/>
    <w:rsid w:val="00FD0E32"/>
    <w:rsid w:val="00FD2742"/>
    <w:rsid w:val="00FD2A8A"/>
    <w:rsid w:val="00FD5F84"/>
    <w:rsid w:val="00FD6D7E"/>
    <w:rsid w:val="00FD7E5B"/>
    <w:rsid w:val="00FD7E63"/>
    <w:rsid w:val="00FE196D"/>
    <w:rsid w:val="00FE2585"/>
    <w:rsid w:val="00FE39E8"/>
    <w:rsid w:val="00FE5277"/>
    <w:rsid w:val="00FE702F"/>
    <w:rsid w:val="00FF00D0"/>
    <w:rsid w:val="00FF6F20"/>
    <w:rsid w:val="00FF7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83B8B-1CB4-429E-8EC0-57849B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paragraph" w:styleId="NoSpacing">
    <w:name w:val="No Spacing"/>
    <w:uiPriority w:val="1"/>
    <w:qFormat/>
    <w:rsid w:val="005A6E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ze.Grinberga@e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I.Runča</Vad_x012b_t_x0101_js>
    <Kategorija xmlns="2e5bb04e-596e-45bd-9003-43ca78b1ba16">Anotācija</Kategorija>
    <DKP xmlns="2e5bb04e-596e-45bd-9003-43ca78b1ba16">26</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85CF-864D-4713-9683-21FCA5DBA32A}">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036610A6-7033-43A0-A8DB-D029A74F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78DF2E-3E46-4EA1-AD7D-EBCCC1A71361}">
  <ds:schemaRefs>
    <ds:schemaRef ds:uri="http://schemas.microsoft.com/office/2006/metadata/longProperties"/>
  </ds:schemaRefs>
</ds:datastoreItem>
</file>

<file path=customXml/itemProps4.xml><?xml version="1.0" encoding="utf-8"?>
<ds:datastoreItem xmlns:ds="http://schemas.openxmlformats.org/officeDocument/2006/customXml" ds:itemID="{9A2D1314-83C5-4743-BEEC-1A9FC2B3ACEA}">
  <ds:schemaRefs>
    <ds:schemaRef ds:uri="http://schemas.microsoft.com/sharepoint/v3/contenttype/forms"/>
  </ds:schemaRefs>
</ds:datastoreItem>
</file>

<file path=customXml/itemProps5.xml><?xml version="1.0" encoding="utf-8"?>
<ds:datastoreItem xmlns:ds="http://schemas.openxmlformats.org/officeDocument/2006/customXml" ds:itemID="{CC21691A-532E-415E-B981-F76D9A4E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2258</Words>
  <Characters>16282</Characters>
  <Application>Microsoft Office Word</Application>
  <DocSecurity>0</DocSecurity>
  <Lines>542</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presi un citiem masu informācijas līdzekļiem”” sākotnējās ietekmes novērtējuma ziņojums (anotācija)</vt:lpstr>
    </vt:vector>
  </TitlesOfParts>
  <Company>Ekonomikas ministrija</Company>
  <LinksUpToDate>false</LinksUpToDate>
  <CharactersWithSpaces>18303</CharactersWithSpaces>
  <SharedDoc>false</SharedDoc>
  <HLinks>
    <vt:vector size="6" baseType="variant">
      <vt:variant>
        <vt:i4>1114166</vt:i4>
      </vt:variant>
      <vt:variant>
        <vt:i4>3</vt:i4>
      </vt:variant>
      <vt:variant>
        <vt:i4>0</vt:i4>
      </vt:variant>
      <vt:variant>
        <vt:i4>5</vt:i4>
      </vt:variant>
      <vt:variant>
        <vt:lpwstr>mailto:Ilze.Grinberga@em.gov.lv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Ilze.Grinberga@em.gov.lv</dc:creator>
  <cp:keywords/>
  <dc:description>I.Grīnberga 67013231
Ilze.Grinberga@em.gov.lv</dc:description>
  <cp:lastModifiedBy>Ilze Grīnberga</cp:lastModifiedBy>
  <cp:revision>21</cp:revision>
  <cp:lastPrinted>2016-05-11T06:09:00Z</cp:lastPrinted>
  <dcterms:created xsi:type="dcterms:W3CDTF">2016-07-01T10:39:00Z</dcterms:created>
  <dcterms:modified xsi:type="dcterms:W3CDTF">2016-07-18T06:06:00Z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