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ECC3B" w14:textId="77777777" w:rsidR="00D80E97" w:rsidRDefault="0043222E" w:rsidP="006544E9">
      <w:pPr>
        <w:jc w:val="center"/>
        <w:rPr>
          <w:b/>
        </w:rPr>
      </w:pPr>
      <w:r>
        <w:rPr>
          <w:b/>
        </w:rPr>
        <w:t>Informatīvais ziņojums par m</w:t>
      </w:r>
      <w:r w:rsidR="006544E9" w:rsidRPr="006544E9">
        <w:rPr>
          <w:b/>
        </w:rPr>
        <w:t>ājokļu atbalsta programm</w:t>
      </w:r>
      <w:r w:rsidR="002333D4">
        <w:rPr>
          <w:b/>
        </w:rPr>
        <w:t>as turpmāko darbību</w:t>
      </w:r>
      <w:r w:rsidR="006544E9" w:rsidRPr="006544E9">
        <w:rPr>
          <w:b/>
        </w:rPr>
        <w:t xml:space="preserve"> </w:t>
      </w:r>
    </w:p>
    <w:p w14:paraId="417DC688" w14:textId="77777777" w:rsidR="00C55C58" w:rsidRDefault="00C55C58" w:rsidP="00C55C58">
      <w:pPr>
        <w:jc w:val="both"/>
        <w:rPr>
          <w:rFonts w:cs="Times New Roman"/>
          <w:sz w:val="24"/>
          <w:szCs w:val="24"/>
        </w:rPr>
      </w:pPr>
    </w:p>
    <w:p w14:paraId="113613BE" w14:textId="77777777" w:rsidR="00C55C58" w:rsidRPr="00214F53" w:rsidRDefault="00C55C58" w:rsidP="00813C66">
      <w:pPr>
        <w:ind w:firstLine="709"/>
        <w:jc w:val="both"/>
        <w:rPr>
          <w:rFonts w:cs="Times New Roman"/>
          <w:color w:val="000000" w:themeColor="text1"/>
          <w:sz w:val="24"/>
          <w:szCs w:val="24"/>
        </w:rPr>
      </w:pPr>
      <w:r w:rsidRPr="00214F53">
        <w:rPr>
          <w:rFonts w:cs="Times New Roman"/>
          <w:sz w:val="24"/>
          <w:szCs w:val="24"/>
        </w:rPr>
        <w:t>2014.gada 9.augustā stājās spēkā Ministru kabineta noteikumi Nr. 443 „Noteikumi par valsts palīdzību dzīvojamās telpas iegādei vai būvniecībai”. Minētie n</w:t>
      </w:r>
      <w:r w:rsidRPr="00214F53">
        <w:rPr>
          <w:rFonts w:cs="Times New Roman"/>
          <w:color w:val="000000" w:themeColor="text1"/>
          <w:sz w:val="24"/>
          <w:szCs w:val="24"/>
        </w:rPr>
        <w:t xml:space="preserve">oteikumi paredz, ka </w:t>
      </w:r>
      <w:r w:rsidRPr="00214F53">
        <w:rPr>
          <w:rFonts w:cs="Times New Roman"/>
          <w:bCs/>
          <w:color w:val="000000" w:themeColor="text1"/>
          <w:sz w:val="24"/>
          <w:szCs w:val="24"/>
        </w:rPr>
        <w:t xml:space="preserve">akciju sabiedrība „Attīstības finanšu institūcija </w:t>
      </w:r>
      <w:proofErr w:type="spellStart"/>
      <w:r w:rsidRPr="00214F53">
        <w:rPr>
          <w:rFonts w:cs="Times New Roman"/>
          <w:bCs/>
          <w:color w:val="000000" w:themeColor="text1"/>
          <w:sz w:val="24"/>
          <w:szCs w:val="24"/>
        </w:rPr>
        <w:t>Altum</w:t>
      </w:r>
      <w:proofErr w:type="spellEnd"/>
      <w:r w:rsidRPr="00214F53">
        <w:rPr>
          <w:rFonts w:cs="Times New Roman"/>
          <w:bCs/>
          <w:color w:val="000000" w:themeColor="text1"/>
          <w:sz w:val="24"/>
          <w:szCs w:val="24"/>
        </w:rPr>
        <w:t xml:space="preserve">” </w:t>
      </w:r>
      <w:r w:rsidRPr="00214F53">
        <w:rPr>
          <w:rFonts w:cs="Times New Roman"/>
          <w:color w:val="000000" w:themeColor="text1"/>
          <w:sz w:val="24"/>
          <w:szCs w:val="24"/>
        </w:rPr>
        <w:t xml:space="preserve">izsniedz galvojumu personai, ar kuru kopā dzīvo un kuras apgādībā ir vismaz viens nepilngadīgs bērns. Galvojuma apmērs piemērojams, atkarībā no bērnu skaita ģimenē: </w:t>
      </w:r>
    </w:p>
    <w:p w14:paraId="62A02CAC" w14:textId="77777777" w:rsidR="00C55C58" w:rsidRPr="00214F53" w:rsidRDefault="00C55C58" w:rsidP="00813C66">
      <w:pPr>
        <w:pStyle w:val="tv213"/>
        <w:numPr>
          <w:ilvl w:val="0"/>
          <w:numId w:val="2"/>
        </w:numPr>
        <w:shd w:val="clear" w:color="auto" w:fill="FFFFFF"/>
        <w:spacing w:before="0" w:beforeAutospacing="0" w:after="0" w:afterAutospacing="0"/>
        <w:ind w:left="709" w:hanging="283"/>
        <w:jc w:val="both"/>
        <w:rPr>
          <w:color w:val="000000" w:themeColor="text1"/>
        </w:rPr>
      </w:pPr>
      <w:r w:rsidRPr="00214F53">
        <w:rPr>
          <w:color w:val="000000" w:themeColor="text1"/>
        </w:rPr>
        <w:t>10 % no aizdevuma summas, bet ne vairāk kā 10000</w:t>
      </w:r>
      <w:r w:rsidRPr="00214F53">
        <w:rPr>
          <w:rStyle w:val="apple-converted-space"/>
          <w:color w:val="000000" w:themeColor="text1"/>
        </w:rPr>
        <w:t> </w:t>
      </w:r>
      <w:proofErr w:type="spellStart"/>
      <w:r w:rsidRPr="00214F53">
        <w:rPr>
          <w:i/>
          <w:iCs/>
          <w:color w:val="000000" w:themeColor="text1"/>
        </w:rPr>
        <w:t>euro</w:t>
      </w:r>
      <w:proofErr w:type="spellEnd"/>
      <w:r w:rsidRPr="00214F53">
        <w:rPr>
          <w:rStyle w:val="apple-converted-space"/>
          <w:color w:val="000000" w:themeColor="text1"/>
        </w:rPr>
        <w:t> </w:t>
      </w:r>
      <w:r w:rsidRPr="00214F53">
        <w:rPr>
          <w:color w:val="000000" w:themeColor="text1"/>
        </w:rPr>
        <w:t>– personai, ar kuru kopā dzīvo un kuras apgādībā ir viens nepilngadīgs bērns;</w:t>
      </w:r>
    </w:p>
    <w:p w14:paraId="35DEBBB8" w14:textId="77777777" w:rsidR="00C55C58" w:rsidRPr="00214F53" w:rsidRDefault="00C55C58" w:rsidP="00813C66">
      <w:pPr>
        <w:pStyle w:val="tv213"/>
        <w:numPr>
          <w:ilvl w:val="0"/>
          <w:numId w:val="2"/>
        </w:numPr>
        <w:shd w:val="clear" w:color="auto" w:fill="FFFFFF"/>
        <w:spacing w:before="0" w:beforeAutospacing="0" w:after="0" w:afterAutospacing="0"/>
        <w:ind w:left="709" w:hanging="283"/>
        <w:jc w:val="both"/>
        <w:rPr>
          <w:color w:val="000000" w:themeColor="text1"/>
        </w:rPr>
      </w:pPr>
      <w:r w:rsidRPr="00214F53">
        <w:rPr>
          <w:color w:val="000000" w:themeColor="text1"/>
        </w:rPr>
        <w:t>15 % no aizdevuma summas, bet ne vairāk kā 15000</w:t>
      </w:r>
      <w:r w:rsidRPr="00214F53">
        <w:rPr>
          <w:rStyle w:val="apple-converted-space"/>
          <w:color w:val="000000" w:themeColor="text1"/>
        </w:rPr>
        <w:t> </w:t>
      </w:r>
      <w:proofErr w:type="spellStart"/>
      <w:r w:rsidRPr="00214F53">
        <w:rPr>
          <w:i/>
          <w:iCs/>
          <w:color w:val="000000" w:themeColor="text1"/>
        </w:rPr>
        <w:t>euro</w:t>
      </w:r>
      <w:proofErr w:type="spellEnd"/>
      <w:r w:rsidRPr="00214F53">
        <w:rPr>
          <w:rStyle w:val="apple-converted-space"/>
          <w:color w:val="000000" w:themeColor="text1"/>
        </w:rPr>
        <w:t> </w:t>
      </w:r>
      <w:r w:rsidRPr="00214F53">
        <w:rPr>
          <w:color w:val="000000" w:themeColor="text1"/>
        </w:rPr>
        <w:t>– personai, ar kuru kopā dzīvo un kuras apgādībā ir divi nepilngadīgi bērni;</w:t>
      </w:r>
    </w:p>
    <w:p w14:paraId="3CD457A3" w14:textId="77777777" w:rsidR="00C55C58" w:rsidRDefault="00C55C58" w:rsidP="00813C66">
      <w:pPr>
        <w:pStyle w:val="tv213"/>
        <w:numPr>
          <w:ilvl w:val="0"/>
          <w:numId w:val="2"/>
        </w:numPr>
        <w:shd w:val="clear" w:color="auto" w:fill="FFFFFF"/>
        <w:spacing w:before="0" w:beforeAutospacing="0" w:after="0" w:afterAutospacing="0"/>
        <w:ind w:left="709" w:hanging="283"/>
        <w:jc w:val="both"/>
        <w:rPr>
          <w:color w:val="000000" w:themeColor="text1"/>
        </w:rPr>
      </w:pPr>
      <w:r w:rsidRPr="00214F53">
        <w:rPr>
          <w:color w:val="000000" w:themeColor="text1"/>
        </w:rPr>
        <w:t>20 % no aizdevuma summas, bet ne vairāk kā 20000</w:t>
      </w:r>
      <w:r w:rsidRPr="00214F53">
        <w:rPr>
          <w:rStyle w:val="apple-converted-space"/>
          <w:color w:val="000000" w:themeColor="text1"/>
        </w:rPr>
        <w:t> </w:t>
      </w:r>
      <w:proofErr w:type="spellStart"/>
      <w:r w:rsidRPr="00214F53">
        <w:rPr>
          <w:i/>
          <w:iCs/>
          <w:color w:val="000000" w:themeColor="text1"/>
        </w:rPr>
        <w:t>euro</w:t>
      </w:r>
      <w:proofErr w:type="spellEnd"/>
      <w:r w:rsidRPr="00214F53">
        <w:rPr>
          <w:rStyle w:val="apple-converted-space"/>
          <w:color w:val="000000" w:themeColor="text1"/>
        </w:rPr>
        <w:t> </w:t>
      </w:r>
      <w:r w:rsidRPr="00214F53">
        <w:rPr>
          <w:color w:val="000000" w:themeColor="text1"/>
        </w:rPr>
        <w:t>– personai, ar kuru kopā dzīvo un kuras apgādībā ir trīs nepilngadīgi bērni vai vairāk.</w:t>
      </w:r>
    </w:p>
    <w:p w14:paraId="3932E13B" w14:textId="77777777" w:rsidR="006544E9" w:rsidRDefault="006544E9" w:rsidP="006544E9">
      <w:pPr>
        <w:jc w:val="center"/>
        <w:rPr>
          <w:b/>
        </w:rPr>
      </w:pPr>
    </w:p>
    <w:p w14:paraId="6FF7662E" w14:textId="77777777" w:rsidR="00DD1BA0" w:rsidRPr="00662E86" w:rsidRDefault="00C55C58" w:rsidP="00C55C58">
      <w:pPr>
        <w:jc w:val="center"/>
        <w:rPr>
          <w:rFonts w:cs="Times New Roman"/>
          <w:b/>
          <w:color w:val="000000" w:themeColor="text1"/>
          <w:sz w:val="26"/>
          <w:szCs w:val="26"/>
        </w:rPr>
      </w:pPr>
      <w:r w:rsidRPr="00662E86">
        <w:rPr>
          <w:rFonts w:cs="Times New Roman"/>
          <w:b/>
          <w:color w:val="000000" w:themeColor="text1"/>
          <w:sz w:val="26"/>
          <w:szCs w:val="26"/>
        </w:rPr>
        <w:t>I Mājokļu atbalsta programmai piešķirtais f</w:t>
      </w:r>
      <w:r w:rsidR="00DD1BA0" w:rsidRPr="00662E86">
        <w:rPr>
          <w:rFonts w:cs="Times New Roman"/>
          <w:b/>
          <w:color w:val="000000" w:themeColor="text1"/>
          <w:sz w:val="26"/>
          <w:szCs w:val="26"/>
        </w:rPr>
        <w:t>inansējums</w:t>
      </w:r>
    </w:p>
    <w:p w14:paraId="0117D313" w14:textId="77777777" w:rsidR="00C55C58" w:rsidRPr="00C55C58" w:rsidRDefault="00C55C58" w:rsidP="00C55C58">
      <w:pPr>
        <w:jc w:val="center"/>
        <w:rPr>
          <w:rFonts w:cs="Times New Roman"/>
          <w:b/>
          <w:color w:val="000000" w:themeColor="text1"/>
          <w:sz w:val="24"/>
          <w:szCs w:val="24"/>
        </w:rPr>
      </w:pPr>
    </w:p>
    <w:p w14:paraId="0A0923CC" w14:textId="77777777" w:rsidR="00DD1BA0" w:rsidRPr="00246C9F" w:rsidRDefault="00DD1BA0" w:rsidP="00246C9F">
      <w:pPr>
        <w:ind w:firstLine="709"/>
        <w:jc w:val="both"/>
        <w:rPr>
          <w:rFonts w:cs="Times New Roman"/>
          <w:sz w:val="24"/>
          <w:szCs w:val="24"/>
        </w:rPr>
      </w:pPr>
      <w:r w:rsidRPr="00246C9F">
        <w:rPr>
          <w:rFonts w:cs="Times New Roman"/>
          <w:sz w:val="24"/>
          <w:szCs w:val="24"/>
        </w:rPr>
        <w:t xml:space="preserve">Saskaņā ar likuma „Par valsts budžetu 2016. gadam” 49. panta pirmo daļu </w:t>
      </w:r>
      <w:r w:rsidR="00C03038" w:rsidRPr="00246C9F">
        <w:rPr>
          <w:rFonts w:cs="Times New Roman"/>
          <w:sz w:val="24"/>
          <w:szCs w:val="24"/>
        </w:rPr>
        <w:t xml:space="preserve">Ekonomikas ministrijas budžeta programmā 33.00.00 "Ekonomikas attīstības programma" ieskaitītie līdzekļi ir izmantojami atbalsta pasākumiem Latvijas uzņēmējiem jaunu eksporta tirgu apguvē un eksporta palielināšanā uz prioritāriem mērķa tirgiem un investīciju veicināšanai, </w:t>
      </w:r>
      <w:proofErr w:type="spellStart"/>
      <w:r w:rsidR="00C03038" w:rsidRPr="00246C9F">
        <w:rPr>
          <w:rFonts w:cs="Times New Roman"/>
          <w:sz w:val="24"/>
          <w:szCs w:val="24"/>
        </w:rPr>
        <w:t>Reemigrācijas</w:t>
      </w:r>
      <w:proofErr w:type="spellEnd"/>
      <w:r w:rsidR="00C03038" w:rsidRPr="00246C9F">
        <w:rPr>
          <w:rFonts w:cs="Times New Roman"/>
          <w:sz w:val="24"/>
          <w:szCs w:val="24"/>
        </w:rPr>
        <w:t xml:space="preserve"> atbalsta pasākumu plāna un Pirmā mājokļa programmas finansēšanai, kā arī citiem darba vietu radīšanas un ģimeņu atbalsta pasākumiem un sistēmas administrēšanas izmaksu segšanai. </w:t>
      </w:r>
    </w:p>
    <w:p w14:paraId="1BAEFCD0" w14:textId="77777777" w:rsidR="00DD1BA0" w:rsidRPr="00246C9F" w:rsidRDefault="00DD1BA0" w:rsidP="00246C9F">
      <w:pPr>
        <w:widowControl w:val="0"/>
        <w:ind w:firstLine="709"/>
        <w:jc w:val="both"/>
        <w:rPr>
          <w:rFonts w:cs="Times New Roman"/>
          <w:sz w:val="24"/>
          <w:szCs w:val="24"/>
        </w:rPr>
      </w:pPr>
      <w:r w:rsidRPr="00246C9F">
        <w:rPr>
          <w:rFonts w:cs="Times New Roman"/>
          <w:sz w:val="24"/>
          <w:szCs w:val="24"/>
        </w:rPr>
        <w:t>Līdz šim brīdim mājokļu atbalsta programmai ir novirzīti šādi finanšu līdzekļi:</w:t>
      </w:r>
    </w:p>
    <w:p w14:paraId="23258348" w14:textId="4E67096B" w:rsidR="00DD1BA0" w:rsidRPr="00246C9F" w:rsidRDefault="00813C66" w:rsidP="00246C9F">
      <w:pPr>
        <w:pStyle w:val="ListParagraph"/>
        <w:widowControl w:val="0"/>
        <w:numPr>
          <w:ilvl w:val="0"/>
          <w:numId w:val="1"/>
        </w:numPr>
        <w:tabs>
          <w:tab w:val="left" w:pos="426"/>
        </w:tabs>
        <w:ind w:left="284" w:hanging="284"/>
        <w:contextualSpacing/>
        <w:jc w:val="both"/>
        <w:rPr>
          <w:rFonts w:ascii="Times New Roman" w:hAnsi="Times New Roman"/>
          <w:sz w:val="24"/>
          <w:szCs w:val="24"/>
        </w:rPr>
      </w:pPr>
      <w:r w:rsidRPr="00246C9F">
        <w:rPr>
          <w:rFonts w:ascii="Times New Roman" w:hAnsi="Times New Roman"/>
          <w:sz w:val="24"/>
          <w:szCs w:val="24"/>
        </w:rPr>
        <w:t>V</w:t>
      </w:r>
      <w:r w:rsidR="00DD1BA0" w:rsidRPr="00246C9F">
        <w:rPr>
          <w:rFonts w:ascii="Times New Roman" w:hAnsi="Times New Roman"/>
          <w:sz w:val="24"/>
          <w:szCs w:val="24"/>
        </w:rPr>
        <w:t xml:space="preserve">alsts akciju sabiedrības „Latvijas Hipotēku un zemes banka” pamatkapitālā 2005.gadā ieskaitītie līdzekļi - 332  678, 71 </w:t>
      </w:r>
      <w:proofErr w:type="spellStart"/>
      <w:r w:rsidR="00DD1BA0" w:rsidRPr="00246C9F">
        <w:rPr>
          <w:rFonts w:ascii="Times New Roman" w:hAnsi="Times New Roman"/>
          <w:i/>
          <w:sz w:val="24"/>
          <w:szCs w:val="24"/>
        </w:rPr>
        <w:t>euro</w:t>
      </w:r>
      <w:proofErr w:type="spellEnd"/>
      <w:r w:rsidR="00DD1BA0" w:rsidRPr="00246C9F">
        <w:rPr>
          <w:rFonts w:ascii="Times New Roman" w:hAnsi="Times New Roman"/>
          <w:sz w:val="24"/>
          <w:szCs w:val="24"/>
        </w:rPr>
        <w:t xml:space="preserve">; </w:t>
      </w:r>
    </w:p>
    <w:p w14:paraId="712A1677" w14:textId="3EF0CF1B" w:rsidR="00DD1BA0" w:rsidRPr="00246C9F" w:rsidRDefault="00DD1BA0" w:rsidP="00246C9F">
      <w:pPr>
        <w:pStyle w:val="NormalWeb"/>
        <w:numPr>
          <w:ilvl w:val="0"/>
          <w:numId w:val="1"/>
        </w:numPr>
        <w:shd w:val="clear" w:color="auto" w:fill="FFFFFF"/>
        <w:tabs>
          <w:tab w:val="left" w:pos="426"/>
        </w:tabs>
        <w:spacing w:before="0" w:beforeAutospacing="0" w:after="0" w:afterAutospacing="0"/>
        <w:ind w:left="284" w:hanging="284"/>
        <w:jc w:val="both"/>
        <w:rPr>
          <w:rFonts w:eastAsiaTheme="minorHAnsi"/>
          <w:lang w:eastAsia="en-US"/>
        </w:rPr>
      </w:pPr>
      <w:r w:rsidRPr="00246C9F">
        <w:rPr>
          <w:rFonts w:eastAsiaTheme="minorHAnsi"/>
          <w:lang w:eastAsia="en-US"/>
        </w:rPr>
        <w:t>Ministru kabineta 2015.gada 2.februāra rīkojums Nr.54 „Par </w:t>
      </w:r>
      <w:hyperlink r:id="rId8" w:tgtFrame="_blank" w:history="1">
        <w:r w:rsidRPr="00246C9F">
          <w:rPr>
            <w:rFonts w:eastAsiaTheme="minorHAnsi"/>
            <w:lang w:eastAsia="en-US"/>
          </w:rPr>
          <w:t>Imigrācijas likuma</w:t>
        </w:r>
      </w:hyperlink>
      <w:r w:rsidRPr="00246C9F">
        <w:rPr>
          <w:rFonts w:eastAsiaTheme="minorHAnsi"/>
          <w:lang w:eastAsia="en-US"/>
        </w:rPr>
        <w:t> </w:t>
      </w:r>
      <w:hyperlink r:id="rId9" w:anchor="p23" w:tgtFrame="_blank" w:history="1">
        <w:r w:rsidRPr="00246C9F">
          <w:rPr>
            <w:rFonts w:eastAsiaTheme="minorHAnsi"/>
            <w:lang w:eastAsia="en-US"/>
          </w:rPr>
          <w:t>23.panta</w:t>
        </w:r>
      </w:hyperlink>
      <w:r w:rsidRPr="00246C9F">
        <w:rPr>
          <w:rFonts w:eastAsiaTheme="minorHAnsi"/>
          <w:lang w:eastAsia="en-US"/>
        </w:rPr>
        <w:t> pirmās daļas 28., 29., 30. un 31.punktā paredzēto nosacījumu nodrošināšanai nepieciešamajiem pasākumiem un finansējumu 201</w:t>
      </w:r>
      <w:r w:rsidR="00246C9F">
        <w:rPr>
          <w:rFonts w:eastAsiaTheme="minorHAnsi"/>
          <w:lang w:eastAsia="en-US"/>
        </w:rPr>
        <w:t>5.gadā” – 635 295</w:t>
      </w:r>
      <w:r w:rsidRPr="00246C9F">
        <w:rPr>
          <w:rFonts w:eastAsiaTheme="minorHAnsi"/>
          <w:lang w:eastAsia="en-US"/>
        </w:rPr>
        <w:t xml:space="preserve"> </w:t>
      </w:r>
      <w:proofErr w:type="spellStart"/>
      <w:r w:rsidRPr="00246C9F">
        <w:rPr>
          <w:rFonts w:eastAsiaTheme="minorHAnsi"/>
          <w:i/>
          <w:lang w:eastAsia="en-US"/>
        </w:rPr>
        <w:t>euro</w:t>
      </w:r>
      <w:proofErr w:type="spellEnd"/>
      <w:r w:rsidRPr="00246C9F">
        <w:rPr>
          <w:rFonts w:eastAsiaTheme="minorHAnsi"/>
          <w:lang w:eastAsia="en-US"/>
        </w:rPr>
        <w:t>;</w:t>
      </w:r>
    </w:p>
    <w:p w14:paraId="76ACC95A" w14:textId="77777777" w:rsidR="00DD1BA0" w:rsidRPr="00246C9F" w:rsidRDefault="00DD1BA0" w:rsidP="00246C9F">
      <w:pPr>
        <w:pStyle w:val="liknoteik"/>
        <w:numPr>
          <w:ilvl w:val="0"/>
          <w:numId w:val="1"/>
        </w:numPr>
        <w:shd w:val="clear" w:color="auto" w:fill="FFFFFF"/>
        <w:tabs>
          <w:tab w:val="left" w:pos="426"/>
        </w:tabs>
        <w:spacing w:before="0" w:beforeAutospacing="0" w:after="0" w:afterAutospacing="0"/>
        <w:ind w:left="284" w:hanging="284"/>
        <w:jc w:val="both"/>
        <w:rPr>
          <w:rFonts w:eastAsiaTheme="minorHAnsi"/>
          <w:lang w:eastAsia="en-US"/>
        </w:rPr>
      </w:pPr>
      <w:r w:rsidRPr="00246C9F">
        <w:rPr>
          <w:rFonts w:eastAsiaTheme="minorHAnsi"/>
          <w:lang w:eastAsia="en-US"/>
        </w:rPr>
        <w:t xml:space="preserve">Ministru kabineta 2015.gada 8.oktobra rīkojums Nr. 617 „Par pamatbudžeta programmas „Ekonomikas attīstības programma" finanšu līdzekļu izmantošanu”” – 1000 000 </w:t>
      </w:r>
      <w:proofErr w:type="spellStart"/>
      <w:r w:rsidRPr="00246C9F">
        <w:rPr>
          <w:rFonts w:eastAsiaTheme="minorHAnsi"/>
          <w:i/>
          <w:lang w:eastAsia="en-US"/>
        </w:rPr>
        <w:t>euro</w:t>
      </w:r>
      <w:proofErr w:type="spellEnd"/>
      <w:r w:rsidRPr="00246C9F">
        <w:rPr>
          <w:rFonts w:eastAsiaTheme="minorHAnsi"/>
          <w:lang w:eastAsia="en-US"/>
        </w:rPr>
        <w:t>;</w:t>
      </w:r>
    </w:p>
    <w:p w14:paraId="5DB57C80" w14:textId="77777777" w:rsidR="00DD1BA0" w:rsidRPr="00246C9F" w:rsidRDefault="00DD1BA0" w:rsidP="00246C9F">
      <w:pPr>
        <w:pStyle w:val="liknoteik"/>
        <w:numPr>
          <w:ilvl w:val="0"/>
          <w:numId w:val="1"/>
        </w:numPr>
        <w:shd w:val="clear" w:color="auto" w:fill="FFFFFF"/>
        <w:tabs>
          <w:tab w:val="left" w:pos="426"/>
        </w:tabs>
        <w:spacing w:before="0" w:beforeAutospacing="0" w:after="0" w:afterAutospacing="0"/>
        <w:ind w:left="284" w:hanging="284"/>
        <w:jc w:val="both"/>
        <w:rPr>
          <w:rFonts w:eastAsiaTheme="minorHAnsi"/>
          <w:lang w:eastAsia="en-US"/>
        </w:rPr>
      </w:pPr>
      <w:r w:rsidRPr="00246C9F">
        <w:rPr>
          <w:rFonts w:eastAsiaTheme="minorHAnsi"/>
          <w:lang w:eastAsia="en-US"/>
        </w:rPr>
        <w:t xml:space="preserve">Ministru kabineta 2015.gada 8.decembra rīkojums Nr. 772 „Par pamatbudžeta programmas „Ekonomikas attīstības programma" finanšu līdzekļu izmantošanu”” – 700 000 </w:t>
      </w:r>
      <w:proofErr w:type="spellStart"/>
      <w:r w:rsidRPr="00246C9F">
        <w:rPr>
          <w:rFonts w:eastAsiaTheme="minorHAnsi"/>
          <w:i/>
          <w:lang w:eastAsia="en-US"/>
        </w:rPr>
        <w:t>euro</w:t>
      </w:r>
      <w:proofErr w:type="spellEnd"/>
      <w:r w:rsidRPr="00246C9F">
        <w:rPr>
          <w:rFonts w:eastAsiaTheme="minorHAnsi"/>
          <w:lang w:eastAsia="en-US"/>
        </w:rPr>
        <w:t>;</w:t>
      </w:r>
    </w:p>
    <w:p w14:paraId="16762F9E" w14:textId="723E820C" w:rsidR="00DD1BA0" w:rsidRPr="00246C9F" w:rsidRDefault="00DD1BA0" w:rsidP="00246C9F">
      <w:pPr>
        <w:pStyle w:val="ListParagraph"/>
        <w:numPr>
          <w:ilvl w:val="0"/>
          <w:numId w:val="1"/>
        </w:numPr>
        <w:tabs>
          <w:tab w:val="left" w:pos="426"/>
        </w:tabs>
        <w:ind w:left="284" w:hanging="284"/>
        <w:contextualSpacing/>
        <w:jc w:val="both"/>
        <w:rPr>
          <w:rFonts w:ascii="Times New Roman" w:hAnsi="Times New Roman"/>
          <w:sz w:val="24"/>
          <w:szCs w:val="24"/>
        </w:rPr>
      </w:pPr>
      <w:r w:rsidRPr="00246C9F">
        <w:rPr>
          <w:rFonts w:ascii="Times New Roman" w:hAnsi="Times New Roman"/>
          <w:sz w:val="24"/>
          <w:szCs w:val="24"/>
        </w:rPr>
        <w:t>Ministru kabineta 2016.gada 15.marta rīkojumu Nr.193 „Par pamatbudžeta programmas „Ekonomikas attīstība</w:t>
      </w:r>
      <w:r w:rsidR="003D5C1A">
        <w:rPr>
          <w:rFonts w:ascii="Times New Roman" w:hAnsi="Times New Roman"/>
          <w:sz w:val="24"/>
          <w:szCs w:val="24"/>
        </w:rPr>
        <w:t xml:space="preserve">s programma" finanšu līdzekļu </w:t>
      </w:r>
      <w:r w:rsidRPr="00246C9F">
        <w:rPr>
          <w:rFonts w:ascii="Times New Roman" w:hAnsi="Times New Roman"/>
          <w:sz w:val="24"/>
          <w:szCs w:val="24"/>
        </w:rPr>
        <w:t>izmantošanu”” 859 385 tūkst. </w:t>
      </w:r>
      <w:proofErr w:type="spellStart"/>
      <w:r w:rsidRPr="00246C9F">
        <w:rPr>
          <w:rFonts w:ascii="Times New Roman" w:hAnsi="Times New Roman"/>
          <w:i/>
          <w:sz w:val="24"/>
          <w:szCs w:val="24"/>
        </w:rPr>
        <w:t>euro</w:t>
      </w:r>
      <w:proofErr w:type="spellEnd"/>
      <w:r w:rsidRPr="00246C9F">
        <w:rPr>
          <w:rFonts w:ascii="Times New Roman" w:hAnsi="Times New Roman"/>
          <w:i/>
          <w:sz w:val="24"/>
          <w:szCs w:val="24"/>
        </w:rPr>
        <w:t>.</w:t>
      </w:r>
      <w:r w:rsidRPr="00246C9F">
        <w:rPr>
          <w:rFonts w:ascii="Times New Roman" w:hAnsi="Times New Roman"/>
          <w:sz w:val="24"/>
          <w:szCs w:val="24"/>
        </w:rPr>
        <w:t xml:space="preserve"> </w:t>
      </w:r>
    </w:p>
    <w:p w14:paraId="51965062" w14:textId="77777777" w:rsidR="00DD1BA0" w:rsidRPr="00246C9F" w:rsidRDefault="00DD1BA0" w:rsidP="00246C9F">
      <w:pPr>
        <w:pStyle w:val="naislab"/>
        <w:spacing w:before="0" w:after="0"/>
        <w:ind w:firstLine="709"/>
        <w:jc w:val="both"/>
        <w:outlineLvl w:val="0"/>
        <w:rPr>
          <w:rFonts w:eastAsiaTheme="minorHAnsi"/>
          <w:u w:val="single"/>
          <w:lang w:eastAsia="en-US"/>
        </w:rPr>
      </w:pPr>
      <w:r w:rsidRPr="00BC3AF9">
        <w:rPr>
          <w:rFonts w:eastAsiaTheme="minorHAnsi"/>
          <w:lang w:eastAsia="en-US"/>
        </w:rPr>
        <w:t>Programmas kopē</w:t>
      </w:r>
      <w:r w:rsidR="008A364A" w:rsidRPr="00BC3AF9">
        <w:rPr>
          <w:rFonts w:eastAsiaTheme="minorHAnsi"/>
          <w:lang w:eastAsia="en-US"/>
        </w:rPr>
        <w:t xml:space="preserve">jais finansējums ir sasniedzis </w:t>
      </w:r>
      <w:r w:rsidRPr="00BC3AF9">
        <w:rPr>
          <w:rFonts w:eastAsiaTheme="minorHAnsi"/>
          <w:lang w:eastAsia="en-US"/>
        </w:rPr>
        <w:t xml:space="preserve">3 527 358.71 </w:t>
      </w:r>
      <w:proofErr w:type="spellStart"/>
      <w:r w:rsidRPr="00BC3AF9">
        <w:rPr>
          <w:rFonts w:eastAsiaTheme="minorHAnsi"/>
          <w:i/>
          <w:lang w:eastAsia="en-US"/>
        </w:rPr>
        <w:t>euro</w:t>
      </w:r>
      <w:proofErr w:type="spellEnd"/>
      <w:r w:rsidRPr="00BC3AF9">
        <w:rPr>
          <w:rFonts w:eastAsiaTheme="minorHAnsi"/>
          <w:lang w:eastAsia="en-US"/>
        </w:rPr>
        <w:t xml:space="preserve">. Programmas multiplikators 4 dod iespēju piešķirt mājokļu galvojumus par kopējo summu 14 109 434.84 </w:t>
      </w:r>
      <w:proofErr w:type="spellStart"/>
      <w:r w:rsidRPr="00BC3AF9">
        <w:rPr>
          <w:rFonts w:eastAsiaTheme="minorHAnsi"/>
          <w:i/>
          <w:lang w:eastAsia="en-US"/>
        </w:rPr>
        <w:t>euro</w:t>
      </w:r>
      <w:proofErr w:type="spellEnd"/>
      <w:r w:rsidRPr="00BC3AF9">
        <w:rPr>
          <w:rFonts w:eastAsiaTheme="minorHAnsi"/>
          <w:lang w:eastAsia="en-US"/>
        </w:rPr>
        <w:t xml:space="preserve">. </w:t>
      </w:r>
      <w:r w:rsidRPr="00BC3AF9">
        <w:rPr>
          <w:rFonts w:eastAsiaTheme="minorHAnsi"/>
          <w:u w:val="single"/>
          <w:lang w:eastAsia="en-US"/>
        </w:rPr>
        <w:t>Minētais apjoms galvojumu piešķiršanā ir jau pilnībā sasniegts.</w:t>
      </w:r>
    </w:p>
    <w:p w14:paraId="43FC250A" w14:textId="42E11E32" w:rsidR="00EA278F" w:rsidRDefault="00AC3B70" w:rsidP="00246C9F">
      <w:pPr>
        <w:pStyle w:val="naislab"/>
        <w:spacing w:before="0" w:after="0"/>
        <w:ind w:firstLine="709"/>
        <w:jc w:val="both"/>
        <w:outlineLvl w:val="0"/>
        <w:rPr>
          <w:rFonts w:eastAsiaTheme="minorHAnsi"/>
          <w:lang w:eastAsia="en-US"/>
        </w:rPr>
      </w:pPr>
      <w:r w:rsidRPr="00246C9F">
        <w:t xml:space="preserve">Ekonomikas ministrijas budžeta programmā 33.00.00 „Ekonomikas attīstības programma” ieskaitīto līdzekļu apjoms šajā gadā ievērojami samazinājies (Diagramma Nr.1), </w:t>
      </w:r>
      <w:r w:rsidR="00BF6F42" w:rsidRPr="00246C9F">
        <w:t xml:space="preserve">tāpat strauji ir samazinājies izsniegto </w:t>
      </w:r>
      <w:proofErr w:type="spellStart"/>
      <w:r w:rsidR="00BF6F42" w:rsidRPr="00246C9F">
        <w:t>termiņuzturēšanās</w:t>
      </w:r>
      <w:proofErr w:type="spellEnd"/>
      <w:r w:rsidR="00BF6F42" w:rsidRPr="00246C9F">
        <w:t xml:space="preserve"> atļauju skaits (Diagramma Nr.2), </w:t>
      </w:r>
      <w:r w:rsidRPr="00246C9F">
        <w:t xml:space="preserve">kas rada problēmas finansēt mājokļu galvojumu programmu. </w:t>
      </w:r>
      <w:r w:rsidR="00185692" w:rsidRPr="00246C9F">
        <w:t xml:space="preserve">Dinamika liecina, ka nākotnē nav sagaidāmi ievērojami ienākumi no </w:t>
      </w:r>
      <w:proofErr w:type="spellStart"/>
      <w:r w:rsidR="00185692" w:rsidRPr="00246C9F">
        <w:t>termiņuzturēšanās</w:t>
      </w:r>
      <w:proofErr w:type="spellEnd"/>
      <w:r w:rsidR="00185692" w:rsidRPr="00246C9F">
        <w:t xml:space="preserve"> atļaujām.</w:t>
      </w:r>
    </w:p>
    <w:p w14:paraId="515045B8" w14:textId="0F8F90B8" w:rsidR="00EA278F" w:rsidRDefault="00EA278F" w:rsidP="00EA278F"/>
    <w:p w14:paraId="11AF9367" w14:textId="17B67E82" w:rsidR="00EA278F" w:rsidRDefault="00EA278F" w:rsidP="00EA278F"/>
    <w:p w14:paraId="4F1FFB85" w14:textId="77777777" w:rsidR="00AC3B70" w:rsidRPr="00EA278F" w:rsidRDefault="00AC3B70" w:rsidP="00BC3AF9"/>
    <w:p w14:paraId="3B25CF7E" w14:textId="77777777" w:rsidR="00E031D6" w:rsidRPr="00C55C58" w:rsidRDefault="00E031D6" w:rsidP="00DD1BA0">
      <w:pPr>
        <w:pStyle w:val="naislab"/>
        <w:spacing w:before="0" w:after="0"/>
        <w:ind w:right="102"/>
        <w:jc w:val="both"/>
        <w:outlineLvl w:val="0"/>
        <w:rPr>
          <w:rFonts w:eastAsiaTheme="minorHAnsi"/>
          <w:lang w:eastAsia="en-US"/>
        </w:rPr>
      </w:pPr>
      <w:r>
        <w:rPr>
          <w:rFonts w:eastAsiaTheme="minorHAnsi"/>
          <w:noProof/>
        </w:rPr>
        <w:lastRenderedPageBreak/>
        <w:drawing>
          <wp:inline distT="0" distB="0" distL="0" distR="0" wp14:anchorId="6C0F9ACA" wp14:editId="1B8C5179">
            <wp:extent cx="5743575" cy="3016156"/>
            <wp:effectExtent l="0" t="0" r="952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95ECF7" w14:textId="77777777" w:rsidR="00DD1BA0" w:rsidRPr="00390436" w:rsidRDefault="006F2244" w:rsidP="006F2244">
      <w:pPr>
        <w:pStyle w:val="naislab"/>
        <w:spacing w:before="0" w:after="0"/>
        <w:ind w:right="102"/>
        <w:outlineLvl w:val="0"/>
        <w:rPr>
          <w:rFonts w:eastAsiaTheme="minorHAnsi" w:cstheme="minorBidi"/>
          <w:sz w:val="20"/>
          <w:szCs w:val="20"/>
          <w:lang w:eastAsia="en-US"/>
        </w:rPr>
      </w:pPr>
      <w:r w:rsidRPr="00390436">
        <w:rPr>
          <w:rFonts w:eastAsiaTheme="minorHAnsi" w:cstheme="minorBidi"/>
          <w:sz w:val="20"/>
          <w:szCs w:val="20"/>
          <w:lang w:eastAsia="en-US"/>
        </w:rPr>
        <w:t>Diagramma Nr.1</w:t>
      </w:r>
    </w:p>
    <w:p w14:paraId="76B0918D" w14:textId="77777777" w:rsidR="006F2244" w:rsidRPr="00390436" w:rsidRDefault="006F2244" w:rsidP="006F2244">
      <w:pPr>
        <w:pStyle w:val="naislab"/>
        <w:spacing w:before="0" w:after="0"/>
        <w:ind w:right="102"/>
        <w:outlineLvl w:val="0"/>
        <w:rPr>
          <w:rFonts w:eastAsiaTheme="minorHAnsi" w:cstheme="minorBidi"/>
          <w:sz w:val="20"/>
          <w:szCs w:val="20"/>
          <w:lang w:eastAsia="en-US"/>
        </w:rPr>
      </w:pPr>
      <w:r w:rsidRPr="00390436">
        <w:rPr>
          <w:rFonts w:eastAsiaTheme="minorHAnsi" w:cstheme="minorBidi"/>
          <w:sz w:val="20"/>
          <w:szCs w:val="20"/>
          <w:lang w:eastAsia="en-US"/>
        </w:rPr>
        <w:t>Avots: Ekonomikas ministrija</w:t>
      </w:r>
    </w:p>
    <w:p w14:paraId="6ECCB58C" w14:textId="77777777" w:rsidR="00EB21B0" w:rsidRDefault="00EB21B0" w:rsidP="006F2244">
      <w:pPr>
        <w:pStyle w:val="naislab"/>
        <w:spacing w:before="0" w:after="0"/>
        <w:ind w:right="102"/>
        <w:outlineLvl w:val="0"/>
        <w:rPr>
          <w:rFonts w:eastAsiaTheme="minorHAnsi" w:cstheme="minorBidi"/>
          <w:sz w:val="20"/>
          <w:szCs w:val="20"/>
          <w:lang w:eastAsia="en-US"/>
        </w:rPr>
      </w:pPr>
    </w:p>
    <w:p w14:paraId="3E5DA848" w14:textId="77777777" w:rsidR="00BF6F42" w:rsidRDefault="00BF6F42" w:rsidP="006F2244">
      <w:pPr>
        <w:pStyle w:val="naislab"/>
        <w:spacing w:before="0" w:after="0"/>
        <w:ind w:right="102"/>
        <w:outlineLvl w:val="0"/>
        <w:rPr>
          <w:rFonts w:eastAsiaTheme="minorHAnsi" w:cstheme="minorBidi"/>
          <w:sz w:val="20"/>
          <w:szCs w:val="20"/>
          <w:lang w:eastAsia="en-US"/>
        </w:rPr>
      </w:pPr>
    </w:p>
    <w:p w14:paraId="2A0DA5B4" w14:textId="77777777" w:rsidR="00EB21B0" w:rsidRPr="006F2244" w:rsidRDefault="00EB21B0" w:rsidP="006F2244">
      <w:pPr>
        <w:pStyle w:val="naislab"/>
        <w:spacing w:before="0" w:after="0"/>
        <w:ind w:right="102"/>
        <w:outlineLvl w:val="0"/>
        <w:rPr>
          <w:rFonts w:eastAsiaTheme="minorHAnsi" w:cstheme="minorBidi"/>
          <w:sz w:val="20"/>
          <w:szCs w:val="20"/>
          <w:lang w:eastAsia="en-US"/>
        </w:rPr>
      </w:pPr>
      <w:r>
        <w:rPr>
          <w:rFonts w:eastAsiaTheme="minorHAnsi" w:cstheme="minorBidi"/>
          <w:noProof/>
          <w:sz w:val="20"/>
          <w:szCs w:val="20"/>
        </w:rPr>
        <w:drawing>
          <wp:inline distT="0" distB="0" distL="0" distR="0" wp14:anchorId="257370A0" wp14:editId="32286889">
            <wp:extent cx="573405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89AB22B" w14:textId="03430C6B" w:rsidR="006F2244" w:rsidRPr="00390436" w:rsidRDefault="00BF6F42" w:rsidP="006F2244">
      <w:pPr>
        <w:pStyle w:val="naislab"/>
        <w:spacing w:before="0" w:after="0"/>
        <w:ind w:right="102"/>
        <w:outlineLvl w:val="0"/>
        <w:rPr>
          <w:rFonts w:eastAsiaTheme="minorHAnsi" w:cstheme="minorBidi"/>
          <w:sz w:val="20"/>
          <w:szCs w:val="20"/>
          <w:lang w:eastAsia="en-US"/>
        </w:rPr>
      </w:pPr>
      <w:r w:rsidRPr="00390436">
        <w:rPr>
          <w:rFonts w:eastAsiaTheme="minorHAnsi" w:cstheme="minorBidi"/>
          <w:sz w:val="20"/>
          <w:szCs w:val="20"/>
          <w:lang w:eastAsia="en-US"/>
        </w:rPr>
        <w:t xml:space="preserve">Diagramma Nr.2 </w:t>
      </w:r>
      <w:r w:rsidR="00D30299" w:rsidRPr="00390436">
        <w:rPr>
          <w:rStyle w:val="FootnoteReference"/>
          <w:rFonts w:eastAsiaTheme="minorHAnsi" w:cstheme="minorBidi"/>
          <w:sz w:val="20"/>
          <w:szCs w:val="20"/>
          <w:lang w:eastAsia="en-US"/>
        </w:rPr>
        <w:footnoteReference w:id="1"/>
      </w:r>
    </w:p>
    <w:p w14:paraId="11B21C47" w14:textId="77777777" w:rsidR="00BF6F42" w:rsidRPr="00390436" w:rsidRDefault="00BF6F42" w:rsidP="00BF6F42">
      <w:pPr>
        <w:pStyle w:val="naislab"/>
        <w:spacing w:before="0" w:after="0"/>
        <w:ind w:right="102"/>
        <w:outlineLvl w:val="0"/>
        <w:rPr>
          <w:rFonts w:eastAsiaTheme="minorHAnsi" w:cstheme="minorBidi"/>
          <w:sz w:val="20"/>
          <w:szCs w:val="20"/>
          <w:lang w:eastAsia="en-US"/>
        </w:rPr>
      </w:pPr>
      <w:r w:rsidRPr="00390436">
        <w:rPr>
          <w:rFonts w:eastAsiaTheme="minorHAnsi" w:cstheme="minorBidi"/>
          <w:sz w:val="20"/>
          <w:szCs w:val="20"/>
          <w:lang w:eastAsia="en-US"/>
        </w:rPr>
        <w:t>Avots: Ekonomikas ministrija</w:t>
      </w:r>
    </w:p>
    <w:p w14:paraId="78F37E8C" w14:textId="77777777" w:rsidR="00BF6F42" w:rsidRDefault="00BF6F42" w:rsidP="006F2244">
      <w:pPr>
        <w:pStyle w:val="naislab"/>
        <w:spacing w:before="0" w:after="0"/>
        <w:ind w:right="102"/>
        <w:outlineLvl w:val="0"/>
        <w:rPr>
          <w:rFonts w:eastAsiaTheme="minorHAnsi" w:cstheme="minorBidi"/>
          <w:sz w:val="26"/>
          <w:szCs w:val="26"/>
          <w:lang w:eastAsia="en-US"/>
        </w:rPr>
      </w:pPr>
    </w:p>
    <w:p w14:paraId="304AA7E3" w14:textId="77777777" w:rsidR="00C55C58" w:rsidRPr="00662E86" w:rsidRDefault="00C55C58" w:rsidP="00C55C58">
      <w:pPr>
        <w:jc w:val="center"/>
        <w:rPr>
          <w:b/>
          <w:color w:val="000000" w:themeColor="text1"/>
          <w:sz w:val="26"/>
          <w:szCs w:val="26"/>
        </w:rPr>
      </w:pPr>
      <w:r w:rsidRPr="00662E86">
        <w:rPr>
          <w:b/>
          <w:color w:val="000000" w:themeColor="text1"/>
          <w:sz w:val="26"/>
          <w:szCs w:val="26"/>
        </w:rPr>
        <w:t>II Galvojumu piešķiršanas dinamika</w:t>
      </w:r>
    </w:p>
    <w:p w14:paraId="3B178003" w14:textId="77777777" w:rsidR="00C55C58" w:rsidRPr="00662E86" w:rsidRDefault="00C55C58" w:rsidP="00C55C58">
      <w:pPr>
        <w:jc w:val="center"/>
        <w:rPr>
          <w:b/>
          <w:color w:val="000000" w:themeColor="text1"/>
          <w:sz w:val="26"/>
          <w:szCs w:val="26"/>
        </w:rPr>
      </w:pPr>
    </w:p>
    <w:p w14:paraId="0F96D70C" w14:textId="50928766" w:rsidR="00E66217" w:rsidRPr="002A356E" w:rsidRDefault="00DD1BA0" w:rsidP="00813C66">
      <w:pPr>
        <w:ind w:firstLine="709"/>
        <w:jc w:val="both"/>
        <w:rPr>
          <w:color w:val="000000" w:themeColor="text1"/>
          <w:sz w:val="24"/>
          <w:szCs w:val="24"/>
        </w:rPr>
      </w:pPr>
      <w:r w:rsidRPr="00BC3AF9">
        <w:rPr>
          <w:color w:val="000000" w:themeColor="text1"/>
          <w:sz w:val="24"/>
          <w:szCs w:val="24"/>
        </w:rPr>
        <w:t xml:space="preserve">Uz </w:t>
      </w:r>
      <w:r w:rsidR="00FB4B6A" w:rsidRPr="00BC3AF9">
        <w:rPr>
          <w:color w:val="000000" w:themeColor="text1"/>
          <w:sz w:val="24"/>
          <w:szCs w:val="24"/>
        </w:rPr>
        <w:t xml:space="preserve">2016.gada </w:t>
      </w:r>
      <w:r w:rsidR="00D440C0">
        <w:rPr>
          <w:color w:val="000000" w:themeColor="text1"/>
          <w:sz w:val="24"/>
          <w:szCs w:val="24"/>
        </w:rPr>
        <w:t>21</w:t>
      </w:r>
      <w:r w:rsidR="00FB4B6A" w:rsidRPr="00BC3AF9">
        <w:rPr>
          <w:color w:val="000000" w:themeColor="text1"/>
          <w:sz w:val="24"/>
          <w:szCs w:val="24"/>
        </w:rPr>
        <w:t>.</w:t>
      </w:r>
      <w:r w:rsidR="00D440C0">
        <w:rPr>
          <w:color w:val="000000" w:themeColor="text1"/>
          <w:sz w:val="24"/>
          <w:szCs w:val="24"/>
        </w:rPr>
        <w:t>jūniju</w:t>
      </w:r>
      <w:r w:rsidRPr="00BC3AF9">
        <w:rPr>
          <w:color w:val="000000" w:themeColor="text1"/>
          <w:sz w:val="24"/>
          <w:szCs w:val="24"/>
        </w:rPr>
        <w:t xml:space="preserve"> kopumā atbalstītas </w:t>
      </w:r>
      <w:r w:rsidR="00D440C0">
        <w:rPr>
          <w:color w:val="000000" w:themeColor="text1"/>
          <w:sz w:val="24"/>
          <w:szCs w:val="24"/>
        </w:rPr>
        <w:t xml:space="preserve">2611 ģimenes </w:t>
      </w:r>
      <w:r w:rsidR="008B3C64" w:rsidRPr="00BC3AF9">
        <w:rPr>
          <w:color w:val="000000" w:themeColor="text1"/>
          <w:sz w:val="24"/>
          <w:szCs w:val="24"/>
        </w:rPr>
        <w:t>(</w:t>
      </w:r>
      <w:r w:rsidR="00D440C0">
        <w:rPr>
          <w:color w:val="000000" w:themeColor="text1"/>
          <w:sz w:val="24"/>
          <w:szCs w:val="24"/>
        </w:rPr>
        <w:t xml:space="preserve">statistika līdz 2016.gada I ceturksnim - </w:t>
      </w:r>
      <w:r w:rsidR="008B3C64" w:rsidRPr="00BC3AF9">
        <w:rPr>
          <w:color w:val="000000" w:themeColor="text1"/>
          <w:sz w:val="24"/>
          <w:szCs w:val="24"/>
        </w:rPr>
        <w:t>Diagramm</w:t>
      </w:r>
      <w:r w:rsidR="00D440C0">
        <w:rPr>
          <w:color w:val="000000" w:themeColor="text1"/>
          <w:sz w:val="24"/>
          <w:szCs w:val="24"/>
        </w:rPr>
        <w:t>ā</w:t>
      </w:r>
      <w:r w:rsidR="008B3C64" w:rsidRPr="00BC3AF9">
        <w:rPr>
          <w:color w:val="000000" w:themeColor="text1"/>
          <w:sz w:val="24"/>
          <w:szCs w:val="24"/>
        </w:rPr>
        <w:t xml:space="preserve"> Nr.</w:t>
      </w:r>
      <w:r w:rsidR="00BF6F42" w:rsidRPr="00BC3AF9">
        <w:rPr>
          <w:color w:val="000000" w:themeColor="text1"/>
          <w:sz w:val="24"/>
          <w:szCs w:val="24"/>
        </w:rPr>
        <w:t>3</w:t>
      </w:r>
      <w:r w:rsidR="008B3C64" w:rsidRPr="00BC3AF9">
        <w:rPr>
          <w:color w:val="000000" w:themeColor="text1"/>
          <w:sz w:val="24"/>
          <w:szCs w:val="24"/>
        </w:rPr>
        <w:t>)</w:t>
      </w:r>
      <w:r w:rsidR="008A364A" w:rsidRPr="00BC3AF9">
        <w:rPr>
          <w:color w:val="000000" w:themeColor="text1"/>
          <w:sz w:val="24"/>
          <w:szCs w:val="24"/>
        </w:rPr>
        <w:t>.</w:t>
      </w:r>
    </w:p>
    <w:p w14:paraId="1B3B00FC" w14:textId="07D2FF5C" w:rsidR="00DD1BA0" w:rsidRDefault="00DD1BA0" w:rsidP="00813C66">
      <w:pPr>
        <w:ind w:firstLine="709"/>
        <w:jc w:val="both"/>
        <w:rPr>
          <w:color w:val="000000" w:themeColor="text1"/>
          <w:sz w:val="24"/>
          <w:szCs w:val="24"/>
        </w:rPr>
      </w:pPr>
      <w:r w:rsidRPr="00C55C58">
        <w:rPr>
          <w:color w:val="000000" w:themeColor="text1"/>
          <w:sz w:val="24"/>
          <w:szCs w:val="24"/>
        </w:rPr>
        <w:t>Programmai ir būtiska ietekme uz hipotekārās kreditēšanas tirgu kopumā –</w:t>
      </w:r>
      <w:r w:rsidR="00E66217">
        <w:rPr>
          <w:color w:val="000000" w:themeColor="text1"/>
          <w:sz w:val="24"/>
          <w:szCs w:val="24"/>
        </w:rPr>
        <w:t xml:space="preserve"> </w:t>
      </w:r>
      <w:r w:rsidRPr="00C55C58">
        <w:rPr>
          <w:color w:val="000000" w:themeColor="text1"/>
          <w:sz w:val="24"/>
          <w:szCs w:val="24"/>
        </w:rPr>
        <w:t xml:space="preserve">2015.gada </w:t>
      </w:r>
      <w:r w:rsidR="003A245A">
        <w:rPr>
          <w:color w:val="000000" w:themeColor="text1"/>
          <w:sz w:val="24"/>
          <w:szCs w:val="24"/>
        </w:rPr>
        <w:t>4.ceturk</w:t>
      </w:r>
      <w:r w:rsidR="00D43EC9">
        <w:rPr>
          <w:color w:val="000000" w:themeColor="text1"/>
          <w:sz w:val="24"/>
          <w:szCs w:val="24"/>
        </w:rPr>
        <w:t>snī</w:t>
      </w:r>
      <w:r w:rsidRPr="00C55C58">
        <w:rPr>
          <w:color w:val="000000" w:themeColor="text1"/>
          <w:sz w:val="24"/>
          <w:szCs w:val="24"/>
        </w:rPr>
        <w:t xml:space="preserve"> mājokļu galvojumi ir piesaistīti trešajai daļai jeb 3</w:t>
      </w:r>
      <w:r w:rsidR="00D43EC9">
        <w:rPr>
          <w:color w:val="000000" w:themeColor="text1"/>
          <w:sz w:val="24"/>
          <w:szCs w:val="24"/>
        </w:rPr>
        <w:t>3</w:t>
      </w:r>
      <w:r w:rsidRPr="00C55C58">
        <w:rPr>
          <w:color w:val="000000" w:themeColor="text1"/>
          <w:sz w:val="24"/>
          <w:szCs w:val="24"/>
        </w:rPr>
        <w:t xml:space="preserve">% no jauna izsniegto kredītu </w:t>
      </w:r>
      <w:r w:rsidRPr="00C55C58">
        <w:rPr>
          <w:color w:val="000000" w:themeColor="text1"/>
          <w:sz w:val="24"/>
          <w:szCs w:val="24"/>
        </w:rPr>
        <w:lastRenderedPageBreak/>
        <w:t>apjoma mājokļa iegād</w:t>
      </w:r>
      <w:r w:rsidR="003A245A">
        <w:rPr>
          <w:color w:val="000000" w:themeColor="text1"/>
          <w:sz w:val="24"/>
          <w:szCs w:val="24"/>
        </w:rPr>
        <w:t xml:space="preserve">ei, remontam un rekonstrukcijai, </w:t>
      </w:r>
      <w:r w:rsidR="00E66217">
        <w:rPr>
          <w:color w:val="000000" w:themeColor="text1"/>
          <w:sz w:val="24"/>
          <w:szCs w:val="24"/>
        </w:rPr>
        <w:t xml:space="preserve">savukārt </w:t>
      </w:r>
      <w:r w:rsidR="003A245A">
        <w:rPr>
          <w:color w:val="000000" w:themeColor="text1"/>
          <w:sz w:val="24"/>
          <w:szCs w:val="24"/>
        </w:rPr>
        <w:t>2016.gada 1.ceturksnī – 50%</w:t>
      </w:r>
      <w:r w:rsidR="00E66217">
        <w:rPr>
          <w:color w:val="000000" w:themeColor="text1"/>
          <w:sz w:val="24"/>
          <w:szCs w:val="24"/>
        </w:rPr>
        <w:t xml:space="preserve"> </w:t>
      </w:r>
      <w:r w:rsidR="002A2928" w:rsidRPr="00694890">
        <w:rPr>
          <w:b/>
          <w:noProof/>
          <w:color w:val="000000" w:themeColor="text1"/>
          <w:sz w:val="24"/>
          <w:szCs w:val="24"/>
          <w:lang w:eastAsia="lv-LV"/>
          <w14:textOutline w14:w="9525" w14:cap="rnd" w14:cmpd="sng" w14:algn="ctr">
            <w14:noFill/>
            <w14:prstDash w14:val="solid"/>
            <w14:bevel/>
          </w14:textOutline>
        </w:rPr>
        <w:drawing>
          <wp:anchor distT="0" distB="0" distL="114300" distR="114300" simplePos="0" relativeHeight="251658240" behindDoc="0" locked="0" layoutInCell="1" allowOverlap="1" wp14:anchorId="1D99AA8A" wp14:editId="62F5F065">
            <wp:simplePos x="0" y="0"/>
            <wp:positionH relativeFrom="margin">
              <wp:posOffset>-63500</wp:posOffset>
            </wp:positionH>
            <wp:positionV relativeFrom="paragraph">
              <wp:posOffset>370840</wp:posOffset>
            </wp:positionV>
            <wp:extent cx="5779770" cy="2783840"/>
            <wp:effectExtent l="0" t="0" r="11430" b="1651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E66217">
        <w:rPr>
          <w:color w:val="000000" w:themeColor="text1"/>
          <w:sz w:val="24"/>
          <w:szCs w:val="24"/>
        </w:rPr>
        <w:t>no kopējo aizdevumu skaita</w:t>
      </w:r>
      <w:r w:rsidR="008B3C64">
        <w:rPr>
          <w:color w:val="000000" w:themeColor="text1"/>
          <w:sz w:val="24"/>
          <w:szCs w:val="24"/>
        </w:rPr>
        <w:t xml:space="preserve"> (Diagramma Nr.</w:t>
      </w:r>
      <w:r w:rsidR="00BF6F42">
        <w:rPr>
          <w:color w:val="000000" w:themeColor="text1"/>
          <w:sz w:val="24"/>
          <w:szCs w:val="24"/>
        </w:rPr>
        <w:t>4</w:t>
      </w:r>
      <w:r w:rsidR="008B3C64">
        <w:rPr>
          <w:color w:val="000000" w:themeColor="text1"/>
          <w:sz w:val="24"/>
          <w:szCs w:val="24"/>
        </w:rPr>
        <w:t>)</w:t>
      </w:r>
      <w:r w:rsidR="00E66217">
        <w:rPr>
          <w:color w:val="000000" w:themeColor="text1"/>
          <w:sz w:val="24"/>
          <w:szCs w:val="24"/>
        </w:rPr>
        <w:t>.</w:t>
      </w:r>
    </w:p>
    <w:p w14:paraId="6A76F1D1" w14:textId="77777777" w:rsidR="00691A2F" w:rsidRPr="00390436" w:rsidRDefault="008B3C64" w:rsidP="00D83780">
      <w:pPr>
        <w:jc w:val="right"/>
        <w:rPr>
          <w:color w:val="000000" w:themeColor="text1"/>
          <w:sz w:val="20"/>
          <w:szCs w:val="20"/>
        </w:rPr>
      </w:pPr>
      <w:r w:rsidRPr="00390436">
        <w:rPr>
          <w:color w:val="000000" w:themeColor="text1"/>
          <w:sz w:val="20"/>
          <w:szCs w:val="20"/>
        </w:rPr>
        <w:t>Diagramma Nr.</w:t>
      </w:r>
      <w:r w:rsidR="00BF6F42" w:rsidRPr="00390436">
        <w:rPr>
          <w:color w:val="000000" w:themeColor="text1"/>
          <w:sz w:val="20"/>
          <w:szCs w:val="20"/>
        </w:rPr>
        <w:t>3</w:t>
      </w:r>
      <w:r w:rsidR="008D67A1" w:rsidRPr="00390436">
        <w:rPr>
          <w:rStyle w:val="FootnoteReference"/>
          <w:color w:val="000000" w:themeColor="text1"/>
          <w:sz w:val="20"/>
          <w:szCs w:val="20"/>
        </w:rPr>
        <w:footnoteReference w:id="2"/>
      </w:r>
    </w:p>
    <w:p w14:paraId="7027BDB5" w14:textId="77777777" w:rsidR="00EB5B2C" w:rsidRPr="00390436" w:rsidRDefault="008B3C64" w:rsidP="005E1349">
      <w:pPr>
        <w:jc w:val="right"/>
        <w:rPr>
          <w:color w:val="000000" w:themeColor="text1"/>
          <w:sz w:val="20"/>
          <w:szCs w:val="20"/>
          <w:shd w:val="clear" w:color="auto" w:fill="FEFEFE"/>
        </w:rPr>
      </w:pPr>
      <w:r w:rsidRPr="00390436">
        <w:rPr>
          <w:color w:val="000000" w:themeColor="text1"/>
          <w:sz w:val="20"/>
          <w:szCs w:val="20"/>
        </w:rPr>
        <w:t xml:space="preserve">Avots: </w:t>
      </w:r>
      <w:r w:rsidRPr="00390436">
        <w:rPr>
          <w:color w:val="000000" w:themeColor="text1"/>
          <w:sz w:val="20"/>
          <w:szCs w:val="20"/>
          <w:shd w:val="clear" w:color="auto" w:fill="FEFEFE"/>
        </w:rPr>
        <w:t xml:space="preserve">akciju sabiedrības "Attīstības finanšu institūcija </w:t>
      </w:r>
      <w:proofErr w:type="spellStart"/>
      <w:r w:rsidRPr="00390436">
        <w:rPr>
          <w:color w:val="000000" w:themeColor="text1"/>
          <w:sz w:val="20"/>
          <w:szCs w:val="20"/>
          <w:shd w:val="clear" w:color="auto" w:fill="FEFEFE"/>
        </w:rPr>
        <w:t>Altum</w:t>
      </w:r>
      <w:proofErr w:type="spellEnd"/>
      <w:r w:rsidRPr="00390436">
        <w:rPr>
          <w:color w:val="000000" w:themeColor="text1"/>
          <w:sz w:val="20"/>
          <w:szCs w:val="20"/>
          <w:shd w:val="clear" w:color="auto" w:fill="FEFEFE"/>
        </w:rPr>
        <w:t>" sniegtie dati</w:t>
      </w:r>
    </w:p>
    <w:p w14:paraId="1C69F34D" w14:textId="77777777" w:rsidR="00390436" w:rsidRPr="005E1349" w:rsidRDefault="00390436" w:rsidP="00246C9F">
      <w:pPr>
        <w:jc w:val="center"/>
        <w:rPr>
          <w:color w:val="000000" w:themeColor="text1"/>
          <w:sz w:val="24"/>
          <w:szCs w:val="24"/>
        </w:rPr>
      </w:pPr>
    </w:p>
    <w:p w14:paraId="54D09F8C" w14:textId="3C6AA10F" w:rsidR="00E66217" w:rsidRDefault="00711995" w:rsidP="006D4246">
      <w:pPr>
        <w:ind w:left="-284"/>
        <w:jc w:val="center"/>
        <w:rPr>
          <w:noProof/>
          <w:color w:val="44546A"/>
          <w:highlight w:val="yellow"/>
          <w:lang w:eastAsia="lv-LV"/>
        </w:rPr>
      </w:pPr>
      <w:r>
        <w:rPr>
          <w:noProof/>
          <w:lang w:eastAsia="lv-LV"/>
        </w:rPr>
        <w:drawing>
          <wp:inline distT="0" distB="0" distL="0" distR="0" wp14:anchorId="61B182E1" wp14:editId="6245953D">
            <wp:extent cx="5353050" cy="37338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85A4CF" w14:textId="77777777" w:rsidR="006F2244" w:rsidRPr="00390436" w:rsidRDefault="006F2244" w:rsidP="006F2244">
      <w:pPr>
        <w:jc w:val="right"/>
        <w:rPr>
          <w:color w:val="000000" w:themeColor="text1"/>
          <w:sz w:val="20"/>
          <w:szCs w:val="20"/>
        </w:rPr>
      </w:pPr>
      <w:r w:rsidRPr="00BC3AF9">
        <w:rPr>
          <w:color w:val="000000" w:themeColor="text1"/>
          <w:sz w:val="20"/>
          <w:szCs w:val="20"/>
        </w:rPr>
        <w:t>Diagramma Nr.</w:t>
      </w:r>
      <w:r w:rsidR="00BF6F42" w:rsidRPr="00BC3AF9">
        <w:rPr>
          <w:color w:val="000000" w:themeColor="text1"/>
          <w:sz w:val="20"/>
          <w:szCs w:val="20"/>
        </w:rPr>
        <w:t>4</w:t>
      </w:r>
      <w:r w:rsidRPr="00390436">
        <w:rPr>
          <w:color w:val="000000" w:themeColor="text1"/>
          <w:sz w:val="20"/>
          <w:szCs w:val="20"/>
        </w:rPr>
        <w:t xml:space="preserve"> </w:t>
      </w:r>
    </w:p>
    <w:p w14:paraId="3C108911" w14:textId="77777777" w:rsidR="008B3C64" w:rsidRPr="00390436" w:rsidRDefault="008B3C64" w:rsidP="006F2244">
      <w:pPr>
        <w:jc w:val="right"/>
        <w:rPr>
          <w:color w:val="000000" w:themeColor="text1"/>
          <w:sz w:val="20"/>
          <w:szCs w:val="20"/>
        </w:rPr>
      </w:pPr>
      <w:r w:rsidRPr="00390436">
        <w:rPr>
          <w:color w:val="000000" w:themeColor="text1"/>
          <w:sz w:val="20"/>
          <w:szCs w:val="20"/>
        </w:rPr>
        <w:t xml:space="preserve">Avots: </w:t>
      </w:r>
      <w:r w:rsidRPr="00390436">
        <w:rPr>
          <w:color w:val="000000" w:themeColor="text1"/>
          <w:sz w:val="20"/>
          <w:szCs w:val="20"/>
          <w:shd w:val="clear" w:color="auto" w:fill="FEFEFE"/>
        </w:rPr>
        <w:t xml:space="preserve">akciju sabiedrības "Attīstības finanšu institūcija </w:t>
      </w:r>
      <w:proofErr w:type="spellStart"/>
      <w:r w:rsidRPr="00390436">
        <w:rPr>
          <w:color w:val="000000" w:themeColor="text1"/>
          <w:sz w:val="20"/>
          <w:szCs w:val="20"/>
          <w:shd w:val="clear" w:color="auto" w:fill="FEFEFE"/>
        </w:rPr>
        <w:t>Altum</w:t>
      </w:r>
      <w:proofErr w:type="spellEnd"/>
      <w:r w:rsidRPr="00390436">
        <w:rPr>
          <w:color w:val="000000" w:themeColor="text1"/>
          <w:sz w:val="20"/>
          <w:szCs w:val="20"/>
          <w:shd w:val="clear" w:color="auto" w:fill="FEFEFE"/>
        </w:rPr>
        <w:t>" sniegtie dati</w:t>
      </w:r>
    </w:p>
    <w:p w14:paraId="61673248" w14:textId="64DFBCE5" w:rsidR="002A356E" w:rsidRPr="00390436" w:rsidRDefault="00C06B16" w:rsidP="002A356E">
      <w:pPr>
        <w:jc w:val="right"/>
        <w:rPr>
          <w:color w:val="000000" w:themeColor="text1"/>
          <w:sz w:val="20"/>
          <w:szCs w:val="20"/>
        </w:rPr>
      </w:pPr>
      <w:r w:rsidRPr="00EF1440">
        <w:rPr>
          <w:noProof/>
          <w:lang w:eastAsia="lv-LV"/>
        </w:rPr>
        <w:lastRenderedPageBreak/>
        <w:drawing>
          <wp:inline distT="0" distB="0" distL="0" distR="0" wp14:anchorId="11329FA0" wp14:editId="5E22771E">
            <wp:extent cx="5760085" cy="3930732"/>
            <wp:effectExtent l="0" t="0" r="1206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A356E" w:rsidRPr="00390436">
        <w:rPr>
          <w:color w:val="000000" w:themeColor="text1"/>
          <w:sz w:val="20"/>
          <w:szCs w:val="20"/>
        </w:rPr>
        <w:t xml:space="preserve">Diagramma Nr.5 </w:t>
      </w:r>
    </w:p>
    <w:p w14:paraId="4F00DD94" w14:textId="77777777" w:rsidR="003B6C01" w:rsidRPr="00390436" w:rsidRDefault="002A356E" w:rsidP="002A356E">
      <w:pPr>
        <w:tabs>
          <w:tab w:val="left" w:pos="7770"/>
        </w:tabs>
        <w:jc w:val="right"/>
        <w:rPr>
          <w:noProof/>
          <w:color w:val="000000" w:themeColor="text1"/>
          <w:sz w:val="20"/>
          <w:szCs w:val="20"/>
          <w:lang w:eastAsia="lv-LV"/>
        </w:rPr>
      </w:pPr>
      <w:r w:rsidRPr="00390436">
        <w:rPr>
          <w:color w:val="000000" w:themeColor="text1"/>
          <w:sz w:val="20"/>
          <w:szCs w:val="20"/>
        </w:rPr>
        <w:t xml:space="preserve">Avots: </w:t>
      </w:r>
      <w:r w:rsidRPr="00390436">
        <w:rPr>
          <w:color w:val="000000" w:themeColor="text1"/>
          <w:sz w:val="20"/>
          <w:szCs w:val="20"/>
          <w:shd w:val="clear" w:color="auto" w:fill="FEFEFE"/>
        </w:rPr>
        <w:t xml:space="preserve">akciju sabiedrības "Attīstības finanšu institūcija </w:t>
      </w:r>
      <w:proofErr w:type="spellStart"/>
      <w:r w:rsidRPr="00390436">
        <w:rPr>
          <w:color w:val="000000" w:themeColor="text1"/>
          <w:sz w:val="20"/>
          <w:szCs w:val="20"/>
          <w:shd w:val="clear" w:color="auto" w:fill="FEFEFE"/>
        </w:rPr>
        <w:t>Altum</w:t>
      </w:r>
      <w:proofErr w:type="spellEnd"/>
      <w:r w:rsidRPr="00390436">
        <w:rPr>
          <w:color w:val="000000" w:themeColor="text1"/>
          <w:sz w:val="20"/>
          <w:szCs w:val="20"/>
          <w:shd w:val="clear" w:color="auto" w:fill="FEFEFE"/>
        </w:rPr>
        <w:t>" sniegtie dat</w:t>
      </w:r>
      <w:r w:rsidR="00D03506" w:rsidRPr="00390436">
        <w:rPr>
          <w:color w:val="000000" w:themeColor="text1"/>
          <w:sz w:val="20"/>
          <w:szCs w:val="20"/>
          <w:shd w:val="clear" w:color="auto" w:fill="FEFEFE"/>
        </w:rPr>
        <w:t>i</w:t>
      </w:r>
    </w:p>
    <w:p w14:paraId="6F416668" w14:textId="77777777" w:rsidR="003B6C01" w:rsidRPr="00390436" w:rsidRDefault="003B6C01" w:rsidP="00694890">
      <w:pPr>
        <w:jc w:val="right"/>
        <w:rPr>
          <w:noProof/>
          <w:color w:val="000000" w:themeColor="text1"/>
          <w:sz w:val="20"/>
          <w:szCs w:val="20"/>
          <w:lang w:eastAsia="lv-LV"/>
        </w:rPr>
      </w:pPr>
    </w:p>
    <w:p w14:paraId="6D4EA3D4" w14:textId="77777777" w:rsidR="003B6C01" w:rsidRDefault="003B6C01" w:rsidP="00694890">
      <w:pPr>
        <w:jc w:val="right"/>
        <w:rPr>
          <w:noProof/>
          <w:color w:val="000000" w:themeColor="text1"/>
          <w:sz w:val="24"/>
          <w:szCs w:val="24"/>
          <w:lang w:eastAsia="lv-LV"/>
        </w:rPr>
      </w:pPr>
    </w:p>
    <w:p w14:paraId="211BD0C0" w14:textId="4A937E18" w:rsidR="00892F6D" w:rsidRPr="00892F6D" w:rsidRDefault="00892F6D" w:rsidP="00892F6D">
      <w:pPr>
        <w:jc w:val="center"/>
        <w:rPr>
          <w:b/>
          <w:noProof/>
          <w:color w:val="000000" w:themeColor="text1"/>
          <w:sz w:val="26"/>
          <w:szCs w:val="26"/>
          <w:lang w:eastAsia="lv-LV"/>
        </w:rPr>
      </w:pPr>
      <w:r w:rsidRPr="00892F6D">
        <w:rPr>
          <w:b/>
          <w:noProof/>
          <w:color w:val="000000" w:themeColor="text1"/>
          <w:sz w:val="26"/>
          <w:szCs w:val="26"/>
          <w:lang w:eastAsia="lv-LV"/>
        </w:rPr>
        <w:drawing>
          <wp:anchor distT="0" distB="0" distL="114300" distR="114300" simplePos="0" relativeHeight="251659264" behindDoc="0" locked="0" layoutInCell="1" allowOverlap="1" wp14:anchorId="5D79B273" wp14:editId="4B27DB3E">
            <wp:simplePos x="0" y="0"/>
            <wp:positionH relativeFrom="column">
              <wp:posOffset>318135</wp:posOffset>
            </wp:positionH>
            <wp:positionV relativeFrom="paragraph">
              <wp:posOffset>252730</wp:posOffset>
            </wp:positionV>
            <wp:extent cx="5492750" cy="33013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92750" cy="3301365"/>
                    </a:xfrm>
                    <a:prstGeom prst="rect">
                      <a:avLst/>
                    </a:prstGeom>
                  </pic:spPr>
                </pic:pic>
              </a:graphicData>
            </a:graphic>
            <wp14:sizeRelH relativeFrom="margin">
              <wp14:pctWidth>0</wp14:pctWidth>
            </wp14:sizeRelH>
            <wp14:sizeRelV relativeFrom="margin">
              <wp14:pctHeight>0</wp14:pctHeight>
            </wp14:sizeRelV>
          </wp:anchor>
        </w:drawing>
      </w:r>
      <w:r w:rsidRPr="00892F6D">
        <w:rPr>
          <w:b/>
          <w:noProof/>
          <w:color w:val="000000" w:themeColor="text1"/>
          <w:sz w:val="26"/>
          <w:szCs w:val="26"/>
          <w:lang w:eastAsia="lv-LV"/>
        </w:rPr>
        <w:t>Piešķirto galvojumu skaits pa reģioniem</w:t>
      </w:r>
    </w:p>
    <w:p w14:paraId="49EB2520" w14:textId="0C6546B2" w:rsidR="00892F6D" w:rsidRPr="00390436" w:rsidRDefault="00892F6D" w:rsidP="00892F6D">
      <w:pPr>
        <w:jc w:val="right"/>
        <w:rPr>
          <w:color w:val="000000" w:themeColor="text1"/>
          <w:sz w:val="20"/>
          <w:szCs w:val="20"/>
        </w:rPr>
      </w:pPr>
      <w:r w:rsidRPr="00390436">
        <w:rPr>
          <w:color w:val="000000" w:themeColor="text1"/>
          <w:sz w:val="20"/>
          <w:szCs w:val="20"/>
        </w:rPr>
        <w:t xml:space="preserve">Diagramma Nr.6 </w:t>
      </w:r>
    </w:p>
    <w:p w14:paraId="5CFC0A8D" w14:textId="77777777" w:rsidR="00892F6D" w:rsidRPr="00390436" w:rsidRDefault="00892F6D" w:rsidP="00892F6D">
      <w:pPr>
        <w:tabs>
          <w:tab w:val="left" w:pos="7770"/>
        </w:tabs>
        <w:jc w:val="right"/>
        <w:rPr>
          <w:noProof/>
          <w:color w:val="000000" w:themeColor="text1"/>
          <w:sz w:val="20"/>
          <w:szCs w:val="20"/>
          <w:lang w:eastAsia="lv-LV"/>
        </w:rPr>
      </w:pPr>
      <w:r w:rsidRPr="00390436">
        <w:rPr>
          <w:color w:val="000000" w:themeColor="text1"/>
          <w:sz w:val="20"/>
          <w:szCs w:val="20"/>
        </w:rPr>
        <w:t xml:space="preserve">Avots: </w:t>
      </w:r>
      <w:r w:rsidRPr="00390436">
        <w:rPr>
          <w:color w:val="000000" w:themeColor="text1"/>
          <w:sz w:val="20"/>
          <w:szCs w:val="20"/>
          <w:shd w:val="clear" w:color="auto" w:fill="FEFEFE"/>
        </w:rPr>
        <w:t xml:space="preserve">akciju sabiedrības "Attīstības finanšu institūcija </w:t>
      </w:r>
      <w:proofErr w:type="spellStart"/>
      <w:r w:rsidRPr="00390436">
        <w:rPr>
          <w:color w:val="000000" w:themeColor="text1"/>
          <w:sz w:val="20"/>
          <w:szCs w:val="20"/>
          <w:shd w:val="clear" w:color="auto" w:fill="FEFEFE"/>
        </w:rPr>
        <w:t>Altum</w:t>
      </w:r>
      <w:proofErr w:type="spellEnd"/>
      <w:r w:rsidRPr="00390436">
        <w:rPr>
          <w:color w:val="000000" w:themeColor="text1"/>
          <w:sz w:val="20"/>
          <w:szCs w:val="20"/>
          <w:shd w:val="clear" w:color="auto" w:fill="FEFEFE"/>
        </w:rPr>
        <w:t>" sniegtie dati</w:t>
      </w:r>
    </w:p>
    <w:p w14:paraId="4C29DC8A" w14:textId="6A2B3173" w:rsidR="003B6C01" w:rsidRDefault="003B6C01" w:rsidP="00694890">
      <w:pPr>
        <w:jc w:val="right"/>
        <w:rPr>
          <w:noProof/>
          <w:color w:val="000000" w:themeColor="text1"/>
          <w:sz w:val="24"/>
          <w:szCs w:val="24"/>
          <w:lang w:eastAsia="lv-LV"/>
        </w:rPr>
      </w:pPr>
    </w:p>
    <w:p w14:paraId="7CFE8580" w14:textId="77777777" w:rsidR="003B6C01" w:rsidRDefault="003B6C01" w:rsidP="00694890">
      <w:pPr>
        <w:jc w:val="right"/>
        <w:rPr>
          <w:noProof/>
          <w:color w:val="000000" w:themeColor="text1"/>
          <w:sz w:val="24"/>
          <w:szCs w:val="24"/>
          <w:lang w:eastAsia="lv-LV"/>
        </w:rPr>
      </w:pPr>
    </w:p>
    <w:p w14:paraId="2BCF56A2" w14:textId="77777777" w:rsidR="00D43EC9" w:rsidRDefault="00CC6244" w:rsidP="00CC6244">
      <w:pPr>
        <w:pStyle w:val="ListParagraph"/>
        <w:tabs>
          <w:tab w:val="left" w:pos="284"/>
        </w:tabs>
        <w:ind w:left="0"/>
        <w:jc w:val="center"/>
        <w:rPr>
          <w:rFonts w:ascii="Times New Roman" w:hAnsi="Times New Roman"/>
          <w:b/>
          <w:bCs/>
          <w:color w:val="000000" w:themeColor="text1"/>
          <w:sz w:val="24"/>
          <w:szCs w:val="24"/>
        </w:rPr>
      </w:pPr>
      <w:r>
        <w:rPr>
          <w:b/>
          <w:noProof/>
          <w:lang w:eastAsia="lv-LV"/>
        </w:rPr>
        <w:lastRenderedPageBreak/>
        <w:drawing>
          <wp:inline distT="0" distB="0" distL="0" distR="0" wp14:anchorId="6B40AA5D" wp14:editId="578FD9DD">
            <wp:extent cx="5746926" cy="265449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702" cy="2659005"/>
                    </a:xfrm>
                    <a:prstGeom prst="rect">
                      <a:avLst/>
                    </a:prstGeom>
                    <a:noFill/>
                    <a:ln>
                      <a:noFill/>
                    </a:ln>
                  </pic:spPr>
                </pic:pic>
              </a:graphicData>
            </a:graphic>
          </wp:inline>
        </w:drawing>
      </w:r>
    </w:p>
    <w:p w14:paraId="4C3B4FB4" w14:textId="77777777" w:rsidR="006F2244" w:rsidRPr="00390436" w:rsidRDefault="006F2244" w:rsidP="006F2244">
      <w:pPr>
        <w:jc w:val="right"/>
        <w:rPr>
          <w:noProof/>
          <w:color w:val="000000" w:themeColor="text1"/>
          <w:sz w:val="20"/>
          <w:szCs w:val="20"/>
          <w:lang w:eastAsia="lv-LV"/>
        </w:rPr>
      </w:pPr>
      <w:r w:rsidRPr="00390436">
        <w:rPr>
          <w:noProof/>
          <w:color w:val="000000" w:themeColor="text1"/>
          <w:sz w:val="20"/>
          <w:szCs w:val="20"/>
          <w:lang w:eastAsia="lv-LV"/>
        </w:rPr>
        <w:t>Diagramma Nr.</w:t>
      </w:r>
      <w:r w:rsidR="000B60A9" w:rsidRPr="00390436">
        <w:rPr>
          <w:noProof/>
          <w:color w:val="000000" w:themeColor="text1"/>
          <w:sz w:val="20"/>
          <w:szCs w:val="20"/>
          <w:lang w:eastAsia="lv-LV"/>
        </w:rPr>
        <w:t>7</w:t>
      </w:r>
    </w:p>
    <w:p w14:paraId="1A6D97D7" w14:textId="77777777" w:rsidR="00694890" w:rsidRPr="00390436" w:rsidRDefault="00694890" w:rsidP="006F2244">
      <w:pPr>
        <w:jc w:val="right"/>
        <w:rPr>
          <w:color w:val="000000" w:themeColor="text1"/>
          <w:sz w:val="20"/>
          <w:szCs w:val="20"/>
        </w:rPr>
      </w:pPr>
      <w:r w:rsidRPr="00390436">
        <w:rPr>
          <w:color w:val="000000" w:themeColor="text1"/>
          <w:sz w:val="20"/>
          <w:szCs w:val="20"/>
        </w:rPr>
        <w:t xml:space="preserve">Avots: </w:t>
      </w:r>
      <w:r w:rsidR="004835FB" w:rsidRPr="00390436">
        <w:rPr>
          <w:color w:val="000000" w:themeColor="text1"/>
          <w:sz w:val="20"/>
          <w:szCs w:val="20"/>
        </w:rPr>
        <w:t>Nozares dati</w:t>
      </w:r>
    </w:p>
    <w:p w14:paraId="7966D8B6" w14:textId="77777777" w:rsidR="00694890" w:rsidRDefault="00694890" w:rsidP="00A36D52">
      <w:pPr>
        <w:jc w:val="both"/>
        <w:rPr>
          <w:rFonts w:cs="Times New Roman"/>
          <w:color w:val="000000" w:themeColor="text1"/>
          <w:sz w:val="24"/>
          <w:szCs w:val="24"/>
        </w:rPr>
      </w:pPr>
    </w:p>
    <w:p w14:paraId="7994B480" w14:textId="77777777" w:rsidR="00A36D52" w:rsidRDefault="008F5CF0" w:rsidP="00813C66">
      <w:pPr>
        <w:ind w:firstLine="709"/>
        <w:jc w:val="both"/>
        <w:rPr>
          <w:rFonts w:cs="Times New Roman"/>
          <w:color w:val="000000" w:themeColor="text1"/>
          <w:sz w:val="24"/>
          <w:szCs w:val="24"/>
        </w:rPr>
      </w:pPr>
      <w:r>
        <w:rPr>
          <w:rFonts w:cs="Times New Roman"/>
          <w:color w:val="000000" w:themeColor="text1"/>
          <w:sz w:val="24"/>
          <w:szCs w:val="24"/>
        </w:rPr>
        <w:t>Šobrīd, saskaņā</w:t>
      </w:r>
      <w:r w:rsidR="00E1210F">
        <w:rPr>
          <w:rFonts w:cs="Times New Roman"/>
          <w:color w:val="000000" w:themeColor="text1"/>
          <w:sz w:val="24"/>
          <w:szCs w:val="24"/>
        </w:rPr>
        <w:t xml:space="preserve"> </w:t>
      </w:r>
      <w:r>
        <w:rPr>
          <w:rFonts w:cs="Times New Roman"/>
          <w:color w:val="000000" w:themeColor="text1"/>
          <w:sz w:val="24"/>
          <w:szCs w:val="24"/>
        </w:rPr>
        <w:t>ar</w:t>
      </w:r>
      <w:r w:rsidR="00E1210F">
        <w:rPr>
          <w:rFonts w:cs="Times New Roman"/>
          <w:color w:val="000000" w:themeColor="text1"/>
          <w:sz w:val="24"/>
          <w:szCs w:val="24"/>
        </w:rPr>
        <w:t xml:space="preserve"> </w:t>
      </w:r>
      <w:r>
        <w:rPr>
          <w:rFonts w:cs="Times New Roman"/>
          <w:color w:val="000000" w:themeColor="text1"/>
          <w:sz w:val="24"/>
          <w:szCs w:val="24"/>
        </w:rPr>
        <w:t xml:space="preserve">Valsts </w:t>
      </w:r>
      <w:r w:rsidRPr="00440B7D">
        <w:rPr>
          <w:rFonts w:cs="Times New Roman"/>
          <w:color w:val="000000" w:themeColor="text1"/>
          <w:sz w:val="24"/>
          <w:szCs w:val="24"/>
        </w:rPr>
        <w:t xml:space="preserve">zemes dienesta </w:t>
      </w:r>
      <w:r w:rsidR="00283A17" w:rsidRPr="00440B7D">
        <w:rPr>
          <w:rFonts w:cs="Times New Roman"/>
          <w:color w:val="000000" w:themeColor="text1"/>
          <w:sz w:val="24"/>
          <w:szCs w:val="24"/>
        </w:rPr>
        <w:t xml:space="preserve">un </w:t>
      </w:r>
      <w:r w:rsidR="00440B7D" w:rsidRPr="00440B7D">
        <w:rPr>
          <w:rFonts w:cs="Times New Roman"/>
          <w:color w:val="252525"/>
          <w:sz w:val="24"/>
          <w:szCs w:val="24"/>
          <w:shd w:val="clear" w:color="auto" w:fill="FFFFFF"/>
        </w:rPr>
        <w:t xml:space="preserve">Finanšu un kapitāla tirgus komisijas </w:t>
      </w:r>
      <w:r w:rsidR="00440B7D" w:rsidRPr="00440B7D">
        <w:rPr>
          <w:rFonts w:cs="Times New Roman"/>
          <w:color w:val="000000" w:themeColor="text1"/>
          <w:sz w:val="24"/>
          <w:szCs w:val="24"/>
        </w:rPr>
        <w:t xml:space="preserve">sniegtajiem </w:t>
      </w:r>
      <w:r w:rsidRPr="00440B7D">
        <w:rPr>
          <w:rFonts w:cs="Times New Roman"/>
          <w:color w:val="000000" w:themeColor="text1"/>
          <w:sz w:val="24"/>
          <w:szCs w:val="24"/>
        </w:rPr>
        <w:t>datiem</w:t>
      </w:r>
      <w:r w:rsidR="00E1210F" w:rsidRPr="00440B7D">
        <w:rPr>
          <w:rFonts w:cs="Times New Roman"/>
          <w:color w:val="000000" w:themeColor="text1"/>
          <w:sz w:val="24"/>
          <w:szCs w:val="24"/>
        </w:rPr>
        <w:t>,</w:t>
      </w:r>
      <w:r w:rsidR="00E1210F">
        <w:rPr>
          <w:rFonts w:cs="Times New Roman"/>
          <w:color w:val="000000" w:themeColor="text1"/>
          <w:sz w:val="24"/>
          <w:szCs w:val="24"/>
        </w:rPr>
        <w:t xml:space="preserve"> </w:t>
      </w:r>
      <w:r w:rsidR="00A36D52" w:rsidRPr="00A36D52">
        <w:rPr>
          <w:rFonts w:cs="Times New Roman"/>
          <w:color w:val="000000" w:themeColor="text1"/>
          <w:sz w:val="24"/>
          <w:szCs w:val="24"/>
        </w:rPr>
        <w:t>kredītportfelis mājokļiem savu maksimumu (7.2 ml</w:t>
      </w:r>
      <w:r w:rsidR="008A364A">
        <w:rPr>
          <w:rFonts w:cs="Times New Roman"/>
          <w:color w:val="000000" w:themeColor="text1"/>
          <w:sz w:val="24"/>
          <w:szCs w:val="24"/>
        </w:rPr>
        <w:t>j</w:t>
      </w:r>
      <w:r w:rsidR="00A36D52" w:rsidRPr="00A36D52">
        <w:rPr>
          <w:rFonts w:cs="Times New Roman"/>
          <w:color w:val="000000" w:themeColor="text1"/>
          <w:sz w:val="24"/>
          <w:szCs w:val="24"/>
        </w:rPr>
        <w:t xml:space="preserve">rd. </w:t>
      </w:r>
      <w:proofErr w:type="spellStart"/>
      <w:r w:rsidR="00A36D52" w:rsidRPr="00A36D52">
        <w:rPr>
          <w:rFonts w:cs="Times New Roman"/>
          <w:i/>
          <w:color w:val="000000" w:themeColor="text1"/>
          <w:sz w:val="24"/>
          <w:szCs w:val="24"/>
        </w:rPr>
        <w:t>euro</w:t>
      </w:r>
      <w:proofErr w:type="spellEnd"/>
      <w:r w:rsidR="00A36D52" w:rsidRPr="00A36D52">
        <w:rPr>
          <w:rFonts w:cs="Times New Roman"/>
          <w:i/>
          <w:color w:val="000000" w:themeColor="text1"/>
          <w:sz w:val="24"/>
          <w:szCs w:val="24"/>
        </w:rPr>
        <w:t>)</w:t>
      </w:r>
      <w:r w:rsidR="00A36D52" w:rsidRPr="00A36D52">
        <w:rPr>
          <w:rFonts w:cs="Times New Roman"/>
          <w:color w:val="000000" w:themeColor="text1"/>
          <w:sz w:val="24"/>
          <w:szCs w:val="24"/>
        </w:rPr>
        <w:t xml:space="preserve"> Latvijā sasniedza 2008.g. 4.cet., tas ir, laikā, līdz iestājās globālā ekonomiskā krīze. Būtiski, ka pēc šī rādītāja raugoties, hipotekārais tirgus Latvijā joprojām nav atguvies</w:t>
      </w:r>
      <w:r w:rsidR="00A36D52">
        <w:rPr>
          <w:rFonts w:cs="Times New Roman"/>
          <w:color w:val="000000" w:themeColor="text1"/>
          <w:sz w:val="24"/>
          <w:szCs w:val="24"/>
        </w:rPr>
        <w:t xml:space="preserve"> </w:t>
      </w:r>
      <w:r w:rsidR="00A36D52" w:rsidRPr="00A36D52">
        <w:rPr>
          <w:rFonts w:cs="Times New Roman"/>
          <w:color w:val="000000" w:themeColor="text1"/>
          <w:sz w:val="24"/>
          <w:szCs w:val="24"/>
        </w:rPr>
        <w:t xml:space="preserve">- bankām vairāk tiek atmaksāti iepriekšējie aizdevumi, nekā tās izsniedz no jauna. </w:t>
      </w:r>
    </w:p>
    <w:p w14:paraId="474655A8" w14:textId="77777777" w:rsidR="00A36D52" w:rsidRDefault="00A36D52" w:rsidP="00813C66">
      <w:pPr>
        <w:ind w:firstLine="709"/>
        <w:jc w:val="both"/>
      </w:pPr>
      <w:r w:rsidRPr="00A36D52">
        <w:rPr>
          <w:sz w:val="24"/>
          <w:szCs w:val="24"/>
        </w:rPr>
        <w:t>Neskatoties uz to, ka komercbanku no jauna izsniegto kredītu mājokļa iegādei</w:t>
      </w:r>
      <w:r w:rsidR="008F5CF0">
        <w:rPr>
          <w:sz w:val="24"/>
          <w:szCs w:val="24"/>
        </w:rPr>
        <w:t xml:space="preserve"> un</w:t>
      </w:r>
      <w:r w:rsidRPr="00A36D52">
        <w:rPr>
          <w:sz w:val="24"/>
          <w:szCs w:val="24"/>
        </w:rPr>
        <w:t xml:space="preserve"> būvniecībai skaits un apjoms pieaug, komercbanku izsniegto kredītu kopējais portfelis arvien samazinās. Taču samazināšanās ātrums mazinās un, šādai tendencei turpinoties, tas 2017.gadā varētu sākt arī pieaugt</w:t>
      </w:r>
      <w:r>
        <w:t>.</w:t>
      </w:r>
    </w:p>
    <w:p w14:paraId="7050D882" w14:textId="77777777" w:rsidR="00C06B16" w:rsidRPr="00A36D52" w:rsidRDefault="00C06B16" w:rsidP="00A36D52">
      <w:pPr>
        <w:jc w:val="both"/>
        <w:rPr>
          <w:rFonts w:cs="Times New Roman"/>
          <w:color w:val="000000" w:themeColor="text1"/>
          <w:sz w:val="24"/>
          <w:szCs w:val="24"/>
          <w:highlight w:val="yellow"/>
        </w:rPr>
      </w:pPr>
    </w:p>
    <w:p w14:paraId="688EE231" w14:textId="77777777" w:rsidR="00A36D52" w:rsidRDefault="00C06B16" w:rsidP="002A2928">
      <w:pPr>
        <w:jc w:val="center"/>
        <w:rPr>
          <w:color w:val="44546A"/>
          <w:highlight w:val="yellow"/>
        </w:rPr>
      </w:pPr>
      <w:r>
        <w:rPr>
          <w:b/>
          <w:noProof/>
          <w:lang w:eastAsia="lv-LV"/>
        </w:rPr>
        <w:drawing>
          <wp:inline distT="0" distB="0" distL="0" distR="0" wp14:anchorId="3AAF0040" wp14:editId="21263B94">
            <wp:extent cx="5616054" cy="2511188"/>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C887274" w14:textId="77777777" w:rsidR="00C06B16" w:rsidRPr="00390436" w:rsidRDefault="00C06B16" w:rsidP="00C06B16">
      <w:pPr>
        <w:jc w:val="right"/>
        <w:rPr>
          <w:noProof/>
          <w:color w:val="000000" w:themeColor="text1"/>
          <w:sz w:val="20"/>
          <w:szCs w:val="20"/>
          <w:lang w:eastAsia="lv-LV"/>
        </w:rPr>
      </w:pPr>
      <w:r w:rsidRPr="00390436">
        <w:rPr>
          <w:noProof/>
          <w:color w:val="000000" w:themeColor="text1"/>
          <w:sz w:val="20"/>
          <w:szCs w:val="20"/>
          <w:lang w:eastAsia="lv-LV"/>
        </w:rPr>
        <w:t>Diagramma Nr.8</w:t>
      </w:r>
    </w:p>
    <w:p w14:paraId="299BA143" w14:textId="77777777" w:rsidR="00C06B16" w:rsidRPr="00390436" w:rsidRDefault="00C06B16" w:rsidP="00C06B16">
      <w:pPr>
        <w:tabs>
          <w:tab w:val="left" w:pos="7770"/>
        </w:tabs>
        <w:jc w:val="right"/>
        <w:rPr>
          <w:noProof/>
          <w:color w:val="000000" w:themeColor="text1"/>
          <w:sz w:val="20"/>
          <w:szCs w:val="20"/>
          <w:lang w:eastAsia="lv-LV"/>
        </w:rPr>
      </w:pPr>
      <w:r w:rsidRPr="00390436">
        <w:rPr>
          <w:color w:val="000000" w:themeColor="text1"/>
          <w:sz w:val="20"/>
          <w:szCs w:val="20"/>
        </w:rPr>
        <w:t xml:space="preserve">Avots: </w:t>
      </w:r>
      <w:r w:rsidRPr="00390436">
        <w:rPr>
          <w:color w:val="000000" w:themeColor="text1"/>
          <w:sz w:val="20"/>
          <w:szCs w:val="20"/>
          <w:shd w:val="clear" w:color="auto" w:fill="FEFEFE"/>
        </w:rPr>
        <w:t xml:space="preserve">akciju sabiedrības "Attīstības finanšu institūcija </w:t>
      </w:r>
      <w:proofErr w:type="spellStart"/>
      <w:r w:rsidRPr="00390436">
        <w:rPr>
          <w:color w:val="000000" w:themeColor="text1"/>
          <w:sz w:val="20"/>
          <w:szCs w:val="20"/>
          <w:shd w:val="clear" w:color="auto" w:fill="FEFEFE"/>
        </w:rPr>
        <w:t>Altum</w:t>
      </w:r>
      <w:proofErr w:type="spellEnd"/>
      <w:r w:rsidRPr="00390436">
        <w:rPr>
          <w:color w:val="000000" w:themeColor="text1"/>
          <w:sz w:val="20"/>
          <w:szCs w:val="20"/>
          <w:shd w:val="clear" w:color="auto" w:fill="FEFEFE"/>
        </w:rPr>
        <w:t>" sniegtie dati</w:t>
      </w:r>
    </w:p>
    <w:p w14:paraId="52864801" w14:textId="77777777" w:rsidR="00C06B16" w:rsidRDefault="00C06B16" w:rsidP="003A245A">
      <w:pPr>
        <w:pStyle w:val="ListParagraph"/>
        <w:tabs>
          <w:tab w:val="left" w:pos="284"/>
        </w:tabs>
        <w:ind w:left="0"/>
        <w:jc w:val="center"/>
        <w:rPr>
          <w:rFonts w:ascii="Times New Roman" w:hAnsi="Times New Roman"/>
          <w:b/>
          <w:bCs/>
          <w:color w:val="000000" w:themeColor="text1"/>
          <w:sz w:val="26"/>
          <w:szCs w:val="26"/>
        </w:rPr>
      </w:pPr>
    </w:p>
    <w:p w14:paraId="01FCD4BB" w14:textId="77777777" w:rsidR="003A245A" w:rsidRDefault="00616D8E" w:rsidP="003A245A">
      <w:pPr>
        <w:pStyle w:val="ListParagraph"/>
        <w:tabs>
          <w:tab w:val="left" w:pos="284"/>
        </w:tabs>
        <w:ind w:left="0"/>
        <w:jc w:val="center"/>
        <w:rPr>
          <w:rFonts w:ascii="Times New Roman" w:hAnsi="Times New Roman"/>
          <w:b/>
          <w:bCs/>
          <w:color w:val="000000" w:themeColor="text1"/>
          <w:sz w:val="26"/>
          <w:szCs w:val="26"/>
        </w:rPr>
      </w:pPr>
      <w:r w:rsidRPr="00662E86">
        <w:rPr>
          <w:rFonts w:ascii="Times New Roman" w:hAnsi="Times New Roman"/>
          <w:b/>
          <w:bCs/>
          <w:color w:val="000000" w:themeColor="text1"/>
          <w:sz w:val="26"/>
          <w:szCs w:val="26"/>
        </w:rPr>
        <w:t>I</w:t>
      </w:r>
      <w:r w:rsidR="00811E03" w:rsidRPr="00662E86">
        <w:rPr>
          <w:rFonts w:ascii="Times New Roman" w:hAnsi="Times New Roman"/>
          <w:b/>
          <w:bCs/>
          <w:color w:val="000000" w:themeColor="text1"/>
          <w:sz w:val="26"/>
          <w:szCs w:val="26"/>
        </w:rPr>
        <w:t>II</w:t>
      </w:r>
      <w:r w:rsidRPr="00662E86">
        <w:rPr>
          <w:rFonts w:ascii="Times New Roman" w:hAnsi="Times New Roman"/>
          <w:b/>
          <w:bCs/>
          <w:color w:val="000000" w:themeColor="text1"/>
          <w:sz w:val="26"/>
          <w:szCs w:val="26"/>
        </w:rPr>
        <w:t xml:space="preserve"> Turpmāk nepieciešamā rīcība</w:t>
      </w:r>
    </w:p>
    <w:p w14:paraId="5B79CD5E" w14:textId="77777777" w:rsidR="000B60A9" w:rsidRPr="00662E86" w:rsidRDefault="000B60A9" w:rsidP="003A245A">
      <w:pPr>
        <w:pStyle w:val="ListParagraph"/>
        <w:tabs>
          <w:tab w:val="left" w:pos="284"/>
        </w:tabs>
        <w:ind w:left="0"/>
        <w:jc w:val="center"/>
        <w:rPr>
          <w:rFonts w:ascii="Times New Roman" w:hAnsi="Times New Roman"/>
          <w:b/>
          <w:bCs/>
          <w:color w:val="000000" w:themeColor="text1"/>
          <w:sz w:val="26"/>
          <w:szCs w:val="26"/>
        </w:rPr>
      </w:pPr>
    </w:p>
    <w:p w14:paraId="6AC87B45" w14:textId="77777777" w:rsidR="003A245A" w:rsidRPr="002A356E" w:rsidRDefault="002A356E" w:rsidP="00813C66">
      <w:pPr>
        <w:pStyle w:val="ListParagraph"/>
        <w:tabs>
          <w:tab w:val="left" w:pos="284"/>
        </w:tabs>
        <w:ind w:left="0" w:firstLine="709"/>
        <w:jc w:val="both"/>
        <w:rPr>
          <w:rFonts w:ascii="Times New Roman" w:hAnsi="Times New Roman"/>
          <w:b/>
          <w:bCs/>
          <w:color w:val="000000" w:themeColor="text1"/>
          <w:sz w:val="24"/>
          <w:szCs w:val="24"/>
        </w:rPr>
      </w:pPr>
      <w:r w:rsidRPr="002A356E">
        <w:rPr>
          <w:rFonts w:ascii="Times New Roman" w:hAnsi="Times New Roman"/>
          <w:color w:val="000000" w:themeColor="text1"/>
          <w:sz w:val="24"/>
          <w:szCs w:val="24"/>
        </w:rPr>
        <w:t xml:space="preserve">Kā tas izriet no </w:t>
      </w:r>
      <w:r w:rsidRPr="002A356E">
        <w:rPr>
          <w:rFonts w:ascii="Times New Roman" w:hAnsi="Times New Roman"/>
          <w:bCs/>
          <w:color w:val="000000" w:themeColor="text1"/>
          <w:sz w:val="24"/>
          <w:szCs w:val="24"/>
        </w:rPr>
        <w:t>Ministru kabineta 2016.gada 3.maija rīkojuma Nr. 275 „P</w:t>
      </w:r>
      <w:r w:rsidRPr="002A356E">
        <w:rPr>
          <w:rFonts w:ascii="Times New Roman" w:hAnsi="Times New Roman"/>
          <w:color w:val="000000" w:themeColor="text1"/>
          <w:sz w:val="24"/>
          <w:szCs w:val="24"/>
        </w:rPr>
        <w:t>ar Valdības rīcības plānu Deklarācijas par Māra Kučinska vadītā Ministru kabineta iecerēto darbību īstenošanai”, d</w:t>
      </w:r>
      <w:r w:rsidRPr="002A356E">
        <w:rPr>
          <w:rFonts w:ascii="Times New Roman" w:hAnsi="Times New Roman"/>
          <w:color w:val="000000" w:themeColor="text1"/>
          <w:sz w:val="24"/>
          <w:szCs w:val="24"/>
          <w:lang w:eastAsia="lv-LV"/>
        </w:rPr>
        <w:t xml:space="preserve">emogrāfiskās situācijas uzlabošana un nevienlīdzības mazināšana ir viena no valdības darba prioritātēm. Vienlaikus </w:t>
      </w:r>
      <w:r w:rsidRPr="002A356E">
        <w:rPr>
          <w:rFonts w:ascii="Times New Roman" w:hAnsi="Times New Roman"/>
          <w:sz w:val="24"/>
          <w:szCs w:val="24"/>
        </w:rPr>
        <w:t xml:space="preserve">Ģimenes valsts politikas pamatnostādnēs 2011. – </w:t>
      </w:r>
      <w:r w:rsidRPr="002A356E">
        <w:rPr>
          <w:rFonts w:ascii="Times New Roman" w:hAnsi="Times New Roman"/>
          <w:sz w:val="24"/>
          <w:szCs w:val="24"/>
        </w:rPr>
        <w:lastRenderedPageBreak/>
        <w:t>2017.gadam (apstiprinātas ar Ministru kabineta 2011.gada 18. februāra  rīkojumu Nr. 65) minēts, ka, lai veicinātu dzimstības pieaugumu un uzlabotu demogrāfijas līmeni Latvijā, ir ļoti svarīgi atbalstīt ekonomiski aktīvās ģimenes ar bērniem, īpaši otrā un trešā bērna radīšanai.</w:t>
      </w:r>
    </w:p>
    <w:p w14:paraId="282DFB08" w14:textId="77777777" w:rsidR="00C03038" w:rsidRPr="004E185A" w:rsidRDefault="00C03038" w:rsidP="00C03038">
      <w:pPr>
        <w:shd w:val="clear" w:color="auto" w:fill="FFFFFF"/>
        <w:ind w:left="720"/>
        <w:jc w:val="both"/>
        <w:rPr>
          <w:sz w:val="24"/>
          <w:highlight w:val="yellow"/>
        </w:rPr>
      </w:pPr>
    </w:p>
    <w:p w14:paraId="45D43E52" w14:textId="77777777" w:rsidR="004E185A" w:rsidRDefault="004E185A" w:rsidP="000524D1">
      <w:pPr>
        <w:widowControl w:val="0"/>
        <w:shd w:val="clear" w:color="auto" w:fill="FFFFFF" w:themeFill="background1"/>
        <w:contextualSpacing/>
        <w:jc w:val="center"/>
        <w:rPr>
          <w:rFonts w:cs="Times New Roman"/>
          <w:color w:val="000000" w:themeColor="text1"/>
          <w:sz w:val="24"/>
          <w:szCs w:val="24"/>
        </w:rPr>
      </w:pPr>
    </w:p>
    <w:p w14:paraId="3C76C933" w14:textId="2531CE01" w:rsidR="0077469F" w:rsidRDefault="00FB4B6A" w:rsidP="00523AE2">
      <w:pPr>
        <w:jc w:val="both"/>
        <w:rPr>
          <w:rFonts w:cs="Times New Roman"/>
          <w:b/>
          <w:color w:val="000000" w:themeColor="text1"/>
          <w:sz w:val="24"/>
          <w:szCs w:val="24"/>
          <w:u w:val="single"/>
        </w:rPr>
      </w:pPr>
      <w:r>
        <w:rPr>
          <w:noProof/>
          <w:lang w:eastAsia="lv-LV"/>
        </w:rPr>
        <w:drawing>
          <wp:inline distT="0" distB="0" distL="0" distR="0" wp14:anchorId="3EC73F27" wp14:editId="621CB5BC">
            <wp:extent cx="5486400" cy="3585210"/>
            <wp:effectExtent l="0" t="0" r="1905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7B75C8" w14:textId="38A2463F" w:rsidR="0077469F" w:rsidRPr="00390436" w:rsidRDefault="0077469F" w:rsidP="0077469F">
      <w:pPr>
        <w:jc w:val="right"/>
        <w:rPr>
          <w:noProof/>
          <w:color w:val="000000" w:themeColor="text1"/>
          <w:sz w:val="20"/>
          <w:szCs w:val="20"/>
          <w:lang w:eastAsia="lv-LV"/>
        </w:rPr>
      </w:pPr>
      <w:r w:rsidRPr="00390436">
        <w:rPr>
          <w:noProof/>
          <w:color w:val="000000" w:themeColor="text1"/>
          <w:sz w:val="20"/>
          <w:szCs w:val="20"/>
          <w:lang w:eastAsia="lv-LV"/>
        </w:rPr>
        <w:t>Diagramma Nr.9</w:t>
      </w:r>
    </w:p>
    <w:p w14:paraId="266236F3" w14:textId="77777777" w:rsidR="0077469F" w:rsidRPr="00390436" w:rsidRDefault="0077469F" w:rsidP="0077469F">
      <w:pPr>
        <w:tabs>
          <w:tab w:val="left" w:pos="7770"/>
        </w:tabs>
        <w:jc w:val="right"/>
        <w:rPr>
          <w:noProof/>
          <w:color w:val="000000" w:themeColor="text1"/>
          <w:sz w:val="20"/>
          <w:szCs w:val="20"/>
          <w:lang w:eastAsia="lv-LV"/>
        </w:rPr>
      </w:pPr>
      <w:r w:rsidRPr="00390436">
        <w:rPr>
          <w:color w:val="000000" w:themeColor="text1"/>
          <w:sz w:val="20"/>
          <w:szCs w:val="20"/>
        </w:rPr>
        <w:t xml:space="preserve">Avots: </w:t>
      </w:r>
      <w:r w:rsidRPr="00390436">
        <w:rPr>
          <w:color w:val="000000" w:themeColor="text1"/>
          <w:sz w:val="20"/>
          <w:szCs w:val="20"/>
          <w:shd w:val="clear" w:color="auto" w:fill="FEFEFE"/>
        </w:rPr>
        <w:t xml:space="preserve">akciju sabiedrības "Attīstības finanšu institūcija </w:t>
      </w:r>
      <w:proofErr w:type="spellStart"/>
      <w:r w:rsidRPr="00390436">
        <w:rPr>
          <w:color w:val="000000" w:themeColor="text1"/>
          <w:sz w:val="20"/>
          <w:szCs w:val="20"/>
          <w:shd w:val="clear" w:color="auto" w:fill="FEFEFE"/>
        </w:rPr>
        <w:t>Altum</w:t>
      </w:r>
      <w:proofErr w:type="spellEnd"/>
      <w:r w:rsidRPr="00390436">
        <w:rPr>
          <w:color w:val="000000" w:themeColor="text1"/>
          <w:sz w:val="20"/>
          <w:szCs w:val="20"/>
          <w:shd w:val="clear" w:color="auto" w:fill="FEFEFE"/>
        </w:rPr>
        <w:t>" sniegtie dati</w:t>
      </w:r>
    </w:p>
    <w:p w14:paraId="341170EF" w14:textId="77777777" w:rsidR="0077469F" w:rsidRPr="00390436" w:rsidRDefault="0077469F" w:rsidP="00523AE2">
      <w:pPr>
        <w:jc w:val="both"/>
        <w:rPr>
          <w:rFonts w:cs="Times New Roman"/>
          <w:b/>
          <w:color w:val="000000" w:themeColor="text1"/>
          <w:sz w:val="20"/>
          <w:szCs w:val="20"/>
          <w:u w:val="single"/>
        </w:rPr>
      </w:pPr>
    </w:p>
    <w:p w14:paraId="6BC221E1" w14:textId="0CB422CB" w:rsidR="000705A3" w:rsidRPr="000705A3" w:rsidRDefault="000705A3" w:rsidP="00D440C0">
      <w:pPr>
        <w:shd w:val="clear" w:color="auto" w:fill="FFFFFF"/>
        <w:ind w:firstLine="720"/>
        <w:jc w:val="both"/>
        <w:rPr>
          <w:sz w:val="24"/>
          <w:szCs w:val="24"/>
        </w:rPr>
      </w:pPr>
      <w:r w:rsidRPr="000705A3">
        <w:rPr>
          <w:rFonts w:eastAsia="Times New Roman"/>
          <w:bCs/>
          <w:color w:val="000000" w:themeColor="text1"/>
          <w:sz w:val="24"/>
          <w:szCs w:val="24"/>
          <w:lang w:eastAsia="lv-LV"/>
        </w:rPr>
        <w:t xml:space="preserve">Vērtējot Diagrammā Nr.3 un Diagrammā Nr.4 norādītos datus strauji pieaugošais piešķirto galvojumu skaits varētu būt izskaidrojams ar </w:t>
      </w:r>
      <w:r w:rsidRPr="000705A3">
        <w:rPr>
          <w:color w:val="000000" w:themeColor="text1"/>
          <w:sz w:val="24"/>
          <w:szCs w:val="24"/>
        </w:rPr>
        <w:t xml:space="preserve">grozījumiem </w:t>
      </w:r>
      <w:r w:rsidRPr="000705A3">
        <w:rPr>
          <w:color w:val="000000"/>
          <w:sz w:val="24"/>
          <w:szCs w:val="24"/>
          <w:lang w:eastAsia="lv-LV"/>
        </w:rPr>
        <w:t xml:space="preserve">Ministru kabineta 2009.gada 27.oktobra noteikumos Nr.1250 „Noteikumi par valsts nodevu par īpašuma tiesību un ķīlas tiesību nostiprināšanu zemesgrāmatā”, kas </w:t>
      </w:r>
      <w:r w:rsidRPr="000705A3">
        <w:rPr>
          <w:rStyle w:val="apple-converted-space"/>
          <w:color w:val="000000"/>
          <w:sz w:val="24"/>
          <w:szCs w:val="24"/>
          <w:shd w:val="clear" w:color="auto" w:fill="FFFFFF"/>
        </w:rPr>
        <w:t>paredz, ka p</w:t>
      </w:r>
      <w:r w:rsidRPr="000705A3">
        <w:rPr>
          <w:color w:val="000000"/>
          <w:sz w:val="24"/>
          <w:szCs w:val="24"/>
          <w:shd w:val="clear" w:color="auto" w:fill="FFFFFF"/>
        </w:rPr>
        <w:t>ersonai, kas nekustamo īpašumu iegūst, izmantojot normatīvajos aktos noteikto valsts sniegto palīdzību dzīvojamās telpas iegādei vai būvniecībai, valsts nodevu par īpašuma tiesību uz pirmā nekustamā īpašuma nostiprināšanu zemesgrāmatā nosaka 0,5 % apmērā no nekustamā īpašuma vērtības (</w:t>
      </w:r>
      <w:proofErr w:type="spellStart"/>
      <w:r w:rsidRPr="000705A3">
        <w:rPr>
          <w:i/>
          <w:iCs/>
          <w:color w:val="000000"/>
          <w:sz w:val="24"/>
          <w:szCs w:val="24"/>
          <w:shd w:val="clear" w:color="auto" w:fill="FFFFFF"/>
        </w:rPr>
        <w:t>euro</w:t>
      </w:r>
      <w:proofErr w:type="spellEnd"/>
      <w:r w:rsidRPr="000705A3">
        <w:rPr>
          <w:color w:val="000000"/>
          <w:sz w:val="24"/>
          <w:szCs w:val="24"/>
          <w:shd w:val="clear" w:color="auto" w:fill="FFFFFF"/>
        </w:rPr>
        <w:t xml:space="preserve">) līdzšinējo 2% vietā. Minētais regulējums stājās spēkā 2015.gada 7.novembrī. </w:t>
      </w:r>
      <w:r w:rsidRPr="000705A3">
        <w:rPr>
          <w:sz w:val="24"/>
          <w:szCs w:val="24"/>
        </w:rPr>
        <w:t xml:space="preserve">Pēc būtības atbalsta sniegšanas vajadzībām turpmāka 0,5% valsts nodevas apmērs būtu jāierobežo darījumiem, kuru vērtība pārsniedz 100 000 </w:t>
      </w:r>
      <w:proofErr w:type="spellStart"/>
      <w:r w:rsidRPr="000705A3">
        <w:rPr>
          <w:i/>
          <w:sz w:val="24"/>
          <w:szCs w:val="24"/>
        </w:rPr>
        <w:t>euro</w:t>
      </w:r>
      <w:proofErr w:type="spellEnd"/>
      <w:r w:rsidRPr="000705A3">
        <w:rPr>
          <w:sz w:val="24"/>
          <w:szCs w:val="24"/>
        </w:rPr>
        <w:t xml:space="preserve">, jo atlaides piemērošana netika sākotnēji paredzēta programmas atbalsta nosacījumos. Ņemot vērā minēto, kā arī </w:t>
      </w:r>
      <w:r w:rsidR="00D440C0">
        <w:rPr>
          <w:sz w:val="24"/>
          <w:szCs w:val="24"/>
        </w:rPr>
        <w:t>minētajos n</w:t>
      </w:r>
      <w:r w:rsidRPr="000705A3">
        <w:rPr>
          <w:sz w:val="24"/>
          <w:szCs w:val="24"/>
        </w:rPr>
        <w:t>oteikumos noteiktos principus valsts nodevas apmēra noteikšanā, definējama maksājamās valsts nodevas apmēra noteikšanas kārtība. Ekonomikas ministrija ierosina noteikt, ka:</w:t>
      </w:r>
    </w:p>
    <w:p w14:paraId="119A9792" w14:textId="77777777" w:rsidR="000705A3" w:rsidRPr="00C84E5D" w:rsidRDefault="000705A3" w:rsidP="000705A3">
      <w:pPr>
        <w:pStyle w:val="ListParagraph"/>
        <w:numPr>
          <w:ilvl w:val="0"/>
          <w:numId w:val="2"/>
        </w:numPr>
        <w:shd w:val="clear" w:color="auto" w:fill="FFFFFF"/>
        <w:jc w:val="both"/>
        <w:rPr>
          <w:rFonts w:ascii="Times New Roman" w:hAnsi="Times New Roman"/>
          <w:sz w:val="24"/>
          <w:szCs w:val="24"/>
        </w:rPr>
      </w:pPr>
      <w:r w:rsidRPr="00C84E5D">
        <w:rPr>
          <w:rFonts w:ascii="Times New Roman" w:eastAsia="Times New Roman" w:hAnsi="Times New Roman"/>
          <w:bCs/>
          <w:color w:val="000000" w:themeColor="text1"/>
          <w:sz w:val="24"/>
          <w:szCs w:val="24"/>
          <w:lang w:eastAsia="lv-LV"/>
        </w:rPr>
        <w:t xml:space="preserve">nekustamajiem īpašumiem mājokļu programmas ietvaros, kuru vērtība nepārsniedz 100 000 </w:t>
      </w:r>
      <w:proofErr w:type="spellStart"/>
      <w:r w:rsidRPr="00C84E5D">
        <w:rPr>
          <w:rFonts w:ascii="Times New Roman" w:eastAsia="Times New Roman" w:hAnsi="Times New Roman"/>
          <w:bCs/>
          <w:i/>
          <w:color w:val="000000" w:themeColor="text1"/>
          <w:sz w:val="24"/>
          <w:szCs w:val="24"/>
          <w:lang w:eastAsia="lv-LV"/>
        </w:rPr>
        <w:t>euro</w:t>
      </w:r>
      <w:proofErr w:type="spellEnd"/>
      <w:r w:rsidRPr="00C84E5D">
        <w:rPr>
          <w:rFonts w:ascii="Times New Roman" w:eastAsia="Times New Roman" w:hAnsi="Times New Roman"/>
          <w:bCs/>
          <w:color w:val="000000" w:themeColor="text1"/>
          <w:sz w:val="24"/>
          <w:szCs w:val="24"/>
          <w:lang w:eastAsia="lv-LV"/>
        </w:rPr>
        <w:t>, valsts nodevas likme tiek saglabāta 0,5% apmērā;</w:t>
      </w:r>
    </w:p>
    <w:p w14:paraId="72B585FE" w14:textId="77777777" w:rsidR="000705A3" w:rsidRPr="00C84E5D" w:rsidRDefault="000705A3" w:rsidP="000705A3">
      <w:pPr>
        <w:pStyle w:val="ListParagraph"/>
        <w:numPr>
          <w:ilvl w:val="0"/>
          <w:numId w:val="2"/>
        </w:numPr>
        <w:shd w:val="clear" w:color="auto" w:fill="FFFFFF"/>
        <w:jc w:val="both"/>
        <w:rPr>
          <w:rFonts w:ascii="Times New Roman" w:hAnsi="Times New Roman"/>
          <w:sz w:val="24"/>
          <w:szCs w:val="24"/>
        </w:rPr>
      </w:pPr>
      <w:r w:rsidRPr="00C84E5D">
        <w:rPr>
          <w:rFonts w:ascii="Times New Roman" w:eastAsia="Times New Roman" w:hAnsi="Times New Roman"/>
          <w:bCs/>
          <w:color w:val="000000" w:themeColor="text1"/>
          <w:sz w:val="24"/>
          <w:szCs w:val="24"/>
          <w:lang w:eastAsia="lv-LV"/>
        </w:rPr>
        <w:t xml:space="preserve">nekustamajiem īpašumiem mājokļu programmas ietvaros, kuru vērtība pārsniedz 100 000 </w:t>
      </w:r>
      <w:proofErr w:type="spellStart"/>
      <w:r w:rsidRPr="00C84E5D">
        <w:rPr>
          <w:rFonts w:ascii="Times New Roman" w:eastAsia="Times New Roman" w:hAnsi="Times New Roman"/>
          <w:bCs/>
          <w:i/>
          <w:color w:val="000000" w:themeColor="text1"/>
          <w:sz w:val="24"/>
          <w:szCs w:val="24"/>
          <w:lang w:eastAsia="lv-LV"/>
        </w:rPr>
        <w:t>euro</w:t>
      </w:r>
      <w:proofErr w:type="spellEnd"/>
      <w:r w:rsidRPr="00C84E5D">
        <w:rPr>
          <w:rFonts w:ascii="Times New Roman" w:eastAsia="Times New Roman" w:hAnsi="Times New Roman"/>
          <w:bCs/>
          <w:color w:val="000000" w:themeColor="text1"/>
          <w:sz w:val="24"/>
          <w:szCs w:val="24"/>
          <w:lang w:eastAsia="lv-LV"/>
        </w:rPr>
        <w:t>, valsts nodeva</w:t>
      </w:r>
      <w:r w:rsidRPr="00C84E5D">
        <w:rPr>
          <w:rFonts w:ascii="Times New Roman" w:hAnsi="Times New Roman"/>
          <w:sz w:val="24"/>
          <w:szCs w:val="24"/>
        </w:rPr>
        <w:t xml:space="preserve"> par nekustamo īpašumu tiek noteikta 500 </w:t>
      </w:r>
      <w:proofErr w:type="spellStart"/>
      <w:r w:rsidRPr="00C84E5D">
        <w:rPr>
          <w:rFonts w:ascii="Times New Roman" w:hAnsi="Times New Roman"/>
          <w:i/>
          <w:sz w:val="24"/>
          <w:szCs w:val="24"/>
        </w:rPr>
        <w:t>euro</w:t>
      </w:r>
      <w:proofErr w:type="spellEnd"/>
      <w:r w:rsidRPr="00C84E5D">
        <w:rPr>
          <w:rFonts w:ascii="Times New Roman" w:hAnsi="Times New Roman"/>
          <w:sz w:val="24"/>
          <w:szCs w:val="24"/>
        </w:rPr>
        <w:t xml:space="preserve"> plus 2% no nekustamā īpašuma vērtības, kas pārsniedz 100 000 </w:t>
      </w:r>
      <w:proofErr w:type="spellStart"/>
      <w:r w:rsidRPr="00C84E5D">
        <w:rPr>
          <w:rFonts w:ascii="Times New Roman" w:hAnsi="Times New Roman"/>
          <w:i/>
          <w:sz w:val="24"/>
          <w:szCs w:val="24"/>
        </w:rPr>
        <w:t>euro</w:t>
      </w:r>
      <w:proofErr w:type="spellEnd"/>
      <w:r w:rsidRPr="00C84E5D">
        <w:rPr>
          <w:rFonts w:ascii="Times New Roman" w:hAnsi="Times New Roman"/>
          <w:i/>
          <w:sz w:val="24"/>
          <w:szCs w:val="24"/>
        </w:rPr>
        <w:t>.</w:t>
      </w:r>
    </w:p>
    <w:p w14:paraId="38E245D4" w14:textId="77777777" w:rsidR="000705A3" w:rsidRPr="005F5D9F" w:rsidRDefault="000705A3" w:rsidP="000705A3">
      <w:pPr>
        <w:ind w:firstLine="426"/>
        <w:jc w:val="both"/>
        <w:rPr>
          <w:color w:val="000000" w:themeColor="text1"/>
          <w:sz w:val="24"/>
          <w:szCs w:val="24"/>
        </w:rPr>
      </w:pPr>
      <w:r w:rsidRPr="00C84E5D">
        <w:rPr>
          <w:rFonts w:cs="Times New Roman"/>
          <w:color w:val="000000" w:themeColor="text1"/>
          <w:sz w:val="24"/>
          <w:szCs w:val="24"/>
        </w:rPr>
        <w:t>Tādā veidā tiek panākts, ka nekustamajiem īpašumiem, kuru vērtība pārsniedz</w:t>
      </w:r>
      <w:r w:rsidRPr="005F5D9F">
        <w:rPr>
          <w:color w:val="000000" w:themeColor="text1"/>
          <w:sz w:val="24"/>
          <w:szCs w:val="24"/>
        </w:rPr>
        <w:t xml:space="preserve"> 100 000 </w:t>
      </w:r>
      <w:proofErr w:type="spellStart"/>
      <w:r w:rsidRPr="005F5D9F">
        <w:rPr>
          <w:i/>
          <w:color w:val="000000" w:themeColor="text1"/>
          <w:sz w:val="24"/>
          <w:szCs w:val="24"/>
        </w:rPr>
        <w:t>euro</w:t>
      </w:r>
      <w:proofErr w:type="spellEnd"/>
      <w:r w:rsidRPr="005F5D9F">
        <w:rPr>
          <w:color w:val="000000" w:themeColor="text1"/>
          <w:sz w:val="24"/>
          <w:szCs w:val="24"/>
        </w:rPr>
        <w:t xml:space="preserve">, summa starp noteikto valsts nodevas </w:t>
      </w:r>
      <w:proofErr w:type="spellStart"/>
      <w:r w:rsidRPr="005F5D9F">
        <w:rPr>
          <w:color w:val="000000" w:themeColor="text1"/>
          <w:sz w:val="24"/>
          <w:szCs w:val="24"/>
        </w:rPr>
        <w:t>standartlikmi</w:t>
      </w:r>
      <w:proofErr w:type="spellEnd"/>
      <w:r w:rsidRPr="005F5D9F">
        <w:rPr>
          <w:color w:val="000000" w:themeColor="text1"/>
          <w:sz w:val="24"/>
          <w:szCs w:val="24"/>
        </w:rPr>
        <w:t xml:space="preserve"> 2% un piemērojamo atvieglojumu mājokļu programmas ietvaros nepārsniegs 1500 </w:t>
      </w:r>
      <w:proofErr w:type="spellStart"/>
      <w:r w:rsidRPr="005F5D9F">
        <w:rPr>
          <w:i/>
          <w:color w:val="000000" w:themeColor="text1"/>
          <w:sz w:val="24"/>
          <w:szCs w:val="24"/>
        </w:rPr>
        <w:t>euro</w:t>
      </w:r>
      <w:proofErr w:type="spellEnd"/>
      <w:r>
        <w:rPr>
          <w:i/>
          <w:color w:val="000000" w:themeColor="text1"/>
          <w:sz w:val="24"/>
          <w:szCs w:val="24"/>
        </w:rPr>
        <w:t>.</w:t>
      </w:r>
    </w:p>
    <w:p w14:paraId="5B9DA6DD" w14:textId="77777777" w:rsidR="000705A3" w:rsidRDefault="000705A3" w:rsidP="000705A3">
      <w:pPr>
        <w:tabs>
          <w:tab w:val="left" w:pos="284"/>
        </w:tabs>
        <w:jc w:val="center"/>
        <w:rPr>
          <w:b/>
          <w:color w:val="000000" w:themeColor="text1"/>
          <w:sz w:val="24"/>
        </w:rPr>
      </w:pPr>
    </w:p>
    <w:p w14:paraId="024C46DF" w14:textId="77777777" w:rsidR="000705A3" w:rsidRDefault="000705A3" w:rsidP="000705A3">
      <w:pPr>
        <w:tabs>
          <w:tab w:val="left" w:pos="284"/>
        </w:tabs>
        <w:jc w:val="center"/>
        <w:rPr>
          <w:b/>
          <w:color w:val="000000" w:themeColor="text1"/>
          <w:sz w:val="24"/>
        </w:rPr>
      </w:pPr>
    </w:p>
    <w:p w14:paraId="4347975A" w14:textId="77777777" w:rsidR="000705A3" w:rsidRDefault="000705A3" w:rsidP="000705A3">
      <w:pPr>
        <w:tabs>
          <w:tab w:val="left" w:pos="284"/>
        </w:tabs>
        <w:jc w:val="center"/>
        <w:rPr>
          <w:b/>
          <w:color w:val="000000" w:themeColor="text1"/>
          <w:sz w:val="24"/>
        </w:rPr>
      </w:pPr>
    </w:p>
    <w:p w14:paraId="4A1745C0" w14:textId="77777777" w:rsidR="000705A3" w:rsidRPr="00FF3340" w:rsidRDefault="000705A3" w:rsidP="000705A3">
      <w:pPr>
        <w:pStyle w:val="ListParagraph"/>
        <w:shd w:val="clear" w:color="auto" w:fill="FFFFFF"/>
        <w:ind w:left="993"/>
        <w:jc w:val="center"/>
        <w:rPr>
          <w:rFonts w:ascii="Times New Roman" w:hAnsi="Times New Roman"/>
          <w:b/>
          <w:sz w:val="24"/>
          <w:szCs w:val="24"/>
        </w:rPr>
      </w:pPr>
      <w:r w:rsidRPr="00FF3340">
        <w:rPr>
          <w:rFonts w:ascii="Times New Roman" w:hAnsi="Times New Roman"/>
          <w:b/>
          <w:sz w:val="24"/>
          <w:szCs w:val="24"/>
        </w:rPr>
        <w:lastRenderedPageBreak/>
        <w:t>Pārskats par līdz šim piemērojamo valsts nodevas apmēru</w:t>
      </w:r>
    </w:p>
    <w:tbl>
      <w:tblPr>
        <w:tblW w:w="8861" w:type="dxa"/>
        <w:jc w:val="center"/>
        <w:tblLayout w:type="fixed"/>
        <w:tblLook w:val="04A0" w:firstRow="1" w:lastRow="0" w:firstColumn="1" w:lastColumn="0" w:noHBand="0" w:noVBand="1"/>
      </w:tblPr>
      <w:tblGrid>
        <w:gridCol w:w="2162"/>
        <w:gridCol w:w="2773"/>
        <w:gridCol w:w="2181"/>
        <w:gridCol w:w="1745"/>
      </w:tblGrid>
      <w:tr w:rsidR="000705A3" w:rsidRPr="005F5D9F" w14:paraId="6C2AF1F7" w14:textId="77777777" w:rsidTr="002D2209">
        <w:trPr>
          <w:trHeight w:val="1315"/>
          <w:jc w:val="center"/>
        </w:trPr>
        <w:tc>
          <w:tcPr>
            <w:tcW w:w="2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DBABF1" w14:textId="77777777" w:rsidR="000705A3" w:rsidRPr="005F5D9F" w:rsidRDefault="000705A3" w:rsidP="002D2209">
            <w:pPr>
              <w:pStyle w:val="NoSpacing"/>
              <w:jc w:val="center"/>
              <w:rPr>
                <w:b/>
                <w:sz w:val="20"/>
                <w:szCs w:val="20"/>
                <w:lang w:eastAsia="lv-LV"/>
              </w:rPr>
            </w:pPr>
            <w:r w:rsidRPr="005F5D9F">
              <w:rPr>
                <w:b/>
                <w:sz w:val="20"/>
                <w:szCs w:val="20"/>
                <w:lang w:eastAsia="lv-LV"/>
              </w:rPr>
              <w:t xml:space="preserve">Nekustamā īpašuma vērtība </w:t>
            </w:r>
            <w:r w:rsidRPr="005F5D9F">
              <w:rPr>
                <w:b/>
                <w:i/>
                <w:iCs/>
                <w:sz w:val="20"/>
                <w:szCs w:val="20"/>
                <w:lang w:eastAsia="lv-LV"/>
              </w:rPr>
              <w:t>(</w:t>
            </w:r>
            <w:proofErr w:type="spellStart"/>
            <w:r w:rsidRPr="005F5D9F">
              <w:rPr>
                <w:b/>
                <w:i/>
                <w:iCs/>
                <w:sz w:val="20"/>
                <w:szCs w:val="20"/>
                <w:lang w:eastAsia="lv-LV"/>
              </w:rPr>
              <w:t>euro</w:t>
            </w:r>
            <w:proofErr w:type="spellEnd"/>
            <w:r w:rsidRPr="005F5D9F">
              <w:rPr>
                <w:b/>
                <w:i/>
                <w:iCs/>
                <w:sz w:val="20"/>
                <w:szCs w:val="20"/>
                <w:lang w:eastAsia="lv-LV"/>
              </w:rPr>
              <w:t>)</w:t>
            </w:r>
          </w:p>
        </w:tc>
        <w:tc>
          <w:tcPr>
            <w:tcW w:w="27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602A8B" w14:textId="77777777" w:rsidR="000705A3" w:rsidRPr="005F5D9F" w:rsidRDefault="000705A3" w:rsidP="002D2209">
            <w:pPr>
              <w:pStyle w:val="NoSpacing"/>
              <w:jc w:val="center"/>
              <w:rPr>
                <w:b/>
                <w:sz w:val="20"/>
                <w:szCs w:val="20"/>
                <w:lang w:eastAsia="lv-LV"/>
              </w:rPr>
            </w:pPr>
            <w:r w:rsidRPr="005F5D9F">
              <w:rPr>
                <w:b/>
                <w:sz w:val="20"/>
                <w:szCs w:val="20"/>
                <w:lang w:eastAsia="lv-LV"/>
              </w:rPr>
              <w:t xml:space="preserve">Valsts nodeva par īpašuma tiesību nostiprināšanu zemesgrāmatā </w:t>
            </w:r>
            <w:r w:rsidRPr="005F5D9F">
              <w:rPr>
                <w:b/>
                <w:sz w:val="20"/>
                <w:szCs w:val="20"/>
                <w:u w:val="single"/>
                <w:lang w:eastAsia="lv-LV"/>
              </w:rPr>
              <w:t xml:space="preserve">bez </w:t>
            </w:r>
            <w:r w:rsidRPr="005F5D9F">
              <w:rPr>
                <w:b/>
                <w:sz w:val="20"/>
                <w:szCs w:val="20"/>
                <w:lang w:eastAsia="lv-LV"/>
              </w:rPr>
              <w:t xml:space="preserve">mājokļu atbalsta programmas – 2% </w:t>
            </w:r>
            <w:r w:rsidRPr="005F5D9F">
              <w:rPr>
                <w:b/>
                <w:i/>
                <w:iCs/>
                <w:sz w:val="20"/>
                <w:szCs w:val="20"/>
                <w:lang w:eastAsia="lv-LV"/>
              </w:rPr>
              <w:t>(</w:t>
            </w:r>
            <w:proofErr w:type="spellStart"/>
            <w:r w:rsidRPr="005F5D9F">
              <w:rPr>
                <w:b/>
                <w:i/>
                <w:iCs/>
                <w:sz w:val="20"/>
                <w:szCs w:val="20"/>
                <w:lang w:eastAsia="lv-LV"/>
              </w:rPr>
              <w:t>euro</w:t>
            </w:r>
            <w:proofErr w:type="spellEnd"/>
            <w:r w:rsidRPr="005F5D9F">
              <w:rPr>
                <w:b/>
                <w:i/>
                <w:iCs/>
                <w:sz w:val="20"/>
                <w:szCs w:val="20"/>
                <w:lang w:eastAsia="lv-LV"/>
              </w:rPr>
              <w:t>)</w:t>
            </w:r>
          </w:p>
        </w:tc>
        <w:tc>
          <w:tcPr>
            <w:tcW w:w="21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4D0936" w14:textId="77777777" w:rsidR="000705A3" w:rsidRPr="005F5D9F" w:rsidRDefault="000705A3" w:rsidP="002D2209">
            <w:pPr>
              <w:pStyle w:val="NoSpacing"/>
              <w:jc w:val="center"/>
              <w:rPr>
                <w:b/>
                <w:sz w:val="20"/>
                <w:szCs w:val="20"/>
                <w:lang w:eastAsia="lv-LV"/>
              </w:rPr>
            </w:pPr>
            <w:r w:rsidRPr="005F5D9F">
              <w:rPr>
                <w:b/>
                <w:sz w:val="20"/>
                <w:szCs w:val="20"/>
                <w:lang w:eastAsia="lv-LV"/>
              </w:rPr>
              <w:t xml:space="preserve">Valsts nodeva par īpašuma tiesību nostiprināšanu zemesgrāmatā </w:t>
            </w:r>
            <w:r w:rsidRPr="005F5D9F">
              <w:rPr>
                <w:b/>
                <w:sz w:val="20"/>
                <w:szCs w:val="20"/>
                <w:u w:val="single"/>
                <w:lang w:eastAsia="lv-LV"/>
              </w:rPr>
              <w:t xml:space="preserve">ar </w:t>
            </w:r>
            <w:r w:rsidRPr="005F5D9F">
              <w:rPr>
                <w:b/>
                <w:sz w:val="20"/>
                <w:szCs w:val="20"/>
                <w:lang w:eastAsia="lv-LV"/>
              </w:rPr>
              <w:t>mājokļu atbalsta programmu – 0.5% (</w:t>
            </w:r>
            <w:proofErr w:type="spellStart"/>
            <w:r w:rsidRPr="005F5D9F">
              <w:rPr>
                <w:b/>
                <w:i/>
                <w:iCs/>
                <w:sz w:val="20"/>
                <w:szCs w:val="20"/>
                <w:lang w:eastAsia="lv-LV"/>
              </w:rPr>
              <w:t>euro</w:t>
            </w:r>
            <w:proofErr w:type="spellEnd"/>
            <w:r w:rsidRPr="005F5D9F">
              <w:rPr>
                <w:b/>
                <w:i/>
                <w:iCs/>
                <w:sz w:val="20"/>
                <w:szCs w:val="20"/>
                <w:lang w:eastAsia="lv-LV"/>
              </w:rPr>
              <w:t>)</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673A0E" w14:textId="77777777" w:rsidR="000705A3" w:rsidRPr="005F5D9F" w:rsidRDefault="000705A3" w:rsidP="002D2209">
            <w:pPr>
              <w:pStyle w:val="NoSpacing"/>
              <w:jc w:val="center"/>
              <w:rPr>
                <w:b/>
                <w:sz w:val="20"/>
                <w:szCs w:val="20"/>
                <w:lang w:eastAsia="lv-LV"/>
              </w:rPr>
            </w:pPr>
            <w:r w:rsidRPr="005F5D9F">
              <w:rPr>
                <w:b/>
                <w:sz w:val="20"/>
                <w:szCs w:val="20"/>
                <w:lang w:eastAsia="lv-LV"/>
              </w:rPr>
              <w:t xml:space="preserve">Starpība - atlaide </w:t>
            </w:r>
            <w:r w:rsidRPr="005F5D9F">
              <w:rPr>
                <w:b/>
                <w:i/>
                <w:iCs/>
                <w:sz w:val="20"/>
                <w:szCs w:val="20"/>
                <w:lang w:eastAsia="lv-LV"/>
              </w:rPr>
              <w:t>(</w:t>
            </w:r>
            <w:proofErr w:type="spellStart"/>
            <w:r w:rsidRPr="005F5D9F">
              <w:rPr>
                <w:b/>
                <w:i/>
                <w:iCs/>
                <w:sz w:val="20"/>
                <w:szCs w:val="20"/>
                <w:lang w:eastAsia="lv-LV"/>
              </w:rPr>
              <w:t>euro</w:t>
            </w:r>
            <w:proofErr w:type="spellEnd"/>
            <w:r w:rsidRPr="005F5D9F">
              <w:rPr>
                <w:b/>
                <w:i/>
                <w:iCs/>
                <w:sz w:val="20"/>
                <w:szCs w:val="20"/>
                <w:lang w:eastAsia="lv-LV"/>
              </w:rPr>
              <w:t>)</w:t>
            </w:r>
          </w:p>
        </w:tc>
      </w:tr>
      <w:tr w:rsidR="000705A3" w:rsidRPr="00FF3340" w14:paraId="151FC15E" w14:textId="77777777" w:rsidTr="002D2209">
        <w:trPr>
          <w:trHeight w:val="317"/>
          <w:jc w:val="center"/>
        </w:trPr>
        <w:tc>
          <w:tcPr>
            <w:tcW w:w="2162" w:type="dxa"/>
            <w:vMerge/>
            <w:tcBorders>
              <w:top w:val="single" w:sz="8" w:space="0" w:color="auto"/>
              <w:left w:val="single" w:sz="8" w:space="0" w:color="auto"/>
              <w:bottom w:val="single" w:sz="8" w:space="0" w:color="000000"/>
              <w:right w:val="single" w:sz="8" w:space="0" w:color="auto"/>
            </w:tcBorders>
            <w:vAlign w:val="center"/>
            <w:hideMark/>
          </w:tcPr>
          <w:p w14:paraId="46918A7D" w14:textId="77777777" w:rsidR="000705A3" w:rsidRPr="00FF3340" w:rsidRDefault="000705A3" w:rsidP="002D2209">
            <w:pPr>
              <w:rPr>
                <w:rFonts w:eastAsia="Times New Roman" w:cs="Times New Roman"/>
                <w:b/>
                <w:bCs/>
                <w:color w:val="000000"/>
                <w:sz w:val="20"/>
                <w:szCs w:val="20"/>
                <w:lang w:eastAsia="lv-LV"/>
              </w:rPr>
            </w:pPr>
          </w:p>
        </w:tc>
        <w:tc>
          <w:tcPr>
            <w:tcW w:w="2773" w:type="dxa"/>
            <w:vMerge/>
            <w:tcBorders>
              <w:top w:val="single" w:sz="8" w:space="0" w:color="auto"/>
              <w:left w:val="single" w:sz="8" w:space="0" w:color="auto"/>
              <w:bottom w:val="single" w:sz="8" w:space="0" w:color="000000"/>
              <w:right w:val="single" w:sz="8" w:space="0" w:color="auto"/>
            </w:tcBorders>
            <w:vAlign w:val="center"/>
            <w:hideMark/>
          </w:tcPr>
          <w:p w14:paraId="587ABDB1" w14:textId="77777777" w:rsidR="000705A3" w:rsidRPr="00FF3340" w:rsidRDefault="000705A3" w:rsidP="002D2209">
            <w:pPr>
              <w:rPr>
                <w:rFonts w:eastAsia="Times New Roman" w:cs="Times New Roman"/>
                <w:b/>
                <w:bCs/>
                <w:color w:val="000000"/>
                <w:sz w:val="20"/>
                <w:szCs w:val="20"/>
                <w:lang w:eastAsia="lv-LV"/>
              </w:rPr>
            </w:pPr>
          </w:p>
        </w:tc>
        <w:tc>
          <w:tcPr>
            <w:tcW w:w="2181" w:type="dxa"/>
            <w:vMerge/>
            <w:tcBorders>
              <w:top w:val="single" w:sz="8" w:space="0" w:color="auto"/>
              <w:left w:val="single" w:sz="8" w:space="0" w:color="auto"/>
              <w:bottom w:val="single" w:sz="8" w:space="0" w:color="000000"/>
              <w:right w:val="single" w:sz="8" w:space="0" w:color="auto"/>
            </w:tcBorders>
            <w:vAlign w:val="center"/>
            <w:hideMark/>
          </w:tcPr>
          <w:p w14:paraId="77CC18CC" w14:textId="77777777" w:rsidR="000705A3" w:rsidRPr="00FF3340" w:rsidRDefault="000705A3" w:rsidP="002D2209">
            <w:pPr>
              <w:rPr>
                <w:rFonts w:eastAsia="Times New Roman" w:cs="Times New Roman"/>
                <w:b/>
                <w:bCs/>
                <w:color w:val="000000"/>
                <w:sz w:val="20"/>
                <w:szCs w:val="20"/>
                <w:lang w:eastAsia="lv-LV"/>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14:paraId="6BE040B8" w14:textId="77777777" w:rsidR="000705A3" w:rsidRPr="00FF3340" w:rsidRDefault="000705A3" w:rsidP="002D2209">
            <w:pPr>
              <w:rPr>
                <w:rFonts w:eastAsia="Times New Roman" w:cs="Times New Roman"/>
                <w:b/>
                <w:bCs/>
                <w:color w:val="000000"/>
                <w:sz w:val="20"/>
                <w:szCs w:val="20"/>
                <w:lang w:eastAsia="lv-LV"/>
              </w:rPr>
            </w:pPr>
          </w:p>
        </w:tc>
      </w:tr>
      <w:tr w:rsidR="000705A3" w:rsidRPr="00FF3340" w14:paraId="6DE20436" w14:textId="77777777" w:rsidTr="002D2209">
        <w:trPr>
          <w:trHeight w:val="332"/>
          <w:jc w:val="center"/>
        </w:trPr>
        <w:tc>
          <w:tcPr>
            <w:tcW w:w="2162" w:type="dxa"/>
            <w:vMerge/>
            <w:tcBorders>
              <w:top w:val="single" w:sz="8" w:space="0" w:color="auto"/>
              <w:left w:val="single" w:sz="8" w:space="0" w:color="auto"/>
              <w:bottom w:val="single" w:sz="8" w:space="0" w:color="000000"/>
              <w:right w:val="single" w:sz="8" w:space="0" w:color="auto"/>
            </w:tcBorders>
            <w:vAlign w:val="center"/>
            <w:hideMark/>
          </w:tcPr>
          <w:p w14:paraId="7E49E3A0" w14:textId="77777777" w:rsidR="000705A3" w:rsidRPr="00FF3340" w:rsidRDefault="000705A3" w:rsidP="002D2209">
            <w:pPr>
              <w:rPr>
                <w:rFonts w:eastAsia="Times New Roman" w:cs="Times New Roman"/>
                <w:b/>
                <w:bCs/>
                <w:color w:val="000000"/>
                <w:sz w:val="20"/>
                <w:szCs w:val="20"/>
                <w:lang w:eastAsia="lv-LV"/>
              </w:rPr>
            </w:pPr>
          </w:p>
        </w:tc>
        <w:tc>
          <w:tcPr>
            <w:tcW w:w="2773" w:type="dxa"/>
            <w:vMerge/>
            <w:tcBorders>
              <w:top w:val="single" w:sz="8" w:space="0" w:color="auto"/>
              <w:left w:val="single" w:sz="8" w:space="0" w:color="auto"/>
              <w:bottom w:val="single" w:sz="8" w:space="0" w:color="000000"/>
              <w:right w:val="single" w:sz="8" w:space="0" w:color="auto"/>
            </w:tcBorders>
            <w:vAlign w:val="center"/>
            <w:hideMark/>
          </w:tcPr>
          <w:p w14:paraId="73AE5EF8" w14:textId="77777777" w:rsidR="000705A3" w:rsidRPr="00FF3340" w:rsidRDefault="000705A3" w:rsidP="002D2209">
            <w:pPr>
              <w:rPr>
                <w:rFonts w:eastAsia="Times New Roman" w:cs="Times New Roman"/>
                <w:b/>
                <w:bCs/>
                <w:color w:val="000000"/>
                <w:sz w:val="20"/>
                <w:szCs w:val="20"/>
                <w:lang w:eastAsia="lv-LV"/>
              </w:rPr>
            </w:pPr>
          </w:p>
        </w:tc>
        <w:tc>
          <w:tcPr>
            <w:tcW w:w="2181" w:type="dxa"/>
            <w:vMerge/>
            <w:tcBorders>
              <w:top w:val="single" w:sz="8" w:space="0" w:color="auto"/>
              <w:left w:val="single" w:sz="8" w:space="0" w:color="auto"/>
              <w:bottom w:val="single" w:sz="8" w:space="0" w:color="000000"/>
              <w:right w:val="single" w:sz="8" w:space="0" w:color="auto"/>
            </w:tcBorders>
            <w:vAlign w:val="center"/>
            <w:hideMark/>
          </w:tcPr>
          <w:p w14:paraId="037E3507" w14:textId="77777777" w:rsidR="000705A3" w:rsidRPr="00FF3340" w:rsidRDefault="000705A3" w:rsidP="002D2209">
            <w:pPr>
              <w:rPr>
                <w:rFonts w:eastAsia="Times New Roman" w:cs="Times New Roman"/>
                <w:b/>
                <w:bCs/>
                <w:color w:val="000000"/>
                <w:sz w:val="20"/>
                <w:szCs w:val="20"/>
                <w:lang w:eastAsia="lv-LV"/>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14:paraId="1BC4F46F" w14:textId="77777777" w:rsidR="000705A3" w:rsidRPr="00FF3340" w:rsidRDefault="000705A3" w:rsidP="002D2209">
            <w:pPr>
              <w:rPr>
                <w:rFonts w:eastAsia="Times New Roman" w:cs="Times New Roman"/>
                <w:b/>
                <w:bCs/>
                <w:color w:val="000000"/>
                <w:sz w:val="20"/>
                <w:szCs w:val="20"/>
                <w:lang w:eastAsia="lv-LV"/>
              </w:rPr>
            </w:pPr>
          </w:p>
        </w:tc>
      </w:tr>
      <w:tr w:rsidR="000705A3" w:rsidRPr="00FF3340" w14:paraId="342B67FD" w14:textId="77777777" w:rsidTr="002D2209">
        <w:trPr>
          <w:trHeight w:val="317"/>
          <w:jc w:val="center"/>
        </w:trPr>
        <w:tc>
          <w:tcPr>
            <w:tcW w:w="2162" w:type="dxa"/>
            <w:vMerge/>
            <w:tcBorders>
              <w:top w:val="single" w:sz="8" w:space="0" w:color="auto"/>
              <w:left w:val="single" w:sz="8" w:space="0" w:color="auto"/>
              <w:bottom w:val="single" w:sz="8" w:space="0" w:color="000000"/>
              <w:right w:val="single" w:sz="8" w:space="0" w:color="auto"/>
            </w:tcBorders>
            <w:vAlign w:val="center"/>
            <w:hideMark/>
          </w:tcPr>
          <w:p w14:paraId="12C88D2C" w14:textId="77777777" w:rsidR="000705A3" w:rsidRPr="00FF3340" w:rsidRDefault="000705A3" w:rsidP="002D2209">
            <w:pPr>
              <w:rPr>
                <w:rFonts w:eastAsia="Times New Roman" w:cs="Times New Roman"/>
                <w:b/>
                <w:bCs/>
                <w:color w:val="000000"/>
                <w:sz w:val="20"/>
                <w:szCs w:val="20"/>
                <w:lang w:eastAsia="lv-LV"/>
              </w:rPr>
            </w:pPr>
          </w:p>
        </w:tc>
        <w:tc>
          <w:tcPr>
            <w:tcW w:w="2773" w:type="dxa"/>
            <w:vMerge/>
            <w:tcBorders>
              <w:top w:val="single" w:sz="8" w:space="0" w:color="auto"/>
              <w:left w:val="single" w:sz="8" w:space="0" w:color="auto"/>
              <w:bottom w:val="single" w:sz="8" w:space="0" w:color="000000"/>
              <w:right w:val="single" w:sz="8" w:space="0" w:color="auto"/>
            </w:tcBorders>
            <w:vAlign w:val="center"/>
            <w:hideMark/>
          </w:tcPr>
          <w:p w14:paraId="32DC86B6" w14:textId="77777777" w:rsidR="000705A3" w:rsidRPr="00FF3340" w:rsidRDefault="000705A3" w:rsidP="002D2209">
            <w:pPr>
              <w:rPr>
                <w:rFonts w:eastAsia="Times New Roman" w:cs="Times New Roman"/>
                <w:b/>
                <w:bCs/>
                <w:color w:val="000000"/>
                <w:sz w:val="20"/>
                <w:szCs w:val="20"/>
                <w:lang w:eastAsia="lv-LV"/>
              </w:rPr>
            </w:pPr>
          </w:p>
        </w:tc>
        <w:tc>
          <w:tcPr>
            <w:tcW w:w="2181" w:type="dxa"/>
            <w:vMerge/>
            <w:tcBorders>
              <w:top w:val="single" w:sz="8" w:space="0" w:color="auto"/>
              <w:left w:val="single" w:sz="8" w:space="0" w:color="auto"/>
              <w:bottom w:val="single" w:sz="8" w:space="0" w:color="000000"/>
              <w:right w:val="single" w:sz="8" w:space="0" w:color="auto"/>
            </w:tcBorders>
            <w:vAlign w:val="center"/>
            <w:hideMark/>
          </w:tcPr>
          <w:p w14:paraId="5128B0A9" w14:textId="77777777" w:rsidR="000705A3" w:rsidRPr="00FF3340" w:rsidRDefault="000705A3" w:rsidP="002D2209">
            <w:pPr>
              <w:rPr>
                <w:rFonts w:eastAsia="Times New Roman" w:cs="Times New Roman"/>
                <w:b/>
                <w:bCs/>
                <w:color w:val="000000"/>
                <w:sz w:val="20"/>
                <w:szCs w:val="20"/>
                <w:lang w:eastAsia="lv-LV"/>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14:paraId="210E143F" w14:textId="77777777" w:rsidR="000705A3" w:rsidRPr="00FF3340" w:rsidRDefault="000705A3" w:rsidP="002D2209">
            <w:pPr>
              <w:rPr>
                <w:rFonts w:eastAsia="Times New Roman" w:cs="Times New Roman"/>
                <w:b/>
                <w:bCs/>
                <w:color w:val="000000"/>
                <w:sz w:val="20"/>
                <w:szCs w:val="20"/>
                <w:lang w:eastAsia="lv-LV"/>
              </w:rPr>
            </w:pPr>
          </w:p>
        </w:tc>
      </w:tr>
      <w:tr w:rsidR="000705A3" w:rsidRPr="00FF3340" w14:paraId="2E8E77BE" w14:textId="77777777" w:rsidTr="002D2209">
        <w:trPr>
          <w:trHeight w:val="231"/>
          <w:jc w:val="center"/>
        </w:trPr>
        <w:tc>
          <w:tcPr>
            <w:tcW w:w="2162" w:type="dxa"/>
            <w:vMerge/>
            <w:tcBorders>
              <w:top w:val="single" w:sz="8" w:space="0" w:color="auto"/>
              <w:left w:val="single" w:sz="8" w:space="0" w:color="auto"/>
              <w:bottom w:val="single" w:sz="8" w:space="0" w:color="000000"/>
              <w:right w:val="single" w:sz="8" w:space="0" w:color="auto"/>
            </w:tcBorders>
            <w:vAlign w:val="center"/>
            <w:hideMark/>
          </w:tcPr>
          <w:p w14:paraId="00412A1C" w14:textId="77777777" w:rsidR="000705A3" w:rsidRPr="00FF3340" w:rsidRDefault="000705A3" w:rsidP="002D2209">
            <w:pPr>
              <w:rPr>
                <w:rFonts w:eastAsia="Times New Roman" w:cs="Times New Roman"/>
                <w:b/>
                <w:bCs/>
                <w:color w:val="000000"/>
                <w:sz w:val="20"/>
                <w:szCs w:val="20"/>
                <w:lang w:eastAsia="lv-LV"/>
              </w:rPr>
            </w:pPr>
          </w:p>
        </w:tc>
        <w:tc>
          <w:tcPr>
            <w:tcW w:w="2773" w:type="dxa"/>
            <w:vMerge/>
            <w:tcBorders>
              <w:top w:val="single" w:sz="8" w:space="0" w:color="auto"/>
              <w:left w:val="single" w:sz="8" w:space="0" w:color="auto"/>
              <w:bottom w:val="single" w:sz="8" w:space="0" w:color="000000"/>
              <w:right w:val="single" w:sz="8" w:space="0" w:color="auto"/>
            </w:tcBorders>
            <w:vAlign w:val="center"/>
            <w:hideMark/>
          </w:tcPr>
          <w:p w14:paraId="5EF91570" w14:textId="77777777" w:rsidR="000705A3" w:rsidRPr="00FF3340" w:rsidRDefault="000705A3" w:rsidP="002D2209">
            <w:pPr>
              <w:rPr>
                <w:rFonts w:eastAsia="Times New Roman" w:cs="Times New Roman"/>
                <w:b/>
                <w:bCs/>
                <w:color w:val="000000"/>
                <w:sz w:val="20"/>
                <w:szCs w:val="20"/>
                <w:lang w:eastAsia="lv-LV"/>
              </w:rPr>
            </w:pPr>
          </w:p>
        </w:tc>
        <w:tc>
          <w:tcPr>
            <w:tcW w:w="2181" w:type="dxa"/>
            <w:vMerge/>
            <w:tcBorders>
              <w:top w:val="single" w:sz="8" w:space="0" w:color="auto"/>
              <w:left w:val="single" w:sz="8" w:space="0" w:color="auto"/>
              <w:bottom w:val="single" w:sz="8" w:space="0" w:color="000000"/>
              <w:right w:val="single" w:sz="8" w:space="0" w:color="auto"/>
            </w:tcBorders>
            <w:vAlign w:val="center"/>
            <w:hideMark/>
          </w:tcPr>
          <w:p w14:paraId="14B85C68" w14:textId="77777777" w:rsidR="000705A3" w:rsidRPr="00FF3340" w:rsidRDefault="000705A3" w:rsidP="002D2209">
            <w:pPr>
              <w:rPr>
                <w:rFonts w:eastAsia="Times New Roman" w:cs="Times New Roman"/>
                <w:b/>
                <w:bCs/>
                <w:color w:val="000000"/>
                <w:sz w:val="20"/>
                <w:szCs w:val="20"/>
                <w:lang w:eastAsia="lv-LV"/>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14:paraId="7FBDC729" w14:textId="77777777" w:rsidR="000705A3" w:rsidRPr="00FF3340" w:rsidRDefault="000705A3" w:rsidP="002D2209">
            <w:pPr>
              <w:rPr>
                <w:rFonts w:eastAsia="Times New Roman" w:cs="Times New Roman"/>
                <w:b/>
                <w:bCs/>
                <w:color w:val="000000"/>
                <w:sz w:val="20"/>
                <w:szCs w:val="20"/>
                <w:lang w:eastAsia="lv-LV"/>
              </w:rPr>
            </w:pPr>
          </w:p>
        </w:tc>
      </w:tr>
      <w:tr w:rsidR="000705A3" w:rsidRPr="00FF3340" w14:paraId="7AE997F9" w14:textId="77777777" w:rsidTr="002D2209">
        <w:trPr>
          <w:trHeight w:val="170"/>
          <w:jc w:val="center"/>
        </w:trPr>
        <w:tc>
          <w:tcPr>
            <w:tcW w:w="2162" w:type="dxa"/>
            <w:tcBorders>
              <w:top w:val="nil"/>
              <w:left w:val="single" w:sz="8" w:space="0" w:color="auto"/>
              <w:bottom w:val="single" w:sz="8" w:space="0" w:color="auto"/>
              <w:right w:val="single" w:sz="8" w:space="0" w:color="auto"/>
            </w:tcBorders>
            <w:shd w:val="clear" w:color="auto" w:fill="auto"/>
            <w:vAlign w:val="center"/>
            <w:hideMark/>
          </w:tcPr>
          <w:p w14:paraId="2A9473A4"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30 000</w:t>
            </w:r>
          </w:p>
        </w:tc>
        <w:tc>
          <w:tcPr>
            <w:tcW w:w="2773" w:type="dxa"/>
            <w:tcBorders>
              <w:top w:val="nil"/>
              <w:left w:val="nil"/>
              <w:bottom w:val="single" w:sz="8" w:space="0" w:color="auto"/>
              <w:right w:val="single" w:sz="8" w:space="0" w:color="auto"/>
            </w:tcBorders>
            <w:shd w:val="clear" w:color="auto" w:fill="auto"/>
            <w:vAlign w:val="center"/>
            <w:hideMark/>
          </w:tcPr>
          <w:p w14:paraId="1C251639"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600</w:t>
            </w:r>
          </w:p>
        </w:tc>
        <w:tc>
          <w:tcPr>
            <w:tcW w:w="2181" w:type="dxa"/>
            <w:tcBorders>
              <w:top w:val="nil"/>
              <w:left w:val="nil"/>
              <w:bottom w:val="single" w:sz="8" w:space="0" w:color="auto"/>
              <w:right w:val="single" w:sz="8" w:space="0" w:color="auto"/>
            </w:tcBorders>
            <w:shd w:val="clear" w:color="auto" w:fill="FFFFFF" w:themeFill="background1"/>
            <w:vAlign w:val="center"/>
            <w:hideMark/>
          </w:tcPr>
          <w:p w14:paraId="55D252A9"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150</w:t>
            </w:r>
          </w:p>
        </w:tc>
        <w:tc>
          <w:tcPr>
            <w:tcW w:w="1745" w:type="dxa"/>
            <w:tcBorders>
              <w:top w:val="nil"/>
              <w:left w:val="nil"/>
              <w:bottom w:val="single" w:sz="8" w:space="0" w:color="auto"/>
              <w:right w:val="single" w:sz="8" w:space="0" w:color="auto"/>
            </w:tcBorders>
            <w:shd w:val="clear" w:color="auto" w:fill="auto"/>
            <w:vAlign w:val="center"/>
            <w:hideMark/>
          </w:tcPr>
          <w:p w14:paraId="00BA01F4"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450</w:t>
            </w:r>
          </w:p>
        </w:tc>
      </w:tr>
      <w:tr w:rsidR="000705A3" w:rsidRPr="00FF3340" w14:paraId="43CEEC4F" w14:textId="77777777" w:rsidTr="002D2209">
        <w:trPr>
          <w:trHeight w:val="202"/>
          <w:jc w:val="center"/>
        </w:trPr>
        <w:tc>
          <w:tcPr>
            <w:tcW w:w="2162" w:type="dxa"/>
            <w:tcBorders>
              <w:top w:val="nil"/>
              <w:left w:val="single" w:sz="8" w:space="0" w:color="auto"/>
              <w:bottom w:val="single" w:sz="8" w:space="0" w:color="auto"/>
              <w:right w:val="single" w:sz="8" w:space="0" w:color="auto"/>
            </w:tcBorders>
            <w:shd w:val="clear" w:color="auto" w:fill="auto"/>
            <w:vAlign w:val="center"/>
            <w:hideMark/>
          </w:tcPr>
          <w:p w14:paraId="6E781D59"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40 000</w:t>
            </w:r>
          </w:p>
        </w:tc>
        <w:tc>
          <w:tcPr>
            <w:tcW w:w="2773" w:type="dxa"/>
            <w:tcBorders>
              <w:top w:val="nil"/>
              <w:left w:val="nil"/>
              <w:bottom w:val="single" w:sz="8" w:space="0" w:color="auto"/>
              <w:right w:val="single" w:sz="8" w:space="0" w:color="auto"/>
            </w:tcBorders>
            <w:shd w:val="clear" w:color="auto" w:fill="auto"/>
            <w:vAlign w:val="center"/>
            <w:hideMark/>
          </w:tcPr>
          <w:p w14:paraId="110AC84F"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800</w:t>
            </w:r>
          </w:p>
        </w:tc>
        <w:tc>
          <w:tcPr>
            <w:tcW w:w="2181" w:type="dxa"/>
            <w:tcBorders>
              <w:top w:val="nil"/>
              <w:left w:val="nil"/>
              <w:bottom w:val="single" w:sz="8" w:space="0" w:color="auto"/>
              <w:right w:val="single" w:sz="8" w:space="0" w:color="auto"/>
            </w:tcBorders>
            <w:shd w:val="clear" w:color="auto" w:fill="FFFFFF" w:themeFill="background1"/>
            <w:vAlign w:val="center"/>
            <w:hideMark/>
          </w:tcPr>
          <w:p w14:paraId="65B3449B"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200</w:t>
            </w:r>
          </w:p>
        </w:tc>
        <w:tc>
          <w:tcPr>
            <w:tcW w:w="1745" w:type="dxa"/>
            <w:tcBorders>
              <w:top w:val="nil"/>
              <w:left w:val="nil"/>
              <w:bottom w:val="single" w:sz="8" w:space="0" w:color="auto"/>
              <w:right w:val="single" w:sz="8" w:space="0" w:color="auto"/>
            </w:tcBorders>
            <w:shd w:val="clear" w:color="auto" w:fill="auto"/>
            <w:vAlign w:val="center"/>
            <w:hideMark/>
          </w:tcPr>
          <w:p w14:paraId="295BDA35"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600</w:t>
            </w:r>
          </w:p>
        </w:tc>
      </w:tr>
      <w:tr w:rsidR="000705A3" w:rsidRPr="00FF3340" w14:paraId="58F5C312" w14:textId="77777777" w:rsidTr="002D2209">
        <w:trPr>
          <w:trHeight w:val="248"/>
          <w:jc w:val="center"/>
        </w:trPr>
        <w:tc>
          <w:tcPr>
            <w:tcW w:w="2162" w:type="dxa"/>
            <w:tcBorders>
              <w:top w:val="nil"/>
              <w:left w:val="single" w:sz="8" w:space="0" w:color="auto"/>
              <w:bottom w:val="single" w:sz="8" w:space="0" w:color="auto"/>
              <w:right w:val="single" w:sz="8" w:space="0" w:color="auto"/>
            </w:tcBorders>
            <w:shd w:val="clear" w:color="auto" w:fill="auto"/>
            <w:vAlign w:val="center"/>
            <w:hideMark/>
          </w:tcPr>
          <w:p w14:paraId="744C705B"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50 000</w:t>
            </w:r>
          </w:p>
        </w:tc>
        <w:tc>
          <w:tcPr>
            <w:tcW w:w="2773" w:type="dxa"/>
            <w:tcBorders>
              <w:top w:val="nil"/>
              <w:left w:val="nil"/>
              <w:bottom w:val="single" w:sz="8" w:space="0" w:color="auto"/>
              <w:right w:val="single" w:sz="8" w:space="0" w:color="auto"/>
            </w:tcBorders>
            <w:shd w:val="clear" w:color="auto" w:fill="auto"/>
            <w:vAlign w:val="center"/>
            <w:hideMark/>
          </w:tcPr>
          <w:p w14:paraId="337F5536"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1 000</w:t>
            </w:r>
          </w:p>
        </w:tc>
        <w:tc>
          <w:tcPr>
            <w:tcW w:w="2181" w:type="dxa"/>
            <w:tcBorders>
              <w:top w:val="nil"/>
              <w:left w:val="nil"/>
              <w:bottom w:val="single" w:sz="8" w:space="0" w:color="auto"/>
              <w:right w:val="single" w:sz="8" w:space="0" w:color="auto"/>
            </w:tcBorders>
            <w:shd w:val="clear" w:color="auto" w:fill="FFFFFF" w:themeFill="background1"/>
            <w:vAlign w:val="center"/>
            <w:hideMark/>
          </w:tcPr>
          <w:p w14:paraId="36F4BFBA"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250</w:t>
            </w:r>
          </w:p>
        </w:tc>
        <w:tc>
          <w:tcPr>
            <w:tcW w:w="1745" w:type="dxa"/>
            <w:tcBorders>
              <w:top w:val="nil"/>
              <w:left w:val="nil"/>
              <w:bottom w:val="single" w:sz="8" w:space="0" w:color="auto"/>
              <w:right w:val="single" w:sz="8" w:space="0" w:color="auto"/>
            </w:tcBorders>
            <w:shd w:val="clear" w:color="auto" w:fill="auto"/>
            <w:vAlign w:val="center"/>
            <w:hideMark/>
          </w:tcPr>
          <w:p w14:paraId="666C0481"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750</w:t>
            </w:r>
          </w:p>
        </w:tc>
      </w:tr>
      <w:tr w:rsidR="000705A3" w:rsidRPr="00FF3340" w14:paraId="1328AD3B" w14:textId="77777777" w:rsidTr="002D2209">
        <w:trPr>
          <w:trHeight w:val="109"/>
          <w:jc w:val="center"/>
        </w:trPr>
        <w:tc>
          <w:tcPr>
            <w:tcW w:w="2162" w:type="dxa"/>
            <w:tcBorders>
              <w:top w:val="nil"/>
              <w:left w:val="single" w:sz="8" w:space="0" w:color="auto"/>
              <w:bottom w:val="single" w:sz="8" w:space="0" w:color="auto"/>
              <w:right w:val="single" w:sz="8" w:space="0" w:color="auto"/>
            </w:tcBorders>
            <w:shd w:val="clear" w:color="auto" w:fill="auto"/>
            <w:vAlign w:val="center"/>
            <w:hideMark/>
          </w:tcPr>
          <w:p w14:paraId="67496D31"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70 000</w:t>
            </w:r>
          </w:p>
        </w:tc>
        <w:tc>
          <w:tcPr>
            <w:tcW w:w="2773" w:type="dxa"/>
            <w:tcBorders>
              <w:top w:val="nil"/>
              <w:left w:val="nil"/>
              <w:bottom w:val="single" w:sz="8" w:space="0" w:color="auto"/>
              <w:right w:val="single" w:sz="8" w:space="0" w:color="auto"/>
            </w:tcBorders>
            <w:shd w:val="clear" w:color="auto" w:fill="auto"/>
            <w:vAlign w:val="center"/>
            <w:hideMark/>
          </w:tcPr>
          <w:p w14:paraId="06EEE0F9"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1 400</w:t>
            </w:r>
          </w:p>
        </w:tc>
        <w:tc>
          <w:tcPr>
            <w:tcW w:w="2181" w:type="dxa"/>
            <w:tcBorders>
              <w:top w:val="nil"/>
              <w:left w:val="nil"/>
              <w:bottom w:val="single" w:sz="8" w:space="0" w:color="auto"/>
              <w:right w:val="single" w:sz="8" w:space="0" w:color="auto"/>
            </w:tcBorders>
            <w:shd w:val="clear" w:color="auto" w:fill="FFFFFF" w:themeFill="background1"/>
            <w:vAlign w:val="center"/>
            <w:hideMark/>
          </w:tcPr>
          <w:p w14:paraId="153960B7"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350</w:t>
            </w:r>
          </w:p>
        </w:tc>
        <w:tc>
          <w:tcPr>
            <w:tcW w:w="1745" w:type="dxa"/>
            <w:tcBorders>
              <w:top w:val="nil"/>
              <w:left w:val="nil"/>
              <w:bottom w:val="single" w:sz="8" w:space="0" w:color="auto"/>
              <w:right w:val="single" w:sz="8" w:space="0" w:color="auto"/>
            </w:tcBorders>
            <w:shd w:val="clear" w:color="auto" w:fill="auto"/>
            <w:vAlign w:val="center"/>
            <w:hideMark/>
          </w:tcPr>
          <w:p w14:paraId="553FFF0E"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1 050</w:t>
            </w:r>
          </w:p>
        </w:tc>
      </w:tr>
      <w:tr w:rsidR="000705A3" w:rsidRPr="00FF3340" w14:paraId="705A1551" w14:textId="77777777" w:rsidTr="002D2209">
        <w:trPr>
          <w:trHeight w:val="141"/>
          <w:jc w:val="center"/>
        </w:trPr>
        <w:tc>
          <w:tcPr>
            <w:tcW w:w="2162" w:type="dxa"/>
            <w:tcBorders>
              <w:top w:val="nil"/>
              <w:left w:val="single" w:sz="8" w:space="0" w:color="auto"/>
              <w:bottom w:val="single" w:sz="8" w:space="0" w:color="auto"/>
              <w:right w:val="single" w:sz="8" w:space="0" w:color="auto"/>
            </w:tcBorders>
            <w:shd w:val="clear" w:color="auto" w:fill="auto"/>
            <w:vAlign w:val="center"/>
            <w:hideMark/>
          </w:tcPr>
          <w:p w14:paraId="1A8A6E8D"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80 000</w:t>
            </w:r>
          </w:p>
        </w:tc>
        <w:tc>
          <w:tcPr>
            <w:tcW w:w="2773" w:type="dxa"/>
            <w:tcBorders>
              <w:top w:val="nil"/>
              <w:left w:val="nil"/>
              <w:bottom w:val="single" w:sz="8" w:space="0" w:color="auto"/>
              <w:right w:val="single" w:sz="8" w:space="0" w:color="auto"/>
            </w:tcBorders>
            <w:shd w:val="clear" w:color="auto" w:fill="auto"/>
            <w:vAlign w:val="center"/>
            <w:hideMark/>
          </w:tcPr>
          <w:p w14:paraId="4BBFE0F4"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1 600</w:t>
            </w:r>
          </w:p>
        </w:tc>
        <w:tc>
          <w:tcPr>
            <w:tcW w:w="2181" w:type="dxa"/>
            <w:tcBorders>
              <w:top w:val="nil"/>
              <w:left w:val="nil"/>
              <w:bottom w:val="single" w:sz="8" w:space="0" w:color="auto"/>
              <w:right w:val="single" w:sz="8" w:space="0" w:color="auto"/>
            </w:tcBorders>
            <w:shd w:val="clear" w:color="auto" w:fill="FFFFFF" w:themeFill="background1"/>
            <w:vAlign w:val="center"/>
            <w:hideMark/>
          </w:tcPr>
          <w:p w14:paraId="1B25C04B"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400</w:t>
            </w:r>
          </w:p>
        </w:tc>
        <w:tc>
          <w:tcPr>
            <w:tcW w:w="1745" w:type="dxa"/>
            <w:tcBorders>
              <w:top w:val="nil"/>
              <w:left w:val="nil"/>
              <w:bottom w:val="single" w:sz="8" w:space="0" w:color="auto"/>
              <w:right w:val="single" w:sz="8" w:space="0" w:color="auto"/>
            </w:tcBorders>
            <w:shd w:val="clear" w:color="auto" w:fill="auto"/>
            <w:vAlign w:val="center"/>
            <w:hideMark/>
          </w:tcPr>
          <w:p w14:paraId="124EB3F2"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1 200</w:t>
            </w:r>
          </w:p>
        </w:tc>
      </w:tr>
      <w:tr w:rsidR="000705A3" w:rsidRPr="00FF3340" w14:paraId="4DB1E0F4" w14:textId="77777777" w:rsidTr="002D2209">
        <w:trPr>
          <w:trHeight w:val="188"/>
          <w:jc w:val="center"/>
        </w:trPr>
        <w:tc>
          <w:tcPr>
            <w:tcW w:w="2162" w:type="dxa"/>
            <w:tcBorders>
              <w:top w:val="nil"/>
              <w:left w:val="single" w:sz="8" w:space="0" w:color="auto"/>
              <w:bottom w:val="single" w:sz="8" w:space="0" w:color="auto"/>
              <w:right w:val="single" w:sz="8" w:space="0" w:color="auto"/>
            </w:tcBorders>
            <w:shd w:val="clear" w:color="auto" w:fill="auto"/>
            <w:vAlign w:val="center"/>
            <w:hideMark/>
          </w:tcPr>
          <w:p w14:paraId="4AF0AC6D"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90 000</w:t>
            </w:r>
          </w:p>
        </w:tc>
        <w:tc>
          <w:tcPr>
            <w:tcW w:w="2773" w:type="dxa"/>
            <w:tcBorders>
              <w:top w:val="nil"/>
              <w:left w:val="nil"/>
              <w:bottom w:val="single" w:sz="8" w:space="0" w:color="auto"/>
              <w:right w:val="single" w:sz="8" w:space="0" w:color="auto"/>
            </w:tcBorders>
            <w:shd w:val="clear" w:color="auto" w:fill="auto"/>
            <w:vAlign w:val="center"/>
            <w:hideMark/>
          </w:tcPr>
          <w:p w14:paraId="0E13AFF0"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1 800</w:t>
            </w:r>
          </w:p>
        </w:tc>
        <w:tc>
          <w:tcPr>
            <w:tcW w:w="2181" w:type="dxa"/>
            <w:tcBorders>
              <w:top w:val="nil"/>
              <w:left w:val="nil"/>
              <w:bottom w:val="single" w:sz="8" w:space="0" w:color="auto"/>
              <w:right w:val="single" w:sz="8" w:space="0" w:color="auto"/>
            </w:tcBorders>
            <w:shd w:val="clear" w:color="auto" w:fill="FFFFFF" w:themeFill="background1"/>
            <w:vAlign w:val="center"/>
            <w:hideMark/>
          </w:tcPr>
          <w:p w14:paraId="2451319A"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450</w:t>
            </w:r>
          </w:p>
        </w:tc>
        <w:tc>
          <w:tcPr>
            <w:tcW w:w="1745" w:type="dxa"/>
            <w:tcBorders>
              <w:top w:val="nil"/>
              <w:left w:val="nil"/>
              <w:bottom w:val="single" w:sz="8" w:space="0" w:color="auto"/>
              <w:right w:val="single" w:sz="8" w:space="0" w:color="auto"/>
            </w:tcBorders>
            <w:shd w:val="clear" w:color="auto" w:fill="auto"/>
            <w:vAlign w:val="center"/>
            <w:hideMark/>
          </w:tcPr>
          <w:p w14:paraId="59E8A940"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1 350</w:t>
            </w:r>
          </w:p>
        </w:tc>
      </w:tr>
      <w:tr w:rsidR="000705A3" w:rsidRPr="00FF3340" w14:paraId="40C5F1BB" w14:textId="77777777" w:rsidTr="002D2209">
        <w:trPr>
          <w:trHeight w:val="220"/>
          <w:jc w:val="center"/>
        </w:trPr>
        <w:tc>
          <w:tcPr>
            <w:tcW w:w="2162" w:type="dxa"/>
            <w:tcBorders>
              <w:top w:val="nil"/>
              <w:left w:val="single" w:sz="8" w:space="0" w:color="auto"/>
              <w:bottom w:val="single" w:sz="8" w:space="0" w:color="auto"/>
              <w:right w:val="single" w:sz="8" w:space="0" w:color="auto"/>
            </w:tcBorders>
            <w:shd w:val="clear" w:color="auto" w:fill="auto"/>
            <w:vAlign w:val="center"/>
            <w:hideMark/>
          </w:tcPr>
          <w:p w14:paraId="3C0FCF47"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100 000</w:t>
            </w:r>
          </w:p>
        </w:tc>
        <w:tc>
          <w:tcPr>
            <w:tcW w:w="2773" w:type="dxa"/>
            <w:tcBorders>
              <w:top w:val="nil"/>
              <w:left w:val="nil"/>
              <w:bottom w:val="single" w:sz="8" w:space="0" w:color="auto"/>
              <w:right w:val="single" w:sz="8" w:space="0" w:color="auto"/>
            </w:tcBorders>
            <w:shd w:val="clear" w:color="auto" w:fill="auto"/>
            <w:vAlign w:val="center"/>
            <w:hideMark/>
          </w:tcPr>
          <w:p w14:paraId="458F9A14"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2 000</w:t>
            </w:r>
          </w:p>
        </w:tc>
        <w:tc>
          <w:tcPr>
            <w:tcW w:w="2181" w:type="dxa"/>
            <w:tcBorders>
              <w:top w:val="nil"/>
              <w:left w:val="nil"/>
              <w:bottom w:val="single" w:sz="8" w:space="0" w:color="auto"/>
              <w:right w:val="single" w:sz="8" w:space="0" w:color="auto"/>
            </w:tcBorders>
            <w:shd w:val="clear" w:color="auto" w:fill="FFFFFF" w:themeFill="background1"/>
            <w:vAlign w:val="center"/>
            <w:hideMark/>
          </w:tcPr>
          <w:p w14:paraId="3116CF74"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500</w:t>
            </w:r>
          </w:p>
        </w:tc>
        <w:tc>
          <w:tcPr>
            <w:tcW w:w="1745" w:type="dxa"/>
            <w:tcBorders>
              <w:top w:val="nil"/>
              <w:left w:val="nil"/>
              <w:bottom w:val="single" w:sz="8" w:space="0" w:color="auto"/>
              <w:right w:val="single" w:sz="8" w:space="0" w:color="auto"/>
            </w:tcBorders>
            <w:shd w:val="clear" w:color="auto" w:fill="auto"/>
            <w:vAlign w:val="center"/>
            <w:hideMark/>
          </w:tcPr>
          <w:p w14:paraId="532154FB"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1 500</w:t>
            </w:r>
          </w:p>
        </w:tc>
      </w:tr>
      <w:tr w:rsidR="000705A3" w:rsidRPr="00FF3340" w14:paraId="4B895929" w14:textId="77777777" w:rsidTr="002D2209">
        <w:trPr>
          <w:trHeight w:val="238"/>
          <w:jc w:val="center"/>
        </w:trPr>
        <w:tc>
          <w:tcPr>
            <w:tcW w:w="2162" w:type="dxa"/>
            <w:tcBorders>
              <w:top w:val="nil"/>
              <w:left w:val="single" w:sz="8" w:space="0" w:color="auto"/>
              <w:bottom w:val="single" w:sz="8" w:space="0" w:color="auto"/>
              <w:right w:val="single" w:sz="8" w:space="0" w:color="auto"/>
            </w:tcBorders>
            <w:shd w:val="clear" w:color="000000" w:fill="FFFFFF"/>
            <w:vAlign w:val="center"/>
            <w:hideMark/>
          </w:tcPr>
          <w:p w14:paraId="04D776E4"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150 000</w:t>
            </w:r>
          </w:p>
        </w:tc>
        <w:tc>
          <w:tcPr>
            <w:tcW w:w="2773" w:type="dxa"/>
            <w:tcBorders>
              <w:top w:val="nil"/>
              <w:left w:val="nil"/>
              <w:bottom w:val="single" w:sz="8" w:space="0" w:color="auto"/>
              <w:right w:val="single" w:sz="8" w:space="0" w:color="auto"/>
            </w:tcBorders>
            <w:shd w:val="clear" w:color="auto" w:fill="auto"/>
            <w:vAlign w:val="center"/>
            <w:hideMark/>
          </w:tcPr>
          <w:p w14:paraId="58F8C824"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3 000</w:t>
            </w:r>
          </w:p>
        </w:tc>
        <w:tc>
          <w:tcPr>
            <w:tcW w:w="2181" w:type="dxa"/>
            <w:tcBorders>
              <w:top w:val="nil"/>
              <w:left w:val="nil"/>
              <w:bottom w:val="single" w:sz="8" w:space="0" w:color="auto"/>
              <w:right w:val="single" w:sz="8" w:space="0" w:color="auto"/>
            </w:tcBorders>
            <w:shd w:val="clear" w:color="auto" w:fill="D9D9D9" w:themeFill="background1" w:themeFillShade="D9"/>
            <w:vAlign w:val="center"/>
            <w:hideMark/>
          </w:tcPr>
          <w:p w14:paraId="5B22F993"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750</w:t>
            </w:r>
          </w:p>
        </w:tc>
        <w:tc>
          <w:tcPr>
            <w:tcW w:w="1745" w:type="dxa"/>
            <w:tcBorders>
              <w:top w:val="nil"/>
              <w:left w:val="nil"/>
              <w:bottom w:val="single" w:sz="8" w:space="0" w:color="auto"/>
              <w:right w:val="single" w:sz="8" w:space="0" w:color="auto"/>
            </w:tcBorders>
            <w:shd w:val="clear" w:color="auto" w:fill="D9D9D9" w:themeFill="background1" w:themeFillShade="D9"/>
            <w:vAlign w:val="center"/>
            <w:hideMark/>
          </w:tcPr>
          <w:p w14:paraId="67CD56D7"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2 250</w:t>
            </w:r>
          </w:p>
        </w:tc>
      </w:tr>
      <w:tr w:rsidR="000705A3" w:rsidRPr="00FF3340" w14:paraId="33CED589" w14:textId="77777777" w:rsidTr="002D2209">
        <w:trPr>
          <w:trHeight w:val="271"/>
          <w:jc w:val="center"/>
        </w:trPr>
        <w:tc>
          <w:tcPr>
            <w:tcW w:w="2162" w:type="dxa"/>
            <w:tcBorders>
              <w:top w:val="nil"/>
              <w:left w:val="single" w:sz="8" w:space="0" w:color="auto"/>
              <w:bottom w:val="single" w:sz="8" w:space="0" w:color="auto"/>
              <w:right w:val="single" w:sz="8" w:space="0" w:color="auto"/>
            </w:tcBorders>
            <w:shd w:val="clear" w:color="000000" w:fill="FFFFFF"/>
            <w:vAlign w:val="center"/>
            <w:hideMark/>
          </w:tcPr>
          <w:p w14:paraId="6F2E58AD"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200 000</w:t>
            </w:r>
          </w:p>
        </w:tc>
        <w:tc>
          <w:tcPr>
            <w:tcW w:w="2773" w:type="dxa"/>
            <w:tcBorders>
              <w:top w:val="nil"/>
              <w:left w:val="nil"/>
              <w:bottom w:val="single" w:sz="8" w:space="0" w:color="auto"/>
              <w:right w:val="single" w:sz="8" w:space="0" w:color="auto"/>
            </w:tcBorders>
            <w:shd w:val="clear" w:color="auto" w:fill="auto"/>
            <w:vAlign w:val="center"/>
            <w:hideMark/>
          </w:tcPr>
          <w:p w14:paraId="600CDC6E"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4 000</w:t>
            </w:r>
          </w:p>
        </w:tc>
        <w:tc>
          <w:tcPr>
            <w:tcW w:w="2181" w:type="dxa"/>
            <w:tcBorders>
              <w:top w:val="nil"/>
              <w:left w:val="nil"/>
              <w:bottom w:val="single" w:sz="8" w:space="0" w:color="auto"/>
              <w:right w:val="single" w:sz="8" w:space="0" w:color="auto"/>
            </w:tcBorders>
            <w:shd w:val="clear" w:color="auto" w:fill="D9D9D9" w:themeFill="background1" w:themeFillShade="D9"/>
            <w:vAlign w:val="center"/>
            <w:hideMark/>
          </w:tcPr>
          <w:p w14:paraId="68716444"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1 000</w:t>
            </w:r>
          </w:p>
        </w:tc>
        <w:tc>
          <w:tcPr>
            <w:tcW w:w="1745" w:type="dxa"/>
            <w:tcBorders>
              <w:top w:val="nil"/>
              <w:left w:val="nil"/>
              <w:bottom w:val="single" w:sz="8" w:space="0" w:color="auto"/>
              <w:right w:val="single" w:sz="8" w:space="0" w:color="auto"/>
            </w:tcBorders>
            <w:shd w:val="clear" w:color="auto" w:fill="D9D9D9" w:themeFill="background1" w:themeFillShade="D9"/>
            <w:vAlign w:val="center"/>
            <w:hideMark/>
          </w:tcPr>
          <w:p w14:paraId="61206BA7"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3 000</w:t>
            </w:r>
          </w:p>
        </w:tc>
      </w:tr>
      <w:tr w:rsidR="000705A3" w:rsidRPr="00FF3340" w14:paraId="7A338ED9" w14:textId="77777777" w:rsidTr="002D2209">
        <w:trPr>
          <w:trHeight w:val="132"/>
          <w:jc w:val="center"/>
        </w:trPr>
        <w:tc>
          <w:tcPr>
            <w:tcW w:w="2162" w:type="dxa"/>
            <w:tcBorders>
              <w:top w:val="nil"/>
              <w:left w:val="single" w:sz="8" w:space="0" w:color="auto"/>
              <w:bottom w:val="single" w:sz="8" w:space="0" w:color="auto"/>
              <w:right w:val="single" w:sz="8" w:space="0" w:color="auto"/>
            </w:tcBorders>
            <w:shd w:val="clear" w:color="000000" w:fill="FFFFFF"/>
            <w:vAlign w:val="center"/>
            <w:hideMark/>
          </w:tcPr>
          <w:p w14:paraId="20E2C9E1"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250 000</w:t>
            </w:r>
          </w:p>
        </w:tc>
        <w:tc>
          <w:tcPr>
            <w:tcW w:w="2773" w:type="dxa"/>
            <w:tcBorders>
              <w:top w:val="nil"/>
              <w:left w:val="nil"/>
              <w:bottom w:val="single" w:sz="8" w:space="0" w:color="auto"/>
              <w:right w:val="single" w:sz="8" w:space="0" w:color="auto"/>
            </w:tcBorders>
            <w:shd w:val="clear" w:color="auto" w:fill="auto"/>
            <w:vAlign w:val="center"/>
            <w:hideMark/>
          </w:tcPr>
          <w:p w14:paraId="37677FCD"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5 000</w:t>
            </w:r>
          </w:p>
        </w:tc>
        <w:tc>
          <w:tcPr>
            <w:tcW w:w="2181" w:type="dxa"/>
            <w:tcBorders>
              <w:top w:val="nil"/>
              <w:left w:val="nil"/>
              <w:bottom w:val="single" w:sz="8" w:space="0" w:color="auto"/>
              <w:right w:val="single" w:sz="8" w:space="0" w:color="auto"/>
            </w:tcBorders>
            <w:shd w:val="clear" w:color="auto" w:fill="D9D9D9" w:themeFill="background1" w:themeFillShade="D9"/>
            <w:vAlign w:val="center"/>
            <w:hideMark/>
          </w:tcPr>
          <w:p w14:paraId="189EA4C1"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1 250</w:t>
            </w:r>
          </w:p>
        </w:tc>
        <w:tc>
          <w:tcPr>
            <w:tcW w:w="1745" w:type="dxa"/>
            <w:tcBorders>
              <w:top w:val="nil"/>
              <w:left w:val="nil"/>
              <w:bottom w:val="single" w:sz="8" w:space="0" w:color="auto"/>
              <w:right w:val="single" w:sz="8" w:space="0" w:color="auto"/>
            </w:tcBorders>
            <w:shd w:val="clear" w:color="auto" w:fill="D9D9D9" w:themeFill="background1" w:themeFillShade="D9"/>
            <w:vAlign w:val="center"/>
            <w:hideMark/>
          </w:tcPr>
          <w:p w14:paraId="19234C51"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3 750</w:t>
            </w:r>
          </w:p>
        </w:tc>
      </w:tr>
      <w:tr w:rsidR="000705A3" w:rsidRPr="00FF3340" w14:paraId="07ACC52B" w14:textId="77777777" w:rsidTr="002D2209">
        <w:trPr>
          <w:trHeight w:val="164"/>
          <w:jc w:val="center"/>
        </w:trPr>
        <w:tc>
          <w:tcPr>
            <w:tcW w:w="2162" w:type="dxa"/>
            <w:tcBorders>
              <w:top w:val="nil"/>
              <w:left w:val="single" w:sz="8" w:space="0" w:color="auto"/>
              <w:bottom w:val="single" w:sz="8" w:space="0" w:color="auto"/>
              <w:right w:val="single" w:sz="8" w:space="0" w:color="auto"/>
            </w:tcBorders>
            <w:shd w:val="clear" w:color="000000" w:fill="FFFFFF"/>
            <w:vAlign w:val="center"/>
            <w:hideMark/>
          </w:tcPr>
          <w:p w14:paraId="26FC095A" w14:textId="77777777" w:rsidR="000705A3" w:rsidRPr="00FF3340" w:rsidRDefault="000705A3" w:rsidP="002D2209">
            <w:pPr>
              <w:jc w:val="right"/>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300 000</w:t>
            </w:r>
          </w:p>
        </w:tc>
        <w:tc>
          <w:tcPr>
            <w:tcW w:w="2773" w:type="dxa"/>
            <w:tcBorders>
              <w:top w:val="nil"/>
              <w:left w:val="nil"/>
              <w:bottom w:val="single" w:sz="8" w:space="0" w:color="auto"/>
              <w:right w:val="single" w:sz="8" w:space="0" w:color="auto"/>
            </w:tcBorders>
            <w:shd w:val="clear" w:color="auto" w:fill="auto"/>
            <w:vAlign w:val="center"/>
            <w:hideMark/>
          </w:tcPr>
          <w:p w14:paraId="2DFF988A"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6 000</w:t>
            </w:r>
          </w:p>
        </w:tc>
        <w:tc>
          <w:tcPr>
            <w:tcW w:w="2181" w:type="dxa"/>
            <w:tcBorders>
              <w:top w:val="nil"/>
              <w:left w:val="nil"/>
              <w:bottom w:val="single" w:sz="8" w:space="0" w:color="auto"/>
              <w:right w:val="single" w:sz="8" w:space="0" w:color="auto"/>
            </w:tcBorders>
            <w:shd w:val="clear" w:color="auto" w:fill="D9D9D9" w:themeFill="background1" w:themeFillShade="D9"/>
            <w:vAlign w:val="center"/>
            <w:hideMark/>
          </w:tcPr>
          <w:p w14:paraId="418BAD9D"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1 500</w:t>
            </w:r>
          </w:p>
        </w:tc>
        <w:tc>
          <w:tcPr>
            <w:tcW w:w="1745" w:type="dxa"/>
            <w:tcBorders>
              <w:top w:val="nil"/>
              <w:left w:val="nil"/>
              <w:bottom w:val="single" w:sz="8" w:space="0" w:color="auto"/>
              <w:right w:val="single" w:sz="8" w:space="0" w:color="auto"/>
            </w:tcBorders>
            <w:shd w:val="clear" w:color="auto" w:fill="D9D9D9" w:themeFill="background1" w:themeFillShade="D9"/>
            <w:vAlign w:val="center"/>
            <w:hideMark/>
          </w:tcPr>
          <w:p w14:paraId="269044D1" w14:textId="77777777" w:rsidR="000705A3" w:rsidRPr="00FF3340" w:rsidRDefault="000705A3" w:rsidP="002D2209">
            <w:pPr>
              <w:jc w:val="right"/>
              <w:rPr>
                <w:rFonts w:eastAsia="Times New Roman" w:cs="Times New Roman"/>
                <w:color w:val="000000"/>
                <w:sz w:val="20"/>
                <w:szCs w:val="20"/>
                <w:lang w:eastAsia="lv-LV"/>
              </w:rPr>
            </w:pPr>
            <w:r w:rsidRPr="00FF3340">
              <w:rPr>
                <w:rFonts w:eastAsia="Times New Roman" w:cs="Times New Roman"/>
                <w:color w:val="000000"/>
                <w:sz w:val="20"/>
                <w:szCs w:val="20"/>
                <w:lang w:eastAsia="lv-LV"/>
              </w:rPr>
              <w:t>4 500</w:t>
            </w:r>
          </w:p>
        </w:tc>
      </w:tr>
    </w:tbl>
    <w:p w14:paraId="0A14C1CA" w14:textId="75E07484" w:rsidR="000705A3" w:rsidRPr="0097585B" w:rsidRDefault="000705A3" w:rsidP="000705A3">
      <w:pPr>
        <w:pStyle w:val="ListParagraph"/>
        <w:tabs>
          <w:tab w:val="left" w:pos="284"/>
        </w:tabs>
        <w:jc w:val="right"/>
        <w:rPr>
          <w:rFonts w:ascii="Times New Roman" w:hAnsi="Times New Roman"/>
          <w:bCs/>
          <w:color w:val="000000" w:themeColor="text1"/>
          <w:sz w:val="20"/>
          <w:szCs w:val="20"/>
        </w:rPr>
      </w:pPr>
      <w:r w:rsidRPr="0097585B">
        <w:rPr>
          <w:rFonts w:ascii="Times New Roman" w:hAnsi="Times New Roman"/>
          <w:bCs/>
          <w:color w:val="000000" w:themeColor="text1"/>
          <w:sz w:val="20"/>
          <w:szCs w:val="20"/>
        </w:rPr>
        <w:t>Tabula Nr.</w:t>
      </w:r>
      <w:r w:rsidR="00843F9B">
        <w:rPr>
          <w:rFonts w:ascii="Times New Roman" w:hAnsi="Times New Roman"/>
          <w:bCs/>
          <w:color w:val="000000" w:themeColor="text1"/>
          <w:sz w:val="20"/>
          <w:szCs w:val="20"/>
        </w:rPr>
        <w:t>1</w:t>
      </w:r>
    </w:p>
    <w:p w14:paraId="0A8F0884" w14:textId="77777777" w:rsidR="000705A3" w:rsidRDefault="000705A3" w:rsidP="000705A3">
      <w:pPr>
        <w:shd w:val="clear" w:color="auto" w:fill="FFFFFF"/>
        <w:jc w:val="right"/>
        <w:rPr>
          <w:color w:val="000000" w:themeColor="text1"/>
          <w:sz w:val="20"/>
          <w:szCs w:val="20"/>
          <w:shd w:val="clear" w:color="auto" w:fill="FEFEFE"/>
        </w:rPr>
      </w:pPr>
      <w:r w:rsidRPr="0097585B">
        <w:rPr>
          <w:color w:val="000000" w:themeColor="text1"/>
          <w:sz w:val="20"/>
          <w:szCs w:val="20"/>
        </w:rPr>
        <w:t xml:space="preserve">Avots: </w:t>
      </w:r>
      <w:r w:rsidRPr="0097585B">
        <w:rPr>
          <w:color w:val="000000" w:themeColor="text1"/>
          <w:sz w:val="20"/>
          <w:szCs w:val="20"/>
          <w:shd w:val="clear" w:color="auto" w:fill="FEFEFE"/>
        </w:rPr>
        <w:t>Ekonomikas ministrijas veiktie aprēķini</w:t>
      </w:r>
    </w:p>
    <w:p w14:paraId="2566AD5B" w14:textId="77777777" w:rsidR="000705A3" w:rsidRDefault="000705A3" w:rsidP="000705A3">
      <w:pPr>
        <w:shd w:val="clear" w:color="auto" w:fill="FFFFFF"/>
        <w:jc w:val="right"/>
        <w:rPr>
          <w:color w:val="000000" w:themeColor="text1"/>
          <w:sz w:val="20"/>
          <w:szCs w:val="20"/>
          <w:shd w:val="clear" w:color="auto" w:fill="FEFEFE"/>
        </w:rPr>
      </w:pPr>
    </w:p>
    <w:p w14:paraId="149A6244" w14:textId="77777777" w:rsidR="000705A3" w:rsidRDefault="000705A3" w:rsidP="000705A3">
      <w:pPr>
        <w:shd w:val="clear" w:color="auto" w:fill="FFFFFF"/>
        <w:jc w:val="right"/>
        <w:rPr>
          <w:b/>
          <w:sz w:val="24"/>
          <w:szCs w:val="24"/>
        </w:rPr>
      </w:pPr>
    </w:p>
    <w:p w14:paraId="01B880BB" w14:textId="77777777" w:rsidR="000705A3" w:rsidRDefault="000705A3" w:rsidP="000705A3">
      <w:pPr>
        <w:shd w:val="clear" w:color="auto" w:fill="FFFFFF"/>
        <w:jc w:val="right"/>
        <w:rPr>
          <w:b/>
          <w:sz w:val="24"/>
          <w:szCs w:val="24"/>
        </w:rPr>
      </w:pPr>
    </w:p>
    <w:p w14:paraId="7BF431B7" w14:textId="2C4670EB" w:rsidR="000705A3" w:rsidRDefault="000705A3" w:rsidP="000705A3">
      <w:pPr>
        <w:shd w:val="clear" w:color="auto" w:fill="FFFFFF"/>
        <w:jc w:val="right"/>
        <w:rPr>
          <w:b/>
          <w:sz w:val="24"/>
          <w:szCs w:val="24"/>
        </w:rPr>
      </w:pPr>
      <w:r w:rsidRPr="00FF3340">
        <w:rPr>
          <w:b/>
          <w:sz w:val="24"/>
          <w:szCs w:val="24"/>
        </w:rPr>
        <w:t>Pārskats par valsts nodevas apmē</w:t>
      </w:r>
      <w:r>
        <w:rPr>
          <w:b/>
          <w:sz w:val="24"/>
          <w:szCs w:val="24"/>
        </w:rPr>
        <w:t>ru grozījumu veikšanas gadījumā, ja tiks veikti grozījumi attiecībā uz valsts nodevu</w:t>
      </w:r>
      <w:r w:rsidRPr="00FF3340">
        <w:rPr>
          <w:b/>
          <w:sz w:val="24"/>
          <w:szCs w:val="24"/>
        </w:rPr>
        <w:t xml:space="preserve"> </w:t>
      </w:r>
      <w:r w:rsidRPr="00BC3AF9">
        <w:rPr>
          <w:b/>
          <w:sz w:val="24"/>
          <w:szCs w:val="24"/>
        </w:rPr>
        <w:t>par īpašuma tiesību nostiprināšanu zemesgrāmatā</w:t>
      </w:r>
    </w:p>
    <w:tbl>
      <w:tblPr>
        <w:tblW w:w="9062" w:type="dxa"/>
        <w:jc w:val="center"/>
        <w:tblLayout w:type="fixed"/>
        <w:tblLook w:val="04A0" w:firstRow="1" w:lastRow="0" w:firstColumn="1" w:lastColumn="0" w:noHBand="0" w:noVBand="1"/>
      </w:tblPr>
      <w:tblGrid>
        <w:gridCol w:w="1408"/>
        <w:gridCol w:w="2792"/>
        <w:gridCol w:w="1914"/>
        <w:gridCol w:w="1914"/>
        <w:gridCol w:w="1034"/>
      </w:tblGrid>
      <w:tr w:rsidR="000705A3" w:rsidRPr="00FF3340" w14:paraId="51843607" w14:textId="77777777" w:rsidTr="002D2209">
        <w:trPr>
          <w:trHeight w:val="1470"/>
          <w:jc w:val="center"/>
        </w:trPr>
        <w:tc>
          <w:tcPr>
            <w:tcW w:w="140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22445AB"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 xml:space="preserve">Nekustamā īpašuma vērtība </w:t>
            </w:r>
            <w:r w:rsidRPr="00FF3340">
              <w:rPr>
                <w:rFonts w:eastAsia="Times New Roman" w:cs="Times New Roman"/>
                <w:i/>
                <w:iCs/>
                <w:color w:val="000000"/>
                <w:sz w:val="20"/>
                <w:szCs w:val="20"/>
                <w:lang w:eastAsia="lv-LV"/>
              </w:rPr>
              <w:t>(</w:t>
            </w:r>
            <w:proofErr w:type="spellStart"/>
            <w:r w:rsidRPr="00FF3340">
              <w:rPr>
                <w:rFonts w:eastAsia="Times New Roman" w:cs="Times New Roman"/>
                <w:i/>
                <w:iCs/>
                <w:color w:val="000000"/>
                <w:sz w:val="20"/>
                <w:szCs w:val="20"/>
                <w:lang w:eastAsia="lv-LV"/>
              </w:rPr>
              <w:t>euro</w:t>
            </w:r>
            <w:proofErr w:type="spellEnd"/>
            <w:r w:rsidRPr="00FF3340">
              <w:rPr>
                <w:rFonts w:eastAsia="Times New Roman" w:cs="Times New Roman"/>
                <w:i/>
                <w:iCs/>
                <w:color w:val="000000"/>
                <w:sz w:val="20"/>
                <w:szCs w:val="20"/>
                <w:lang w:eastAsia="lv-LV"/>
              </w:rPr>
              <w:t>)</w:t>
            </w:r>
          </w:p>
        </w:tc>
        <w:tc>
          <w:tcPr>
            <w:tcW w:w="2792" w:type="dxa"/>
            <w:tcBorders>
              <w:top w:val="single" w:sz="8" w:space="0" w:color="auto"/>
              <w:left w:val="single" w:sz="8" w:space="0" w:color="auto"/>
              <w:bottom w:val="single" w:sz="8" w:space="0" w:color="000000"/>
              <w:right w:val="single" w:sz="8" w:space="0" w:color="auto"/>
            </w:tcBorders>
            <w:shd w:val="clear" w:color="auto" w:fill="auto"/>
            <w:vAlign w:val="center"/>
          </w:tcPr>
          <w:p w14:paraId="2491ABA1"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 xml:space="preserve">Valsts nodeva par īpašuma tiesību nostiprināšanu zemesgrāmatā </w:t>
            </w:r>
            <w:r w:rsidRPr="00FF3340">
              <w:rPr>
                <w:rFonts w:eastAsia="Times New Roman" w:cs="Times New Roman"/>
                <w:b/>
                <w:bCs/>
                <w:color w:val="000000"/>
                <w:sz w:val="20"/>
                <w:szCs w:val="20"/>
                <w:u w:val="single"/>
                <w:lang w:eastAsia="lv-LV"/>
              </w:rPr>
              <w:t xml:space="preserve">bez </w:t>
            </w:r>
            <w:r w:rsidRPr="00FF3340">
              <w:rPr>
                <w:rFonts w:eastAsia="Times New Roman" w:cs="Times New Roman"/>
                <w:b/>
                <w:bCs/>
                <w:color w:val="000000"/>
                <w:sz w:val="20"/>
                <w:szCs w:val="20"/>
                <w:lang w:eastAsia="lv-LV"/>
              </w:rPr>
              <w:t xml:space="preserve">mājokļu atbalsta programmas – 2% </w:t>
            </w:r>
            <w:r w:rsidRPr="00FF3340">
              <w:rPr>
                <w:rFonts w:eastAsia="Times New Roman" w:cs="Times New Roman"/>
                <w:i/>
                <w:iCs/>
                <w:color w:val="000000"/>
                <w:sz w:val="20"/>
                <w:szCs w:val="20"/>
                <w:lang w:eastAsia="lv-LV"/>
              </w:rPr>
              <w:t>(</w:t>
            </w:r>
            <w:proofErr w:type="spellStart"/>
            <w:r w:rsidRPr="00FF3340">
              <w:rPr>
                <w:rFonts w:eastAsia="Times New Roman" w:cs="Times New Roman"/>
                <w:i/>
                <w:iCs/>
                <w:color w:val="000000"/>
                <w:sz w:val="20"/>
                <w:szCs w:val="20"/>
                <w:lang w:eastAsia="lv-LV"/>
              </w:rPr>
              <w:t>euro</w:t>
            </w:r>
            <w:proofErr w:type="spellEnd"/>
            <w:r w:rsidRPr="00FF3340">
              <w:rPr>
                <w:rFonts w:eastAsia="Times New Roman" w:cs="Times New Roman"/>
                <w:i/>
                <w:iCs/>
                <w:color w:val="000000"/>
                <w:sz w:val="20"/>
                <w:szCs w:val="20"/>
                <w:lang w:eastAsia="lv-LV"/>
              </w:rPr>
              <w:t>)</w:t>
            </w:r>
          </w:p>
        </w:tc>
        <w:tc>
          <w:tcPr>
            <w:tcW w:w="1914" w:type="dxa"/>
            <w:tcBorders>
              <w:top w:val="single" w:sz="8" w:space="0" w:color="auto"/>
              <w:left w:val="single" w:sz="8" w:space="0" w:color="auto"/>
              <w:bottom w:val="single" w:sz="4" w:space="0" w:color="auto"/>
              <w:right w:val="single" w:sz="4" w:space="0" w:color="auto"/>
            </w:tcBorders>
          </w:tcPr>
          <w:p w14:paraId="037218A8" w14:textId="77777777" w:rsidR="000705A3" w:rsidRDefault="000705A3" w:rsidP="002D2209">
            <w:pPr>
              <w:jc w:val="center"/>
              <w:rPr>
                <w:rFonts w:eastAsia="Times New Roman" w:cs="Times New Roman"/>
                <w:b/>
                <w:bCs/>
                <w:color w:val="000000"/>
                <w:sz w:val="20"/>
                <w:szCs w:val="20"/>
                <w:lang w:eastAsia="lv-LV"/>
              </w:rPr>
            </w:pPr>
          </w:p>
          <w:p w14:paraId="4B289E5A" w14:textId="77777777" w:rsidR="000705A3" w:rsidRPr="00FF3340" w:rsidRDefault="000705A3" w:rsidP="002D2209">
            <w:pPr>
              <w:jc w:val="center"/>
              <w:rPr>
                <w:rFonts w:eastAsia="Times New Roman" w:cs="Times New Roman"/>
                <w:b/>
                <w:bCs/>
                <w:color w:val="000000"/>
                <w:sz w:val="20"/>
                <w:szCs w:val="20"/>
                <w:lang w:eastAsia="lv-LV"/>
              </w:rPr>
            </w:pPr>
            <w:r>
              <w:rPr>
                <w:rFonts w:eastAsia="Times New Roman" w:cs="Times New Roman"/>
                <w:b/>
                <w:bCs/>
                <w:color w:val="000000"/>
                <w:sz w:val="20"/>
                <w:szCs w:val="20"/>
                <w:lang w:eastAsia="lv-LV"/>
              </w:rPr>
              <w:t>Valsts nodevas apmēra noteikšanas kārtība</w:t>
            </w:r>
          </w:p>
        </w:tc>
        <w:tc>
          <w:tcPr>
            <w:tcW w:w="1914"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704FBACF"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 xml:space="preserve">Valsts nodeva par īpašuma tiesību nostiprināšanu zemesgrāmatā </w:t>
            </w:r>
            <w:r w:rsidRPr="00FF3340">
              <w:rPr>
                <w:rFonts w:eastAsia="Times New Roman" w:cs="Times New Roman"/>
                <w:b/>
                <w:bCs/>
                <w:color w:val="000000"/>
                <w:sz w:val="20"/>
                <w:szCs w:val="20"/>
                <w:u w:val="single"/>
                <w:lang w:eastAsia="lv-LV"/>
              </w:rPr>
              <w:t xml:space="preserve">ar </w:t>
            </w:r>
            <w:r w:rsidRPr="00FF3340">
              <w:rPr>
                <w:rFonts w:eastAsia="Times New Roman" w:cs="Times New Roman"/>
                <w:b/>
                <w:bCs/>
                <w:color w:val="000000"/>
                <w:sz w:val="20"/>
                <w:szCs w:val="20"/>
                <w:lang w:eastAsia="lv-LV"/>
              </w:rPr>
              <w:t xml:space="preserve">mājokļu atbalsta programmu – 0.5% </w:t>
            </w:r>
            <w:r w:rsidRPr="00FF3340">
              <w:rPr>
                <w:rFonts w:eastAsia="Times New Roman" w:cs="Times New Roman"/>
                <w:color w:val="000000"/>
                <w:sz w:val="20"/>
                <w:szCs w:val="20"/>
                <w:lang w:eastAsia="lv-LV"/>
              </w:rPr>
              <w:t>(</w:t>
            </w:r>
            <w:proofErr w:type="spellStart"/>
            <w:r w:rsidRPr="00FF3340">
              <w:rPr>
                <w:rFonts w:eastAsia="Times New Roman" w:cs="Times New Roman"/>
                <w:i/>
                <w:iCs/>
                <w:color w:val="000000"/>
                <w:sz w:val="20"/>
                <w:szCs w:val="20"/>
                <w:lang w:eastAsia="lv-LV"/>
              </w:rPr>
              <w:t>euro</w:t>
            </w:r>
            <w:proofErr w:type="spellEnd"/>
            <w:r w:rsidRPr="00FF3340">
              <w:rPr>
                <w:rFonts w:eastAsia="Times New Roman" w:cs="Times New Roman"/>
                <w:i/>
                <w:iCs/>
                <w:color w:val="000000"/>
                <w:sz w:val="20"/>
                <w:szCs w:val="20"/>
                <w:lang w:eastAsia="lv-LV"/>
              </w:rPr>
              <w:t>)</w:t>
            </w:r>
          </w:p>
        </w:tc>
        <w:tc>
          <w:tcPr>
            <w:tcW w:w="103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DBE886B"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 xml:space="preserve">Starpība - atlaide </w:t>
            </w:r>
            <w:r w:rsidRPr="00FF3340">
              <w:rPr>
                <w:rFonts w:eastAsia="Times New Roman" w:cs="Times New Roman"/>
                <w:i/>
                <w:iCs/>
                <w:color w:val="000000"/>
                <w:sz w:val="20"/>
                <w:szCs w:val="20"/>
                <w:lang w:eastAsia="lv-LV"/>
              </w:rPr>
              <w:t>(</w:t>
            </w:r>
            <w:proofErr w:type="spellStart"/>
            <w:r w:rsidRPr="00FF3340">
              <w:rPr>
                <w:rFonts w:eastAsia="Times New Roman" w:cs="Times New Roman"/>
                <w:i/>
                <w:iCs/>
                <w:color w:val="000000"/>
                <w:sz w:val="20"/>
                <w:szCs w:val="20"/>
                <w:lang w:eastAsia="lv-LV"/>
              </w:rPr>
              <w:t>euro</w:t>
            </w:r>
            <w:proofErr w:type="spellEnd"/>
            <w:r w:rsidRPr="00FF3340">
              <w:rPr>
                <w:rFonts w:eastAsia="Times New Roman" w:cs="Times New Roman"/>
                <w:i/>
                <w:iCs/>
                <w:color w:val="000000"/>
                <w:sz w:val="20"/>
                <w:szCs w:val="20"/>
                <w:lang w:eastAsia="lv-LV"/>
              </w:rPr>
              <w:t>)</w:t>
            </w:r>
          </w:p>
        </w:tc>
      </w:tr>
      <w:tr w:rsidR="000705A3" w:rsidRPr="00FF3340" w14:paraId="44A10964" w14:textId="77777777" w:rsidTr="002D2209">
        <w:trPr>
          <w:trHeight w:val="163"/>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8199D7B"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30 000</w:t>
            </w:r>
          </w:p>
        </w:tc>
        <w:tc>
          <w:tcPr>
            <w:tcW w:w="2792" w:type="dxa"/>
            <w:tcBorders>
              <w:top w:val="nil"/>
              <w:left w:val="nil"/>
              <w:bottom w:val="single" w:sz="8" w:space="0" w:color="auto"/>
              <w:right w:val="single" w:sz="8" w:space="0" w:color="auto"/>
            </w:tcBorders>
            <w:shd w:val="clear" w:color="auto" w:fill="auto"/>
            <w:vAlign w:val="center"/>
            <w:hideMark/>
          </w:tcPr>
          <w:p w14:paraId="69BB69F2"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600</w:t>
            </w:r>
          </w:p>
        </w:tc>
        <w:tc>
          <w:tcPr>
            <w:tcW w:w="1914" w:type="dxa"/>
            <w:vMerge w:val="restart"/>
            <w:tcBorders>
              <w:top w:val="single" w:sz="4" w:space="0" w:color="auto"/>
              <w:left w:val="nil"/>
              <w:right w:val="single" w:sz="4" w:space="0" w:color="auto"/>
            </w:tcBorders>
          </w:tcPr>
          <w:p w14:paraId="55DC6931" w14:textId="77777777" w:rsidR="000705A3" w:rsidRPr="005F5D9F" w:rsidRDefault="000705A3" w:rsidP="002D2209">
            <w:pPr>
              <w:jc w:val="center"/>
              <w:rPr>
                <w:rFonts w:eastAsia="Times New Roman" w:cs="Times New Roman"/>
                <w:b/>
                <w:color w:val="000000"/>
                <w:sz w:val="20"/>
                <w:szCs w:val="20"/>
                <w:lang w:eastAsia="lv-LV"/>
              </w:rPr>
            </w:pPr>
            <w:r w:rsidRPr="005F5D9F">
              <w:rPr>
                <w:rFonts w:cs="Times New Roman"/>
                <w:b/>
                <w:color w:val="000000"/>
                <w:sz w:val="20"/>
                <w:szCs w:val="20"/>
                <w:shd w:val="clear" w:color="auto" w:fill="FFFFFF"/>
              </w:rPr>
              <w:t>0,5 % apmērā no nekustamā īpašuma vērtības</w:t>
            </w:r>
          </w:p>
        </w:tc>
        <w:tc>
          <w:tcPr>
            <w:tcW w:w="1914" w:type="dxa"/>
            <w:tcBorders>
              <w:top w:val="nil"/>
              <w:left w:val="single" w:sz="4" w:space="0" w:color="auto"/>
              <w:bottom w:val="single" w:sz="8" w:space="0" w:color="auto"/>
              <w:right w:val="single" w:sz="8" w:space="0" w:color="auto"/>
            </w:tcBorders>
            <w:shd w:val="clear" w:color="auto" w:fill="auto"/>
            <w:vAlign w:val="center"/>
            <w:hideMark/>
          </w:tcPr>
          <w:p w14:paraId="03BC5572" w14:textId="77777777" w:rsidR="000705A3" w:rsidRPr="005F5D9F" w:rsidRDefault="000705A3" w:rsidP="002D2209">
            <w:pPr>
              <w:jc w:val="center"/>
              <w:rPr>
                <w:rFonts w:eastAsia="Times New Roman" w:cs="Times New Roman"/>
                <w:color w:val="000000"/>
                <w:sz w:val="20"/>
                <w:szCs w:val="20"/>
                <w:lang w:eastAsia="lv-LV"/>
              </w:rPr>
            </w:pPr>
            <w:r w:rsidRPr="005F5D9F">
              <w:rPr>
                <w:rFonts w:eastAsia="Times New Roman" w:cs="Times New Roman"/>
                <w:color w:val="000000"/>
                <w:sz w:val="20"/>
                <w:szCs w:val="20"/>
                <w:lang w:eastAsia="lv-LV"/>
              </w:rPr>
              <w:t>150</w:t>
            </w:r>
          </w:p>
        </w:tc>
        <w:tc>
          <w:tcPr>
            <w:tcW w:w="1034" w:type="dxa"/>
            <w:tcBorders>
              <w:top w:val="nil"/>
              <w:left w:val="nil"/>
              <w:bottom w:val="single" w:sz="8" w:space="0" w:color="auto"/>
              <w:right w:val="single" w:sz="8" w:space="0" w:color="auto"/>
            </w:tcBorders>
            <w:shd w:val="clear" w:color="auto" w:fill="auto"/>
            <w:vAlign w:val="center"/>
            <w:hideMark/>
          </w:tcPr>
          <w:p w14:paraId="6B26A551"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450</w:t>
            </w:r>
          </w:p>
        </w:tc>
      </w:tr>
      <w:tr w:rsidR="000705A3" w:rsidRPr="00FF3340" w14:paraId="6E3387B4" w14:textId="77777777" w:rsidTr="002D2209">
        <w:trPr>
          <w:trHeight w:val="194"/>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70F209A2"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40 000</w:t>
            </w:r>
          </w:p>
        </w:tc>
        <w:tc>
          <w:tcPr>
            <w:tcW w:w="2792" w:type="dxa"/>
            <w:tcBorders>
              <w:top w:val="nil"/>
              <w:left w:val="nil"/>
              <w:bottom w:val="single" w:sz="8" w:space="0" w:color="auto"/>
              <w:right w:val="single" w:sz="8" w:space="0" w:color="auto"/>
            </w:tcBorders>
            <w:shd w:val="clear" w:color="auto" w:fill="auto"/>
            <w:vAlign w:val="center"/>
            <w:hideMark/>
          </w:tcPr>
          <w:p w14:paraId="1068708F"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800</w:t>
            </w:r>
          </w:p>
        </w:tc>
        <w:tc>
          <w:tcPr>
            <w:tcW w:w="1914" w:type="dxa"/>
            <w:vMerge/>
            <w:tcBorders>
              <w:left w:val="nil"/>
              <w:right w:val="single" w:sz="4" w:space="0" w:color="auto"/>
            </w:tcBorders>
          </w:tcPr>
          <w:p w14:paraId="11B2D639" w14:textId="77777777" w:rsidR="000705A3" w:rsidRPr="005F5D9F"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auto"/>
            <w:vAlign w:val="center"/>
            <w:hideMark/>
          </w:tcPr>
          <w:p w14:paraId="14D10BFF" w14:textId="77777777" w:rsidR="000705A3" w:rsidRPr="005F5D9F" w:rsidRDefault="000705A3" w:rsidP="002D2209">
            <w:pPr>
              <w:jc w:val="center"/>
              <w:rPr>
                <w:rFonts w:eastAsia="Times New Roman" w:cs="Times New Roman"/>
                <w:color w:val="000000"/>
                <w:sz w:val="20"/>
                <w:szCs w:val="20"/>
                <w:lang w:eastAsia="lv-LV"/>
              </w:rPr>
            </w:pPr>
            <w:r w:rsidRPr="005F5D9F">
              <w:rPr>
                <w:rFonts w:eastAsia="Times New Roman" w:cs="Times New Roman"/>
                <w:color w:val="000000"/>
                <w:sz w:val="20"/>
                <w:szCs w:val="20"/>
                <w:lang w:eastAsia="lv-LV"/>
              </w:rPr>
              <w:t>200</w:t>
            </w:r>
          </w:p>
        </w:tc>
        <w:tc>
          <w:tcPr>
            <w:tcW w:w="1034" w:type="dxa"/>
            <w:tcBorders>
              <w:top w:val="nil"/>
              <w:left w:val="nil"/>
              <w:bottom w:val="single" w:sz="8" w:space="0" w:color="auto"/>
              <w:right w:val="single" w:sz="8" w:space="0" w:color="auto"/>
            </w:tcBorders>
            <w:shd w:val="clear" w:color="auto" w:fill="auto"/>
            <w:vAlign w:val="center"/>
            <w:hideMark/>
          </w:tcPr>
          <w:p w14:paraId="32C5ED76"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600</w:t>
            </w:r>
          </w:p>
        </w:tc>
      </w:tr>
      <w:tr w:rsidR="000705A3" w:rsidRPr="00FF3340" w14:paraId="52CA44B1" w14:textId="77777777" w:rsidTr="002D2209">
        <w:trPr>
          <w:trHeight w:val="238"/>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49E9FB4D"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50 000</w:t>
            </w:r>
          </w:p>
        </w:tc>
        <w:tc>
          <w:tcPr>
            <w:tcW w:w="2792" w:type="dxa"/>
            <w:tcBorders>
              <w:top w:val="nil"/>
              <w:left w:val="nil"/>
              <w:bottom w:val="single" w:sz="8" w:space="0" w:color="auto"/>
              <w:right w:val="single" w:sz="8" w:space="0" w:color="auto"/>
            </w:tcBorders>
            <w:shd w:val="clear" w:color="auto" w:fill="auto"/>
            <w:vAlign w:val="center"/>
            <w:hideMark/>
          </w:tcPr>
          <w:p w14:paraId="305A9D01"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1 000</w:t>
            </w:r>
          </w:p>
        </w:tc>
        <w:tc>
          <w:tcPr>
            <w:tcW w:w="1914" w:type="dxa"/>
            <w:vMerge/>
            <w:tcBorders>
              <w:left w:val="nil"/>
              <w:right w:val="single" w:sz="4" w:space="0" w:color="auto"/>
            </w:tcBorders>
          </w:tcPr>
          <w:p w14:paraId="1F45F5A6" w14:textId="77777777" w:rsidR="000705A3" w:rsidRPr="005F5D9F"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auto"/>
            <w:vAlign w:val="center"/>
            <w:hideMark/>
          </w:tcPr>
          <w:p w14:paraId="59EDA351" w14:textId="77777777" w:rsidR="000705A3" w:rsidRPr="005F5D9F" w:rsidRDefault="000705A3" w:rsidP="002D2209">
            <w:pPr>
              <w:jc w:val="center"/>
              <w:rPr>
                <w:rFonts w:eastAsia="Times New Roman" w:cs="Times New Roman"/>
                <w:color w:val="000000"/>
                <w:sz w:val="20"/>
                <w:szCs w:val="20"/>
                <w:lang w:eastAsia="lv-LV"/>
              </w:rPr>
            </w:pPr>
            <w:r w:rsidRPr="005F5D9F">
              <w:rPr>
                <w:rFonts w:eastAsia="Times New Roman" w:cs="Times New Roman"/>
                <w:color w:val="000000"/>
                <w:sz w:val="20"/>
                <w:szCs w:val="20"/>
                <w:lang w:eastAsia="lv-LV"/>
              </w:rPr>
              <w:t>250</w:t>
            </w:r>
          </w:p>
        </w:tc>
        <w:tc>
          <w:tcPr>
            <w:tcW w:w="1034" w:type="dxa"/>
            <w:tcBorders>
              <w:top w:val="nil"/>
              <w:left w:val="nil"/>
              <w:bottom w:val="single" w:sz="8" w:space="0" w:color="auto"/>
              <w:right w:val="single" w:sz="8" w:space="0" w:color="auto"/>
            </w:tcBorders>
            <w:shd w:val="clear" w:color="auto" w:fill="auto"/>
            <w:vAlign w:val="center"/>
            <w:hideMark/>
          </w:tcPr>
          <w:p w14:paraId="0C9F353E"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750</w:t>
            </w:r>
          </w:p>
        </w:tc>
      </w:tr>
      <w:tr w:rsidR="000705A3" w:rsidRPr="00FF3340" w14:paraId="59EC3B22" w14:textId="77777777" w:rsidTr="002D2209">
        <w:trPr>
          <w:trHeight w:val="10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4BA2AD8"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70 000</w:t>
            </w:r>
          </w:p>
        </w:tc>
        <w:tc>
          <w:tcPr>
            <w:tcW w:w="2792" w:type="dxa"/>
            <w:tcBorders>
              <w:top w:val="nil"/>
              <w:left w:val="nil"/>
              <w:bottom w:val="single" w:sz="8" w:space="0" w:color="auto"/>
              <w:right w:val="single" w:sz="8" w:space="0" w:color="auto"/>
            </w:tcBorders>
            <w:shd w:val="clear" w:color="auto" w:fill="auto"/>
            <w:vAlign w:val="center"/>
            <w:hideMark/>
          </w:tcPr>
          <w:p w14:paraId="650A7390"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1 400</w:t>
            </w:r>
          </w:p>
        </w:tc>
        <w:tc>
          <w:tcPr>
            <w:tcW w:w="1914" w:type="dxa"/>
            <w:vMerge/>
            <w:tcBorders>
              <w:left w:val="nil"/>
              <w:right w:val="single" w:sz="4" w:space="0" w:color="auto"/>
            </w:tcBorders>
          </w:tcPr>
          <w:p w14:paraId="5D004602" w14:textId="77777777" w:rsidR="000705A3" w:rsidRPr="005F5D9F"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auto"/>
            <w:vAlign w:val="center"/>
            <w:hideMark/>
          </w:tcPr>
          <w:p w14:paraId="6E8AADBD" w14:textId="77777777" w:rsidR="000705A3" w:rsidRPr="005F5D9F" w:rsidRDefault="000705A3" w:rsidP="002D2209">
            <w:pPr>
              <w:jc w:val="center"/>
              <w:rPr>
                <w:rFonts w:eastAsia="Times New Roman" w:cs="Times New Roman"/>
                <w:color w:val="000000"/>
                <w:sz w:val="20"/>
                <w:szCs w:val="20"/>
                <w:lang w:eastAsia="lv-LV"/>
              </w:rPr>
            </w:pPr>
            <w:r w:rsidRPr="005F5D9F">
              <w:rPr>
                <w:rFonts w:eastAsia="Times New Roman" w:cs="Times New Roman"/>
                <w:color w:val="000000"/>
                <w:sz w:val="20"/>
                <w:szCs w:val="20"/>
                <w:lang w:eastAsia="lv-LV"/>
              </w:rPr>
              <w:t>350</w:t>
            </w:r>
          </w:p>
        </w:tc>
        <w:tc>
          <w:tcPr>
            <w:tcW w:w="1034" w:type="dxa"/>
            <w:tcBorders>
              <w:top w:val="nil"/>
              <w:left w:val="nil"/>
              <w:bottom w:val="single" w:sz="8" w:space="0" w:color="auto"/>
              <w:right w:val="single" w:sz="8" w:space="0" w:color="auto"/>
            </w:tcBorders>
            <w:shd w:val="clear" w:color="auto" w:fill="auto"/>
            <w:vAlign w:val="center"/>
            <w:hideMark/>
          </w:tcPr>
          <w:p w14:paraId="593824E5"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1 050</w:t>
            </w:r>
          </w:p>
        </w:tc>
      </w:tr>
      <w:tr w:rsidR="000705A3" w:rsidRPr="00FF3340" w14:paraId="060CA800" w14:textId="77777777" w:rsidTr="002D2209">
        <w:trPr>
          <w:trHeight w:val="134"/>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56A56E4D"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80 000</w:t>
            </w:r>
          </w:p>
        </w:tc>
        <w:tc>
          <w:tcPr>
            <w:tcW w:w="2792" w:type="dxa"/>
            <w:tcBorders>
              <w:top w:val="nil"/>
              <w:left w:val="nil"/>
              <w:bottom w:val="single" w:sz="8" w:space="0" w:color="auto"/>
              <w:right w:val="single" w:sz="8" w:space="0" w:color="auto"/>
            </w:tcBorders>
            <w:shd w:val="clear" w:color="auto" w:fill="auto"/>
            <w:vAlign w:val="center"/>
            <w:hideMark/>
          </w:tcPr>
          <w:p w14:paraId="23856FD8"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1 600</w:t>
            </w:r>
          </w:p>
        </w:tc>
        <w:tc>
          <w:tcPr>
            <w:tcW w:w="1914" w:type="dxa"/>
            <w:vMerge/>
            <w:tcBorders>
              <w:left w:val="nil"/>
              <w:right w:val="single" w:sz="4" w:space="0" w:color="auto"/>
            </w:tcBorders>
          </w:tcPr>
          <w:p w14:paraId="51206C36" w14:textId="77777777" w:rsidR="000705A3" w:rsidRPr="005F5D9F"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auto"/>
            <w:vAlign w:val="center"/>
            <w:hideMark/>
          </w:tcPr>
          <w:p w14:paraId="63E43D0A" w14:textId="77777777" w:rsidR="000705A3" w:rsidRPr="005F5D9F" w:rsidRDefault="000705A3" w:rsidP="002D2209">
            <w:pPr>
              <w:jc w:val="center"/>
              <w:rPr>
                <w:rFonts w:eastAsia="Times New Roman" w:cs="Times New Roman"/>
                <w:color w:val="000000"/>
                <w:sz w:val="20"/>
                <w:szCs w:val="20"/>
                <w:lang w:eastAsia="lv-LV"/>
              </w:rPr>
            </w:pPr>
            <w:r w:rsidRPr="005F5D9F">
              <w:rPr>
                <w:rFonts w:eastAsia="Times New Roman" w:cs="Times New Roman"/>
                <w:color w:val="000000"/>
                <w:sz w:val="20"/>
                <w:szCs w:val="20"/>
                <w:lang w:eastAsia="lv-LV"/>
              </w:rPr>
              <w:t>400</w:t>
            </w:r>
          </w:p>
        </w:tc>
        <w:tc>
          <w:tcPr>
            <w:tcW w:w="1034" w:type="dxa"/>
            <w:tcBorders>
              <w:top w:val="nil"/>
              <w:left w:val="nil"/>
              <w:bottom w:val="single" w:sz="8" w:space="0" w:color="auto"/>
              <w:right w:val="single" w:sz="8" w:space="0" w:color="auto"/>
            </w:tcBorders>
            <w:shd w:val="clear" w:color="auto" w:fill="auto"/>
            <w:vAlign w:val="center"/>
            <w:hideMark/>
          </w:tcPr>
          <w:p w14:paraId="46069847"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1 200</w:t>
            </w:r>
          </w:p>
        </w:tc>
      </w:tr>
      <w:tr w:rsidR="000705A3" w:rsidRPr="00FF3340" w14:paraId="0B0DC8F5" w14:textId="77777777" w:rsidTr="002D2209">
        <w:trPr>
          <w:trHeight w:val="180"/>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E95B110"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90 000</w:t>
            </w:r>
          </w:p>
        </w:tc>
        <w:tc>
          <w:tcPr>
            <w:tcW w:w="2792" w:type="dxa"/>
            <w:tcBorders>
              <w:top w:val="nil"/>
              <w:left w:val="nil"/>
              <w:bottom w:val="single" w:sz="8" w:space="0" w:color="auto"/>
              <w:right w:val="single" w:sz="8" w:space="0" w:color="auto"/>
            </w:tcBorders>
            <w:shd w:val="clear" w:color="auto" w:fill="auto"/>
            <w:vAlign w:val="center"/>
            <w:hideMark/>
          </w:tcPr>
          <w:p w14:paraId="3FB67AF8"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1 800</w:t>
            </w:r>
          </w:p>
        </w:tc>
        <w:tc>
          <w:tcPr>
            <w:tcW w:w="1914" w:type="dxa"/>
            <w:vMerge/>
            <w:tcBorders>
              <w:left w:val="nil"/>
              <w:right w:val="single" w:sz="4" w:space="0" w:color="auto"/>
            </w:tcBorders>
          </w:tcPr>
          <w:p w14:paraId="569852DC" w14:textId="77777777" w:rsidR="000705A3" w:rsidRPr="005F5D9F"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auto"/>
            <w:vAlign w:val="center"/>
            <w:hideMark/>
          </w:tcPr>
          <w:p w14:paraId="2CAFA8CD" w14:textId="77777777" w:rsidR="000705A3" w:rsidRPr="005F5D9F" w:rsidRDefault="000705A3" w:rsidP="002D2209">
            <w:pPr>
              <w:jc w:val="center"/>
              <w:rPr>
                <w:rFonts w:eastAsia="Times New Roman" w:cs="Times New Roman"/>
                <w:color w:val="000000"/>
                <w:sz w:val="20"/>
                <w:szCs w:val="20"/>
                <w:lang w:eastAsia="lv-LV"/>
              </w:rPr>
            </w:pPr>
            <w:r w:rsidRPr="005F5D9F">
              <w:rPr>
                <w:rFonts w:eastAsia="Times New Roman" w:cs="Times New Roman"/>
                <w:color w:val="000000"/>
                <w:sz w:val="20"/>
                <w:szCs w:val="20"/>
                <w:lang w:eastAsia="lv-LV"/>
              </w:rPr>
              <w:t>450</w:t>
            </w:r>
          </w:p>
        </w:tc>
        <w:tc>
          <w:tcPr>
            <w:tcW w:w="1034" w:type="dxa"/>
            <w:tcBorders>
              <w:top w:val="nil"/>
              <w:left w:val="nil"/>
              <w:bottom w:val="single" w:sz="8" w:space="0" w:color="auto"/>
              <w:right w:val="single" w:sz="8" w:space="0" w:color="auto"/>
            </w:tcBorders>
            <w:shd w:val="clear" w:color="auto" w:fill="auto"/>
            <w:vAlign w:val="center"/>
            <w:hideMark/>
          </w:tcPr>
          <w:p w14:paraId="69EB8302"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1 350</w:t>
            </w:r>
          </w:p>
        </w:tc>
      </w:tr>
      <w:tr w:rsidR="000705A3" w:rsidRPr="00FF3340" w14:paraId="06D772E3" w14:textId="77777777" w:rsidTr="002D2209">
        <w:trPr>
          <w:trHeight w:val="210"/>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AE321B1"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100 000</w:t>
            </w:r>
          </w:p>
        </w:tc>
        <w:tc>
          <w:tcPr>
            <w:tcW w:w="2792" w:type="dxa"/>
            <w:tcBorders>
              <w:top w:val="nil"/>
              <w:left w:val="nil"/>
              <w:bottom w:val="single" w:sz="8" w:space="0" w:color="auto"/>
              <w:right w:val="single" w:sz="8" w:space="0" w:color="auto"/>
            </w:tcBorders>
            <w:shd w:val="clear" w:color="auto" w:fill="auto"/>
            <w:vAlign w:val="center"/>
            <w:hideMark/>
          </w:tcPr>
          <w:p w14:paraId="6690501A"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2 000</w:t>
            </w:r>
          </w:p>
        </w:tc>
        <w:tc>
          <w:tcPr>
            <w:tcW w:w="1914" w:type="dxa"/>
            <w:vMerge/>
            <w:tcBorders>
              <w:left w:val="nil"/>
              <w:bottom w:val="single" w:sz="8" w:space="0" w:color="auto"/>
              <w:right w:val="single" w:sz="4" w:space="0" w:color="auto"/>
            </w:tcBorders>
          </w:tcPr>
          <w:p w14:paraId="495DD641" w14:textId="77777777" w:rsidR="000705A3" w:rsidRPr="005F5D9F"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auto"/>
            <w:vAlign w:val="center"/>
            <w:hideMark/>
          </w:tcPr>
          <w:p w14:paraId="2FF1492A" w14:textId="77777777" w:rsidR="000705A3" w:rsidRPr="005F5D9F" w:rsidRDefault="000705A3" w:rsidP="002D2209">
            <w:pPr>
              <w:jc w:val="center"/>
              <w:rPr>
                <w:rFonts w:eastAsia="Times New Roman" w:cs="Times New Roman"/>
                <w:color w:val="000000"/>
                <w:sz w:val="20"/>
                <w:szCs w:val="20"/>
                <w:lang w:eastAsia="lv-LV"/>
              </w:rPr>
            </w:pPr>
            <w:r w:rsidRPr="005F5D9F">
              <w:rPr>
                <w:rFonts w:eastAsia="Times New Roman" w:cs="Times New Roman"/>
                <w:color w:val="000000"/>
                <w:sz w:val="20"/>
                <w:szCs w:val="20"/>
                <w:lang w:eastAsia="lv-LV"/>
              </w:rPr>
              <w:t>500</w:t>
            </w:r>
          </w:p>
        </w:tc>
        <w:tc>
          <w:tcPr>
            <w:tcW w:w="1034" w:type="dxa"/>
            <w:tcBorders>
              <w:top w:val="nil"/>
              <w:left w:val="nil"/>
              <w:bottom w:val="single" w:sz="8" w:space="0" w:color="auto"/>
              <w:right w:val="single" w:sz="8" w:space="0" w:color="auto"/>
            </w:tcBorders>
            <w:shd w:val="clear" w:color="auto" w:fill="auto"/>
            <w:vAlign w:val="center"/>
            <w:hideMark/>
          </w:tcPr>
          <w:p w14:paraId="5690AA05"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1 500</w:t>
            </w:r>
          </w:p>
        </w:tc>
      </w:tr>
      <w:tr w:rsidR="000705A3" w:rsidRPr="00FF3340" w14:paraId="5ABC2B88" w14:textId="77777777" w:rsidTr="002D2209">
        <w:trPr>
          <w:trHeight w:val="228"/>
          <w:jc w:val="center"/>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125F259D"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150 000</w:t>
            </w:r>
          </w:p>
        </w:tc>
        <w:tc>
          <w:tcPr>
            <w:tcW w:w="2792" w:type="dxa"/>
            <w:tcBorders>
              <w:top w:val="nil"/>
              <w:left w:val="nil"/>
              <w:bottom w:val="single" w:sz="8" w:space="0" w:color="auto"/>
              <w:right w:val="single" w:sz="8" w:space="0" w:color="auto"/>
            </w:tcBorders>
            <w:shd w:val="clear" w:color="auto" w:fill="auto"/>
            <w:vAlign w:val="center"/>
            <w:hideMark/>
          </w:tcPr>
          <w:p w14:paraId="6732C5E2"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3 000</w:t>
            </w:r>
          </w:p>
        </w:tc>
        <w:tc>
          <w:tcPr>
            <w:tcW w:w="1914" w:type="dxa"/>
            <w:vMerge w:val="restart"/>
            <w:tcBorders>
              <w:top w:val="nil"/>
              <w:left w:val="nil"/>
              <w:right w:val="single" w:sz="4" w:space="0" w:color="auto"/>
            </w:tcBorders>
          </w:tcPr>
          <w:p w14:paraId="21DE64BE" w14:textId="77777777" w:rsidR="000705A3" w:rsidRPr="005F5D9F" w:rsidRDefault="000705A3" w:rsidP="002D2209">
            <w:pPr>
              <w:jc w:val="center"/>
              <w:rPr>
                <w:rFonts w:eastAsia="Times New Roman" w:cs="Times New Roman"/>
                <w:b/>
                <w:color w:val="000000"/>
                <w:sz w:val="20"/>
                <w:szCs w:val="20"/>
                <w:lang w:eastAsia="lv-LV"/>
              </w:rPr>
            </w:pPr>
            <w:r w:rsidRPr="005F5D9F">
              <w:rPr>
                <w:b/>
                <w:sz w:val="20"/>
                <w:szCs w:val="20"/>
              </w:rPr>
              <w:t xml:space="preserve">500 </w:t>
            </w:r>
            <w:proofErr w:type="spellStart"/>
            <w:r w:rsidRPr="005F5D9F">
              <w:rPr>
                <w:b/>
                <w:i/>
                <w:sz w:val="20"/>
                <w:szCs w:val="20"/>
              </w:rPr>
              <w:t>euro</w:t>
            </w:r>
            <w:proofErr w:type="spellEnd"/>
            <w:r w:rsidRPr="005F5D9F">
              <w:rPr>
                <w:b/>
                <w:sz w:val="20"/>
                <w:szCs w:val="20"/>
              </w:rPr>
              <w:t xml:space="preserve"> plus 2% no nekustamā īpašuma vērtības, kas pārsniedz 100 000 </w:t>
            </w:r>
            <w:proofErr w:type="spellStart"/>
            <w:r w:rsidRPr="005F5D9F">
              <w:rPr>
                <w:b/>
                <w:i/>
                <w:sz w:val="20"/>
                <w:szCs w:val="20"/>
              </w:rPr>
              <w:t>euro</w:t>
            </w:r>
            <w:proofErr w:type="spellEnd"/>
          </w:p>
        </w:tc>
        <w:tc>
          <w:tcPr>
            <w:tcW w:w="1914"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14:paraId="6BCB873E"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1500</w:t>
            </w:r>
          </w:p>
        </w:tc>
        <w:tc>
          <w:tcPr>
            <w:tcW w:w="1034" w:type="dxa"/>
            <w:tcBorders>
              <w:top w:val="nil"/>
              <w:left w:val="nil"/>
              <w:bottom w:val="single" w:sz="8" w:space="0" w:color="auto"/>
              <w:right w:val="single" w:sz="8" w:space="0" w:color="auto"/>
            </w:tcBorders>
            <w:shd w:val="clear" w:color="auto" w:fill="BFBFBF" w:themeFill="background1" w:themeFillShade="BF"/>
            <w:vAlign w:val="center"/>
            <w:hideMark/>
          </w:tcPr>
          <w:p w14:paraId="7A103487"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1500</w:t>
            </w:r>
          </w:p>
        </w:tc>
      </w:tr>
      <w:tr w:rsidR="000705A3" w:rsidRPr="00FF3340" w14:paraId="799A420A" w14:textId="77777777" w:rsidTr="002D2209">
        <w:trPr>
          <w:trHeight w:val="259"/>
          <w:jc w:val="center"/>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7FDEF06C"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200 000</w:t>
            </w:r>
          </w:p>
        </w:tc>
        <w:tc>
          <w:tcPr>
            <w:tcW w:w="2792" w:type="dxa"/>
            <w:tcBorders>
              <w:top w:val="nil"/>
              <w:left w:val="nil"/>
              <w:bottom w:val="single" w:sz="8" w:space="0" w:color="auto"/>
              <w:right w:val="single" w:sz="8" w:space="0" w:color="auto"/>
            </w:tcBorders>
            <w:shd w:val="clear" w:color="auto" w:fill="auto"/>
            <w:vAlign w:val="center"/>
            <w:hideMark/>
          </w:tcPr>
          <w:p w14:paraId="26BA4E48"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4 000</w:t>
            </w:r>
          </w:p>
        </w:tc>
        <w:tc>
          <w:tcPr>
            <w:tcW w:w="1914" w:type="dxa"/>
            <w:vMerge/>
            <w:tcBorders>
              <w:left w:val="nil"/>
              <w:right w:val="single" w:sz="4" w:space="0" w:color="auto"/>
            </w:tcBorders>
          </w:tcPr>
          <w:p w14:paraId="5459DB20" w14:textId="77777777" w:rsidR="000705A3" w:rsidRPr="00FF3340"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14:paraId="16383298"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2500</w:t>
            </w:r>
          </w:p>
        </w:tc>
        <w:tc>
          <w:tcPr>
            <w:tcW w:w="1034" w:type="dxa"/>
            <w:tcBorders>
              <w:top w:val="nil"/>
              <w:left w:val="nil"/>
              <w:bottom w:val="single" w:sz="8" w:space="0" w:color="auto"/>
              <w:right w:val="single" w:sz="8" w:space="0" w:color="auto"/>
            </w:tcBorders>
            <w:shd w:val="clear" w:color="auto" w:fill="BFBFBF" w:themeFill="background1" w:themeFillShade="BF"/>
            <w:vAlign w:val="center"/>
            <w:hideMark/>
          </w:tcPr>
          <w:p w14:paraId="04F9AE24"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1500</w:t>
            </w:r>
          </w:p>
        </w:tc>
      </w:tr>
      <w:tr w:rsidR="000705A3" w:rsidRPr="00FF3340" w14:paraId="1F9591B1" w14:textId="77777777" w:rsidTr="002D2209">
        <w:trPr>
          <w:trHeight w:val="125"/>
          <w:jc w:val="center"/>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2DE464DB"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250 000</w:t>
            </w:r>
          </w:p>
        </w:tc>
        <w:tc>
          <w:tcPr>
            <w:tcW w:w="2792" w:type="dxa"/>
            <w:tcBorders>
              <w:top w:val="nil"/>
              <w:left w:val="nil"/>
              <w:bottom w:val="single" w:sz="8" w:space="0" w:color="auto"/>
              <w:right w:val="single" w:sz="8" w:space="0" w:color="auto"/>
            </w:tcBorders>
            <w:shd w:val="clear" w:color="auto" w:fill="auto"/>
            <w:vAlign w:val="center"/>
            <w:hideMark/>
          </w:tcPr>
          <w:p w14:paraId="2DFDFCB4"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5 000</w:t>
            </w:r>
          </w:p>
        </w:tc>
        <w:tc>
          <w:tcPr>
            <w:tcW w:w="1914" w:type="dxa"/>
            <w:vMerge/>
            <w:tcBorders>
              <w:left w:val="nil"/>
              <w:right w:val="single" w:sz="4" w:space="0" w:color="auto"/>
            </w:tcBorders>
          </w:tcPr>
          <w:p w14:paraId="03D44263" w14:textId="77777777" w:rsidR="000705A3" w:rsidRPr="00FF3340"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14:paraId="01037DE6"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3500</w:t>
            </w:r>
          </w:p>
        </w:tc>
        <w:tc>
          <w:tcPr>
            <w:tcW w:w="1034" w:type="dxa"/>
            <w:tcBorders>
              <w:top w:val="nil"/>
              <w:left w:val="nil"/>
              <w:bottom w:val="single" w:sz="8" w:space="0" w:color="auto"/>
              <w:right w:val="single" w:sz="8" w:space="0" w:color="auto"/>
            </w:tcBorders>
            <w:shd w:val="clear" w:color="auto" w:fill="BFBFBF" w:themeFill="background1" w:themeFillShade="BF"/>
            <w:vAlign w:val="center"/>
            <w:hideMark/>
          </w:tcPr>
          <w:p w14:paraId="7E01A14A"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1500</w:t>
            </w:r>
          </w:p>
        </w:tc>
      </w:tr>
      <w:tr w:rsidR="000705A3" w:rsidRPr="00FF3340" w14:paraId="3480DBF3" w14:textId="77777777" w:rsidTr="002D2209">
        <w:trPr>
          <w:trHeight w:val="157"/>
          <w:jc w:val="center"/>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4802F16B" w14:textId="77777777" w:rsidR="000705A3" w:rsidRPr="00FF3340" w:rsidRDefault="000705A3" w:rsidP="002D2209">
            <w:pPr>
              <w:jc w:val="center"/>
              <w:rPr>
                <w:rFonts w:eastAsia="Times New Roman" w:cs="Times New Roman"/>
                <w:b/>
                <w:bCs/>
                <w:color w:val="000000"/>
                <w:sz w:val="20"/>
                <w:szCs w:val="20"/>
                <w:lang w:eastAsia="lv-LV"/>
              </w:rPr>
            </w:pPr>
            <w:r w:rsidRPr="00FF3340">
              <w:rPr>
                <w:rFonts w:eastAsia="Times New Roman" w:cs="Times New Roman"/>
                <w:b/>
                <w:bCs/>
                <w:color w:val="000000"/>
                <w:sz w:val="20"/>
                <w:szCs w:val="20"/>
                <w:lang w:eastAsia="lv-LV"/>
              </w:rPr>
              <w:t>300 000</w:t>
            </w:r>
          </w:p>
        </w:tc>
        <w:tc>
          <w:tcPr>
            <w:tcW w:w="2792" w:type="dxa"/>
            <w:tcBorders>
              <w:top w:val="nil"/>
              <w:left w:val="nil"/>
              <w:bottom w:val="single" w:sz="8" w:space="0" w:color="auto"/>
              <w:right w:val="single" w:sz="8" w:space="0" w:color="auto"/>
            </w:tcBorders>
            <w:shd w:val="clear" w:color="auto" w:fill="auto"/>
            <w:vAlign w:val="center"/>
            <w:hideMark/>
          </w:tcPr>
          <w:p w14:paraId="33F45F9A" w14:textId="77777777" w:rsidR="000705A3" w:rsidRPr="00FF3340" w:rsidRDefault="000705A3" w:rsidP="002D2209">
            <w:pPr>
              <w:jc w:val="center"/>
              <w:rPr>
                <w:rFonts w:eastAsia="Times New Roman" w:cs="Times New Roman"/>
                <w:color w:val="000000"/>
                <w:sz w:val="20"/>
                <w:szCs w:val="20"/>
                <w:lang w:eastAsia="lv-LV"/>
              </w:rPr>
            </w:pPr>
            <w:r w:rsidRPr="00FF3340">
              <w:rPr>
                <w:rFonts w:eastAsia="Times New Roman" w:cs="Times New Roman"/>
                <w:color w:val="000000"/>
                <w:sz w:val="20"/>
                <w:szCs w:val="20"/>
                <w:lang w:eastAsia="lv-LV"/>
              </w:rPr>
              <w:t>6 000</w:t>
            </w:r>
          </w:p>
        </w:tc>
        <w:tc>
          <w:tcPr>
            <w:tcW w:w="1914" w:type="dxa"/>
            <w:vMerge/>
            <w:tcBorders>
              <w:left w:val="nil"/>
              <w:bottom w:val="single" w:sz="8" w:space="0" w:color="auto"/>
              <w:right w:val="single" w:sz="4" w:space="0" w:color="auto"/>
            </w:tcBorders>
          </w:tcPr>
          <w:p w14:paraId="41046698" w14:textId="77777777" w:rsidR="000705A3" w:rsidRPr="00FF3340" w:rsidRDefault="000705A3" w:rsidP="002D2209">
            <w:pPr>
              <w:jc w:val="right"/>
              <w:rPr>
                <w:rFonts w:eastAsia="Times New Roman" w:cs="Times New Roman"/>
                <w:color w:val="000000"/>
                <w:sz w:val="20"/>
                <w:szCs w:val="20"/>
                <w:lang w:eastAsia="lv-LV"/>
              </w:rPr>
            </w:pPr>
          </w:p>
        </w:tc>
        <w:tc>
          <w:tcPr>
            <w:tcW w:w="1914" w:type="dxa"/>
            <w:tcBorders>
              <w:top w:val="nil"/>
              <w:left w:val="single" w:sz="4" w:space="0" w:color="auto"/>
              <w:bottom w:val="single" w:sz="8" w:space="0" w:color="auto"/>
              <w:right w:val="single" w:sz="8" w:space="0" w:color="auto"/>
            </w:tcBorders>
            <w:shd w:val="clear" w:color="auto" w:fill="BFBFBF" w:themeFill="background1" w:themeFillShade="BF"/>
            <w:vAlign w:val="center"/>
            <w:hideMark/>
          </w:tcPr>
          <w:p w14:paraId="60E0B247"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4 500</w:t>
            </w:r>
          </w:p>
        </w:tc>
        <w:tc>
          <w:tcPr>
            <w:tcW w:w="1034" w:type="dxa"/>
            <w:tcBorders>
              <w:top w:val="nil"/>
              <w:left w:val="nil"/>
              <w:bottom w:val="single" w:sz="8" w:space="0" w:color="auto"/>
              <w:right w:val="single" w:sz="8" w:space="0" w:color="auto"/>
            </w:tcBorders>
            <w:shd w:val="clear" w:color="auto" w:fill="BFBFBF" w:themeFill="background1" w:themeFillShade="BF"/>
            <w:vAlign w:val="center"/>
            <w:hideMark/>
          </w:tcPr>
          <w:p w14:paraId="27243E90" w14:textId="77777777" w:rsidR="000705A3" w:rsidRPr="005F5D9F" w:rsidRDefault="000705A3" w:rsidP="002D2209">
            <w:pPr>
              <w:jc w:val="center"/>
              <w:rPr>
                <w:rFonts w:eastAsia="Times New Roman" w:cs="Times New Roman"/>
                <w:b/>
                <w:color w:val="000000"/>
                <w:sz w:val="20"/>
                <w:szCs w:val="20"/>
                <w:lang w:eastAsia="lv-LV"/>
              </w:rPr>
            </w:pPr>
            <w:r w:rsidRPr="005F5D9F">
              <w:rPr>
                <w:rFonts w:eastAsia="Times New Roman" w:cs="Times New Roman"/>
                <w:b/>
                <w:color w:val="000000"/>
                <w:sz w:val="20"/>
                <w:szCs w:val="20"/>
                <w:lang w:eastAsia="lv-LV"/>
              </w:rPr>
              <w:t>1500</w:t>
            </w:r>
          </w:p>
        </w:tc>
      </w:tr>
    </w:tbl>
    <w:p w14:paraId="4E82D79D" w14:textId="235F42B6" w:rsidR="000705A3" w:rsidRPr="0097585B" w:rsidRDefault="000705A3" w:rsidP="000705A3">
      <w:pPr>
        <w:pStyle w:val="ListParagraph"/>
        <w:tabs>
          <w:tab w:val="left" w:pos="284"/>
        </w:tabs>
        <w:jc w:val="right"/>
        <w:rPr>
          <w:rFonts w:ascii="Times New Roman" w:hAnsi="Times New Roman"/>
          <w:bCs/>
          <w:color w:val="000000" w:themeColor="text1"/>
          <w:sz w:val="20"/>
          <w:szCs w:val="20"/>
        </w:rPr>
      </w:pPr>
      <w:r w:rsidRPr="0097585B">
        <w:rPr>
          <w:rFonts w:ascii="Times New Roman" w:hAnsi="Times New Roman"/>
          <w:bCs/>
          <w:color w:val="000000" w:themeColor="text1"/>
          <w:sz w:val="20"/>
          <w:szCs w:val="20"/>
        </w:rPr>
        <w:t>Tabula Nr.</w:t>
      </w:r>
      <w:r w:rsidR="00843F9B">
        <w:rPr>
          <w:rFonts w:ascii="Times New Roman" w:hAnsi="Times New Roman"/>
          <w:bCs/>
          <w:color w:val="000000" w:themeColor="text1"/>
          <w:sz w:val="20"/>
          <w:szCs w:val="20"/>
        </w:rPr>
        <w:t>2</w:t>
      </w:r>
    </w:p>
    <w:p w14:paraId="0C966FD0" w14:textId="77777777" w:rsidR="000705A3" w:rsidRPr="0097585B" w:rsidRDefault="000705A3" w:rsidP="000705A3">
      <w:pPr>
        <w:jc w:val="right"/>
        <w:rPr>
          <w:color w:val="000000" w:themeColor="text1"/>
          <w:sz w:val="20"/>
          <w:szCs w:val="20"/>
        </w:rPr>
      </w:pPr>
      <w:r w:rsidRPr="0097585B">
        <w:rPr>
          <w:color w:val="000000" w:themeColor="text1"/>
          <w:sz w:val="20"/>
          <w:szCs w:val="20"/>
        </w:rPr>
        <w:t xml:space="preserve">Avots: </w:t>
      </w:r>
      <w:r w:rsidRPr="0097585B">
        <w:rPr>
          <w:color w:val="000000" w:themeColor="text1"/>
          <w:sz w:val="20"/>
          <w:szCs w:val="20"/>
          <w:shd w:val="clear" w:color="auto" w:fill="FEFEFE"/>
        </w:rPr>
        <w:t>Ekonomikas ministrijas veiktie aprēķini</w:t>
      </w:r>
    </w:p>
    <w:p w14:paraId="6F15488F" w14:textId="77777777" w:rsidR="000705A3" w:rsidRDefault="000705A3" w:rsidP="004E185A">
      <w:pPr>
        <w:pStyle w:val="ListParagraph"/>
        <w:tabs>
          <w:tab w:val="left" w:pos="284"/>
        </w:tabs>
        <w:ind w:left="0"/>
        <w:jc w:val="center"/>
        <w:rPr>
          <w:rFonts w:ascii="Times New Roman" w:hAnsi="Times New Roman"/>
          <w:b/>
          <w:bCs/>
          <w:color w:val="000000" w:themeColor="text1"/>
          <w:sz w:val="24"/>
          <w:szCs w:val="24"/>
        </w:rPr>
      </w:pPr>
    </w:p>
    <w:p w14:paraId="1E8D8140" w14:textId="77777777" w:rsidR="000705A3" w:rsidRDefault="000705A3" w:rsidP="004E185A">
      <w:pPr>
        <w:pStyle w:val="ListParagraph"/>
        <w:tabs>
          <w:tab w:val="left" w:pos="284"/>
        </w:tabs>
        <w:ind w:left="0"/>
        <w:jc w:val="center"/>
        <w:rPr>
          <w:rFonts w:ascii="Times New Roman" w:hAnsi="Times New Roman"/>
          <w:b/>
          <w:bCs/>
          <w:color w:val="000000" w:themeColor="text1"/>
          <w:sz w:val="24"/>
          <w:szCs w:val="24"/>
        </w:rPr>
      </w:pPr>
    </w:p>
    <w:p w14:paraId="35A42BEC" w14:textId="77777777" w:rsidR="000705A3" w:rsidRDefault="000705A3" w:rsidP="004E185A">
      <w:pPr>
        <w:pStyle w:val="ListParagraph"/>
        <w:tabs>
          <w:tab w:val="left" w:pos="284"/>
        </w:tabs>
        <w:ind w:left="0"/>
        <w:jc w:val="center"/>
        <w:rPr>
          <w:rFonts w:ascii="Times New Roman" w:hAnsi="Times New Roman"/>
          <w:b/>
          <w:bCs/>
          <w:color w:val="000000" w:themeColor="text1"/>
          <w:sz w:val="24"/>
          <w:szCs w:val="24"/>
        </w:rPr>
      </w:pPr>
    </w:p>
    <w:p w14:paraId="7635D4FF" w14:textId="77777777" w:rsidR="000705A3" w:rsidRDefault="000705A3" w:rsidP="004E185A">
      <w:pPr>
        <w:pStyle w:val="ListParagraph"/>
        <w:tabs>
          <w:tab w:val="left" w:pos="284"/>
        </w:tabs>
        <w:ind w:left="0"/>
        <w:jc w:val="center"/>
        <w:rPr>
          <w:rFonts w:ascii="Times New Roman" w:hAnsi="Times New Roman"/>
          <w:b/>
          <w:bCs/>
          <w:color w:val="000000" w:themeColor="text1"/>
          <w:sz w:val="24"/>
          <w:szCs w:val="24"/>
        </w:rPr>
      </w:pPr>
    </w:p>
    <w:p w14:paraId="0A3939CB" w14:textId="77777777" w:rsidR="000705A3" w:rsidRDefault="000705A3" w:rsidP="004E185A">
      <w:pPr>
        <w:pStyle w:val="ListParagraph"/>
        <w:tabs>
          <w:tab w:val="left" w:pos="284"/>
        </w:tabs>
        <w:ind w:left="0"/>
        <w:jc w:val="center"/>
        <w:rPr>
          <w:rFonts w:ascii="Times New Roman" w:hAnsi="Times New Roman"/>
          <w:b/>
          <w:bCs/>
          <w:color w:val="000000" w:themeColor="text1"/>
          <w:sz w:val="24"/>
          <w:szCs w:val="24"/>
        </w:rPr>
      </w:pPr>
    </w:p>
    <w:p w14:paraId="506ADDAA" w14:textId="77777777" w:rsidR="000705A3" w:rsidRDefault="000705A3" w:rsidP="004E185A">
      <w:pPr>
        <w:pStyle w:val="ListParagraph"/>
        <w:tabs>
          <w:tab w:val="left" w:pos="284"/>
        </w:tabs>
        <w:ind w:left="0"/>
        <w:jc w:val="center"/>
        <w:rPr>
          <w:rFonts w:ascii="Times New Roman" w:hAnsi="Times New Roman"/>
          <w:b/>
          <w:bCs/>
          <w:color w:val="000000" w:themeColor="text1"/>
          <w:sz w:val="24"/>
          <w:szCs w:val="24"/>
        </w:rPr>
      </w:pPr>
    </w:p>
    <w:p w14:paraId="3F2E1270" w14:textId="77777777" w:rsidR="000524D1" w:rsidRDefault="000524D1" w:rsidP="004E185A">
      <w:pPr>
        <w:pStyle w:val="ListParagraph"/>
        <w:tabs>
          <w:tab w:val="left" w:pos="284"/>
        </w:tabs>
        <w:ind w:left="0"/>
        <w:jc w:val="center"/>
        <w:rPr>
          <w:rFonts w:ascii="Times New Roman" w:hAnsi="Times New Roman"/>
          <w:bCs/>
          <w:color w:val="000000" w:themeColor="text1"/>
          <w:sz w:val="24"/>
          <w:szCs w:val="24"/>
        </w:rPr>
      </w:pPr>
      <w:r w:rsidRPr="00616D8E">
        <w:rPr>
          <w:rFonts w:ascii="Times New Roman" w:hAnsi="Times New Roman"/>
          <w:b/>
          <w:bCs/>
          <w:color w:val="000000" w:themeColor="text1"/>
          <w:sz w:val="24"/>
          <w:szCs w:val="24"/>
        </w:rPr>
        <w:lastRenderedPageBreak/>
        <w:t xml:space="preserve">Prognozētais nepieciešamais finansējums un atbalstīto personu skaits </w:t>
      </w:r>
    </w:p>
    <w:tbl>
      <w:tblPr>
        <w:tblW w:w="9715" w:type="dxa"/>
        <w:jc w:val="center"/>
        <w:tblLayout w:type="fixed"/>
        <w:tblCellMar>
          <w:left w:w="0" w:type="dxa"/>
          <w:right w:w="0" w:type="dxa"/>
        </w:tblCellMar>
        <w:tblLook w:val="04A0" w:firstRow="1" w:lastRow="0" w:firstColumn="1" w:lastColumn="0" w:noHBand="0" w:noVBand="1"/>
      </w:tblPr>
      <w:tblGrid>
        <w:gridCol w:w="1550"/>
        <w:gridCol w:w="1559"/>
        <w:gridCol w:w="1559"/>
        <w:gridCol w:w="1559"/>
        <w:gridCol w:w="1322"/>
        <w:gridCol w:w="1372"/>
        <w:gridCol w:w="794"/>
      </w:tblGrid>
      <w:tr w:rsidR="000524D1" w14:paraId="16DE0DAD" w14:textId="77777777" w:rsidTr="00FA6157">
        <w:trPr>
          <w:trHeight w:val="168"/>
          <w:jc w:val="center"/>
        </w:trPr>
        <w:tc>
          <w:tcPr>
            <w:tcW w:w="1550" w:type="dxa"/>
            <w:tcBorders>
              <w:top w:val="single" w:sz="8" w:space="0" w:color="auto"/>
              <w:left w:val="single" w:sz="8" w:space="0" w:color="auto"/>
              <w:bottom w:val="single" w:sz="4" w:space="0" w:color="auto"/>
              <w:right w:val="single" w:sz="8" w:space="0" w:color="auto"/>
            </w:tcBorders>
            <w:shd w:val="clear" w:color="auto" w:fill="D0CECE"/>
            <w:tcMar>
              <w:top w:w="0" w:type="dxa"/>
              <w:left w:w="108" w:type="dxa"/>
              <w:bottom w:w="0" w:type="dxa"/>
              <w:right w:w="108" w:type="dxa"/>
            </w:tcMar>
            <w:hideMark/>
          </w:tcPr>
          <w:p w14:paraId="659B1D68" w14:textId="77777777" w:rsidR="000524D1" w:rsidRDefault="000524D1" w:rsidP="00BD3160">
            <w:pPr>
              <w:jc w:val="center"/>
              <w:rPr>
                <w:color w:val="000000"/>
                <w:sz w:val="20"/>
                <w:szCs w:val="20"/>
              </w:rPr>
            </w:pPr>
            <w:r>
              <w:rPr>
                <w:b/>
                <w:bCs/>
                <w:color w:val="000000"/>
                <w:sz w:val="20"/>
                <w:szCs w:val="20"/>
              </w:rPr>
              <w:t> </w:t>
            </w:r>
          </w:p>
        </w:tc>
        <w:tc>
          <w:tcPr>
            <w:tcW w:w="1559" w:type="dxa"/>
            <w:tcBorders>
              <w:top w:val="single" w:sz="8" w:space="0" w:color="auto"/>
              <w:left w:val="nil"/>
              <w:bottom w:val="single" w:sz="4" w:space="0" w:color="auto"/>
              <w:right w:val="single" w:sz="8" w:space="0" w:color="auto"/>
            </w:tcBorders>
            <w:shd w:val="clear" w:color="auto" w:fill="D0CECE"/>
            <w:tcMar>
              <w:top w:w="0" w:type="dxa"/>
              <w:left w:w="108" w:type="dxa"/>
              <w:bottom w:w="0" w:type="dxa"/>
              <w:right w:w="108" w:type="dxa"/>
            </w:tcMar>
            <w:hideMark/>
          </w:tcPr>
          <w:p w14:paraId="0AC3FF5E" w14:textId="77777777" w:rsidR="000524D1" w:rsidRDefault="000524D1" w:rsidP="00BD3160">
            <w:pPr>
              <w:jc w:val="center"/>
              <w:rPr>
                <w:color w:val="000000"/>
                <w:sz w:val="20"/>
                <w:szCs w:val="20"/>
              </w:rPr>
            </w:pPr>
            <w:r>
              <w:rPr>
                <w:b/>
                <w:bCs/>
                <w:color w:val="000000"/>
                <w:sz w:val="20"/>
                <w:szCs w:val="20"/>
              </w:rPr>
              <w:t>2016.gads</w:t>
            </w:r>
          </w:p>
        </w:tc>
        <w:tc>
          <w:tcPr>
            <w:tcW w:w="1559" w:type="dxa"/>
            <w:tcBorders>
              <w:top w:val="single" w:sz="8" w:space="0" w:color="auto"/>
              <w:left w:val="nil"/>
              <w:bottom w:val="single" w:sz="4" w:space="0" w:color="auto"/>
              <w:right w:val="single" w:sz="8" w:space="0" w:color="auto"/>
            </w:tcBorders>
            <w:shd w:val="clear" w:color="auto" w:fill="D0CECE"/>
            <w:tcMar>
              <w:top w:w="0" w:type="dxa"/>
              <w:left w:w="108" w:type="dxa"/>
              <w:bottom w:w="0" w:type="dxa"/>
              <w:right w:w="108" w:type="dxa"/>
            </w:tcMar>
            <w:hideMark/>
          </w:tcPr>
          <w:p w14:paraId="1C2871CC" w14:textId="77777777" w:rsidR="000524D1" w:rsidRDefault="000524D1" w:rsidP="00BD3160">
            <w:pPr>
              <w:jc w:val="center"/>
              <w:rPr>
                <w:color w:val="000000"/>
                <w:sz w:val="20"/>
                <w:szCs w:val="20"/>
                <w:lang w:eastAsia="lv-LV"/>
              </w:rPr>
            </w:pPr>
            <w:r>
              <w:rPr>
                <w:b/>
                <w:bCs/>
                <w:color w:val="000000"/>
                <w:sz w:val="20"/>
                <w:szCs w:val="20"/>
              </w:rPr>
              <w:t>2017.gads</w:t>
            </w:r>
          </w:p>
        </w:tc>
        <w:tc>
          <w:tcPr>
            <w:tcW w:w="1559" w:type="dxa"/>
            <w:tcBorders>
              <w:top w:val="single" w:sz="8" w:space="0" w:color="auto"/>
              <w:left w:val="nil"/>
              <w:bottom w:val="single" w:sz="4" w:space="0" w:color="auto"/>
              <w:right w:val="single" w:sz="8" w:space="0" w:color="auto"/>
            </w:tcBorders>
            <w:shd w:val="clear" w:color="auto" w:fill="D0CECE"/>
            <w:tcMar>
              <w:top w:w="0" w:type="dxa"/>
              <w:left w:w="108" w:type="dxa"/>
              <w:bottom w:w="0" w:type="dxa"/>
              <w:right w:w="108" w:type="dxa"/>
            </w:tcMar>
            <w:hideMark/>
          </w:tcPr>
          <w:p w14:paraId="56A25EDF" w14:textId="77777777" w:rsidR="000524D1" w:rsidRDefault="000524D1" w:rsidP="00BD3160">
            <w:pPr>
              <w:jc w:val="center"/>
              <w:rPr>
                <w:color w:val="000000"/>
                <w:sz w:val="20"/>
                <w:szCs w:val="20"/>
              </w:rPr>
            </w:pPr>
            <w:r>
              <w:rPr>
                <w:b/>
                <w:bCs/>
                <w:color w:val="000000"/>
                <w:sz w:val="20"/>
                <w:szCs w:val="20"/>
              </w:rPr>
              <w:t>2018.gads</w:t>
            </w:r>
          </w:p>
        </w:tc>
        <w:tc>
          <w:tcPr>
            <w:tcW w:w="1322" w:type="dxa"/>
            <w:tcBorders>
              <w:top w:val="single" w:sz="8" w:space="0" w:color="auto"/>
              <w:left w:val="nil"/>
              <w:bottom w:val="single" w:sz="4" w:space="0" w:color="auto"/>
              <w:right w:val="single" w:sz="8" w:space="0" w:color="auto"/>
            </w:tcBorders>
            <w:shd w:val="clear" w:color="auto" w:fill="D0CECE"/>
            <w:hideMark/>
          </w:tcPr>
          <w:p w14:paraId="2E1E80F5" w14:textId="77777777" w:rsidR="000524D1" w:rsidRDefault="000524D1" w:rsidP="00BD3160">
            <w:pPr>
              <w:jc w:val="center"/>
              <w:rPr>
                <w:color w:val="000000"/>
                <w:sz w:val="20"/>
                <w:szCs w:val="20"/>
              </w:rPr>
            </w:pPr>
            <w:r>
              <w:rPr>
                <w:b/>
                <w:bCs/>
                <w:color w:val="000000"/>
                <w:sz w:val="20"/>
                <w:szCs w:val="20"/>
              </w:rPr>
              <w:t>2019.gads</w:t>
            </w:r>
          </w:p>
        </w:tc>
        <w:tc>
          <w:tcPr>
            <w:tcW w:w="1372" w:type="dxa"/>
            <w:tcBorders>
              <w:top w:val="single" w:sz="8" w:space="0" w:color="auto"/>
              <w:left w:val="nil"/>
              <w:bottom w:val="single" w:sz="4" w:space="0" w:color="auto"/>
              <w:right w:val="single" w:sz="8" w:space="0" w:color="auto"/>
            </w:tcBorders>
            <w:shd w:val="clear" w:color="auto" w:fill="D0CECE"/>
            <w:hideMark/>
          </w:tcPr>
          <w:p w14:paraId="6345F8B7" w14:textId="77777777" w:rsidR="000524D1" w:rsidRDefault="000524D1" w:rsidP="00BD3160">
            <w:pPr>
              <w:jc w:val="center"/>
              <w:rPr>
                <w:color w:val="000000"/>
                <w:sz w:val="20"/>
                <w:szCs w:val="20"/>
              </w:rPr>
            </w:pPr>
            <w:r>
              <w:rPr>
                <w:b/>
                <w:bCs/>
                <w:color w:val="000000"/>
                <w:sz w:val="20"/>
                <w:szCs w:val="20"/>
              </w:rPr>
              <w:t>2020.gads</w:t>
            </w:r>
          </w:p>
        </w:tc>
        <w:tc>
          <w:tcPr>
            <w:tcW w:w="794" w:type="dxa"/>
            <w:tcBorders>
              <w:top w:val="single" w:sz="8" w:space="0" w:color="auto"/>
              <w:left w:val="nil"/>
              <w:bottom w:val="single" w:sz="4" w:space="0" w:color="auto"/>
              <w:right w:val="single" w:sz="8" w:space="0" w:color="auto"/>
            </w:tcBorders>
            <w:shd w:val="clear" w:color="auto" w:fill="D0CECE"/>
            <w:tcMar>
              <w:top w:w="0" w:type="dxa"/>
              <w:left w:w="108" w:type="dxa"/>
              <w:bottom w:w="0" w:type="dxa"/>
              <w:right w:w="108" w:type="dxa"/>
            </w:tcMar>
            <w:hideMark/>
          </w:tcPr>
          <w:p w14:paraId="0E6369C9" w14:textId="77777777" w:rsidR="000524D1" w:rsidRDefault="000524D1" w:rsidP="00BD3160">
            <w:pPr>
              <w:jc w:val="center"/>
              <w:rPr>
                <w:color w:val="000000"/>
                <w:sz w:val="20"/>
                <w:szCs w:val="20"/>
              </w:rPr>
            </w:pPr>
            <w:r>
              <w:rPr>
                <w:b/>
                <w:bCs/>
                <w:color w:val="000000"/>
                <w:sz w:val="20"/>
                <w:szCs w:val="20"/>
              </w:rPr>
              <w:t>Kopā</w:t>
            </w:r>
          </w:p>
        </w:tc>
      </w:tr>
      <w:tr w:rsidR="000524D1" w14:paraId="6F5A0FA3" w14:textId="77777777" w:rsidTr="00FA6157">
        <w:trPr>
          <w:trHeight w:val="1035"/>
          <w:jc w:val="center"/>
        </w:trPr>
        <w:tc>
          <w:tcPr>
            <w:tcW w:w="1550" w:type="dxa"/>
            <w:tcBorders>
              <w:top w:val="single" w:sz="4"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5FBF6E87" w14:textId="77777777" w:rsidR="000524D1" w:rsidRDefault="000524D1" w:rsidP="00BD3160">
            <w:pPr>
              <w:jc w:val="center"/>
              <w:rPr>
                <w:color w:val="000000"/>
                <w:sz w:val="20"/>
                <w:szCs w:val="20"/>
              </w:rPr>
            </w:pPr>
            <w:r>
              <w:rPr>
                <w:b/>
                <w:bCs/>
                <w:color w:val="000000"/>
                <w:sz w:val="20"/>
                <w:szCs w:val="20"/>
              </w:rPr>
              <w:t>Plānotais nepieciešamais finansējums (gadā)</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001239" w14:textId="065AAD73" w:rsidR="000524D1" w:rsidRPr="00974D66" w:rsidRDefault="000524D1" w:rsidP="00BD3160">
            <w:pPr>
              <w:jc w:val="center"/>
              <w:rPr>
                <w:bCs/>
                <w:sz w:val="20"/>
                <w:szCs w:val="20"/>
              </w:rPr>
            </w:pPr>
            <w:r w:rsidRPr="00974D66">
              <w:rPr>
                <w:bCs/>
                <w:sz w:val="20"/>
                <w:szCs w:val="20"/>
              </w:rPr>
              <w:t xml:space="preserve">Līdz gada beigām </w:t>
            </w:r>
            <w:r w:rsidRPr="00974D66">
              <w:rPr>
                <w:sz w:val="20"/>
                <w:szCs w:val="20"/>
              </w:rPr>
              <w:t xml:space="preserve">– 4 milj. </w:t>
            </w:r>
            <w:proofErr w:type="spellStart"/>
            <w:r w:rsidRPr="00974D66">
              <w:rPr>
                <w:i/>
                <w:iCs/>
                <w:sz w:val="20"/>
                <w:szCs w:val="20"/>
              </w:rPr>
              <w:t>euro</w:t>
            </w:r>
            <w:proofErr w:type="spellEnd"/>
          </w:p>
          <w:p w14:paraId="73C80519" w14:textId="77777777" w:rsidR="000524D1" w:rsidRDefault="000524D1" w:rsidP="00BD3160">
            <w:pPr>
              <w:jc w:val="center"/>
              <w:rPr>
                <w:sz w:val="20"/>
                <w:szCs w:val="20"/>
              </w:rPr>
            </w:pPr>
          </w:p>
          <w:p w14:paraId="382AB5F6" w14:textId="7AA2608D" w:rsidR="000524D1" w:rsidRPr="00AD40C8" w:rsidRDefault="000524D1" w:rsidP="00843F9B">
            <w:pPr>
              <w:jc w:val="center"/>
              <w:rPr>
                <w:rFonts w:cs="Times New Roman"/>
                <w:sz w:val="20"/>
                <w:szCs w:val="20"/>
              </w:rPr>
            </w:pPr>
            <w:r w:rsidRPr="00AD40C8">
              <w:rPr>
                <w:rFonts w:cs="Times New Roman"/>
                <w:sz w:val="20"/>
                <w:szCs w:val="20"/>
              </w:rPr>
              <w:t xml:space="preserve">(nepieciešamais finansējums mēnesī – </w:t>
            </w:r>
            <w:r w:rsidR="00AD40C8" w:rsidRPr="00AD40C8">
              <w:rPr>
                <w:rFonts w:cs="Times New Roman"/>
                <w:color w:val="000000"/>
                <w:sz w:val="20"/>
                <w:szCs w:val="20"/>
              </w:rPr>
              <w:t>571 429</w:t>
            </w:r>
            <w:r w:rsidRPr="00AD40C8">
              <w:rPr>
                <w:rFonts w:cs="Times New Roman"/>
                <w:sz w:val="20"/>
                <w:szCs w:val="20"/>
              </w:rPr>
              <w:t xml:space="preserve"> </w:t>
            </w:r>
            <w:proofErr w:type="spellStart"/>
            <w:r w:rsidRPr="00AD40C8">
              <w:rPr>
                <w:rFonts w:cs="Times New Roman"/>
                <w:i/>
                <w:iCs/>
                <w:sz w:val="20"/>
                <w:szCs w:val="20"/>
              </w:rPr>
              <w:t>euro</w:t>
            </w:r>
            <w:proofErr w:type="spellEnd"/>
            <w:r w:rsidRPr="00AD40C8">
              <w:rPr>
                <w:rFonts w:cs="Times New Roman"/>
                <w:sz w:val="20"/>
                <w:szCs w:val="20"/>
              </w:rPr>
              <w:t xml:space="preserve">) </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93713D" w14:textId="36C881B6" w:rsidR="000524D1" w:rsidRDefault="000C3D64" w:rsidP="00BD3160">
            <w:pPr>
              <w:jc w:val="center"/>
              <w:rPr>
                <w:rFonts w:ascii="Calibri" w:hAnsi="Calibri"/>
                <w:sz w:val="20"/>
                <w:szCs w:val="20"/>
              </w:rPr>
            </w:pPr>
            <w:r>
              <w:rPr>
                <w:sz w:val="20"/>
                <w:szCs w:val="20"/>
              </w:rPr>
              <w:t>8</w:t>
            </w:r>
            <w:r w:rsidR="000524D1">
              <w:rPr>
                <w:sz w:val="20"/>
                <w:szCs w:val="20"/>
              </w:rPr>
              <w:t>.</w:t>
            </w:r>
            <w:r>
              <w:rPr>
                <w:sz w:val="20"/>
                <w:szCs w:val="20"/>
              </w:rPr>
              <w:t>5</w:t>
            </w:r>
            <w:r w:rsidR="000524D1">
              <w:rPr>
                <w:sz w:val="20"/>
                <w:szCs w:val="20"/>
              </w:rPr>
              <w:t xml:space="preserve"> milj. </w:t>
            </w:r>
            <w:proofErr w:type="spellStart"/>
            <w:r w:rsidR="000524D1">
              <w:rPr>
                <w:i/>
                <w:iCs/>
                <w:sz w:val="20"/>
                <w:szCs w:val="20"/>
              </w:rPr>
              <w:t>euro</w:t>
            </w:r>
            <w:proofErr w:type="spellEnd"/>
          </w:p>
          <w:p w14:paraId="086C06F5" w14:textId="77777777" w:rsidR="000524D1" w:rsidRDefault="000524D1" w:rsidP="00BD3160">
            <w:pPr>
              <w:jc w:val="center"/>
              <w:rPr>
                <w:sz w:val="20"/>
                <w:szCs w:val="20"/>
              </w:rPr>
            </w:pPr>
          </w:p>
          <w:p w14:paraId="335397A8" w14:textId="302A9827" w:rsidR="000524D1" w:rsidRDefault="000524D1" w:rsidP="003563DB">
            <w:pPr>
              <w:jc w:val="center"/>
              <w:rPr>
                <w:sz w:val="20"/>
                <w:szCs w:val="20"/>
              </w:rPr>
            </w:pPr>
            <w:r>
              <w:rPr>
                <w:sz w:val="20"/>
                <w:szCs w:val="20"/>
              </w:rPr>
              <w:t xml:space="preserve">(nepieciešamais finansējums mēnesī – </w:t>
            </w:r>
            <w:r w:rsidR="000C3D64">
              <w:rPr>
                <w:sz w:val="20"/>
                <w:szCs w:val="20"/>
              </w:rPr>
              <w:t>70</w:t>
            </w:r>
            <w:r w:rsidR="003563DB">
              <w:rPr>
                <w:sz w:val="20"/>
                <w:szCs w:val="20"/>
              </w:rPr>
              <w:t>8</w:t>
            </w:r>
            <w:r>
              <w:rPr>
                <w:sz w:val="20"/>
                <w:szCs w:val="20"/>
              </w:rPr>
              <w:t xml:space="preserve"> </w:t>
            </w:r>
            <w:r w:rsidR="003563DB">
              <w:rPr>
                <w:sz w:val="20"/>
                <w:szCs w:val="20"/>
              </w:rPr>
              <w:t>333</w:t>
            </w:r>
            <w:r>
              <w:rPr>
                <w:sz w:val="20"/>
                <w:szCs w:val="20"/>
              </w:rPr>
              <w:t xml:space="preserve"> </w:t>
            </w:r>
            <w:proofErr w:type="spellStart"/>
            <w:r>
              <w:rPr>
                <w:i/>
                <w:iCs/>
                <w:sz w:val="20"/>
                <w:szCs w:val="20"/>
              </w:rPr>
              <w:t>euro</w:t>
            </w:r>
            <w:proofErr w:type="spellEnd"/>
            <w:r>
              <w:rPr>
                <w:sz w:val="20"/>
                <w:szCs w:val="20"/>
              </w:rPr>
              <w:t>)</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8EDD9C8" w14:textId="5C78F060" w:rsidR="000524D1" w:rsidRDefault="000C3D64" w:rsidP="00BD3160">
            <w:pPr>
              <w:jc w:val="center"/>
              <w:rPr>
                <w:sz w:val="20"/>
                <w:szCs w:val="20"/>
              </w:rPr>
            </w:pPr>
            <w:r>
              <w:rPr>
                <w:sz w:val="20"/>
                <w:szCs w:val="20"/>
              </w:rPr>
              <w:t>9</w:t>
            </w:r>
            <w:r w:rsidR="000524D1">
              <w:rPr>
                <w:sz w:val="20"/>
                <w:szCs w:val="20"/>
              </w:rPr>
              <w:t>.</w:t>
            </w:r>
            <w:r>
              <w:rPr>
                <w:sz w:val="20"/>
                <w:szCs w:val="20"/>
              </w:rPr>
              <w:t>5</w:t>
            </w:r>
            <w:r w:rsidR="000524D1">
              <w:rPr>
                <w:sz w:val="20"/>
                <w:szCs w:val="20"/>
              </w:rPr>
              <w:t xml:space="preserve"> milj. </w:t>
            </w:r>
            <w:proofErr w:type="spellStart"/>
            <w:r w:rsidR="000524D1">
              <w:rPr>
                <w:i/>
                <w:iCs/>
                <w:sz w:val="20"/>
                <w:szCs w:val="20"/>
              </w:rPr>
              <w:t>euro</w:t>
            </w:r>
            <w:proofErr w:type="spellEnd"/>
          </w:p>
          <w:p w14:paraId="47C887A7" w14:textId="77777777" w:rsidR="000524D1" w:rsidRDefault="000524D1" w:rsidP="00BD3160">
            <w:pPr>
              <w:jc w:val="center"/>
              <w:rPr>
                <w:sz w:val="20"/>
                <w:szCs w:val="20"/>
              </w:rPr>
            </w:pPr>
          </w:p>
          <w:p w14:paraId="7308DBC5" w14:textId="27737D6B" w:rsidR="000524D1" w:rsidRDefault="000524D1" w:rsidP="003563DB">
            <w:pPr>
              <w:jc w:val="center"/>
              <w:rPr>
                <w:sz w:val="20"/>
                <w:szCs w:val="20"/>
              </w:rPr>
            </w:pPr>
            <w:r>
              <w:rPr>
                <w:sz w:val="20"/>
                <w:szCs w:val="20"/>
              </w:rPr>
              <w:t xml:space="preserve">(nepieciešamais finansējums mēnesī – </w:t>
            </w:r>
            <w:r w:rsidR="000C3D64">
              <w:rPr>
                <w:sz w:val="20"/>
                <w:szCs w:val="20"/>
              </w:rPr>
              <w:t>7</w:t>
            </w:r>
            <w:r w:rsidR="003563DB">
              <w:rPr>
                <w:sz w:val="20"/>
                <w:szCs w:val="20"/>
              </w:rPr>
              <w:t>91</w:t>
            </w:r>
            <w:r>
              <w:rPr>
                <w:sz w:val="20"/>
                <w:szCs w:val="20"/>
              </w:rPr>
              <w:t xml:space="preserve"> </w:t>
            </w:r>
            <w:r w:rsidR="003563DB">
              <w:rPr>
                <w:sz w:val="20"/>
                <w:szCs w:val="20"/>
              </w:rPr>
              <w:t>666</w:t>
            </w:r>
            <w:r>
              <w:rPr>
                <w:sz w:val="20"/>
                <w:szCs w:val="20"/>
              </w:rPr>
              <w:t xml:space="preserve"> </w:t>
            </w:r>
            <w:proofErr w:type="spellStart"/>
            <w:r>
              <w:rPr>
                <w:i/>
                <w:iCs/>
                <w:sz w:val="20"/>
                <w:szCs w:val="20"/>
              </w:rPr>
              <w:t>euro</w:t>
            </w:r>
            <w:proofErr w:type="spellEnd"/>
            <w:r>
              <w:rPr>
                <w:sz w:val="20"/>
                <w:szCs w:val="20"/>
              </w:rPr>
              <w:t>)</w:t>
            </w:r>
          </w:p>
        </w:tc>
        <w:tc>
          <w:tcPr>
            <w:tcW w:w="1322" w:type="dxa"/>
            <w:tcBorders>
              <w:top w:val="single" w:sz="4" w:space="0" w:color="auto"/>
              <w:left w:val="nil"/>
              <w:bottom w:val="single" w:sz="8" w:space="0" w:color="auto"/>
              <w:right w:val="single" w:sz="8" w:space="0" w:color="auto"/>
            </w:tcBorders>
          </w:tcPr>
          <w:p w14:paraId="35E4070F" w14:textId="0380415E" w:rsidR="000524D1" w:rsidRDefault="000C3D64" w:rsidP="00BD3160">
            <w:pPr>
              <w:jc w:val="center"/>
              <w:rPr>
                <w:sz w:val="20"/>
                <w:szCs w:val="20"/>
              </w:rPr>
            </w:pPr>
            <w:r>
              <w:rPr>
                <w:sz w:val="20"/>
                <w:szCs w:val="20"/>
              </w:rPr>
              <w:t>9</w:t>
            </w:r>
            <w:r w:rsidR="000524D1">
              <w:rPr>
                <w:sz w:val="20"/>
                <w:szCs w:val="20"/>
              </w:rPr>
              <w:t>.</w:t>
            </w:r>
            <w:r>
              <w:rPr>
                <w:sz w:val="20"/>
                <w:szCs w:val="20"/>
              </w:rPr>
              <w:t>9</w:t>
            </w:r>
            <w:r w:rsidR="000524D1">
              <w:rPr>
                <w:sz w:val="20"/>
                <w:szCs w:val="20"/>
              </w:rPr>
              <w:t xml:space="preserve"> milj. </w:t>
            </w:r>
            <w:proofErr w:type="spellStart"/>
            <w:r w:rsidR="000524D1">
              <w:rPr>
                <w:i/>
                <w:iCs/>
                <w:sz w:val="20"/>
                <w:szCs w:val="20"/>
              </w:rPr>
              <w:t>euro</w:t>
            </w:r>
            <w:proofErr w:type="spellEnd"/>
          </w:p>
          <w:p w14:paraId="07EF92E9" w14:textId="77777777" w:rsidR="000524D1" w:rsidRDefault="000524D1" w:rsidP="00BD3160">
            <w:pPr>
              <w:jc w:val="center"/>
              <w:rPr>
                <w:sz w:val="20"/>
                <w:szCs w:val="20"/>
              </w:rPr>
            </w:pPr>
          </w:p>
          <w:p w14:paraId="0CE39A90" w14:textId="3CEC2504" w:rsidR="000524D1" w:rsidRDefault="000524D1" w:rsidP="003563DB">
            <w:pPr>
              <w:jc w:val="center"/>
              <w:rPr>
                <w:sz w:val="20"/>
                <w:szCs w:val="20"/>
              </w:rPr>
            </w:pPr>
            <w:r>
              <w:rPr>
                <w:sz w:val="20"/>
                <w:szCs w:val="20"/>
              </w:rPr>
              <w:t xml:space="preserve">(nepieciešamais finansējums mēnesī – </w:t>
            </w:r>
            <w:r w:rsidR="000C3D64">
              <w:rPr>
                <w:sz w:val="20"/>
                <w:szCs w:val="20"/>
              </w:rPr>
              <w:t xml:space="preserve">825 </w:t>
            </w:r>
            <w:r w:rsidR="003563DB">
              <w:rPr>
                <w:sz w:val="20"/>
                <w:szCs w:val="20"/>
              </w:rPr>
              <w:t>000</w:t>
            </w:r>
            <w:r>
              <w:rPr>
                <w:sz w:val="20"/>
                <w:szCs w:val="20"/>
              </w:rPr>
              <w:t xml:space="preserve"> </w:t>
            </w:r>
            <w:proofErr w:type="spellStart"/>
            <w:r>
              <w:rPr>
                <w:i/>
                <w:iCs/>
                <w:sz w:val="20"/>
                <w:szCs w:val="20"/>
              </w:rPr>
              <w:t>euro</w:t>
            </w:r>
            <w:proofErr w:type="spellEnd"/>
            <w:r>
              <w:rPr>
                <w:sz w:val="20"/>
                <w:szCs w:val="20"/>
              </w:rPr>
              <w:t>)</w:t>
            </w:r>
          </w:p>
        </w:tc>
        <w:tc>
          <w:tcPr>
            <w:tcW w:w="1372" w:type="dxa"/>
            <w:tcBorders>
              <w:top w:val="single" w:sz="4" w:space="0" w:color="auto"/>
              <w:left w:val="nil"/>
              <w:bottom w:val="single" w:sz="8" w:space="0" w:color="auto"/>
              <w:right w:val="single" w:sz="8" w:space="0" w:color="auto"/>
            </w:tcBorders>
          </w:tcPr>
          <w:p w14:paraId="12AD3658" w14:textId="7095F578" w:rsidR="000524D1" w:rsidRDefault="000524D1" w:rsidP="00BD3160">
            <w:pPr>
              <w:jc w:val="center"/>
              <w:rPr>
                <w:sz w:val="20"/>
                <w:szCs w:val="20"/>
              </w:rPr>
            </w:pPr>
            <w:r>
              <w:rPr>
                <w:sz w:val="20"/>
                <w:szCs w:val="20"/>
              </w:rPr>
              <w:t>1</w:t>
            </w:r>
            <w:r w:rsidR="000C3D64">
              <w:rPr>
                <w:sz w:val="20"/>
                <w:szCs w:val="20"/>
              </w:rPr>
              <w:t>0</w:t>
            </w:r>
            <w:r>
              <w:rPr>
                <w:sz w:val="20"/>
                <w:szCs w:val="20"/>
              </w:rPr>
              <w:t>.</w:t>
            </w:r>
            <w:r w:rsidR="000C3D64">
              <w:rPr>
                <w:sz w:val="20"/>
                <w:szCs w:val="20"/>
              </w:rPr>
              <w:t>2</w:t>
            </w:r>
            <w:r>
              <w:rPr>
                <w:sz w:val="20"/>
                <w:szCs w:val="20"/>
              </w:rPr>
              <w:t xml:space="preserve"> milj. </w:t>
            </w:r>
            <w:proofErr w:type="spellStart"/>
            <w:r>
              <w:rPr>
                <w:i/>
                <w:iCs/>
                <w:sz w:val="20"/>
                <w:szCs w:val="20"/>
              </w:rPr>
              <w:t>euro</w:t>
            </w:r>
            <w:proofErr w:type="spellEnd"/>
          </w:p>
          <w:p w14:paraId="1A0A9202" w14:textId="77777777" w:rsidR="000524D1" w:rsidRDefault="000524D1" w:rsidP="00BD3160">
            <w:pPr>
              <w:jc w:val="center"/>
              <w:rPr>
                <w:sz w:val="20"/>
                <w:szCs w:val="20"/>
              </w:rPr>
            </w:pPr>
          </w:p>
          <w:p w14:paraId="22900782" w14:textId="1788BC08" w:rsidR="000524D1" w:rsidRDefault="000524D1" w:rsidP="003563DB">
            <w:pPr>
              <w:jc w:val="center"/>
              <w:rPr>
                <w:sz w:val="20"/>
                <w:szCs w:val="20"/>
              </w:rPr>
            </w:pPr>
            <w:r>
              <w:rPr>
                <w:sz w:val="20"/>
                <w:szCs w:val="20"/>
              </w:rPr>
              <w:t xml:space="preserve">(nepieciešamais finansējums mēnesī – </w:t>
            </w:r>
            <w:r w:rsidR="00D52699">
              <w:rPr>
                <w:sz w:val="20"/>
                <w:szCs w:val="20"/>
              </w:rPr>
              <w:t>8</w:t>
            </w:r>
            <w:r w:rsidR="003563DB">
              <w:rPr>
                <w:sz w:val="20"/>
                <w:szCs w:val="20"/>
              </w:rPr>
              <w:t>50</w:t>
            </w:r>
            <w:r w:rsidR="00D52699">
              <w:rPr>
                <w:sz w:val="20"/>
                <w:szCs w:val="20"/>
              </w:rPr>
              <w:t xml:space="preserve"> 0</w:t>
            </w:r>
            <w:r w:rsidR="003563DB">
              <w:rPr>
                <w:sz w:val="20"/>
                <w:szCs w:val="20"/>
              </w:rPr>
              <w:t>00</w:t>
            </w:r>
            <w:r>
              <w:rPr>
                <w:sz w:val="20"/>
                <w:szCs w:val="20"/>
              </w:rPr>
              <w:t xml:space="preserve"> </w:t>
            </w:r>
            <w:proofErr w:type="spellStart"/>
            <w:r>
              <w:rPr>
                <w:i/>
                <w:iCs/>
                <w:sz w:val="20"/>
                <w:szCs w:val="20"/>
              </w:rPr>
              <w:t>euro</w:t>
            </w:r>
            <w:proofErr w:type="spellEnd"/>
          </w:p>
        </w:tc>
        <w:tc>
          <w:tcPr>
            <w:tcW w:w="79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7CC339" w14:textId="7DE1AF77" w:rsidR="000524D1" w:rsidRDefault="000C3D64" w:rsidP="003563DB">
            <w:pPr>
              <w:jc w:val="center"/>
              <w:rPr>
                <w:sz w:val="20"/>
                <w:szCs w:val="20"/>
              </w:rPr>
            </w:pPr>
            <w:r>
              <w:rPr>
                <w:sz w:val="20"/>
                <w:szCs w:val="20"/>
              </w:rPr>
              <w:t>42</w:t>
            </w:r>
            <w:r w:rsidR="003563DB">
              <w:rPr>
                <w:sz w:val="20"/>
                <w:szCs w:val="20"/>
              </w:rPr>
              <w:t>.1</w:t>
            </w:r>
            <w:r w:rsidR="000524D1">
              <w:rPr>
                <w:sz w:val="20"/>
                <w:szCs w:val="20"/>
              </w:rPr>
              <w:t xml:space="preserve"> milj. </w:t>
            </w:r>
            <w:proofErr w:type="spellStart"/>
            <w:r w:rsidR="000524D1">
              <w:rPr>
                <w:i/>
                <w:iCs/>
                <w:sz w:val="20"/>
                <w:szCs w:val="20"/>
              </w:rPr>
              <w:t>euro</w:t>
            </w:r>
            <w:proofErr w:type="spellEnd"/>
          </w:p>
        </w:tc>
      </w:tr>
      <w:tr w:rsidR="000524D1" w14:paraId="46E9ED04" w14:textId="77777777" w:rsidTr="00FA6157">
        <w:trPr>
          <w:trHeight w:val="429"/>
          <w:jc w:val="center"/>
        </w:trPr>
        <w:tc>
          <w:tcPr>
            <w:tcW w:w="1550"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6D16C750" w14:textId="77777777" w:rsidR="000524D1" w:rsidRDefault="000524D1" w:rsidP="00BD3160">
            <w:pPr>
              <w:jc w:val="center"/>
              <w:rPr>
                <w:b/>
                <w:bCs/>
                <w:color w:val="000000"/>
                <w:sz w:val="20"/>
                <w:szCs w:val="20"/>
              </w:rPr>
            </w:pPr>
            <w:r>
              <w:rPr>
                <w:b/>
                <w:bCs/>
                <w:color w:val="000000"/>
                <w:sz w:val="20"/>
                <w:szCs w:val="20"/>
              </w:rPr>
              <w:t>Atbalstāmo personu skaits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DE945DF" w14:textId="1935226F" w:rsidR="000524D1" w:rsidRDefault="000C3D64" w:rsidP="000C3D64">
            <w:pPr>
              <w:jc w:val="center"/>
              <w:rPr>
                <w:rFonts w:ascii="Century Gothic" w:hAnsi="Century Gothic"/>
                <w:sz w:val="22"/>
              </w:rPr>
            </w:pPr>
            <w:r>
              <w:rPr>
                <w:sz w:val="20"/>
                <w:szCs w:val="20"/>
              </w:rPr>
              <w:t>2</w:t>
            </w:r>
            <w:r w:rsidR="000524D1">
              <w:rPr>
                <w:sz w:val="20"/>
                <w:szCs w:val="20"/>
              </w:rPr>
              <w:t> </w:t>
            </w:r>
            <w:r>
              <w:rPr>
                <w:sz w:val="20"/>
                <w:szCs w:val="20"/>
              </w:rPr>
              <w:t>484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92A2E97" w14:textId="1FE07E09" w:rsidR="000524D1" w:rsidRDefault="000C3D64" w:rsidP="000C3D64">
            <w:pPr>
              <w:jc w:val="center"/>
              <w:rPr>
                <w:rFonts w:ascii="Calibri" w:hAnsi="Calibri"/>
                <w:sz w:val="20"/>
                <w:szCs w:val="20"/>
              </w:rPr>
            </w:pPr>
            <w:r>
              <w:rPr>
                <w:sz w:val="20"/>
                <w:szCs w:val="20"/>
              </w:rPr>
              <w:t>5</w:t>
            </w:r>
            <w:r w:rsidR="000524D1">
              <w:rPr>
                <w:sz w:val="20"/>
                <w:szCs w:val="20"/>
              </w:rPr>
              <w:t xml:space="preserve"> </w:t>
            </w:r>
            <w:r>
              <w:rPr>
                <w:sz w:val="20"/>
                <w:szCs w:val="20"/>
              </w:rPr>
              <w:t>305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24A21A3" w14:textId="16D10732" w:rsidR="000524D1" w:rsidRDefault="000C3D64" w:rsidP="000C3D64">
            <w:pPr>
              <w:jc w:val="center"/>
              <w:rPr>
                <w:sz w:val="20"/>
                <w:szCs w:val="20"/>
              </w:rPr>
            </w:pPr>
            <w:r>
              <w:rPr>
                <w:sz w:val="20"/>
                <w:szCs w:val="20"/>
              </w:rPr>
              <w:t>5</w:t>
            </w:r>
            <w:r w:rsidR="000524D1">
              <w:rPr>
                <w:sz w:val="20"/>
                <w:szCs w:val="20"/>
              </w:rPr>
              <w:t xml:space="preserve"> </w:t>
            </w:r>
            <w:r>
              <w:rPr>
                <w:sz w:val="20"/>
                <w:szCs w:val="20"/>
              </w:rPr>
              <w:t>911</w:t>
            </w:r>
          </w:p>
        </w:tc>
        <w:tc>
          <w:tcPr>
            <w:tcW w:w="1322" w:type="dxa"/>
            <w:tcBorders>
              <w:top w:val="nil"/>
              <w:left w:val="nil"/>
              <w:bottom w:val="single" w:sz="8" w:space="0" w:color="auto"/>
              <w:right w:val="single" w:sz="8" w:space="0" w:color="auto"/>
            </w:tcBorders>
            <w:hideMark/>
          </w:tcPr>
          <w:p w14:paraId="70F92854" w14:textId="210CDD9D" w:rsidR="000524D1" w:rsidRDefault="000C3D64" w:rsidP="000C3D64">
            <w:pPr>
              <w:jc w:val="center"/>
              <w:rPr>
                <w:sz w:val="20"/>
                <w:szCs w:val="20"/>
              </w:rPr>
            </w:pPr>
            <w:r>
              <w:rPr>
                <w:sz w:val="20"/>
                <w:szCs w:val="20"/>
              </w:rPr>
              <w:t>6</w:t>
            </w:r>
            <w:r w:rsidR="000524D1">
              <w:rPr>
                <w:sz w:val="20"/>
                <w:szCs w:val="20"/>
              </w:rPr>
              <w:t xml:space="preserve"> </w:t>
            </w:r>
            <w:r>
              <w:rPr>
                <w:sz w:val="20"/>
                <w:szCs w:val="20"/>
              </w:rPr>
              <w:t>192</w:t>
            </w:r>
          </w:p>
        </w:tc>
        <w:tc>
          <w:tcPr>
            <w:tcW w:w="1372" w:type="dxa"/>
            <w:tcBorders>
              <w:top w:val="nil"/>
              <w:left w:val="nil"/>
              <w:bottom w:val="single" w:sz="8" w:space="0" w:color="auto"/>
              <w:right w:val="single" w:sz="8" w:space="0" w:color="auto"/>
            </w:tcBorders>
            <w:hideMark/>
          </w:tcPr>
          <w:p w14:paraId="218D0E9D" w14:textId="074FB977" w:rsidR="000524D1" w:rsidRDefault="000C3D64" w:rsidP="000C3D64">
            <w:pPr>
              <w:jc w:val="center"/>
              <w:rPr>
                <w:sz w:val="20"/>
                <w:szCs w:val="20"/>
              </w:rPr>
            </w:pPr>
            <w:r>
              <w:rPr>
                <w:sz w:val="20"/>
                <w:szCs w:val="20"/>
              </w:rPr>
              <w:t>6</w:t>
            </w:r>
            <w:r w:rsidR="000524D1">
              <w:rPr>
                <w:sz w:val="20"/>
                <w:szCs w:val="20"/>
              </w:rPr>
              <w:t xml:space="preserve"> </w:t>
            </w:r>
            <w:r>
              <w:rPr>
                <w:sz w:val="20"/>
                <w:szCs w:val="20"/>
              </w:rPr>
              <w:t>3</w:t>
            </w:r>
            <w:r w:rsidR="000524D1">
              <w:rPr>
                <w:sz w:val="20"/>
                <w:szCs w:val="20"/>
              </w:rPr>
              <w:t>6</w:t>
            </w:r>
            <w:r>
              <w:rPr>
                <w:sz w:val="20"/>
                <w:szCs w:val="20"/>
              </w:rPr>
              <w:t>0</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14:paraId="3B765D66" w14:textId="3A754572" w:rsidR="000524D1" w:rsidRDefault="00D52699" w:rsidP="00D52699">
            <w:pPr>
              <w:jc w:val="center"/>
              <w:rPr>
                <w:sz w:val="20"/>
                <w:szCs w:val="20"/>
              </w:rPr>
            </w:pPr>
            <w:r>
              <w:rPr>
                <w:sz w:val="20"/>
                <w:szCs w:val="20"/>
              </w:rPr>
              <w:t>2</w:t>
            </w:r>
            <w:r w:rsidR="000524D1">
              <w:rPr>
                <w:sz w:val="20"/>
                <w:szCs w:val="20"/>
              </w:rPr>
              <w:t xml:space="preserve">6 </w:t>
            </w:r>
            <w:r>
              <w:rPr>
                <w:sz w:val="20"/>
                <w:szCs w:val="20"/>
              </w:rPr>
              <w:t>252</w:t>
            </w:r>
          </w:p>
        </w:tc>
      </w:tr>
    </w:tbl>
    <w:p w14:paraId="17369FED" w14:textId="4068B147" w:rsidR="000524D1" w:rsidRPr="00390436" w:rsidRDefault="000524D1" w:rsidP="000524D1">
      <w:pPr>
        <w:pStyle w:val="ListParagraph"/>
        <w:tabs>
          <w:tab w:val="left" w:pos="284"/>
        </w:tabs>
        <w:ind w:left="0"/>
        <w:jc w:val="right"/>
        <w:rPr>
          <w:rFonts w:ascii="Times New Roman" w:hAnsi="Times New Roman"/>
          <w:bCs/>
          <w:color w:val="000000" w:themeColor="text1"/>
          <w:sz w:val="20"/>
          <w:szCs w:val="20"/>
        </w:rPr>
      </w:pPr>
      <w:r w:rsidRPr="00390436">
        <w:rPr>
          <w:rFonts w:ascii="Times New Roman" w:hAnsi="Times New Roman"/>
          <w:bCs/>
          <w:color w:val="000000" w:themeColor="text1"/>
          <w:sz w:val="20"/>
          <w:szCs w:val="20"/>
        </w:rPr>
        <w:t>Tabula Nr.</w:t>
      </w:r>
      <w:r w:rsidR="00843F9B">
        <w:rPr>
          <w:rFonts w:ascii="Times New Roman" w:hAnsi="Times New Roman"/>
          <w:bCs/>
          <w:color w:val="000000" w:themeColor="text1"/>
          <w:sz w:val="20"/>
          <w:szCs w:val="20"/>
        </w:rPr>
        <w:t>3</w:t>
      </w:r>
    </w:p>
    <w:p w14:paraId="25A20909" w14:textId="77777777" w:rsidR="000524D1" w:rsidRPr="00390436" w:rsidRDefault="000524D1" w:rsidP="000524D1">
      <w:pPr>
        <w:jc w:val="right"/>
        <w:rPr>
          <w:color w:val="000000" w:themeColor="text1"/>
          <w:sz w:val="20"/>
          <w:szCs w:val="20"/>
          <w:shd w:val="clear" w:color="auto" w:fill="FEFEFE"/>
        </w:rPr>
      </w:pPr>
      <w:r w:rsidRPr="00390436">
        <w:rPr>
          <w:color w:val="000000" w:themeColor="text1"/>
          <w:sz w:val="20"/>
          <w:szCs w:val="20"/>
        </w:rPr>
        <w:t xml:space="preserve">Avots: </w:t>
      </w:r>
      <w:r w:rsidRPr="00390436">
        <w:rPr>
          <w:color w:val="000000" w:themeColor="text1"/>
          <w:sz w:val="20"/>
          <w:szCs w:val="20"/>
          <w:shd w:val="clear" w:color="auto" w:fill="FEFEFE"/>
        </w:rPr>
        <w:t xml:space="preserve">akciju sabiedrības "Attīstības finanšu institūcija </w:t>
      </w:r>
      <w:proofErr w:type="spellStart"/>
      <w:r w:rsidRPr="00390436">
        <w:rPr>
          <w:color w:val="000000" w:themeColor="text1"/>
          <w:sz w:val="20"/>
          <w:szCs w:val="20"/>
          <w:shd w:val="clear" w:color="auto" w:fill="FEFEFE"/>
        </w:rPr>
        <w:t>Altum</w:t>
      </w:r>
      <w:proofErr w:type="spellEnd"/>
      <w:r w:rsidRPr="00390436">
        <w:rPr>
          <w:color w:val="000000" w:themeColor="text1"/>
          <w:sz w:val="20"/>
          <w:szCs w:val="20"/>
          <w:shd w:val="clear" w:color="auto" w:fill="FEFEFE"/>
        </w:rPr>
        <w:t>" sniegtie dati</w:t>
      </w:r>
    </w:p>
    <w:p w14:paraId="6C1E06A7" w14:textId="1DF950DE" w:rsidR="001C241D" w:rsidRPr="00974D66" w:rsidRDefault="001C241D" w:rsidP="00843F9B">
      <w:pPr>
        <w:pStyle w:val="FootnoteText"/>
        <w:jc w:val="both"/>
        <w:rPr>
          <w:b/>
          <w:sz w:val="24"/>
          <w:szCs w:val="24"/>
        </w:rPr>
      </w:pPr>
      <w:r>
        <w:rPr>
          <w:rFonts w:cs="Times New Roman"/>
          <w:b/>
          <w:i/>
          <w:color w:val="000000" w:themeColor="text1"/>
          <w:sz w:val="24"/>
          <w:szCs w:val="24"/>
        </w:rPr>
        <w:tab/>
      </w:r>
      <w:r w:rsidRPr="00974D66">
        <w:rPr>
          <w:rFonts w:cs="Times New Roman"/>
          <w:b/>
          <w:color w:val="000000" w:themeColor="text1"/>
          <w:sz w:val="24"/>
          <w:szCs w:val="24"/>
        </w:rPr>
        <w:t xml:space="preserve">Šobrīd tiek prognozēts, ka </w:t>
      </w:r>
      <w:r w:rsidRPr="00974D66">
        <w:rPr>
          <w:rFonts w:cs="Times New Roman"/>
          <w:b/>
          <w:sz w:val="24"/>
          <w:szCs w:val="24"/>
        </w:rPr>
        <w:t xml:space="preserve">Ekonomikas ministrijas budžeta programmā 33.00.00 </w:t>
      </w:r>
      <w:r w:rsidR="00974D66" w:rsidRPr="00974D66">
        <w:rPr>
          <w:rFonts w:cs="Times New Roman"/>
          <w:b/>
          <w:sz w:val="24"/>
          <w:szCs w:val="24"/>
        </w:rPr>
        <w:t>„</w:t>
      </w:r>
      <w:r w:rsidRPr="00974D66">
        <w:rPr>
          <w:rFonts w:cs="Times New Roman"/>
          <w:b/>
          <w:sz w:val="24"/>
          <w:szCs w:val="24"/>
        </w:rPr>
        <w:t xml:space="preserve">Ekonomikas attīstības programma" </w:t>
      </w:r>
      <w:r w:rsidRPr="00974D66">
        <w:rPr>
          <w:rFonts w:cs="Times New Roman"/>
          <w:b/>
          <w:color w:val="000000" w:themeColor="text1"/>
          <w:sz w:val="24"/>
          <w:szCs w:val="24"/>
        </w:rPr>
        <w:t xml:space="preserve">līdz 2016.gada beigām ienākumi no </w:t>
      </w:r>
      <w:proofErr w:type="spellStart"/>
      <w:r w:rsidRPr="00974D66">
        <w:rPr>
          <w:rFonts w:cs="Times New Roman"/>
          <w:b/>
          <w:color w:val="000000" w:themeColor="text1"/>
          <w:sz w:val="24"/>
          <w:szCs w:val="24"/>
        </w:rPr>
        <w:t>termiņuzturēšanās</w:t>
      </w:r>
      <w:proofErr w:type="spellEnd"/>
      <w:r w:rsidRPr="00974D66">
        <w:rPr>
          <w:rFonts w:cs="Times New Roman"/>
          <w:b/>
          <w:color w:val="000000" w:themeColor="text1"/>
          <w:sz w:val="24"/>
          <w:szCs w:val="24"/>
        </w:rPr>
        <w:t xml:space="preserve"> atļaujām varētu </w:t>
      </w:r>
      <w:r w:rsidRPr="00974D66">
        <w:rPr>
          <w:rFonts w:cs="Times New Roman"/>
          <w:b/>
          <w:sz w:val="24"/>
          <w:szCs w:val="24"/>
        </w:rPr>
        <w:t>bū</w:t>
      </w:r>
      <w:r w:rsidR="00E90D54">
        <w:rPr>
          <w:rFonts w:cs="Times New Roman"/>
          <w:b/>
          <w:sz w:val="24"/>
          <w:szCs w:val="24"/>
        </w:rPr>
        <w:t>t</w:t>
      </w:r>
      <w:r w:rsidRPr="00974D66">
        <w:rPr>
          <w:rFonts w:cs="Times New Roman"/>
          <w:b/>
          <w:sz w:val="24"/>
          <w:szCs w:val="24"/>
        </w:rPr>
        <w:t xml:space="preserve"> aptuveni 1.5 milj. </w:t>
      </w:r>
      <w:proofErr w:type="spellStart"/>
      <w:r w:rsidRPr="00974D66">
        <w:rPr>
          <w:rFonts w:cs="Times New Roman"/>
          <w:b/>
          <w:i/>
          <w:sz w:val="24"/>
          <w:szCs w:val="24"/>
        </w:rPr>
        <w:t>euro</w:t>
      </w:r>
      <w:proofErr w:type="spellEnd"/>
      <w:r w:rsidRPr="00974D66">
        <w:rPr>
          <w:rFonts w:cs="Times New Roman"/>
          <w:b/>
          <w:sz w:val="24"/>
          <w:szCs w:val="24"/>
        </w:rPr>
        <w:t xml:space="preserve">, kā rezultātā nepieciešamais </w:t>
      </w:r>
      <w:r w:rsidR="00C72C59">
        <w:rPr>
          <w:rFonts w:cs="Times New Roman"/>
          <w:b/>
          <w:sz w:val="24"/>
          <w:szCs w:val="24"/>
        </w:rPr>
        <w:t xml:space="preserve">papildus </w:t>
      </w:r>
      <w:r w:rsidRPr="00974D66">
        <w:rPr>
          <w:rFonts w:cs="Times New Roman"/>
          <w:b/>
          <w:sz w:val="24"/>
          <w:szCs w:val="24"/>
        </w:rPr>
        <w:t>finansējums, lai nodrošināt pieprasīto galvojumu izsniegšanu 2016.gadā</w:t>
      </w:r>
      <w:r w:rsidR="00E90D54">
        <w:rPr>
          <w:rFonts w:cs="Times New Roman"/>
          <w:b/>
          <w:sz w:val="24"/>
          <w:szCs w:val="24"/>
        </w:rPr>
        <w:t>,</w:t>
      </w:r>
      <w:r w:rsidRPr="00974D66">
        <w:rPr>
          <w:rFonts w:cs="Times New Roman"/>
          <w:b/>
          <w:sz w:val="24"/>
          <w:szCs w:val="24"/>
        </w:rPr>
        <w:t xml:space="preserve"> ir 2.5 </w:t>
      </w:r>
      <w:proofErr w:type="spellStart"/>
      <w:r w:rsidRPr="00974D66">
        <w:rPr>
          <w:rFonts w:cs="Times New Roman"/>
          <w:b/>
          <w:sz w:val="24"/>
          <w:szCs w:val="24"/>
        </w:rPr>
        <w:t>milj</w:t>
      </w:r>
      <w:proofErr w:type="spellEnd"/>
      <w:r w:rsidRPr="00974D66">
        <w:rPr>
          <w:rFonts w:cs="Times New Roman"/>
          <w:b/>
          <w:sz w:val="24"/>
          <w:szCs w:val="24"/>
        </w:rPr>
        <w:t xml:space="preserve"> </w:t>
      </w:r>
      <w:proofErr w:type="spellStart"/>
      <w:r w:rsidRPr="00974D66">
        <w:rPr>
          <w:rFonts w:cs="Times New Roman"/>
          <w:b/>
          <w:i/>
          <w:sz w:val="24"/>
          <w:szCs w:val="24"/>
        </w:rPr>
        <w:t>euro</w:t>
      </w:r>
      <w:proofErr w:type="spellEnd"/>
      <w:r w:rsidRPr="00974D66">
        <w:rPr>
          <w:rFonts w:cs="Times New Roman"/>
          <w:b/>
          <w:sz w:val="24"/>
          <w:szCs w:val="24"/>
        </w:rPr>
        <w:t xml:space="preserve">. </w:t>
      </w:r>
    </w:p>
    <w:p w14:paraId="3D05BD8B" w14:textId="77777777" w:rsidR="002D4AB0" w:rsidRPr="008B3C64" w:rsidRDefault="002D4AB0" w:rsidP="00BF6F42">
      <w:pPr>
        <w:jc w:val="right"/>
        <w:rPr>
          <w:color w:val="000000" w:themeColor="text1"/>
          <w:sz w:val="20"/>
          <w:szCs w:val="20"/>
        </w:rPr>
      </w:pPr>
    </w:p>
    <w:p w14:paraId="2EBE9B5A" w14:textId="60C4E39C" w:rsidR="00811E03" w:rsidRDefault="00811E03" w:rsidP="00246C9F">
      <w:pPr>
        <w:tabs>
          <w:tab w:val="left" w:pos="3675"/>
        </w:tabs>
        <w:jc w:val="center"/>
        <w:rPr>
          <w:b/>
          <w:sz w:val="26"/>
          <w:szCs w:val="26"/>
        </w:rPr>
      </w:pPr>
      <w:r w:rsidRPr="00662E86">
        <w:rPr>
          <w:b/>
          <w:sz w:val="26"/>
          <w:szCs w:val="26"/>
        </w:rPr>
        <w:t>V Kopsavilkums</w:t>
      </w:r>
    </w:p>
    <w:p w14:paraId="3CDB611D" w14:textId="7C5CC1B1" w:rsidR="00EE074D" w:rsidRPr="00CA7D60" w:rsidRDefault="00C06B16" w:rsidP="00246C9F">
      <w:pPr>
        <w:shd w:val="clear" w:color="auto" w:fill="FFFFFF" w:themeFill="background1"/>
        <w:ind w:firstLine="709"/>
        <w:jc w:val="both"/>
        <w:rPr>
          <w:rFonts w:cs="Times New Roman"/>
          <w:sz w:val="24"/>
          <w:szCs w:val="24"/>
        </w:rPr>
      </w:pPr>
      <w:r w:rsidRPr="00CA7D60">
        <w:rPr>
          <w:rFonts w:cs="Times New Roman"/>
          <w:sz w:val="24"/>
          <w:szCs w:val="24"/>
        </w:rPr>
        <w:t>Šobrīd pieejamais finansējums nespēj nodrošināt galvojumu izsniegšanu visām personām, kuras vēlas izmantot valsts sniegto atbalstu.</w:t>
      </w:r>
      <w:r w:rsidR="00D83780" w:rsidRPr="00CA7D60">
        <w:rPr>
          <w:rFonts w:cs="Times New Roman"/>
          <w:sz w:val="24"/>
          <w:szCs w:val="24"/>
        </w:rPr>
        <w:t xml:space="preserve"> </w:t>
      </w:r>
      <w:r w:rsidRPr="00CA7D60">
        <w:rPr>
          <w:rFonts w:cs="Times New Roman"/>
          <w:sz w:val="24"/>
          <w:szCs w:val="24"/>
        </w:rPr>
        <w:t>Vienlaikus, nereti ir novērojams, ka personu motivācija izmantot mājokļa atbalsta programmu ir nevis problēmas iekrāt pirmo iemaksu, bet gan iespējas iegūt atlaidi par īpašuma reģistrāciju zemesgrāmatā, par to maksājot 0.5% līdzšinējo 2% vietā.</w:t>
      </w:r>
    </w:p>
    <w:p w14:paraId="47297CDC" w14:textId="46CB7AB9" w:rsidR="002C2FCB" w:rsidRDefault="00662E86" w:rsidP="00813C66">
      <w:pPr>
        <w:ind w:firstLine="709"/>
        <w:jc w:val="both"/>
        <w:rPr>
          <w:rFonts w:cs="Times New Roman"/>
          <w:color w:val="000000" w:themeColor="text1"/>
          <w:sz w:val="24"/>
          <w:szCs w:val="24"/>
          <w:u w:val="single"/>
        </w:rPr>
      </w:pPr>
      <w:r w:rsidRPr="00CA7D60">
        <w:rPr>
          <w:rFonts w:cs="Times New Roman"/>
          <w:sz w:val="24"/>
          <w:szCs w:val="24"/>
        </w:rPr>
        <w:t>Ņemot vērā minēto E</w:t>
      </w:r>
      <w:r w:rsidR="00436CD8" w:rsidRPr="00CA7D60">
        <w:rPr>
          <w:rFonts w:cs="Times New Roman"/>
          <w:sz w:val="24"/>
          <w:szCs w:val="24"/>
        </w:rPr>
        <w:t>konomikas ministrija</w:t>
      </w:r>
      <w:r w:rsidRPr="00CA7D60">
        <w:rPr>
          <w:rFonts w:cs="Times New Roman"/>
          <w:sz w:val="24"/>
          <w:szCs w:val="24"/>
        </w:rPr>
        <w:t xml:space="preserve"> uzskata, ka</w:t>
      </w:r>
      <w:r w:rsidR="00436CD8" w:rsidRPr="00CA7D60">
        <w:rPr>
          <w:rFonts w:cs="Times New Roman"/>
          <w:sz w:val="24"/>
          <w:szCs w:val="24"/>
        </w:rPr>
        <w:t>,</w:t>
      </w:r>
      <w:r w:rsidRPr="00CA7D60">
        <w:rPr>
          <w:rFonts w:cs="Times New Roman"/>
          <w:sz w:val="24"/>
          <w:szCs w:val="24"/>
        </w:rPr>
        <w:t xml:space="preserve"> </w:t>
      </w:r>
      <w:r w:rsidR="00C06B16" w:rsidRPr="00CA7D60">
        <w:rPr>
          <w:rFonts w:cs="Times New Roman"/>
          <w:sz w:val="24"/>
          <w:szCs w:val="24"/>
        </w:rPr>
        <w:t xml:space="preserve">ievērojot </w:t>
      </w:r>
      <w:r w:rsidR="00C06B16" w:rsidRPr="00CA7D60">
        <w:rPr>
          <w:rFonts w:cs="Times New Roman"/>
          <w:bCs/>
          <w:color w:val="000000" w:themeColor="text1"/>
          <w:sz w:val="24"/>
          <w:szCs w:val="24"/>
        </w:rPr>
        <w:t>Ministru kabineta 2016.gada 3.maija rīkojumā Nr. 275 „P</w:t>
      </w:r>
      <w:r w:rsidR="00C06B16" w:rsidRPr="00CA7D60">
        <w:rPr>
          <w:rFonts w:cs="Times New Roman"/>
          <w:color w:val="000000" w:themeColor="text1"/>
          <w:sz w:val="24"/>
          <w:szCs w:val="24"/>
        </w:rPr>
        <w:t>ar Valdības rīcības plānu Deklarācijas par Māra Kučinska vadītā Ministru kabineta iecerēto darbību īstenošanai” noteikto,</w:t>
      </w:r>
      <w:r w:rsidR="00BD3160" w:rsidRPr="00CA7D60">
        <w:rPr>
          <w:rFonts w:cs="Times New Roman"/>
          <w:color w:val="000000" w:themeColor="text1"/>
          <w:sz w:val="24"/>
          <w:szCs w:val="24"/>
        </w:rPr>
        <w:t xml:space="preserve"> </w:t>
      </w:r>
      <w:r w:rsidR="00914C54">
        <w:rPr>
          <w:rFonts w:cs="Times New Roman"/>
          <w:color w:val="000000" w:themeColor="text1"/>
          <w:sz w:val="24"/>
          <w:szCs w:val="24"/>
        </w:rPr>
        <w:t xml:space="preserve">ir nepieciešams </w:t>
      </w:r>
      <w:r w:rsidR="00C06B16" w:rsidRPr="00CA7D60">
        <w:rPr>
          <w:rFonts w:cs="Times New Roman"/>
          <w:b/>
          <w:color w:val="000000" w:themeColor="text1"/>
          <w:sz w:val="24"/>
          <w:szCs w:val="24"/>
        </w:rPr>
        <w:t>piešķirt papildus finansējumu</w:t>
      </w:r>
      <w:r w:rsidR="000705A3">
        <w:rPr>
          <w:rFonts w:cs="Times New Roman"/>
          <w:b/>
          <w:color w:val="000000" w:themeColor="text1"/>
          <w:sz w:val="24"/>
          <w:szCs w:val="24"/>
        </w:rPr>
        <w:t xml:space="preserve"> 2.5 milj. </w:t>
      </w:r>
      <w:proofErr w:type="spellStart"/>
      <w:r w:rsidR="000705A3" w:rsidRPr="000705A3">
        <w:rPr>
          <w:rFonts w:cs="Times New Roman"/>
          <w:b/>
          <w:i/>
          <w:color w:val="000000" w:themeColor="text1"/>
          <w:sz w:val="24"/>
          <w:szCs w:val="24"/>
        </w:rPr>
        <w:t>euro</w:t>
      </w:r>
      <w:proofErr w:type="spellEnd"/>
      <w:r w:rsidR="000705A3">
        <w:rPr>
          <w:rFonts w:cs="Times New Roman"/>
          <w:b/>
          <w:color w:val="000000" w:themeColor="text1"/>
          <w:sz w:val="24"/>
          <w:szCs w:val="24"/>
        </w:rPr>
        <w:t xml:space="preserve"> apmērā</w:t>
      </w:r>
      <w:r w:rsidR="00C06B16" w:rsidRPr="00CA7D60">
        <w:rPr>
          <w:rFonts w:cs="Times New Roman"/>
          <w:b/>
          <w:color w:val="000000" w:themeColor="text1"/>
          <w:sz w:val="24"/>
          <w:szCs w:val="24"/>
        </w:rPr>
        <w:t xml:space="preserve">, </w:t>
      </w:r>
      <w:r w:rsidR="00C06B16" w:rsidRPr="00CA7D60">
        <w:rPr>
          <w:b/>
          <w:color w:val="000000" w:themeColor="text1"/>
          <w:sz w:val="24"/>
          <w:szCs w:val="24"/>
        </w:rPr>
        <w:t xml:space="preserve">lai </w:t>
      </w:r>
      <w:r w:rsidR="00BC0878">
        <w:rPr>
          <w:b/>
          <w:color w:val="000000" w:themeColor="text1"/>
          <w:sz w:val="24"/>
          <w:szCs w:val="24"/>
        </w:rPr>
        <w:t xml:space="preserve">līdz 2016.gada beigām </w:t>
      </w:r>
      <w:r w:rsidR="00C06B16" w:rsidRPr="00CA7D60">
        <w:rPr>
          <w:b/>
          <w:color w:val="000000" w:themeColor="text1"/>
          <w:sz w:val="24"/>
          <w:szCs w:val="24"/>
        </w:rPr>
        <w:t>turpinātu piešķirt galvojumus mājokļu atbalsta programmas ietvaros līdzšinējā apmērā.</w:t>
      </w:r>
      <w:r w:rsidR="002C2FCB" w:rsidRPr="00CA7D60">
        <w:rPr>
          <w:b/>
          <w:color w:val="000000" w:themeColor="text1"/>
          <w:sz w:val="24"/>
          <w:szCs w:val="24"/>
        </w:rPr>
        <w:t xml:space="preserve"> </w:t>
      </w:r>
      <w:r w:rsidR="002C2FCB" w:rsidRPr="00CA7D60">
        <w:rPr>
          <w:rFonts w:cs="Times New Roman"/>
          <w:color w:val="000000" w:themeColor="text1"/>
          <w:sz w:val="24"/>
          <w:szCs w:val="24"/>
          <w:u w:val="single"/>
        </w:rPr>
        <w:t xml:space="preserve">Ieviešot šo risinājumu ģimenes turpinās iegūt no valsts nodevas </w:t>
      </w:r>
      <w:r w:rsidR="00D440C0">
        <w:rPr>
          <w:rFonts w:cs="Times New Roman"/>
          <w:color w:val="000000" w:themeColor="text1"/>
          <w:sz w:val="24"/>
          <w:szCs w:val="24"/>
          <w:u w:val="single"/>
        </w:rPr>
        <w:t>atvieglotās procentu likmes</w:t>
      </w:r>
      <w:r w:rsidR="006D2D2A" w:rsidRPr="00CA7D60">
        <w:rPr>
          <w:rFonts w:cs="Times New Roman"/>
          <w:color w:val="000000" w:themeColor="text1"/>
          <w:sz w:val="24"/>
          <w:szCs w:val="24"/>
          <w:u w:val="single"/>
        </w:rPr>
        <w:t>,</w:t>
      </w:r>
      <w:r w:rsidR="002C2FCB" w:rsidRPr="00CA7D60">
        <w:rPr>
          <w:rFonts w:cs="Times New Roman"/>
          <w:color w:val="000000" w:themeColor="text1"/>
          <w:sz w:val="24"/>
          <w:szCs w:val="24"/>
          <w:u w:val="single"/>
        </w:rPr>
        <w:t xml:space="preserve"> un ģimenēm ar bērniem nebūs jāsedz prēmija par piešķirto galvojumu, kā arī galvoto kredītu īpatsvars hipotekārajā kredītportfelī turpinās pieaugt. </w:t>
      </w:r>
    </w:p>
    <w:p w14:paraId="67C7F89A" w14:textId="1CE5185B" w:rsidR="000705A3" w:rsidRPr="00CA7D60" w:rsidRDefault="000705A3" w:rsidP="000705A3">
      <w:pPr>
        <w:widowControl w:val="0"/>
        <w:shd w:val="clear" w:color="auto" w:fill="FFFFFF" w:themeFill="background1"/>
        <w:ind w:firstLine="709"/>
        <w:contextualSpacing/>
        <w:jc w:val="both"/>
        <w:rPr>
          <w:rFonts w:cs="Times New Roman"/>
          <w:b/>
          <w:color w:val="000000" w:themeColor="text1"/>
          <w:sz w:val="24"/>
          <w:szCs w:val="24"/>
        </w:rPr>
      </w:pPr>
      <w:r>
        <w:rPr>
          <w:rFonts w:cs="Times New Roman"/>
          <w:color w:val="000000" w:themeColor="text1"/>
          <w:sz w:val="24"/>
          <w:szCs w:val="24"/>
        </w:rPr>
        <w:t>Papildus ir</w:t>
      </w:r>
      <w:r w:rsidRPr="003563DB">
        <w:rPr>
          <w:rFonts w:cs="Times New Roman"/>
          <w:color w:val="000000" w:themeColor="text1"/>
          <w:sz w:val="24"/>
          <w:szCs w:val="24"/>
        </w:rPr>
        <w:t xml:space="preserve"> </w:t>
      </w:r>
      <w:r w:rsidRPr="00CA7D60">
        <w:rPr>
          <w:color w:val="000000" w:themeColor="text1"/>
          <w:sz w:val="24"/>
          <w:szCs w:val="24"/>
          <w:lang w:eastAsia="lv-LV"/>
        </w:rPr>
        <w:t xml:space="preserve">nepieciešams veikt grozījumus </w:t>
      </w:r>
      <w:r w:rsidR="00843F9B" w:rsidRPr="000705A3">
        <w:rPr>
          <w:color w:val="000000"/>
          <w:sz w:val="24"/>
          <w:szCs w:val="24"/>
          <w:lang w:eastAsia="lv-LV"/>
        </w:rPr>
        <w:t>Ministru kabineta 2009.gada 27.oktobra noteikumos Nr.1250 „Noteikumi par valsts nodevu par īpašuma tiesību un ķīlas tiesību nostiprināšanu zemesgrāmatā”</w:t>
      </w:r>
      <w:r w:rsidR="00843F9B">
        <w:rPr>
          <w:color w:val="000000"/>
          <w:sz w:val="24"/>
          <w:szCs w:val="24"/>
          <w:lang w:eastAsia="lv-LV"/>
        </w:rPr>
        <w:t xml:space="preserve"> </w:t>
      </w:r>
      <w:r w:rsidRPr="00CA7D60">
        <w:rPr>
          <w:color w:val="000000" w:themeColor="text1"/>
          <w:sz w:val="24"/>
          <w:szCs w:val="24"/>
          <w:lang w:eastAsia="lv-LV"/>
        </w:rPr>
        <w:t>ar mērķi panākt</w:t>
      </w:r>
      <w:r w:rsidRPr="00CA7D60">
        <w:rPr>
          <w:sz w:val="24"/>
          <w:szCs w:val="24"/>
        </w:rPr>
        <w:t>, ka</w:t>
      </w:r>
      <w:r w:rsidRPr="00CA7D60">
        <w:rPr>
          <w:color w:val="000000" w:themeColor="text1"/>
          <w:sz w:val="24"/>
          <w:szCs w:val="24"/>
        </w:rPr>
        <w:t xml:space="preserve"> nekustamajiem īpašumiem, kuru vērtība pārsniedz 100 000 </w:t>
      </w:r>
      <w:proofErr w:type="spellStart"/>
      <w:r w:rsidRPr="00CA7D60">
        <w:rPr>
          <w:i/>
          <w:color w:val="000000" w:themeColor="text1"/>
          <w:sz w:val="24"/>
          <w:szCs w:val="24"/>
        </w:rPr>
        <w:t>euro</w:t>
      </w:r>
      <w:proofErr w:type="spellEnd"/>
      <w:r w:rsidRPr="00CA7D60">
        <w:rPr>
          <w:color w:val="000000" w:themeColor="text1"/>
          <w:sz w:val="24"/>
          <w:szCs w:val="24"/>
        </w:rPr>
        <w:t xml:space="preserve">, summa starp noteikto valsts nodevas </w:t>
      </w:r>
      <w:proofErr w:type="spellStart"/>
      <w:r w:rsidRPr="00CA7D60">
        <w:rPr>
          <w:color w:val="000000" w:themeColor="text1"/>
          <w:sz w:val="24"/>
          <w:szCs w:val="24"/>
        </w:rPr>
        <w:t>standartlikmi</w:t>
      </w:r>
      <w:proofErr w:type="spellEnd"/>
      <w:r w:rsidRPr="00CA7D60">
        <w:rPr>
          <w:color w:val="000000" w:themeColor="text1"/>
          <w:sz w:val="24"/>
          <w:szCs w:val="24"/>
        </w:rPr>
        <w:t xml:space="preserve"> 2% un piemērojamo atvieglojumu mājokļu programmas ietvaros nepārsniedz 1500 </w:t>
      </w:r>
      <w:proofErr w:type="spellStart"/>
      <w:r w:rsidRPr="00CA7D60">
        <w:rPr>
          <w:i/>
          <w:color w:val="000000" w:themeColor="text1"/>
          <w:sz w:val="24"/>
          <w:szCs w:val="24"/>
        </w:rPr>
        <w:t>euro</w:t>
      </w:r>
      <w:proofErr w:type="spellEnd"/>
      <w:r w:rsidRPr="00CA7D60">
        <w:rPr>
          <w:color w:val="000000" w:themeColor="text1"/>
          <w:sz w:val="24"/>
          <w:szCs w:val="24"/>
          <w:lang w:eastAsia="lv-LV"/>
        </w:rPr>
        <w:t>.</w:t>
      </w:r>
    </w:p>
    <w:p w14:paraId="45AFF9A2" w14:textId="16382E12" w:rsidR="00BC0878" w:rsidRPr="003563DB" w:rsidRDefault="00BC0878" w:rsidP="00BC0878">
      <w:pPr>
        <w:widowControl w:val="0"/>
        <w:shd w:val="clear" w:color="auto" w:fill="FFFFFF" w:themeFill="background1"/>
        <w:ind w:firstLine="709"/>
        <w:contextualSpacing/>
        <w:jc w:val="both"/>
        <w:rPr>
          <w:color w:val="000000" w:themeColor="text1"/>
          <w:sz w:val="24"/>
          <w:szCs w:val="24"/>
        </w:rPr>
      </w:pPr>
      <w:r w:rsidRPr="003563DB">
        <w:rPr>
          <w:color w:val="000000" w:themeColor="text1"/>
          <w:sz w:val="24"/>
          <w:szCs w:val="24"/>
        </w:rPr>
        <w:t xml:space="preserve">Vienlaikus jautājumu par </w:t>
      </w:r>
      <w:r w:rsidR="000705A3">
        <w:rPr>
          <w:color w:val="000000" w:themeColor="text1"/>
          <w:sz w:val="24"/>
          <w:szCs w:val="24"/>
        </w:rPr>
        <w:t xml:space="preserve">risinājumu programmas darbību ilgtermiņā un </w:t>
      </w:r>
      <w:r w:rsidRPr="003563DB">
        <w:rPr>
          <w:color w:val="000000" w:themeColor="text1"/>
          <w:sz w:val="24"/>
          <w:szCs w:val="24"/>
        </w:rPr>
        <w:t xml:space="preserve">papildus finansējuma piešķiršanu mājokļa programmas darbības nodrošināšanai 2017. un turpmākajos gados </w:t>
      </w:r>
      <w:r w:rsidR="000705A3">
        <w:rPr>
          <w:color w:val="000000" w:themeColor="text1"/>
          <w:sz w:val="24"/>
          <w:szCs w:val="24"/>
        </w:rPr>
        <w:t>Ekonomikas ministrija sadarbībā ar līdzatbildīgajām institūcijām ir nepieciešams izvērtēt un sagatavot</w:t>
      </w:r>
      <w:r w:rsidRPr="003563DB">
        <w:rPr>
          <w:color w:val="000000" w:themeColor="text1"/>
          <w:sz w:val="24"/>
          <w:szCs w:val="24"/>
        </w:rPr>
        <w:t xml:space="preserve"> likumprojekta „Par valsts budžetu 2017.gadam” un likumprojekta „Par vidēja termiņa budžeta ietvaru 2017., 2018. un 2019.gatam” </w:t>
      </w:r>
      <w:r w:rsidR="000705A3">
        <w:rPr>
          <w:color w:val="000000" w:themeColor="text1"/>
          <w:sz w:val="24"/>
          <w:szCs w:val="24"/>
        </w:rPr>
        <w:t>ietvaros.</w:t>
      </w:r>
    </w:p>
    <w:p w14:paraId="7810FB9A" w14:textId="77777777" w:rsidR="002C2FCB" w:rsidRDefault="002C2FCB" w:rsidP="00C06B16">
      <w:pPr>
        <w:shd w:val="clear" w:color="auto" w:fill="FFFFFF" w:themeFill="background1"/>
        <w:jc w:val="both"/>
        <w:rPr>
          <w:rFonts w:cs="Times New Roman"/>
          <w:color w:val="000000" w:themeColor="text1"/>
          <w:sz w:val="24"/>
          <w:szCs w:val="24"/>
        </w:rPr>
      </w:pPr>
    </w:p>
    <w:p w14:paraId="3FCFC6FB" w14:textId="77777777" w:rsidR="00EF2084" w:rsidRDefault="00EF2084" w:rsidP="0043222E">
      <w:pPr>
        <w:rPr>
          <w:sz w:val="24"/>
          <w:szCs w:val="24"/>
        </w:rPr>
      </w:pPr>
      <w:r>
        <w:rPr>
          <w:sz w:val="24"/>
          <w:szCs w:val="24"/>
        </w:rPr>
        <w:t>Ministru prezidenta biedrs,</w:t>
      </w:r>
    </w:p>
    <w:p w14:paraId="7FDA5C45" w14:textId="50882EFC" w:rsidR="0043222E" w:rsidRPr="002333D4" w:rsidRDefault="00EF2084" w:rsidP="00CA7D60">
      <w:pPr>
        <w:tabs>
          <w:tab w:val="left" w:pos="7655"/>
        </w:tabs>
        <w:rPr>
          <w:sz w:val="24"/>
          <w:szCs w:val="24"/>
        </w:rPr>
      </w:pPr>
      <w:r>
        <w:rPr>
          <w:sz w:val="24"/>
          <w:szCs w:val="24"/>
        </w:rPr>
        <w:t>e</w:t>
      </w:r>
      <w:r w:rsidR="0043222E" w:rsidRPr="002333D4">
        <w:rPr>
          <w:sz w:val="24"/>
          <w:szCs w:val="24"/>
        </w:rPr>
        <w:t>konomikas ministrs</w:t>
      </w:r>
      <w:r w:rsidR="0043222E" w:rsidRPr="002333D4">
        <w:rPr>
          <w:sz w:val="24"/>
          <w:szCs w:val="24"/>
        </w:rPr>
        <w:tab/>
      </w:r>
      <w:r w:rsidR="0043222E" w:rsidRPr="002333D4">
        <w:rPr>
          <w:color w:val="000000"/>
          <w:sz w:val="24"/>
          <w:szCs w:val="24"/>
        </w:rPr>
        <w:t>A.</w:t>
      </w:r>
      <w:r w:rsidR="00CA7D60">
        <w:rPr>
          <w:color w:val="000000"/>
          <w:sz w:val="24"/>
          <w:szCs w:val="24"/>
        </w:rPr>
        <w:t xml:space="preserve"> </w:t>
      </w:r>
      <w:r w:rsidR="0043222E" w:rsidRPr="002333D4">
        <w:rPr>
          <w:color w:val="000000"/>
          <w:sz w:val="24"/>
          <w:szCs w:val="24"/>
        </w:rPr>
        <w:t>Ašeradens</w:t>
      </w:r>
    </w:p>
    <w:p w14:paraId="26EB139B" w14:textId="77777777" w:rsidR="00EE074D" w:rsidRPr="002333D4" w:rsidRDefault="00EE074D" w:rsidP="0043222E">
      <w:pPr>
        <w:rPr>
          <w:sz w:val="24"/>
          <w:szCs w:val="24"/>
        </w:rPr>
      </w:pPr>
    </w:p>
    <w:p w14:paraId="235BDA7B" w14:textId="77777777" w:rsidR="0043222E" w:rsidRPr="002333D4" w:rsidRDefault="0043222E" w:rsidP="0043222E">
      <w:pPr>
        <w:rPr>
          <w:bCs/>
          <w:sz w:val="24"/>
          <w:szCs w:val="24"/>
          <w:lang w:eastAsia="lv-LV"/>
        </w:rPr>
      </w:pPr>
      <w:r w:rsidRPr="002333D4">
        <w:rPr>
          <w:bCs/>
          <w:sz w:val="24"/>
          <w:szCs w:val="24"/>
          <w:lang w:eastAsia="lv-LV"/>
        </w:rPr>
        <w:t xml:space="preserve">Vīza: </w:t>
      </w:r>
    </w:p>
    <w:p w14:paraId="15D96ADE" w14:textId="09E4CB49" w:rsidR="0043222E" w:rsidRDefault="0043222E" w:rsidP="00CA7D60">
      <w:pPr>
        <w:tabs>
          <w:tab w:val="left" w:pos="8222"/>
        </w:tabs>
        <w:rPr>
          <w:sz w:val="24"/>
          <w:szCs w:val="24"/>
        </w:rPr>
      </w:pPr>
      <w:r w:rsidRPr="002333D4">
        <w:rPr>
          <w:sz w:val="24"/>
          <w:szCs w:val="24"/>
        </w:rPr>
        <w:t>Ekonomikas ministrijas valsts sekretārs</w:t>
      </w:r>
      <w:r w:rsidRPr="002333D4">
        <w:rPr>
          <w:sz w:val="24"/>
          <w:szCs w:val="24"/>
        </w:rPr>
        <w:tab/>
      </w:r>
      <w:proofErr w:type="spellStart"/>
      <w:r w:rsidRPr="002333D4">
        <w:rPr>
          <w:sz w:val="24"/>
          <w:szCs w:val="24"/>
        </w:rPr>
        <w:t>J.Stinka</w:t>
      </w:r>
      <w:proofErr w:type="spellEnd"/>
    </w:p>
    <w:p w14:paraId="19F04707" w14:textId="5CA759AF" w:rsidR="0043222E" w:rsidRPr="00AF26A8" w:rsidRDefault="00BC0878" w:rsidP="0043222E">
      <w:pPr>
        <w:rPr>
          <w:sz w:val="20"/>
        </w:rPr>
      </w:pPr>
      <w:r>
        <w:rPr>
          <w:sz w:val="20"/>
        </w:rPr>
        <w:t>2</w:t>
      </w:r>
      <w:r w:rsidR="000705A3">
        <w:rPr>
          <w:sz w:val="20"/>
        </w:rPr>
        <w:t>7</w:t>
      </w:r>
      <w:r w:rsidR="0043222E" w:rsidRPr="00AF26A8">
        <w:rPr>
          <w:sz w:val="20"/>
        </w:rPr>
        <w:t>.0</w:t>
      </w:r>
      <w:r w:rsidR="00D83780">
        <w:rPr>
          <w:sz w:val="20"/>
        </w:rPr>
        <w:t>6</w:t>
      </w:r>
      <w:r w:rsidR="0043222E" w:rsidRPr="00AF26A8">
        <w:rPr>
          <w:sz w:val="20"/>
        </w:rPr>
        <w:t>.201</w:t>
      </w:r>
      <w:r w:rsidR="002333D4">
        <w:rPr>
          <w:sz w:val="20"/>
        </w:rPr>
        <w:t>6</w:t>
      </w:r>
      <w:r w:rsidR="0043222E" w:rsidRPr="00AF26A8">
        <w:rPr>
          <w:sz w:val="20"/>
        </w:rPr>
        <w:t xml:space="preserve">. </w:t>
      </w:r>
      <w:r w:rsidR="00843F9B">
        <w:rPr>
          <w:sz w:val="20"/>
        </w:rPr>
        <w:t>09</w:t>
      </w:r>
      <w:r w:rsidR="0043222E" w:rsidRPr="00AF26A8">
        <w:rPr>
          <w:sz w:val="20"/>
        </w:rPr>
        <w:t>:</w:t>
      </w:r>
      <w:r w:rsidR="00843F9B">
        <w:rPr>
          <w:sz w:val="20"/>
        </w:rPr>
        <w:t>0</w:t>
      </w:r>
      <w:r w:rsidR="00BC3AF9">
        <w:rPr>
          <w:sz w:val="20"/>
        </w:rPr>
        <w:t>0</w:t>
      </w:r>
    </w:p>
    <w:p w14:paraId="31E1A89E" w14:textId="17C055A7" w:rsidR="001E20FB" w:rsidRDefault="00843F9B" w:rsidP="0043222E">
      <w:pPr>
        <w:rPr>
          <w:sz w:val="20"/>
        </w:rPr>
      </w:pPr>
      <w:r>
        <w:rPr>
          <w:sz w:val="20"/>
        </w:rPr>
        <w:t>166</w:t>
      </w:r>
      <w:r w:rsidR="00C72C59">
        <w:rPr>
          <w:sz w:val="20"/>
        </w:rPr>
        <w:t>1</w:t>
      </w:r>
      <w:bookmarkStart w:id="0" w:name="_GoBack"/>
      <w:bookmarkEnd w:id="0"/>
    </w:p>
    <w:p w14:paraId="390E7D68" w14:textId="77777777" w:rsidR="0043222E" w:rsidRPr="00316AE1" w:rsidRDefault="0043222E" w:rsidP="0043222E">
      <w:pPr>
        <w:rPr>
          <w:sz w:val="20"/>
        </w:rPr>
      </w:pPr>
      <w:proofErr w:type="spellStart"/>
      <w:r>
        <w:rPr>
          <w:sz w:val="20"/>
        </w:rPr>
        <w:t>D.Vītola</w:t>
      </w:r>
      <w:proofErr w:type="spellEnd"/>
      <w:r w:rsidRPr="00316AE1">
        <w:rPr>
          <w:sz w:val="20"/>
        </w:rPr>
        <w:t xml:space="preserve">, </w:t>
      </w:r>
      <w:r>
        <w:rPr>
          <w:sz w:val="20"/>
        </w:rPr>
        <w:t>6</w:t>
      </w:r>
      <w:r w:rsidRPr="00316AE1">
        <w:rPr>
          <w:sz w:val="20"/>
        </w:rPr>
        <w:t>7013</w:t>
      </w:r>
      <w:r>
        <w:rPr>
          <w:sz w:val="20"/>
        </w:rPr>
        <w:t>041</w:t>
      </w:r>
    </w:p>
    <w:p w14:paraId="7BEDC79C" w14:textId="77777777" w:rsidR="0043222E" w:rsidRPr="00B25394" w:rsidRDefault="00C72C59" w:rsidP="0043222E">
      <w:pPr>
        <w:pStyle w:val="Footer"/>
      </w:pPr>
      <w:hyperlink r:id="rId19" w:history="1">
        <w:r w:rsidR="0043222E" w:rsidRPr="00B25394">
          <w:rPr>
            <w:rStyle w:val="Hyperlink"/>
            <w:color w:val="auto"/>
            <w:sz w:val="20"/>
            <w:u w:val="none"/>
          </w:rPr>
          <w:t>dace.vitola@em.gov.lv</w:t>
        </w:r>
      </w:hyperlink>
    </w:p>
    <w:sectPr w:rsidR="0043222E" w:rsidRPr="00B25394" w:rsidSect="00246C9F">
      <w:headerReference w:type="default" r:id="rId20"/>
      <w:footerReference w:type="default" r:id="rId21"/>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1A8C5" w14:textId="77777777" w:rsidR="00BC0878" w:rsidRDefault="00BC0878" w:rsidP="00811E03">
      <w:r>
        <w:separator/>
      </w:r>
    </w:p>
  </w:endnote>
  <w:endnote w:type="continuationSeparator" w:id="0">
    <w:p w14:paraId="3CC671E5" w14:textId="77777777" w:rsidR="00BC0878" w:rsidRDefault="00BC0878" w:rsidP="0081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E6BBA" w14:textId="03F71BB4" w:rsidR="00BC0878" w:rsidRPr="002333D4" w:rsidRDefault="00BC0878" w:rsidP="002333D4">
    <w:pPr>
      <w:pStyle w:val="Default"/>
      <w:tabs>
        <w:tab w:val="left" w:pos="0"/>
      </w:tabs>
      <w:jc w:val="both"/>
      <w:rPr>
        <w:sz w:val="20"/>
        <w:szCs w:val="20"/>
      </w:rPr>
    </w:pPr>
    <w:r w:rsidRPr="00B56CC6">
      <w:rPr>
        <w:sz w:val="20"/>
        <w:szCs w:val="20"/>
      </w:rPr>
      <w:t>EMZino_</w:t>
    </w:r>
    <w:r>
      <w:rPr>
        <w:sz w:val="20"/>
        <w:szCs w:val="20"/>
      </w:rPr>
      <w:t>2</w:t>
    </w:r>
    <w:r w:rsidR="000705A3">
      <w:rPr>
        <w:sz w:val="20"/>
        <w:szCs w:val="20"/>
      </w:rPr>
      <w:t>7</w:t>
    </w:r>
    <w:r w:rsidRPr="00B56CC6">
      <w:rPr>
        <w:sz w:val="20"/>
        <w:szCs w:val="20"/>
      </w:rPr>
      <w:t>0</w:t>
    </w:r>
    <w:r>
      <w:rPr>
        <w:sz w:val="20"/>
        <w:szCs w:val="20"/>
      </w:rPr>
      <w:t>6</w:t>
    </w:r>
    <w:r w:rsidRPr="00B56CC6">
      <w:rPr>
        <w:sz w:val="20"/>
        <w:szCs w:val="20"/>
      </w:rPr>
      <w:t>1</w:t>
    </w:r>
    <w:r>
      <w:rPr>
        <w:sz w:val="20"/>
        <w:szCs w:val="20"/>
      </w:rPr>
      <w:t>6_galvojums</w:t>
    </w:r>
    <w:r w:rsidRPr="00B56CC6">
      <w:rPr>
        <w:sz w:val="20"/>
        <w:szCs w:val="20"/>
      </w:rPr>
      <w:t xml:space="preserve">; </w:t>
    </w:r>
    <w:r w:rsidRPr="00B56CC6">
      <w:rPr>
        <w:color w:val="auto"/>
        <w:sz w:val="20"/>
        <w:szCs w:val="20"/>
        <w:lang w:eastAsia="en-US"/>
      </w:rPr>
      <w:t xml:space="preserve">Informatīvais ziņojums </w:t>
    </w:r>
    <w:r w:rsidRPr="00B56CC6">
      <w:rPr>
        <w:sz w:val="20"/>
        <w:szCs w:val="20"/>
      </w:rPr>
      <w:t xml:space="preserve">par mājokļu atbalsta programmas </w:t>
    </w:r>
    <w:r>
      <w:rPr>
        <w:sz w:val="20"/>
        <w:szCs w:val="20"/>
      </w:rPr>
      <w:t>turpmāko darbību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BDA41" w14:textId="77777777" w:rsidR="00BC0878" w:rsidRDefault="00BC0878" w:rsidP="00811E03">
      <w:r>
        <w:separator/>
      </w:r>
    </w:p>
  </w:footnote>
  <w:footnote w:type="continuationSeparator" w:id="0">
    <w:p w14:paraId="37B422F9" w14:textId="77777777" w:rsidR="00BC0878" w:rsidRDefault="00BC0878" w:rsidP="00811E03">
      <w:r>
        <w:continuationSeparator/>
      </w:r>
    </w:p>
  </w:footnote>
  <w:footnote w:id="1">
    <w:p w14:paraId="3E401BD5" w14:textId="00250E21" w:rsidR="00BC0878" w:rsidRDefault="00BC0878" w:rsidP="00246C9F">
      <w:pPr>
        <w:pStyle w:val="FootnoteText"/>
      </w:pPr>
      <w:r>
        <w:rPr>
          <w:rStyle w:val="FootnoteReference"/>
        </w:rPr>
        <w:footnoteRef/>
      </w:r>
      <w:r>
        <w:t xml:space="preserve"> </w:t>
      </w:r>
      <w:proofErr w:type="spellStart"/>
      <w:r>
        <w:t>Termiņuzturēšanās</w:t>
      </w:r>
      <w:proofErr w:type="spellEnd"/>
      <w:r>
        <w:t xml:space="preserve"> atļauju saņēmušo personu skaits (bez ģimenes locekļiem). </w:t>
      </w:r>
    </w:p>
  </w:footnote>
  <w:footnote w:id="2">
    <w:p w14:paraId="456622CD" w14:textId="77777777" w:rsidR="00BC0878" w:rsidRPr="008D67A1" w:rsidRDefault="00BC0878" w:rsidP="008D67A1">
      <w:pPr>
        <w:jc w:val="both"/>
        <w:rPr>
          <w:rFonts w:cs="Times New Roman"/>
          <w:color w:val="000000" w:themeColor="text1"/>
          <w:sz w:val="20"/>
          <w:szCs w:val="20"/>
        </w:rPr>
      </w:pPr>
      <w:r>
        <w:rPr>
          <w:rStyle w:val="FootnoteReference"/>
        </w:rPr>
        <w:footnoteRef/>
      </w:r>
      <w:r>
        <w:t xml:space="preserve"> </w:t>
      </w:r>
      <w:r w:rsidRPr="008D67A1">
        <w:rPr>
          <w:rFonts w:cs="Times New Roman"/>
          <w:color w:val="000000" w:themeColor="text1"/>
          <w:sz w:val="20"/>
          <w:szCs w:val="20"/>
        </w:rPr>
        <w:t xml:space="preserve">25 gadījumos, kas sastāda aptuveni 1% no visiem saņemto pieprasījumu skaita, </w:t>
      </w:r>
      <w:r w:rsidRPr="008D67A1">
        <w:rPr>
          <w:rFonts w:cs="Times New Roman"/>
          <w:bCs/>
          <w:color w:val="000000" w:themeColor="text1"/>
          <w:sz w:val="20"/>
          <w:szCs w:val="20"/>
        </w:rPr>
        <w:t xml:space="preserve">akciju sabiedrība „Attīstības finanšu institūcija </w:t>
      </w:r>
      <w:proofErr w:type="spellStart"/>
      <w:r w:rsidRPr="008D67A1">
        <w:rPr>
          <w:rFonts w:cs="Times New Roman"/>
          <w:bCs/>
          <w:color w:val="000000" w:themeColor="text1"/>
          <w:sz w:val="20"/>
          <w:szCs w:val="20"/>
        </w:rPr>
        <w:t>Altum</w:t>
      </w:r>
      <w:proofErr w:type="spellEnd"/>
      <w:r w:rsidRPr="008D67A1">
        <w:rPr>
          <w:rFonts w:cs="Times New Roman"/>
          <w:bCs/>
          <w:color w:val="000000" w:themeColor="text1"/>
          <w:sz w:val="20"/>
          <w:szCs w:val="20"/>
        </w:rPr>
        <w:t xml:space="preserve">” ir pieņēmusi negatīvu lēmumu, atsakot piešķirt valsts galvojumu </w:t>
      </w:r>
      <w:r w:rsidRPr="008D67A1">
        <w:rPr>
          <w:rFonts w:cs="Times New Roman"/>
          <w:color w:val="000000" w:themeColor="text1"/>
          <w:sz w:val="20"/>
          <w:szCs w:val="20"/>
        </w:rPr>
        <w:t xml:space="preserve">(piemēram, klients jau saņēmis valsts atbalstu vecās programmas ietvaros vai arī galvojums tiek prasīts par dārza mājiņu, kas neatbilst dzīvojamas mājas statusam </w:t>
      </w:r>
      <w:proofErr w:type="spellStart"/>
      <w:r w:rsidRPr="008D67A1">
        <w:rPr>
          <w:rFonts w:cs="Times New Roman"/>
          <w:color w:val="000000" w:themeColor="text1"/>
          <w:sz w:val="20"/>
          <w:szCs w:val="20"/>
        </w:rPr>
        <w:t>utml</w:t>
      </w:r>
      <w:proofErr w:type="spellEnd"/>
      <w:r w:rsidRPr="008D67A1">
        <w:rPr>
          <w:rFonts w:cs="Times New Roman"/>
          <w:color w:val="000000" w:themeColor="text1"/>
          <w:sz w:val="20"/>
          <w:szCs w:val="20"/>
        </w:rPr>
        <w:t>.).</w:t>
      </w:r>
    </w:p>
    <w:p w14:paraId="7A51F646" w14:textId="77777777" w:rsidR="00BC0878" w:rsidRPr="008D67A1" w:rsidRDefault="00BC0878" w:rsidP="008D67A1">
      <w:pPr>
        <w:pStyle w:val="FootnoteText"/>
        <w:jc w:val="both"/>
        <w:rPr>
          <w:rFonts w:cs="Times New Roman"/>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864745"/>
      <w:docPartObj>
        <w:docPartGallery w:val="Page Numbers (Top of Page)"/>
        <w:docPartUnique/>
      </w:docPartObj>
    </w:sdtPr>
    <w:sdtEndPr>
      <w:rPr>
        <w:noProof/>
        <w:sz w:val="24"/>
        <w:szCs w:val="24"/>
      </w:rPr>
    </w:sdtEndPr>
    <w:sdtContent>
      <w:p w14:paraId="69A0D7B3" w14:textId="77777777" w:rsidR="00BC0878" w:rsidRPr="002C1D4F" w:rsidRDefault="00BC0878">
        <w:pPr>
          <w:pStyle w:val="Header"/>
          <w:jc w:val="center"/>
          <w:rPr>
            <w:sz w:val="24"/>
            <w:szCs w:val="24"/>
          </w:rPr>
        </w:pPr>
        <w:r w:rsidRPr="002C1D4F">
          <w:rPr>
            <w:sz w:val="24"/>
            <w:szCs w:val="24"/>
          </w:rPr>
          <w:fldChar w:fldCharType="begin"/>
        </w:r>
        <w:r w:rsidRPr="002C1D4F">
          <w:rPr>
            <w:sz w:val="24"/>
            <w:szCs w:val="24"/>
          </w:rPr>
          <w:instrText xml:space="preserve"> PAGE   \* MERGEFORMAT </w:instrText>
        </w:r>
        <w:r w:rsidRPr="002C1D4F">
          <w:rPr>
            <w:sz w:val="24"/>
            <w:szCs w:val="24"/>
          </w:rPr>
          <w:fldChar w:fldCharType="separate"/>
        </w:r>
        <w:r w:rsidR="00C72C59">
          <w:rPr>
            <w:noProof/>
            <w:sz w:val="24"/>
            <w:szCs w:val="24"/>
          </w:rPr>
          <w:t>7</w:t>
        </w:r>
        <w:r w:rsidRPr="002C1D4F">
          <w:rPr>
            <w:noProof/>
            <w:sz w:val="24"/>
            <w:szCs w:val="24"/>
          </w:rPr>
          <w:fldChar w:fldCharType="end"/>
        </w:r>
      </w:p>
    </w:sdtContent>
  </w:sdt>
  <w:p w14:paraId="5A7FE397" w14:textId="77777777" w:rsidR="00BC0878" w:rsidRDefault="00BC0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D59"/>
    <w:multiLevelType w:val="hybridMultilevel"/>
    <w:tmpl w:val="B9801722"/>
    <w:lvl w:ilvl="0" w:tplc="C2A2632A">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D46EF"/>
    <w:multiLevelType w:val="hybridMultilevel"/>
    <w:tmpl w:val="54F0F94C"/>
    <w:lvl w:ilvl="0" w:tplc="7D7EB094">
      <w:start w:val="1"/>
      <w:numFmt w:val="decimal"/>
      <w:lvlText w:val="%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5D02F2C"/>
    <w:multiLevelType w:val="hybridMultilevel"/>
    <w:tmpl w:val="7C0426B0"/>
    <w:lvl w:ilvl="0" w:tplc="04260011">
      <w:start w:val="1"/>
      <w:numFmt w:val="decimal"/>
      <w:lvlText w:val="%1)"/>
      <w:lvlJc w:val="left"/>
      <w:pPr>
        <w:ind w:left="1069"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833420"/>
    <w:multiLevelType w:val="hybridMultilevel"/>
    <w:tmpl w:val="1FF43CF8"/>
    <w:lvl w:ilvl="0" w:tplc="F64097BA">
      <w:start w:val="1"/>
      <w:numFmt w:val="decimal"/>
      <w:lvlText w:val="%1."/>
      <w:lvlJc w:val="left"/>
      <w:pPr>
        <w:ind w:left="360" w:hanging="360"/>
      </w:pPr>
      <w:rPr>
        <w:rFonts w:eastAsiaTheme="minorHAnsi" w:cstheme="minorBidi"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3B92590"/>
    <w:multiLevelType w:val="hybridMultilevel"/>
    <w:tmpl w:val="6A2807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8A0FCB"/>
    <w:multiLevelType w:val="hybridMultilevel"/>
    <w:tmpl w:val="ABF4466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221F5"/>
    <w:multiLevelType w:val="hybridMultilevel"/>
    <w:tmpl w:val="AB52DE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235451"/>
    <w:multiLevelType w:val="hybridMultilevel"/>
    <w:tmpl w:val="6A2807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9F4C5C"/>
    <w:multiLevelType w:val="hybridMultilevel"/>
    <w:tmpl w:val="9BC086AE"/>
    <w:lvl w:ilvl="0" w:tplc="EF9CB21E">
      <w:start w:val="1"/>
      <w:numFmt w:val="lowerLetter"/>
      <w:lvlText w:val="%1)"/>
      <w:lvlJc w:val="left"/>
      <w:pPr>
        <w:ind w:left="360" w:hanging="360"/>
      </w:pPr>
      <w:rPr>
        <w:rFonts w:hint="default"/>
        <w:b w:val="0"/>
        <w:color w:val="000000" w:themeColor="text1"/>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0C608E4"/>
    <w:multiLevelType w:val="hybridMultilevel"/>
    <w:tmpl w:val="7C0426B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A7576E"/>
    <w:multiLevelType w:val="hybridMultilevel"/>
    <w:tmpl w:val="617E7306"/>
    <w:lvl w:ilvl="0" w:tplc="B2723DE8">
      <w:start w:val="1"/>
      <w:numFmt w:val="decimal"/>
      <w:lvlText w:val="%1)"/>
      <w:lvlJc w:val="left"/>
      <w:pPr>
        <w:ind w:left="720" w:hanging="360"/>
      </w:pPr>
      <w:rPr>
        <w:rFonts w:cstheme="minorBidi" w:hint="default"/>
        <w:b/>
        <w:color w:val="000000" w:themeColor="text1"/>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000A15"/>
    <w:multiLevelType w:val="hybridMultilevel"/>
    <w:tmpl w:val="877E84C2"/>
    <w:lvl w:ilvl="0" w:tplc="06CACF3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C77FBB"/>
    <w:multiLevelType w:val="hybridMultilevel"/>
    <w:tmpl w:val="D8CA72FA"/>
    <w:lvl w:ilvl="0" w:tplc="3C1EC4D2">
      <w:start w:val="1"/>
      <w:numFmt w:val="decimal"/>
      <w:lvlText w:val="%1)"/>
      <w:lvlJc w:val="left"/>
      <w:pPr>
        <w:ind w:left="720" w:hanging="360"/>
      </w:pPr>
      <w:rPr>
        <w:rFonts w:cstheme="minorBidi" w:hint="default"/>
        <w:b w:val="0"/>
        <w:color w:val="000000" w:themeColor="text1"/>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DC7F81"/>
    <w:multiLevelType w:val="hybridMultilevel"/>
    <w:tmpl w:val="8BBE6B1C"/>
    <w:lvl w:ilvl="0" w:tplc="857A3688">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CED1D8A"/>
    <w:multiLevelType w:val="hybridMultilevel"/>
    <w:tmpl w:val="CC5C642C"/>
    <w:lvl w:ilvl="0" w:tplc="DF5681B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EB31430"/>
    <w:multiLevelType w:val="hybridMultilevel"/>
    <w:tmpl w:val="3C76F19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40B17C6"/>
    <w:multiLevelType w:val="hybridMultilevel"/>
    <w:tmpl w:val="DAFCA9A0"/>
    <w:lvl w:ilvl="0" w:tplc="C324B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5DC54D0"/>
    <w:multiLevelType w:val="hybridMultilevel"/>
    <w:tmpl w:val="ABF4466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7C3767"/>
    <w:multiLevelType w:val="hybridMultilevel"/>
    <w:tmpl w:val="699E4CD4"/>
    <w:lvl w:ilvl="0" w:tplc="0220E346">
      <w:start w:val="2"/>
      <w:numFmt w:val="bullet"/>
      <w:lvlText w:val="-"/>
      <w:lvlJc w:val="left"/>
      <w:pPr>
        <w:ind w:left="960" w:hanging="360"/>
      </w:pPr>
      <w:rPr>
        <w:rFonts w:ascii="Times New Roman" w:eastAsia="Times New Roman" w:hAnsi="Times New Roman" w:cs="Times New Roman"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19" w15:restartNumberingAfterBreak="0">
    <w:nsid w:val="7DC12A5B"/>
    <w:multiLevelType w:val="hybridMultilevel"/>
    <w:tmpl w:val="ABF4466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B702A8"/>
    <w:multiLevelType w:val="hybridMultilevel"/>
    <w:tmpl w:val="A0F41EC4"/>
    <w:lvl w:ilvl="0" w:tplc="0220E34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3"/>
  </w:num>
  <w:num w:numId="2">
    <w:abstractNumId w:val="20"/>
  </w:num>
  <w:num w:numId="3">
    <w:abstractNumId w:val="2"/>
  </w:num>
  <w:num w:numId="4">
    <w:abstractNumId w:val="7"/>
  </w:num>
  <w:num w:numId="5">
    <w:abstractNumId w:val="4"/>
  </w:num>
  <w:num w:numId="6">
    <w:abstractNumId w:val="13"/>
  </w:num>
  <w:num w:numId="7">
    <w:abstractNumId w:val="9"/>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
  </w:num>
  <w:num w:numId="13">
    <w:abstractNumId w:val="8"/>
  </w:num>
  <w:num w:numId="14">
    <w:abstractNumId w:val="14"/>
  </w:num>
  <w:num w:numId="15">
    <w:abstractNumId w:val="17"/>
  </w:num>
  <w:num w:numId="16">
    <w:abstractNumId w:val="19"/>
  </w:num>
  <w:num w:numId="17">
    <w:abstractNumId w:val="18"/>
  </w:num>
  <w:num w:numId="18">
    <w:abstractNumId w:val="16"/>
  </w:num>
  <w:num w:numId="19">
    <w:abstractNumId w:val="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E9"/>
    <w:rsid w:val="000524D1"/>
    <w:rsid w:val="000705A3"/>
    <w:rsid w:val="0007327A"/>
    <w:rsid w:val="00087DCC"/>
    <w:rsid w:val="000A2841"/>
    <w:rsid w:val="000B60A9"/>
    <w:rsid w:val="000C3D64"/>
    <w:rsid w:val="000F656D"/>
    <w:rsid w:val="000F77A6"/>
    <w:rsid w:val="001157D5"/>
    <w:rsid w:val="001814AD"/>
    <w:rsid w:val="00184751"/>
    <w:rsid w:val="00185692"/>
    <w:rsid w:val="00191346"/>
    <w:rsid w:val="001C241D"/>
    <w:rsid w:val="001D4F71"/>
    <w:rsid w:val="001E20FB"/>
    <w:rsid w:val="002011C8"/>
    <w:rsid w:val="00204B59"/>
    <w:rsid w:val="00225796"/>
    <w:rsid w:val="002333D4"/>
    <w:rsid w:val="00246C9F"/>
    <w:rsid w:val="00283A17"/>
    <w:rsid w:val="00287FAE"/>
    <w:rsid w:val="002970B8"/>
    <w:rsid w:val="002A23E5"/>
    <w:rsid w:val="002A2928"/>
    <w:rsid w:val="002A356E"/>
    <w:rsid w:val="002A6B54"/>
    <w:rsid w:val="002C1D4F"/>
    <w:rsid w:val="002C2FCB"/>
    <w:rsid w:val="002D4AB0"/>
    <w:rsid w:val="002D6647"/>
    <w:rsid w:val="002D7CD7"/>
    <w:rsid w:val="002E066E"/>
    <w:rsid w:val="0030509F"/>
    <w:rsid w:val="003337E3"/>
    <w:rsid w:val="003443DD"/>
    <w:rsid w:val="00347430"/>
    <w:rsid w:val="003563DB"/>
    <w:rsid w:val="00385DDC"/>
    <w:rsid w:val="00390436"/>
    <w:rsid w:val="003A245A"/>
    <w:rsid w:val="003A2FF5"/>
    <w:rsid w:val="003B6C01"/>
    <w:rsid w:val="003B6D9C"/>
    <w:rsid w:val="003C19D4"/>
    <w:rsid w:val="003D5C1A"/>
    <w:rsid w:val="004057F0"/>
    <w:rsid w:val="00413BE7"/>
    <w:rsid w:val="0043222E"/>
    <w:rsid w:val="00436CD8"/>
    <w:rsid w:val="00440B7D"/>
    <w:rsid w:val="004559E4"/>
    <w:rsid w:val="004627D1"/>
    <w:rsid w:val="004835FB"/>
    <w:rsid w:val="00490BFA"/>
    <w:rsid w:val="00490D04"/>
    <w:rsid w:val="004958A2"/>
    <w:rsid w:val="004A2BCC"/>
    <w:rsid w:val="004E185A"/>
    <w:rsid w:val="004E2B9E"/>
    <w:rsid w:val="004F0B6E"/>
    <w:rsid w:val="00506B2B"/>
    <w:rsid w:val="005201E4"/>
    <w:rsid w:val="00520742"/>
    <w:rsid w:val="00523AE2"/>
    <w:rsid w:val="0053387E"/>
    <w:rsid w:val="0053736F"/>
    <w:rsid w:val="00553BC5"/>
    <w:rsid w:val="005A0FF4"/>
    <w:rsid w:val="005A7ED1"/>
    <w:rsid w:val="005E1349"/>
    <w:rsid w:val="005E1E86"/>
    <w:rsid w:val="005E29B2"/>
    <w:rsid w:val="005F5D9F"/>
    <w:rsid w:val="00600812"/>
    <w:rsid w:val="006102A3"/>
    <w:rsid w:val="00610A92"/>
    <w:rsid w:val="00616D8E"/>
    <w:rsid w:val="006544E9"/>
    <w:rsid w:val="0066278E"/>
    <w:rsid w:val="00662E86"/>
    <w:rsid w:val="00676670"/>
    <w:rsid w:val="0068795C"/>
    <w:rsid w:val="00690A54"/>
    <w:rsid w:val="00691A2F"/>
    <w:rsid w:val="00694890"/>
    <w:rsid w:val="006B4736"/>
    <w:rsid w:val="006B522A"/>
    <w:rsid w:val="006C06E8"/>
    <w:rsid w:val="006D2D2A"/>
    <w:rsid w:val="006D4246"/>
    <w:rsid w:val="006F2244"/>
    <w:rsid w:val="00711995"/>
    <w:rsid w:val="00745B81"/>
    <w:rsid w:val="0077469F"/>
    <w:rsid w:val="00774995"/>
    <w:rsid w:val="00783BAC"/>
    <w:rsid w:val="007B2DE7"/>
    <w:rsid w:val="007D344E"/>
    <w:rsid w:val="007D4201"/>
    <w:rsid w:val="007D44B6"/>
    <w:rsid w:val="007F6E69"/>
    <w:rsid w:val="00811E03"/>
    <w:rsid w:val="00813C66"/>
    <w:rsid w:val="00821C85"/>
    <w:rsid w:val="008244FD"/>
    <w:rsid w:val="00831F1D"/>
    <w:rsid w:val="00843F9B"/>
    <w:rsid w:val="00870F39"/>
    <w:rsid w:val="00872B27"/>
    <w:rsid w:val="00892F6D"/>
    <w:rsid w:val="008A364A"/>
    <w:rsid w:val="008A70DA"/>
    <w:rsid w:val="008A76DF"/>
    <w:rsid w:val="008B3C64"/>
    <w:rsid w:val="008C4C6F"/>
    <w:rsid w:val="008D67A1"/>
    <w:rsid w:val="008F5CF0"/>
    <w:rsid w:val="009078D6"/>
    <w:rsid w:val="00907E57"/>
    <w:rsid w:val="00911F7A"/>
    <w:rsid w:val="00914C54"/>
    <w:rsid w:val="0094442D"/>
    <w:rsid w:val="00971B46"/>
    <w:rsid w:val="00971F40"/>
    <w:rsid w:val="00974D66"/>
    <w:rsid w:val="0097585B"/>
    <w:rsid w:val="00982714"/>
    <w:rsid w:val="009E3334"/>
    <w:rsid w:val="009E529F"/>
    <w:rsid w:val="009E7127"/>
    <w:rsid w:val="00A03FD3"/>
    <w:rsid w:val="00A20B00"/>
    <w:rsid w:val="00A31860"/>
    <w:rsid w:val="00A36D52"/>
    <w:rsid w:val="00A4710C"/>
    <w:rsid w:val="00A973CE"/>
    <w:rsid w:val="00AC3B70"/>
    <w:rsid w:val="00AC6A5C"/>
    <w:rsid w:val="00AD40C8"/>
    <w:rsid w:val="00AE38E4"/>
    <w:rsid w:val="00B02E2E"/>
    <w:rsid w:val="00B25394"/>
    <w:rsid w:val="00B25EC3"/>
    <w:rsid w:val="00B458AF"/>
    <w:rsid w:val="00B476F9"/>
    <w:rsid w:val="00B64735"/>
    <w:rsid w:val="00B65FB5"/>
    <w:rsid w:val="00B81F97"/>
    <w:rsid w:val="00B963FD"/>
    <w:rsid w:val="00BC0878"/>
    <w:rsid w:val="00BC3AF9"/>
    <w:rsid w:val="00BC3E39"/>
    <w:rsid w:val="00BD26CA"/>
    <w:rsid w:val="00BD3160"/>
    <w:rsid w:val="00BE1DD8"/>
    <w:rsid w:val="00BF6F42"/>
    <w:rsid w:val="00C03038"/>
    <w:rsid w:val="00C06B16"/>
    <w:rsid w:val="00C50838"/>
    <w:rsid w:val="00C55C58"/>
    <w:rsid w:val="00C72C59"/>
    <w:rsid w:val="00C750C4"/>
    <w:rsid w:val="00C84E5D"/>
    <w:rsid w:val="00C907CA"/>
    <w:rsid w:val="00C97606"/>
    <w:rsid w:val="00CA7D60"/>
    <w:rsid w:val="00CC151C"/>
    <w:rsid w:val="00CC6244"/>
    <w:rsid w:val="00CD5160"/>
    <w:rsid w:val="00CF56B0"/>
    <w:rsid w:val="00D02CD9"/>
    <w:rsid w:val="00D03506"/>
    <w:rsid w:val="00D044DC"/>
    <w:rsid w:val="00D30299"/>
    <w:rsid w:val="00D3465D"/>
    <w:rsid w:val="00D43EC9"/>
    <w:rsid w:val="00D440C0"/>
    <w:rsid w:val="00D52699"/>
    <w:rsid w:val="00D72689"/>
    <w:rsid w:val="00D80E97"/>
    <w:rsid w:val="00D83780"/>
    <w:rsid w:val="00DB5E65"/>
    <w:rsid w:val="00DD1BA0"/>
    <w:rsid w:val="00E031D6"/>
    <w:rsid w:val="00E1210F"/>
    <w:rsid w:val="00E217FE"/>
    <w:rsid w:val="00E406CB"/>
    <w:rsid w:val="00E46C35"/>
    <w:rsid w:val="00E51B0B"/>
    <w:rsid w:val="00E66217"/>
    <w:rsid w:val="00E832F9"/>
    <w:rsid w:val="00E90D54"/>
    <w:rsid w:val="00E91DAE"/>
    <w:rsid w:val="00E963F3"/>
    <w:rsid w:val="00EA278F"/>
    <w:rsid w:val="00EA6FF2"/>
    <w:rsid w:val="00EB21B0"/>
    <w:rsid w:val="00EB5B2C"/>
    <w:rsid w:val="00ED55CB"/>
    <w:rsid w:val="00EE01BD"/>
    <w:rsid w:val="00EE074D"/>
    <w:rsid w:val="00EF2084"/>
    <w:rsid w:val="00F03A9A"/>
    <w:rsid w:val="00F15F49"/>
    <w:rsid w:val="00F24806"/>
    <w:rsid w:val="00F46AF4"/>
    <w:rsid w:val="00F51F4F"/>
    <w:rsid w:val="00F90230"/>
    <w:rsid w:val="00F90DB5"/>
    <w:rsid w:val="00FA0C4E"/>
    <w:rsid w:val="00FA5753"/>
    <w:rsid w:val="00FA6157"/>
    <w:rsid w:val="00FB2559"/>
    <w:rsid w:val="00FB4B6A"/>
    <w:rsid w:val="00FC0273"/>
    <w:rsid w:val="00FF33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E818"/>
  <w15:docId w15:val="{98FC05B7-726B-4C4C-89BA-55AE584C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1BA0"/>
    <w:pPr>
      <w:spacing w:before="100" w:beforeAutospacing="1" w:after="100" w:afterAutospacing="1"/>
      <w:outlineLvl w:val="2"/>
    </w:pPr>
    <w:rPr>
      <w:rFonts w:eastAsia="Times New Roman" w:cs="Times New Roman"/>
      <w:b/>
      <w:bCs/>
      <w:sz w:val="27"/>
      <w:szCs w:val="27"/>
      <w:lang w:eastAsia="lv-LV"/>
    </w:rPr>
  </w:style>
  <w:style w:type="paragraph" w:styleId="Heading4">
    <w:name w:val="heading 4"/>
    <w:basedOn w:val="Normal"/>
    <w:next w:val="Normal"/>
    <w:link w:val="Heading4Char"/>
    <w:uiPriority w:val="9"/>
    <w:unhideWhenUsed/>
    <w:qFormat/>
    <w:rsid w:val="004322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0B"/>
    <w:rPr>
      <w:rFonts w:ascii="Segoe UI" w:hAnsi="Segoe UI" w:cs="Segoe UI"/>
      <w:sz w:val="18"/>
      <w:szCs w:val="18"/>
    </w:rPr>
  </w:style>
  <w:style w:type="character" w:customStyle="1" w:styleId="apple-converted-space">
    <w:name w:val="apple-converted-space"/>
    <w:basedOn w:val="DefaultParagraphFont"/>
    <w:rsid w:val="00225796"/>
  </w:style>
  <w:style w:type="paragraph" w:styleId="ListParagraph">
    <w:name w:val="List Paragraph"/>
    <w:aliases w:val="2,Strip,H&amp;P List Paragraph"/>
    <w:basedOn w:val="Normal"/>
    <w:link w:val="ListParagraphChar"/>
    <w:qFormat/>
    <w:rsid w:val="00DD1BA0"/>
    <w:pPr>
      <w:ind w:left="720"/>
    </w:pPr>
    <w:rPr>
      <w:rFonts w:ascii="Calibri" w:hAnsi="Calibri" w:cs="Times New Roman"/>
      <w:sz w:val="22"/>
    </w:rPr>
  </w:style>
  <w:style w:type="character" w:customStyle="1" w:styleId="ListParagraphChar">
    <w:name w:val="List Paragraph Char"/>
    <w:aliases w:val="2 Char,Strip Char,H&amp;P List Paragraph Char"/>
    <w:link w:val="ListParagraph"/>
    <w:locked/>
    <w:rsid w:val="00DD1BA0"/>
    <w:rPr>
      <w:rFonts w:ascii="Calibri" w:hAnsi="Calibri" w:cs="Times New Roman"/>
      <w:sz w:val="22"/>
    </w:rPr>
  </w:style>
  <w:style w:type="paragraph" w:styleId="NormalWeb">
    <w:name w:val="Normal (Web)"/>
    <w:basedOn w:val="Normal"/>
    <w:uiPriority w:val="99"/>
    <w:unhideWhenUsed/>
    <w:rsid w:val="00DD1BA0"/>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DD1BA0"/>
    <w:pPr>
      <w:spacing w:before="75" w:after="75"/>
      <w:jc w:val="right"/>
    </w:pPr>
    <w:rPr>
      <w:rFonts w:eastAsia="Times New Roman" w:cs="Times New Roman"/>
      <w:sz w:val="24"/>
      <w:szCs w:val="24"/>
      <w:lang w:eastAsia="lv-LV"/>
    </w:rPr>
  </w:style>
  <w:style w:type="paragraph" w:customStyle="1" w:styleId="liknoteik">
    <w:name w:val="lik_noteik"/>
    <w:basedOn w:val="Normal"/>
    <w:rsid w:val="00DD1BA0"/>
    <w:pPr>
      <w:spacing w:before="100" w:beforeAutospacing="1" w:after="100" w:afterAutospacing="1"/>
    </w:pPr>
    <w:rPr>
      <w:rFonts w:eastAsia="Times New Roman" w:cs="Times New Roman"/>
      <w:sz w:val="24"/>
      <w:szCs w:val="24"/>
      <w:lang w:eastAsia="lv-LV"/>
    </w:rPr>
  </w:style>
  <w:style w:type="character" w:customStyle="1" w:styleId="Heading3Char">
    <w:name w:val="Heading 3 Char"/>
    <w:basedOn w:val="DefaultParagraphFont"/>
    <w:link w:val="Heading3"/>
    <w:uiPriority w:val="9"/>
    <w:rsid w:val="00DD1BA0"/>
    <w:rPr>
      <w:rFonts w:eastAsia="Times New Roman" w:cs="Times New Roman"/>
      <w:b/>
      <w:bCs/>
      <w:sz w:val="27"/>
      <w:szCs w:val="27"/>
      <w:lang w:eastAsia="lv-LV"/>
    </w:rPr>
  </w:style>
  <w:style w:type="paragraph" w:customStyle="1" w:styleId="tv213">
    <w:name w:val="tv213"/>
    <w:basedOn w:val="Normal"/>
    <w:rsid w:val="00C55C58"/>
    <w:pPr>
      <w:spacing w:before="100" w:beforeAutospacing="1" w:after="100" w:afterAutospacing="1"/>
    </w:pPr>
    <w:rPr>
      <w:rFonts w:eastAsia="Times New Roman" w:cs="Times New Roman"/>
      <w:sz w:val="24"/>
      <w:szCs w:val="24"/>
      <w:lang w:eastAsia="lv-LV"/>
    </w:rPr>
  </w:style>
  <w:style w:type="table" w:customStyle="1" w:styleId="GridTable5Dark-Accent51">
    <w:name w:val="Grid Table 5 Dark - Accent 51"/>
    <w:basedOn w:val="TableNormal"/>
    <w:uiPriority w:val="50"/>
    <w:rsid w:val="00F248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Hyperlink">
    <w:name w:val="Hyperlink"/>
    <w:basedOn w:val="DefaultParagraphFont"/>
    <w:uiPriority w:val="99"/>
    <w:semiHidden/>
    <w:unhideWhenUsed/>
    <w:rsid w:val="00A36D52"/>
    <w:rPr>
      <w:color w:val="0563C1"/>
      <w:u w:val="single"/>
    </w:rPr>
  </w:style>
  <w:style w:type="character" w:styleId="CommentReference">
    <w:name w:val="annotation reference"/>
    <w:basedOn w:val="DefaultParagraphFont"/>
    <w:uiPriority w:val="99"/>
    <w:semiHidden/>
    <w:unhideWhenUsed/>
    <w:rsid w:val="00E1210F"/>
    <w:rPr>
      <w:sz w:val="16"/>
      <w:szCs w:val="16"/>
    </w:rPr>
  </w:style>
  <w:style w:type="paragraph" w:styleId="CommentText">
    <w:name w:val="annotation text"/>
    <w:basedOn w:val="Normal"/>
    <w:link w:val="CommentTextChar"/>
    <w:uiPriority w:val="99"/>
    <w:semiHidden/>
    <w:unhideWhenUsed/>
    <w:rsid w:val="00E1210F"/>
    <w:rPr>
      <w:sz w:val="20"/>
      <w:szCs w:val="20"/>
    </w:rPr>
  </w:style>
  <w:style w:type="character" w:customStyle="1" w:styleId="CommentTextChar">
    <w:name w:val="Comment Text Char"/>
    <w:basedOn w:val="DefaultParagraphFont"/>
    <w:link w:val="CommentText"/>
    <w:uiPriority w:val="99"/>
    <w:semiHidden/>
    <w:rsid w:val="00E1210F"/>
    <w:rPr>
      <w:sz w:val="20"/>
      <w:szCs w:val="20"/>
    </w:rPr>
  </w:style>
  <w:style w:type="paragraph" w:styleId="CommentSubject">
    <w:name w:val="annotation subject"/>
    <w:basedOn w:val="CommentText"/>
    <w:next w:val="CommentText"/>
    <w:link w:val="CommentSubjectChar"/>
    <w:uiPriority w:val="99"/>
    <w:semiHidden/>
    <w:unhideWhenUsed/>
    <w:rsid w:val="00E1210F"/>
    <w:rPr>
      <w:b/>
      <w:bCs/>
    </w:rPr>
  </w:style>
  <w:style w:type="character" w:customStyle="1" w:styleId="CommentSubjectChar">
    <w:name w:val="Comment Subject Char"/>
    <w:basedOn w:val="CommentTextChar"/>
    <w:link w:val="CommentSubject"/>
    <w:uiPriority w:val="99"/>
    <w:semiHidden/>
    <w:rsid w:val="00E1210F"/>
    <w:rPr>
      <w:b/>
      <w:bCs/>
      <w:sz w:val="20"/>
      <w:szCs w:val="20"/>
    </w:rPr>
  </w:style>
  <w:style w:type="paragraph" w:styleId="Header">
    <w:name w:val="header"/>
    <w:basedOn w:val="Normal"/>
    <w:link w:val="HeaderChar"/>
    <w:uiPriority w:val="99"/>
    <w:unhideWhenUsed/>
    <w:rsid w:val="00811E03"/>
    <w:pPr>
      <w:tabs>
        <w:tab w:val="center" w:pos="4153"/>
        <w:tab w:val="right" w:pos="8306"/>
      </w:tabs>
    </w:pPr>
  </w:style>
  <w:style w:type="character" w:customStyle="1" w:styleId="HeaderChar">
    <w:name w:val="Header Char"/>
    <w:basedOn w:val="DefaultParagraphFont"/>
    <w:link w:val="Header"/>
    <w:uiPriority w:val="99"/>
    <w:rsid w:val="00811E03"/>
  </w:style>
  <w:style w:type="paragraph" w:styleId="Footer">
    <w:name w:val="footer"/>
    <w:basedOn w:val="Normal"/>
    <w:link w:val="FooterChar"/>
    <w:uiPriority w:val="99"/>
    <w:unhideWhenUsed/>
    <w:rsid w:val="00811E03"/>
    <w:pPr>
      <w:tabs>
        <w:tab w:val="center" w:pos="4153"/>
        <w:tab w:val="right" w:pos="8306"/>
      </w:tabs>
    </w:pPr>
  </w:style>
  <w:style w:type="character" w:customStyle="1" w:styleId="FooterChar">
    <w:name w:val="Footer Char"/>
    <w:basedOn w:val="DefaultParagraphFont"/>
    <w:link w:val="Footer"/>
    <w:uiPriority w:val="99"/>
    <w:rsid w:val="00811E03"/>
  </w:style>
  <w:style w:type="character" w:customStyle="1" w:styleId="Heading4Char">
    <w:name w:val="Heading 4 Char"/>
    <w:basedOn w:val="DefaultParagraphFont"/>
    <w:link w:val="Heading4"/>
    <w:uiPriority w:val="9"/>
    <w:rsid w:val="0043222E"/>
    <w:rPr>
      <w:rFonts w:asciiTheme="majorHAnsi" w:eastAsiaTheme="majorEastAsia" w:hAnsiTheme="majorHAnsi" w:cstheme="majorBidi"/>
      <w:i/>
      <w:iCs/>
      <w:color w:val="2E74B5" w:themeColor="accent1" w:themeShade="BF"/>
    </w:rPr>
  </w:style>
  <w:style w:type="paragraph" w:styleId="Signature">
    <w:name w:val="Signature"/>
    <w:basedOn w:val="Normal"/>
    <w:next w:val="EnvelopeReturn"/>
    <w:link w:val="SignatureChar"/>
    <w:rsid w:val="0043222E"/>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3222E"/>
    <w:rPr>
      <w:rFonts w:eastAsia="Times New Roman" w:cs="Times New Roman"/>
      <w:sz w:val="26"/>
      <w:szCs w:val="20"/>
      <w:lang w:val="en-AU"/>
    </w:rPr>
  </w:style>
  <w:style w:type="character" w:customStyle="1" w:styleId="spelle">
    <w:name w:val="spelle"/>
    <w:rsid w:val="0043222E"/>
  </w:style>
  <w:style w:type="paragraph" w:styleId="EnvelopeReturn">
    <w:name w:val="envelope return"/>
    <w:basedOn w:val="Normal"/>
    <w:uiPriority w:val="99"/>
    <w:semiHidden/>
    <w:unhideWhenUsed/>
    <w:rsid w:val="0043222E"/>
    <w:rPr>
      <w:rFonts w:asciiTheme="majorHAnsi" w:eastAsiaTheme="majorEastAsia" w:hAnsiTheme="majorHAnsi" w:cstheme="majorBidi"/>
      <w:sz w:val="20"/>
      <w:szCs w:val="20"/>
    </w:rPr>
  </w:style>
  <w:style w:type="paragraph" w:customStyle="1" w:styleId="Default">
    <w:name w:val="Default"/>
    <w:rsid w:val="002333D4"/>
    <w:pPr>
      <w:autoSpaceDE w:val="0"/>
      <w:autoSpaceDN w:val="0"/>
      <w:adjustRightInd w:val="0"/>
    </w:pPr>
    <w:rPr>
      <w:rFonts w:eastAsia="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8D67A1"/>
    <w:rPr>
      <w:sz w:val="20"/>
      <w:szCs w:val="20"/>
    </w:rPr>
  </w:style>
  <w:style w:type="character" w:customStyle="1" w:styleId="FootnoteTextChar">
    <w:name w:val="Footnote Text Char"/>
    <w:basedOn w:val="DefaultParagraphFont"/>
    <w:link w:val="FootnoteText"/>
    <w:uiPriority w:val="99"/>
    <w:semiHidden/>
    <w:rsid w:val="008D67A1"/>
    <w:rPr>
      <w:sz w:val="20"/>
      <w:szCs w:val="20"/>
    </w:rPr>
  </w:style>
  <w:style w:type="character" w:styleId="FootnoteReference">
    <w:name w:val="footnote reference"/>
    <w:basedOn w:val="DefaultParagraphFont"/>
    <w:uiPriority w:val="99"/>
    <w:semiHidden/>
    <w:unhideWhenUsed/>
    <w:rsid w:val="008D67A1"/>
    <w:rPr>
      <w:vertAlign w:val="superscript"/>
    </w:rPr>
  </w:style>
  <w:style w:type="paragraph" w:styleId="NoSpacing">
    <w:name w:val="No Spacing"/>
    <w:basedOn w:val="Normal"/>
    <w:next w:val="Normal"/>
    <w:uiPriority w:val="1"/>
    <w:qFormat/>
    <w:rsid w:val="00F90230"/>
    <w:pPr>
      <w:widowControl w:val="0"/>
      <w:jc w:val="both"/>
    </w:pPr>
    <w:rPr>
      <w:rFonts w:eastAsia="Calibri" w:cs="Times New Roman"/>
      <w:sz w:val="24"/>
    </w:rPr>
  </w:style>
  <w:style w:type="character" w:styleId="Strong">
    <w:name w:val="Strong"/>
    <w:basedOn w:val="DefaultParagraphFont"/>
    <w:uiPriority w:val="22"/>
    <w:qFormat/>
    <w:rsid w:val="00BC0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27">
      <w:bodyDiv w:val="1"/>
      <w:marLeft w:val="0"/>
      <w:marRight w:val="0"/>
      <w:marTop w:val="0"/>
      <w:marBottom w:val="0"/>
      <w:divBdr>
        <w:top w:val="none" w:sz="0" w:space="0" w:color="auto"/>
        <w:left w:val="none" w:sz="0" w:space="0" w:color="auto"/>
        <w:bottom w:val="none" w:sz="0" w:space="0" w:color="auto"/>
        <w:right w:val="none" w:sz="0" w:space="0" w:color="auto"/>
      </w:divBdr>
    </w:div>
    <w:div w:id="66542028">
      <w:bodyDiv w:val="1"/>
      <w:marLeft w:val="0"/>
      <w:marRight w:val="0"/>
      <w:marTop w:val="0"/>
      <w:marBottom w:val="0"/>
      <w:divBdr>
        <w:top w:val="none" w:sz="0" w:space="0" w:color="auto"/>
        <w:left w:val="none" w:sz="0" w:space="0" w:color="auto"/>
        <w:bottom w:val="none" w:sz="0" w:space="0" w:color="auto"/>
        <w:right w:val="none" w:sz="0" w:space="0" w:color="auto"/>
      </w:divBdr>
    </w:div>
    <w:div w:id="85883780">
      <w:bodyDiv w:val="1"/>
      <w:marLeft w:val="0"/>
      <w:marRight w:val="0"/>
      <w:marTop w:val="0"/>
      <w:marBottom w:val="0"/>
      <w:divBdr>
        <w:top w:val="none" w:sz="0" w:space="0" w:color="auto"/>
        <w:left w:val="none" w:sz="0" w:space="0" w:color="auto"/>
        <w:bottom w:val="none" w:sz="0" w:space="0" w:color="auto"/>
        <w:right w:val="none" w:sz="0" w:space="0" w:color="auto"/>
      </w:divBdr>
    </w:div>
    <w:div w:id="128474792">
      <w:bodyDiv w:val="1"/>
      <w:marLeft w:val="0"/>
      <w:marRight w:val="0"/>
      <w:marTop w:val="0"/>
      <w:marBottom w:val="0"/>
      <w:divBdr>
        <w:top w:val="none" w:sz="0" w:space="0" w:color="auto"/>
        <w:left w:val="none" w:sz="0" w:space="0" w:color="auto"/>
        <w:bottom w:val="none" w:sz="0" w:space="0" w:color="auto"/>
        <w:right w:val="none" w:sz="0" w:space="0" w:color="auto"/>
      </w:divBdr>
    </w:div>
    <w:div w:id="239143861">
      <w:bodyDiv w:val="1"/>
      <w:marLeft w:val="0"/>
      <w:marRight w:val="0"/>
      <w:marTop w:val="0"/>
      <w:marBottom w:val="0"/>
      <w:divBdr>
        <w:top w:val="none" w:sz="0" w:space="0" w:color="auto"/>
        <w:left w:val="none" w:sz="0" w:space="0" w:color="auto"/>
        <w:bottom w:val="none" w:sz="0" w:space="0" w:color="auto"/>
        <w:right w:val="none" w:sz="0" w:space="0" w:color="auto"/>
      </w:divBdr>
    </w:div>
    <w:div w:id="274218299">
      <w:bodyDiv w:val="1"/>
      <w:marLeft w:val="0"/>
      <w:marRight w:val="0"/>
      <w:marTop w:val="0"/>
      <w:marBottom w:val="0"/>
      <w:divBdr>
        <w:top w:val="none" w:sz="0" w:space="0" w:color="auto"/>
        <w:left w:val="none" w:sz="0" w:space="0" w:color="auto"/>
        <w:bottom w:val="none" w:sz="0" w:space="0" w:color="auto"/>
        <w:right w:val="none" w:sz="0" w:space="0" w:color="auto"/>
      </w:divBdr>
    </w:div>
    <w:div w:id="455607244">
      <w:bodyDiv w:val="1"/>
      <w:marLeft w:val="0"/>
      <w:marRight w:val="0"/>
      <w:marTop w:val="0"/>
      <w:marBottom w:val="0"/>
      <w:divBdr>
        <w:top w:val="none" w:sz="0" w:space="0" w:color="auto"/>
        <w:left w:val="none" w:sz="0" w:space="0" w:color="auto"/>
        <w:bottom w:val="none" w:sz="0" w:space="0" w:color="auto"/>
        <w:right w:val="none" w:sz="0" w:space="0" w:color="auto"/>
      </w:divBdr>
    </w:div>
    <w:div w:id="808211728">
      <w:bodyDiv w:val="1"/>
      <w:marLeft w:val="0"/>
      <w:marRight w:val="0"/>
      <w:marTop w:val="0"/>
      <w:marBottom w:val="0"/>
      <w:divBdr>
        <w:top w:val="none" w:sz="0" w:space="0" w:color="auto"/>
        <w:left w:val="none" w:sz="0" w:space="0" w:color="auto"/>
        <w:bottom w:val="none" w:sz="0" w:space="0" w:color="auto"/>
        <w:right w:val="none" w:sz="0" w:space="0" w:color="auto"/>
      </w:divBdr>
      <w:divsChild>
        <w:div w:id="2112430250">
          <w:marLeft w:val="0"/>
          <w:marRight w:val="0"/>
          <w:marTop w:val="480"/>
          <w:marBottom w:val="240"/>
          <w:divBdr>
            <w:top w:val="none" w:sz="0" w:space="0" w:color="auto"/>
            <w:left w:val="none" w:sz="0" w:space="0" w:color="auto"/>
            <w:bottom w:val="none" w:sz="0" w:space="0" w:color="auto"/>
            <w:right w:val="none" w:sz="0" w:space="0" w:color="auto"/>
          </w:divBdr>
        </w:div>
        <w:div w:id="490944414">
          <w:marLeft w:val="0"/>
          <w:marRight w:val="0"/>
          <w:marTop w:val="0"/>
          <w:marBottom w:val="567"/>
          <w:divBdr>
            <w:top w:val="none" w:sz="0" w:space="0" w:color="auto"/>
            <w:left w:val="none" w:sz="0" w:space="0" w:color="auto"/>
            <w:bottom w:val="none" w:sz="0" w:space="0" w:color="auto"/>
            <w:right w:val="none" w:sz="0" w:space="0" w:color="auto"/>
          </w:divBdr>
        </w:div>
      </w:divsChild>
    </w:div>
    <w:div w:id="888611798">
      <w:bodyDiv w:val="1"/>
      <w:marLeft w:val="0"/>
      <w:marRight w:val="0"/>
      <w:marTop w:val="0"/>
      <w:marBottom w:val="0"/>
      <w:divBdr>
        <w:top w:val="none" w:sz="0" w:space="0" w:color="auto"/>
        <w:left w:val="none" w:sz="0" w:space="0" w:color="auto"/>
        <w:bottom w:val="none" w:sz="0" w:space="0" w:color="auto"/>
        <w:right w:val="none" w:sz="0" w:space="0" w:color="auto"/>
      </w:divBdr>
    </w:div>
    <w:div w:id="1134522595">
      <w:bodyDiv w:val="1"/>
      <w:marLeft w:val="0"/>
      <w:marRight w:val="0"/>
      <w:marTop w:val="0"/>
      <w:marBottom w:val="0"/>
      <w:divBdr>
        <w:top w:val="none" w:sz="0" w:space="0" w:color="auto"/>
        <w:left w:val="none" w:sz="0" w:space="0" w:color="auto"/>
        <w:bottom w:val="none" w:sz="0" w:space="0" w:color="auto"/>
        <w:right w:val="none" w:sz="0" w:space="0" w:color="auto"/>
      </w:divBdr>
    </w:div>
    <w:div w:id="1136532602">
      <w:bodyDiv w:val="1"/>
      <w:marLeft w:val="0"/>
      <w:marRight w:val="0"/>
      <w:marTop w:val="0"/>
      <w:marBottom w:val="0"/>
      <w:divBdr>
        <w:top w:val="none" w:sz="0" w:space="0" w:color="auto"/>
        <w:left w:val="none" w:sz="0" w:space="0" w:color="auto"/>
        <w:bottom w:val="none" w:sz="0" w:space="0" w:color="auto"/>
        <w:right w:val="none" w:sz="0" w:space="0" w:color="auto"/>
      </w:divBdr>
    </w:div>
    <w:div w:id="1210729192">
      <w:bodyDiv w:val="1"/>
      <w:marLeft w:val="0"/>
      <w:marRight w:val="0"/>
      <w:marTop w:val="0"/>
      <w:marBottom w:val="0"/>
      <w:divBdr>
        <w:top w:val="none" w:sz="0" w:space="0" w:color="auto"/>
        <w:left w:val="none" w:sz="0" w:space="0" w:color="auto"/>
        <w:bottom w:val="none" w:sz="0" w:space="0" w:color="auto"/>
        <w:right w:val="none" w:sz="0" w:space="0" w:color="auto"/>
      </w:divBdr>
    </w:div>
    <w:div w:id="1289631136">
      <w:bodyDiv w:val="1"/>
      <w:marLeft w:val="0"/>
      <w:marRight w:val="0"/>
      <w:marTop w:val="0"/>
      <w:marBottom w:val="0"/>
      <w:divBdr>
        <w:top w:val="none" w:sz="0" w:space="0" w:color="auto"/>
        <w:left w:val="none" w:sz="0" w:space="0" w:color="auto"/>
        <w:bottom w:val="none" w:sz="0" w:space="0" w:color="auto"/>
        <w:right w:val="none" w:sz="0" w:space="0" w:color="auto"/>
      </w:divBdr>
    </w:div>
    <w:div w:id="1305743955">
      <w:bodyDiv w:val="1"/>
      <w:marLeft w:val="0"/>
      <w:marRight w:val="0"/>
      <w:marTop w:val="0"/>
      <w:marBottom w:val="0"/>
      <w:divBdr>
        <w:top w:val="none" w:sz="0" w:space="0" w:color="auto"/>
        <w:left w:val="none" w:sz="0" w:space="0" w:color="auto"/>
        <w:bottom w:val="none" w:sz="0" w:space="0" w:color="auto"/>
        <w:right w:val="none" w:sz="0" w:space="0" w:color="auto"/>
      </w:divBdr>
    </w:div>
    <w:div w:id="1425882890">
      <w:bodyDiv w:val="1"/>
      <w:marLeft w:val="0"/>
      <w:marRight w:val="0"/>
      <w:marTop w:val="0"/>
      <w:marBottom w:val="0"/>
      <w:divBdr>
        <w:top w:val="none" w:sz="0" w:space="0" w:color="auto"/>
        <w:left w:val="none" w:sz="0" w:space="0" w:color="auto"/>
        <w:bottom w:val="none" w:sz="0" w:space="0" w:color="auto"/>
        <w:right w:val="none" w:sz="0" w:space="0" w:color="auto"/>
      </w:divBdr>
    </w:div>
    <w:div w:id="1471168694">
      <w:bodyDiv w:val="1"/>
      <w:marLeft w:val="0"/>
      <w:marRight w:val="0"/>
      <w:marTop w:val="0"/>
      <w:marBottom w:val="0"/>
      <w:divBdr>
        <w:top w:val="none" w:sz="0" w:space="0" w:color="auto"/>
        <w:left w:val="none" w:sz="0" w:space="0" w:color="auto"/>
        <w:bottom w:val="none" w:sz="0" w:space="0" w:color="auto"/>
        <w:right w:val="none" w:sz="0" w:space="0" w:color="auto"/>
      </w:divBdr>
    </w:div>
    <w:div w:id="1522621712">
      <w:bodyDiv w:val="1"/>
      <w:marLeft w:val="0"/>
      <w:marRight w:val="0"/>
      <w:marTop w:val="0"/>
      <w:marBottom w:val="0"/>
      <w:divBdr>
        <w:top w:val="none" w:sz="0" w:space="0" w:color="auto"/>
        <w:left w:val="none" w:sz="0" w:space="0" w:color="auto"/>
        <w:bottom w:val="none" w:sz="0" w:space="0" w:color="auto"/>
        <w:right w:val="none" w:sz="0" w:space="0" w:color="auto"/>
      </w:divBdr>
    </w:div>
    <w:div w:id="1679774583">
      <w:bodyDiv w:val="1"/>
      <w:marLeft w:val="0"/>
      <w:marRight w:val="0"/>
      <w:marTop w:val="0"/>
      <w:marBottom w:val="0"/>
      <w:divBdr>
        <w:top w:val="none" w:sz="0" w:space="0" w:color="auto"/>
        <w:left w:val="none" w:sz="0" w:space="0" w:color="auto"/>
        <w:bottom w:val="none" w:sz="0" w:space="0" w:color="auto"/>
        <w:right w:val="none" w:sz="0" w:space="0" w:color="auto"/>
      </w:divBdr>
    </w:div>
    <w:div w:id="1868983294">
      <w:bodyDiv w:val="1"/>
      <w:marLeft w:val="0"/>
      <w:marRight w:val="0"/>
      <w:marTop w:val="0"/>
      <w:marBottom w:val="0"/>
      <w:divBdr>
        <w:top w:val="none" w:sz="0" w:space="0" w:color="auto"/>
        <w:left w:val="none" w:sz="0" w:space="0" w:color="auto"/>
        <w:bottom w:val="none" w:sz="0" w:space="0" w:color="auto"/>
        <w:right w:val="none" w:sz="0" w:space="0" w:color="auto"/>
      </w:divBdr>
    </w:div>
    <w:div w:id="1940717740">
      <w:bodyDiv w:val="1"/>
      <w:marLeft w:val="0"/>
      <w:marRight w:val="0"/>
      <w:marTop w:val="0"/>
      <w:marBottom w:val="0"/>
      <w:divBdr>
        <w:top w:val="none" w:sz="0" w:space="0" w:color="auto"/>
        <w:left w:val="none" w:sz="0" w:space="0" w:color="auto"/>
        <w:bottom w:val="none" w:sz="0" w:space="0" w:color="auto"/>
        <w:right w:val="none" w:sz="0" w:space="0" w:color="auto"/>
      </w:divBdr>
    </w:div>
    <w:div w:id="209092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522-imigracijas-likums" TargetMode="External"/><Relationship Id="rId13" Type="http://schemas.openxmlformats.org/officeDocument/2006/relationships/chart" Target="charts/chart4.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dace.vitola@em.gov.lv" TargetMode="External"/><Relationship Id="rId4" Type="http://schemas.openxmlformats.org/officeDocument/2006/relationships/settings" Target="settings.xml"/><Relationship Id="rId9" Type="http://schemas.openxmlformats.org/officeDocument/2006/relationships/hyperlink" Target="http://likumi.lv/ta/id/68522-imigracijas-likums" TargetMode="Externa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oleObject" Target="file:///\\apsis2.hipo.lv\Grupas\ATT\!Programmas\MG-2015\Banku%20r&#257;d&#299;t&#257;ji\Bankas_ceturksnis_2016Q1_EUR.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oleObject" Target="file:///\\apsis2.hipo.lv\Grupas\ATT\!Programmas\MG-2015\Dati\MG%20Prognoze%20(max).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Faktiski</a:t>
            </a:r>
            <a:r>
              <a:rPr lang="lv-LV" baseline="0"/>
              <a:t> veiktās iemaksas Ekonomiskās attīstības programmas kontā </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strRef>
              <c:f>Sheet1!$A$2:$A$17</c:f>
              <c:strCache>
                <c:ptCount val="16"/>
                <c:pt idx="0">
                  <c:v>2015.01.</c:v>
                </c:pt>
                <c:pt idx="1">
                  <c:v>2015.02.</c:v>
                </c:pt>
                <c:pt idx="2">
                  <c:v>2015.03.</c:v>
                </c:pt>
                <c:pt idx="3">
                  <c:v>2015.04.</c:v>
                </c:pt>
                <c:pt idx="4">
                  <c:v>2015.05.</c:v>
                </c:pt>
                <c:pt idx="5">
                  <c:v>2015.06.</c:v>
                </c:pt>
                <c:pt idx="6">
                  <c:v>2015.07.</c:v>
                </c:pt>
                <c:pt idx="7">
                  <c:v>2015.08.</c:v>
                </c:pt>
                <c:pt idx="8">
                  <c:v>2015.09.</c:v>
                </c:pt>
                <c:pt idx="9">
                  <c:v>2015.10.</c:v>
                </c:pt>
                <c:pt idx="10">
                  <c:v>2015.11.</c:v>
                </c:pt>
                <c:pt idx="11">
                  <c:v>2015.12.</c:v>
                </c:pt>
                <c:pt idx="12">
                  <c:v>2016.01.</c:v>
                </c:pt>
                <c:pt idx="13">
                  <c:v>2016.02.</c:v>
                </c:pt>
                <c:pt idx="14">
                  <c:v>2016.03.</c:v>
                </c:pt>
                <c:pt idx="15">
                  <c:v>2016.04.</c:v>
                </c:pt>
              </c:strCache>
            </c:strRef>
          </c:cat>
          <c:val>
            <c:numRef>
              <c:f>Sheet1!$B$2:$B$17</c:f>
              <c:numCache>
                <c:formatCode>General</c:formatCode>
                <c:ptCount val="16"/>
                <c:pt idx="0">
                  <c:v>300185</c:v>
                </c:pt>
                <c:pt idx="1">
                  <c:v>303560</c:v>
                </c:pt>
                <c:pt idx="2">
                  <c:v>202890</c:v>
                </c:pt>
                <c:pt idx="3">
                  <c:v>197011</c:v>
                </c:pt>
                <c:pt idx="4">
                  <c:v>365682</c:v>
                </c:pt>
                <c:pt idx="5">
                  <c:v>183665</c:v>
                </c:pt>
                <c:pt idx="6">
                  <c:v>145249</c:v>
                </c:pt>
                <c:pt idx="7">
                  <c:v>195720</c:v>
                </c:pt>
                <c:pt idx="8">
                  <c:v>309124</c:v>
                </c:pt>
                <c:pt idx="9">
                  <c:v>179436</c:v>
                </c:pt>
                <c:pt idx="10">
                  <c:v>219217</c:v>
                </c:pt>
                <c:pt idx="11">
                  <c:v>383910</c:v>
                </c:pt>
                <c:pt idx="12">
                  <c:v>239924</c:v>
                </c:pt>
                <c:pt idx="13">
                  <c:v>100900</c:v>
                </c:pt>
                <c:pt idx="14">
                  <c:v>94953</c:v>
                </c:pt>
                <c:pt idx="15">
                  <c:v>196897</c:v>
                </c:pt>
              </c:numCache>
            </c:numRef>
          </c:val>
        </c:ser>
        <c:dLbls>
          <c:showLegendKey val="0"/>
          <c:showVal val="0"/>
          <c:showCatName val="0"/>
          <c:showSerName val="0"/>
          <c:showPercent val="0"/>
          <c:showBubbleSize val="0"/>
        </c:dLbls>
        <c:gapWidth val="219"/>
        <c:overlap val="-27"/>
        <c:axId val="374827056"/>
        <c:axId val="374829016"/>
      </c:barChart>
      <c:catAx>
        <c:axId val="37482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4829016"/>
        <c:crosses val="autoZero"/>
        <c:auto val="1"/>
        <c:lblAlgn val="ctr"/>
        <c:lblOffset val="100"/>
        <c:noMultiLvlLbl val="0"/>
      </c:catAx>
      <c:valAx>
        <c:axId val="374829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482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Izsniegtās</a:t>
            </a:r>
            <a:r>
              <a:rPr lang="lv-LV" baseline="0"/>
              <a:t> termiņuzturēšanās atļaujas</a:t>
            </a:r>
            <a:endParaRPr lang="lv-LV"/>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2010</c:v>
                </c:pt>
                <c:pt idx="1">
                  <c:v>2011</c:v>
                </c:pt>
                <c:pt idx="2">
                  <c:v>2012</c:v>
                </c:pt>
                <c:pt idx="3">
                  <c:v>2013</c:v>
                </c:pt>
                <c:pt idx="4">
                  <c:v>2014</c:v>
                </c:pt>
                <c:pt idx="5">
                  <c:v>2015</c:v>
                </c:pt>
                <c:pt idx="6">
                  <c:v>2016. I.cet</c:v>
                </c:pt>
              </c:strCache>
            </c:strRef>
          </c:cat>
          <c:val>
            <c:numRef>
              <c:f>Sheet1!$B$2:$B$8</c:f>
              <c:numCache>
                <c:formatCode>General</c:formatCode>
                <c:ptCount val="7"/>
                <c:pt idx="0">
                  <c:v>126</c:v>
                </c:pt>
                <c:pt idx="1">
                  <c:v>824</c:v>
                </c:pt>
                <c:pt idx="2">
                  <c:v>1209</c:v>
                </c:pt>
                <c:pt idx="3">
                  <c:v>1893</c:v>
                </c:pt>
                <c:pt idx="4">
                  <c:v>2419</c:v>
                </c:pt>
                <c:pt idx="5">
                  <c:v>346</c:v>
                </c:pt>
                <c:pt idx="6">
                  <c:v>24</c:v>
                </c:pt>
              </c:numCache>
            </c:numRef>
          </c:val>
        </c:ser>
        <c:dLbls>
          <c:dLblPos val="outEnd"/>
          <c:showLegendKey val="0"/>
          <c:showVal val="1"/>
          <c:showCatName val="0"/>
          <c:showSerName val="0"/>
          <c:showPercent val="0"/>
          <c:showBubbleSize val="0"/>
        </c:dLbls>
        <c:gapWidth val="219"/>
        <c:overlap val="-27"/>
        <c:axId val="374830192"/>
        <c:axId val="764263056"/>
      </c:barChart>
      <c:catAx>
        <c:axId val="37483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4263056"/>
        <c:crosses val="autoZero"/>
        <c:auto val="1"/>
        <c:lblAlgn val="ctr"/>
        <c:lblOffset val="100"/>
        <c:noMultiLvlLbl val="0"/>
      </c:catAx>
      <c:valAx>
        <c:axId val="76426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Termiņuzturēšanās</a:t>
                </a:r>
                <a:r>
                  <a:rPr lang="lv-LV" baseline="0"/>
                  <a:t> atļauju skaits</a:t>
                </a:r>
                <a:endParaRPr lang="lv-LV"/>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7483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Mājokļu galvojumu piešķiršanas dinamika</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Sheet1!$A$2:$A$6</c:f>
              <c:strCache>
                <c:ptCount val="5"/>
                <c:pt idx="0">
                  <c:v>I Ceturksnis (2015)</c:v>
                </c:pt>
                <c:pt idx="1">
                  <c:v>II Ceturksnis (2015)</c:v>
                </c:pt>
                <c:pt idx="2">
                  <c:v>III Ceturksnis (2015)</c:v>
                </c:pt>
                <c:pt idx="3">
                  <c:v>IV Ceturksnis (2015)</c:v>
                </c:pt>
                <c:pt idx="4">
                  <c:v>I Ceturksnis (2016)</c:v>
                </c:pt>
              </c:strCache>
            </c:strRef>
          </c:cat>
          <c:val>
            <c:numRef>
              <c:f>Sheet1!$B$2:$B$6</c:f>
              <c:numCache>
                <c:formatCode>General</c:formatCode>
                <c:ptCount val="5"/>
                <c:pt idx="0">
                  <c:v>78</c:v>
                </c:pt>
                <c:pt idx="1">
                  <c:v>282</c:v>
                </c:pt>
                <c:pt idx="2">
                  <c:v>405</c:v>
                </c:pt>
                <c:pt idx="3">
                  <c:v>509</c:v>
                </c:pt>
                <c:pt idx="4">
                  <c:v>689</c:v>
                </c:pt>
              </c:numCache>
            </c:numRef>
          </c:val>
        </c:ser>
        <c:dLbls>
          <c:dLblPos val="outEnd"/>
          <c:showLegendKey val="0"/>
          <c:showVal val="1"/>
          <c:showCatName val="0"/>
          <c:showSerName val="0"/>
          <c:showPercent val="0"/>
          <c:showBubbleSize val="0"/>
        </c:dLbls>
        <c:gapWidth val="219"/>
        <c:overlap val="-27"/>
        <c:axId val="764263840"/>
        <c:axId val="764264232"/>
      </c:barChart>
      <c:catAx>
        <c:axId val="76426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4264232"/>
        <c:crosses val="autoZero"/>
        <c:auto val="1"/>
        <c:lblAlgn val="ctr"/>
        <c:lblOffset val="100"/>
        <c:noMultiLvlLbl val="0"/>
      </c:catAx>
      <c:valAx>
        <c:axId val="764264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Galvojumu skaits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426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lv-LV" sz="1400"/>
              <a:t>Piešķirtie aizdevumi ceturksnī (milj. €)</a:t>
            </a:r>
          </a:p>
        </c:rich>
      </c:tx>
      <c:layout/>
      <c:overlay val="0"/>
    </c:title>
    <c:autoTitleDeleted val="0"/>
    <c:plotArea>
      <c:layout>
        <c:manualLayout>
          <c:layoutTarget val="inner"/>
          <c:xMode val="edge"/>
          <c:yMode val="edge"/>
          <c:x val="4.9692875167868272E-2"/>
          <c:y val="8.0760844589563827E-2"/>
          <c:w val="0.92703046503055786"/>
          <c:h val="0.64898182538503446"/>
        </c:manualLayout>
      </c:layout>
      <c:lineChart>
        <c:grouping val="standard"/>
        <c:varyColors val="0"/>
        <c:ser>
          <c:idx val="2"/>
          <c:order val="0"/>
          <c:tx>
            <c:strRef>
              <c:f>'Jaunie izsniegtie_New granted'!$B$42</c:f>
              <c:strCache>
                <c:ptCount val="1"/>
                <c:pt idx="0">
                  <c:v>piešķirti kredīti mājokļa iegādei, rekonstrukcijai, remontam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w="19050">
                <a:solidFill>
                  <a:srgbClr val="99CC00"/>
                </a:solidFill>
              </a:ln>
            </c:spPr>
            <c:trendlineType val="linear"/>
            <c:dispRSqr val="0"/>
            <c:dispEq val="0"/>
          </c:trendline>
          <c:cat>
            <c:strRef>
              <c:f>'Jaunie izsniegtie_New granted'!$D$40:$X$40</c:f>
              <c:strCache>
                <c:ptCount val="21"/>
                <c:pt idx="0">
                  <c:v>2011-I</c:v>
                </c:pt>
                <c:pt idx="1">
                  <c:v>2011-II</c:v>
                </c:pt>
                <c:pt idx="2">
                  <c:v>2011-III</c:v>
                </c:pt>
                <c:pt idx="3">
                  <c:v>2011-IV</c:v>
                </c:pt>
                <c:pt idx="4">
                  <c:v>2012-I</c:v>
                </c:pt>
                <c:pt idx="5">
                  <c:v>2012-II</c:v>
                </c:pt>
                <c:pt idx="6">
                  <c:v>2012-III</c:v>
                </c:pt>
                <c:pt idx="7">
                  <c:v>2012-IV</c:v>
                </c:pt>
                <c:pt idx="8">
                  <c:v>2013-I</c:v>
                </c:pt>
                <c:pt idx="9">
                  <c:v>2013-II</c:v>
                </c:pt>
                <c:pt idx="10">
                  <c:v>2013-III</c:v>
                </c:pt>
                <c:pt idx="11">
                  <c:v>2013-IV</c:v>
                </c:pt>
                <c:pt idx="12">
                  <c:v>2014-I</c:v>
                </c:pt>
                <c:pt idx="13">
                  <c:v>2014-II</c:v>
                </c:pt>
                <c:pt idx="14">
                  <c:v>2014-III</c:v>
                </c:pt>
                <c:pt idx="15">
                  <c:v>2014-IV</c:v>
                </c:pt>
                <c:pt idx="16">
                  <c:v>2015-I</c:v>
                </c:pt>
                <c:pt idx="17">
                  <c:v>2015-II</c:v>
                </c:pt>
                <c:pt idx="18">
                  <c:v>2015-III</c:v>
                </c:pt>
                <c:pt idx="19">
                  <c:v>2015-IV</c:v>
                </c:pt>
                <c:pt idx="20">
                  <c:v>2016-I</c:v>
                </c:pt>
              </c:strCache>
            </c:strRef>
          </c:cat>
          <c:val>
            <c:numRef>
              <c:f>'Jaunie izsniegtie_New granted'!$D$42:$X$42</c:f>
              <c:numCache>
                <c:formatCode>#,##0</c:formatCode>
                <c:ptCount val="21"/>
                <c:pt idx="0">
                  <c:v>25684.636114763147</c:v>
                </c:pt>
                <c:pt idx="1">
                  <c:v>36160.139953671292</c:v>
                </c:pt>
                <c:pt idx="2">
                  <c:v>51231.472786153754</c:v>
                </c:pt>
                <c:pt idx="3">
                  <c:v>52248.222833108521</c:v>
                </c:pt>
                <c:pt idx="4">
                  <c:v>38418.657264329748</c:v>
                </c:pt>
                <c:pt idx="5">
                  <c:v>47432.736580895958</c:v>
                </c:pt>
                <c:pt idx="6">
                  <c:v>47684.108229321406</c:v>
                </c:pt>
                <c:pt idx="7">
                  <c:v>43145.524214432473</c:v>
                </c:pt>
                <c:pt idx="8">
                  <c:v>44780.099430282135</c:v>
                </c:pt>
                <c:pt idx="9">
                  <c:v>60539.954240442574</c:v>
                </c:pt>
                <c:pt idx="10">
                  <c:v>66002.342047000304</c:v>
                </c:pt>
                <c:pt idx="11">
                  <c:v>53049.624077267639</c:v>
                </c:pt>
                <c:pt idx="12">
                  <c:v>38833.493912834871</c:v>
                </c:pt>
                <c:pt idx="13">
                  <c:v>65627.320999999996</c:v>
                </c:pt>
                <c:pt idx="14">
                  <c:v>71715.042000000001</c:v>
                </c:pt>
                <c:pt idx="15">
                  <c:v>69496.274999999994</c:v>
                </c:pt>
                <c:pt idx="16">
                  <c:v>40407.064999999995</c:v>
                </c:pt>
                <c:pt idx="17">
                  <c:v>68916.266000000003</c:v>
                </c:pt>
                <c:pt idx="18">
                  <c:v>85862.428</c:v>
                </c:pt>
                <c:pt idx="19">
                  <c:v>81230.58600000001</c:v>
                </c:pt>
                <c:pt idx="20">
                  <c:v>75178.084000000003</c:v>
                </c:pt>
              </c:numCache>
            </c:numRef>
          </c:val>
          <c:smooth val="0"/>
        </c:ser>
        <c:ser>
          <c:idx val="1"/>
          <c:order val="1"/>
          <c:tx>
            <c:strRef>
              <c:f>'Jaunie izsniegtie_New granted'!$C$43</c:f>
              <c:strCache>
                <c:ptCount val="1"/>
                <c:pt idx="0">
                  <c:v>t.sk. ar mājokļa galvojumu</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'Jaunie izsniegtie_New granted'!$D$40:$X$40</c:f>
              <c:strCache>
                <c:ptCount val="21"/>
                <c:pt idx="0">
                  <c:v>2011-I</c:v>
                </c:pt>
                <c:pt idx="1">
                  <c:v>2011-II</c:v>
                </c:pt>
                <c:pt idx="2">
                  <c:v>2011-III</c:v>
                </c:pt>
                <c:pt idx="3">
                  <c:v>2011-IV</c:v>
                </c:pt>
                <c:pt idx="4">
                  <c:v>2012-I</c:v>
                </c:pt>
                <c:pt idx="5">
                  <c:v>2012-II</c:v>
                </c:pt>
                <c:pt idx="6">
                  <c:v>2012-III</c:v>
                </c:pt>
                <c:pt idx="7">
                  <c:v>2012-IV</c:v>
                </c:pt>
                <c:pt idx="8">
                  <c:v>2013-I</c:v>
                </c:pt>
                <c:pt idx="9">
                  <c:v>2013-II</c:v>
                </c:pt>
                <c:pt idx="10">
                  <c:v>2013-III</c:v>
                </c:pt>
                <c:pt idx="11">
                  <c:v>2013-IV</c:v>
                </c:pt>
                <c:pt idx="12">
                  <c:v>2014-I</c:v>
                </c:pt>
                <c:pt idx="13">
                  <c:v>2014-II</c:v>
                </c:pt>
                <c:pt idx="14">
                  <c:v>2014-III</c:v>
                </c:pt>
                <c:pt idx="15">
                  <c:v>2014-IV</c:v>
                </c:pt>
                <c:pt idx="16">
                  <c:v>2015-I</c:v>
                </c:pt>
                <c:pt idx="17">
                  <c:v>2015-II</c:v>
                </c:pt>
                <c:pt idx="18">
                  <c:v>2015-III</c:v>
                </c:pt>
                <c:pt idx="19">
                  <c:v>2015-IV</c:v>
                </c:pt>
                <c:pt idx="20">
                  <c:v>2016-I</c:v>
                </c:pt>
              </c:strCache>
            </c:strRef>
          </c:cat>
          <c:val>
            <c:numRef>
              <c:f>'Jaunie izsniegtie_New granted'!$D$43:$X$43</c:f>
              <c:numCache>
                <c:formatCode>General</c:formatCode>
                <c:ptCount val="21"/>
                <c:pt idx="16" formatCode="#,##0">
                  <c:v>3447.2210100000002</c:v>
                </c:pt>
                <c:pt idx="17" formatCode="#,##0">
                  <c:v>12666</c:v>
                </c:pt>
                <c:pt idx="18" formatCode="#,##0">
                  <c:v>22270</c:v>
                </c:pt>
                <c:pt idx="19" formatCode="#,##0">
                  <c:v>26512</c:v>
                </c:pt>
                <c:pt idx="20" formatCode="#,##0">
                  <c:v>37921.416570000001</c:v>
                </c:pt>
              </c:numCache>
            </c:numRef>
          </c:val>
          <c:smooth val="0"/>
        </c:ser>
        <c:dLbls>
          <c:showLegendKey val="0"/>
          <c:showVal val="0"/>
          <c:showCatName val="0"/>
          <c:showSerName val="0"/>
          <c:showPercent val="0"/>
          <c:showBubbleSize val="0"/>
        </c:dLbls>
        <c:marker val="1"/>
        <c:smooth val="0"/>
        <c:axId val="757271040"/>
        <c:axId val="757271432"/>
      </c:lineChart>
      <c:catAx>
        <c:axId val="757271040"/>
        <c:scaling>
          <c:orientation val="minMax"/>
        </c:scaling>
        <c:delete val="0"/>
        <c:axPos val="b"/>
        <c:numFmt formatCode="General" sourceLinked="0"/>
        <c:majorTickMark val="out"/>
        <c:minorTickMark val="none"/>
        <c:tickLblPos val="nextTo"/>
        <c:crossAx val="757271432"/>
        <c:crosses val="autoZero"/>
        <c:auto val="1"/>
        <c:lblAlgn val="ctr"/>
        <c:lblOffset val="100"/>
        <c:noMultiLvlLbl val="0"/>
      </c:catAx>
      <c:valAx>
        <c:axId val="757271432"/>
        <c:scaling>
          <c:orientation val="minMax"/>
        </c:scaling>
        <c:delete val="0"/>
        <c:axPos val="l"/>
        <c:majorGridlines/>
        <c:numFmt formatCode="#,##0" sourceLinked="1"/>
        <c:majorTickMark val="out"/>
        <c:minorTickMark val="none"/>
        <c:tickLblPos val="nextTo"/>
        <c:crossAx val="757271040"/>
        <c:crosses val="autoZero"/>
        <c:crossBetween val="midCat"/>
        <c:dispUnits>
          <c:builtInUnit val="thousands"/>
        </c:dispUnits>
      </c:valAx>
    </c:plotArea>
    <c:legend>
      <c:legendPos val="b"/>
      <c:layout>
        <c:manualLayout>
          <c:xMode val="edge"/>
          <c:yMode val="edge"/>
          <c:x val="7.0622995042286377E-2"/>
          <c:y val="0.83037360182465791"/>
          <c:w val="0.87727234616506267"/>
          <c:h val="0.14836922318136778"/>
        </c:manualLayout>
      </c:layout>
      <c:overlay val="0"/>
    </c:legend>
    <c:plotVisOnly val="1"/>
    <c:dispBlanksAs val="gap"/>
    <c:showDLblsOverMax val="0"/>
  </c:chart>
  <c:txPr>
    <a:bodyPr/>
    <a:lstStyle/>
    <a:p>
      <a:pPr>
        <a:defRPr sz="700"/>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a:t>Piešķirto</a:t>
            </a:r>
            <a:r>
              <a:rPr lang="lv-LV" sz="1400" baseline="0"/>
              <a:t> galvojumu skaits pret aizdevumu summām</a:t>
            </a:r>
            <a:endParaRPr lang="lv-LV" sz="14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1 bērns</c:v>
                </c:pt>
              </c:strCache>
            </c:strRef>
          </c:tx>
          <c:spPr>
            <a:solidFill>
              <a:schemeClr val="accent1"/>
            </a:solidFill>
            <a:ln>
              <a:noFill/>
            </a:ln>
            <a:effectLst/>
          </c:spPr>
          <c:invertIfNegative val="0"/>
          <c:cat>
            <c:strRef>
              <c:f>Sheet1!$A$2:$A$9</c:f>
              <c:strCache>
                <c:ptCount val="8"/>
                <c:pt idx="0">
                  <c:v>1850-30 000</c:v>
                </c:pt>
                <c:pt idx="1">
                  <c:v>30 000-50 000</c:v>
                </c:pt>
                <c:pt idx="2">
                  <c:v>50 000-70 000</c:v>
                </c:pt>
                <c:pt idx="3">
                  <c:v>70 000-100 000</c:v>
                </c:pt>
                <c:pt idx="4">
                  <c:v>100 000-150 000</c:v>
                </c:pt>
                <c:pt idx="5">
                  <c:v>150 000-200 000</c:v>
                </c:pt>
                <c:pt idx="6">
                  <c:v>200 000-250 000</c:v>
                </c:pt>
                <c:pt idx="7">
                  <c:v>250 000-302 000</c:v>
                </c:pt>
              </c:strCache>
            </c:strRef>
          </c:cat>
          <c:val>
            <c:numRef>
              <c:f>Sheet1!$B$2:$B$9</c:f>
              <c:numCache>
                <c:formatCode>General</c:formatCode>
                <c:ptCount val="8"/>
                <c:pt idx="0">
                  <c:v>483</c:v>
                </c:pt>
                <c:pt idx="1">
                  <c:v>463</c:v>
                </c:pt>
                <c:pt idx="2">
                  <c:v>186</c:v>
                </c:pt>
                <c:pt idx="3">
                  <c:v>181</c:v>
                </c:pt>
                <c:pt idx="4">
                  <c:v>126</c:v>
                </c:pt>
                <c:pt idx="5">
                  <c:v>37</c:v>
                </c:pt>
                <c:pt idx="6">
                  <c:v>8</c:v>
                </c:pt>
                <c:pt idx="7">
                  <c:v>1</c:v>
                </c:pt>
              </c:numCache>
            </c:numRef>
          </c:val>
        </c:ser>
        <c:ser>
          <c:idx val="1"/>
          <c:order val="1"/>
          <c:tx>
            <c:strRef>
              <c:f>Sheet1!$C$1</c:f>
              <c:strCache>
                <c:ptCount val="1"/>
                <c:pt idx="0">
                  <c:v>2 bērni</c:v>
                </c:pt>
              </c:strCache>
            </c:strRef>
          </c:tx>
          <c:spPr>
            <a:solidFill>
              <a:schemeClr val="accent2"/>
            </a:solidFill>
            <a:ln>
              <a:noFill/>
            </a:ln>
            <a:effectLst/>
          </c:spPr>
          <c:invertIfNegative val="0"/>
          <c:cat>
            <c:strRef>
              <c:f>Sheet1!$A$2:$A$9</c:f>
              <c:strCache>
                <c:ptCount val="8"/>
                <c:pt idx="0">
                  <c:v>1850-30 000</c:v>
                </c:pt>
                <c:pt idx="1">
                  <c:v>30 000-50 000</c:v>
                </c:pt>
                <c:pt idx="2">
                  <c:v>50 000-70 000</c:v>
                </c:pt>
                <c:pt idx="3">
                  <c:v>70 000-100 000</c:v>
                </c:pt>
                <c:pt idx="4">
                  <c:v>100 000-150 000</c:v>
                </c:pt>
                <c:pt idx="5">
                  <c:v>150 000-200 000</c:v>
                </c:pt>
                <c:pt idx="6">
                  <c:v>200 000-250 000</c:v>
                </c:pt>
                <c:pt idx="7">
                  <c:v>250 000-302 000</c:v>
                </c:pt>
              </c:strCache>
            </c:strRef>
          </c:cat>
          <c:val>
            <c:numRef>
              <c:f>Sheet1!$C$2:$C$9</c:f>
              <c:numCache>
                <c:formatCode>General</c:formatCode>
                <c:ptCount val="8"/>
                <c:pt idx="0">
                  <c:v>184</c:v>
                </c:pt>
                <c:pt idx="1">
                  <c:v>202</c:v>
                </c:pt>
                <c:pt idx="2">
                  <c:v>119</c:v>
                </c:pt>
                <c:pt idx="3">
                  <c:v>97</c:v>
                </c:pt>
                <c:pt idx="4">
                  <c:v>91</c:v>
                </c:pt>
                <c:pt idx="5">
                  <c:v>33</c:v>
                </c:pt>
                <c:pt idx="6">
                  <c:v>10</c:v>
                </c:pt>
                <c:pt idx="7">
                  <c:v>2</c:v>
                </c:pt>
              </c:numCache>
            </c:numRef>
          </c:val>
        </c:ser>
        <c:ser>
          <c:idx val="2"/>
          <c:order val="2"/>
          <c:tx>
            <c:strRef>
              <c:f>Sheet1!$D$1</c:f>
              <c:strCache>
                <c:ptCount val="1"/>
                <c:pt idx="0">
                  <c:v>3 bērni</c:v>
                </c:pt>
              </c:strCache>
            </c:strRef>
          </c:tx>
          <c:spPr>
            <a:solidFill>
              <a:schemeClr val="accent3"/>
            </a:solidFill>
            <a:ln>
              <a:noFill/>
            </a:ln>
            <a:effectLst/>
          </c:spPr>
          <c:invertIfNegative val="0"/>
          <c:cat>
            <c:strRef>
              <c:f>Sheet1!$A$2:$A$9</c:f>
              <c:strCache>
                <c:ptCount val="8"/>
                <c:pt idx="0">
                  <c:v>1850-30 000</c:v>
                </c:pt>
                <c:pt idx="1">
                  <c:v>30 000-50 000</c:v>
                </c:pt>
                <c:pt idx="2">
                  <c:v>50 000-70 000</c:v>
                </c:pt>
                <c:pt idx="3">
                  <c:v>70 000-100 000</c:v>
                </c:pt>
                <c:pt idx="4">
                  <c:v>100 000-150 000</c:v>
                </c:pt>
                <c:pt idx="5">
                  <c:v>150 000-200 000</c:v>
                </c:pt>
                <c:pt idx="6">
                  <c:v>200 000-250 000</c:v>
                </c:pt>
                <c:pt idx="7">
                  <c:v>250 000-302 000</c:v>
                </c:pt>
              </c:strCache>
            </c:strRef>
          </c:cat>
          <c:val>
            <c:numRef>
              <c:f>Sheet1!$D$2:$D$9</c:f>
              <c:numCache>
                <c:formatCode>General</c:formatCode>
                <c:ptCount val="8"/>
                <c:pt idx="0">
                  <c:v>32</c:v>
                </c:pt>
                <c:pt idx="1">
                  <c:v>31</c:v>
                </c:pt>
                <c:pt idx="2">
                  <c:v>31</c:v>
                </c:pt>
                <c:pt idx="3">
                  <c:v>26</c:v>
                </c:pt>
                <c:pt idx="4">
                  <c:v>30</c:v>
                </c:pt>
                <c:pt idx="5">
                  <c:v>5</c:v>
                </c:pt>
                <c:pt idx="6">
                  <c:v>1</c:v>
                </c:pt>
                <c:pt idx="7">
                  <c:v>2</c:v>
                </c:pt>
              </c:numCache>
            </c:numRef>
          </c:val>
        </c:ser>
        <c:dLbls>
          <c:showLegendKey val="0"/>
          <c:showVal val="0"/>
          <c:showCatName val="0"/>
          <c:showSerName val="0"/>
          <c:showPercent val="0"/>
          <c:showBubbleSize val="0"/>
        </c:dLbls>
        <c:gapWidth val="219"/>
        <c:overlap val="-27"/>
        <c:axId val="209067272"/>
        <c:axId val="209067664"/>
      </c:barChart>
      <c:catAx>
        <c:axId val="20906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lv-LV"/>
          </a:p>
        </c:txPr>
        <c:crossAx val="209067664"/>
        <c:crosses val="autoZero"/>
        <c:auto val="1"/>
        <c:lblAlgn val="ctr"/>
        <c:lblOffset val="100"/>
        <c:noMultiLvlLbl val="0"/>
      </c:catAx>
      <c:valAx>
        <c:axId val="209067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1000"/>
                  <a:t>Galvojumu skaits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lv-LV"/>
          </a:p>
        </c:txPr>
        <c:crossAx val="209067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Prognozes</a:t>
            </a:r>
            <a:r>
              <a:rPr lang="lv-LV" baseline="0"/>
              <a:t> - aizdevumi mājokļa iegādei, milj. EUR</a:t>
            </a:r>
            <a:endParaRPr lang="lv-LV"/>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Aizdevumi mājokļa iegādei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305</c:v>
                </c:pt>
                <c:pt idx="1">
                  <c:v>354</c:v>
                </c:pt>
                <c:pt idx="2">
                  <c:v>413</c:v>
                </c:pt>
                <c:pt idx="3">
                  <c:v>462</c:v>
                </c:pt>
                <c:pt idx="4">
                  <c:v>533</c:v>
                </c:pt>
              </c:numCache>
            </c:numRef>
          </c:val>
        </c:ser>
        <c:dLbls>
          <c:dLblPos val="outEnd"/>
          <c:showLegendKey val="0"/>
          <c:showVal val="1"/>
          <c:showCatName val="0"/>
          <c:showSerName val="0"/>
          <c:showPercent val="0"/>
          <c:showBubbleSize val="0"/>
        </c:dLbls>
        <c:gapWidth val="219"/>
        <c:overlap val="-27"/>
        <c:axId val="209068448"/>
        <c:axId val="209068840"/>
      </c:barChart>
      <c:catAx>
        <c:axId val="20906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9068840"/>
        <c:crosses val="autoZero"/>
        <c:auto val="1"/>
        <c:lblAlgn val="ctr"/>
        <c:lblOffset val="100"/>
        <c:noMultiLvlLbl val="0"/>
      </c:catAx>
      <c:valAx>
        <c:axId val="209068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9068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sz="1400" b="1" i="0" baseline="0">
                <a:effectLst/>
              </a:rPr>
              <a:t>Piešķirtie mājokļu galvojumi mēnesī, fakts un prognoze</a:t>
            </a:r>
            <a:r>
              <a:rPr lang="en-US" sz="1400" b="1" i="0" baseline="0">
                <a:effectLst/>
              </a:rPr>
              <a:t> </a:t>
            </a:r>
            <a:r>
              <a:rPr lang="lv-LV" sz="1400" b="1" i="0" baseline="0">
                <a:effectLst/>
              </a:rPr>
              <a:t/>
            </a:r>
            <a:br>
              <a:rPr lang="lv-LV" sz="1400" b="1" i="0" baseline="0">
                <a:effectLst/>
              </a:rPr>
            </a:br>
            <a:r>
              <a:rPr lang="en-US" sz="1400" b="0" i="0" baseline="0">
                <a:effectLst/>
              </a:rPr>
              <a:t>(</a:t>
            </a:r>
            <a:r>
              <a:rPr lang="lv-LV" sz="1400" b="0" i="0" baseline="0">
                <a:effectLst/>
              </a:rPr>
              <a:t>turpinot esošo finansējuma modeli</a:t>
            </a:r>
            <a:r>
              <a:rPr lang="en-US" sz="1400" b="0" i="0" baseline="0">
                <a:effectLst/>
              </a:rPr>
              <a:t>)</a:t>
            </a:r>
            <a:r>
              <a:rPr lang="lv-LV" sz="1400" b="1" i="0" baseline="0">
                <a:effectLst/>
              </a:rPr>
              <a:t>, tūkst. €</a:t>
            </a:r>
            <a:endParaRPr lang="lv-LV" sz="1400">
              <a:effectLst/>
            </a:endParaRPr>
          </a:p>
        </c:rich>
      </c:tx>
      <c:layout>
        <c:manualLayout>
          <c:xMode val="edge"/>
          <c:yMode val="edge"/>
          <c:x val="0.12336796442111403"/>
          <c:y val="1.7708586107926735E-2"/>
        </c:manualLayout>
      </c:layout>
      <c:overlay val="0"/>
    </c:title>
    <c:autoTitleDeleted val="0"/>
    <c:plotArea>
      <c:layout/>
      <c:lineChart>
        <c:grouping val="standard"/>
        <c:varyColors val="0"/>
        <c:ser>
          <c:idx val="6"/>
          <c:order val="0"/>
          <c:tx>
            <c:v>Galvojumi (fakts)</c:v>
          </c:tx>
          <c:marker>
            <c:symbol val="none"/>
          </c:marker>
          <c:cat>
            <c:strRef>
              <c:f>Dati1!$B$3:$B$74</c:f>
              <c:strCache>
                <c:ptCount val="72"/>
                <c:pt idx="0">
                  <c:v>2015-I</c:v>
                </c:pt>
                <c:pt idx="1">
                  <c:v>II</c:v>
                </c:pt>
                <c:pt idx="2">
                  <c:v>III</c:v>
                </c:pt>
                <c:pt idx="3">
                  <c:v>IV</c:v>
                </c:pt>
                <c:pt idx="4">
                  <c:v>V</c:v>
                </c:pt>
                <c:pt idx="5">
                  <c:v>VI</c:v>
                </c:pt>
                <c:pt idx="6">
                  <c:v>VII</c:v>
                </c:pt>
                <c:pt idx="7">
                  <c:v>VIII</c:v>
                </c:pt>
                <c:pt idx="8">
                  <c:v>IX</c:v>
                </c:pt>
                <c:pt idx="9">
                  <c:v>X</c:v>
                </c:pt>
                <c:pt idx="10">
                  <c:v>XI</c:v>
                </c:pt>
                <c:pt idx="11">
                  <c:v>XII</c:v>
                </c:pt>
                <c:pt idx="12">
                  <c:v>2016-I</c:v>
                </c:pt>
                <c:pt idx="13">
                  <c:v>II</c:v>
                </c:pt>
                <c:pt idx="14">
                  <c:v>III</c:v>
                </c:pt>
                <c:pt idx="15">
                  <c:v>IV</c:v>
                </c:pt>
                <c:pt idx="16">
                  <c:v>V</c:v>
                </c:pt>
                <c:pt idx="17">
                  <c:v>VI</c:v>
                </c:pt>
                <c:pt idx="18">
                  <c:v>VII</c:v>
                </c:pt>
                <c:pt idx="19">
                  <c:v>VIII</c:v>
                </c:pt>
                <c:pt idx="20">
                  <c:v>IX</c:v>
                </c:pt>
                <c:pt idx="21">
                  <c:v>X</c:v>
                </c:pt>
                <c:pt idx="22">
                  <c:v>XI</c:v>
                </c:pt>
                <c:pt idx="23">
                  <c:v>XII</c:v>
                </c:pt>
                <c:pt idx="24">
                  <c:v>2017-I</c:v>
                </c:pt>
                <c:pt idx="25">
                  <c:v>II</c:v>
                </c:pt>
                <c:pt idx="26">
                  <c:v>III</c:v>
                </c:pt>
                <c:pt idx="27">
                  <c:v>IV</c:v>
                </c:pt>
                <c:pt idx="28">
                  <c:v>V</c:v>
                </c:pt>
                <c:pt idx="29">
                  <c:v>VI</c:v>
                </c:pt>
                <c:pt idx="30">
                  <c:v>VII</c:v>
                </c:pt>
                <c:pt idx="31">
                  <c:v>VIII</c:v>
                </c:pt>
                <c:pt idx="32">
                  <c:v>IX</c:v>
                </c:pt>
                <c:pt idx="33">
                  <c:v>X</c:v>
                </c:pt>
                <c:pt idx="34">
                  <c:v>XI</c:v>
                </c:pt>
                <c:pt idx="35">
                  <c:v>XII</c:v>
                </c:pt>
                <c:pt idx="36">
                  <c:v>2018-I</c:v>
                </c:pt>
                <c:pt idx="37">
                  <c:v>II</c:v>
                </c:pt>
                <c:pt idx="38">
                  <c:v>III</c:v>
                </c:pt>
                <c:pt idx="39">
                  <c:v>IV</c:v>
                </c:pt>
                <c:pt idx="40">
                  <c:v>V</c:v>
                </c:pt>
                <c:pt idx="41">
                  <c:v>VI</c:v>
                </c:pt>
                <c:pt idx="42">
                  <c:v>VII</c:v>
                </c:pt>
                <c:pt idx="43">
                  <c:v>VIII</c:v>
                </c:pt>
                <c:pt idx="44">
                  <c:v>IX</c:v>
                </c:pt>
                <c:pt idx="45">
                  <c:v>X</c:v>
                </c:pt>
                <c:pt idx="46">
                  <c:v>XI</c:v>
                </c:pt>
                <c:pt idx="47">
                  <c:v>XII</c:v>
                </c:pt>
                <c:pt idx="48">
                  <c:v>2019-I</c:v>
                </c:pt>
                <c:pt idx="49">
                  <c:v>II</c:v>
                </c:pt>
                <c:pt idx="50">
                  <c:v>III</c:v>
                </c:pt>
                <c:pt idx="51">
                  <c:v>IV</c:v>
                </c:pt>
                <c:pt idx="52">
                  <c:v>V</c:v>
                </c:pt>
                <c:pt idx="53">
                  <c:v>VI</c:v>
                </c:pt>
                <c:pt idx="54">
                  <c:v>VII</c:v>
                </c:pt>
                <c:pt idx="55">
                  <c:v>VIII</c:v>
                </c:pt>
                <c:pt idx="56">
                  <c:v>IX</c:v>
                </c:pt>
                <c:pt idx="57">
                  <c:v>X</c:v>
                </c:pt>
                <c:pt idx="58">
                  <c:v>XI</c:v>
                </c:pt>
                <c:pt idx="59">
                  <c:v>XII</c:v>
                </c:pt>
                <c:pt idx="60">
                  <c:v>2020-I</c:v>
                </c:pt>
                <c:pt idx="61">
                  <c:v>II</c:v>
                </c:pt>
                <c:pt idx="62">
                  <c:v>III</c:v>
                </c:pt>
                <c:pt idx="63">
                  <c:v>IV</c:v>
                </c:pt>
                <c:pt idx="64">
                  <c:v>V</c:v>
                </c:pt>
                <c:pt idx="65">
                  <c:v>VI</c:v>
                </c:pt>
                <c:pt idx="66">
                  <c:v>VII</c:v>
                </c:pt>
                <c:pt idx="67">
                  <c:v>VIII</c:v>
                </c:pt>
                <c:pt idx="68">
                  <c:v>IX</c:v>
                </c:pt>
                <c:pt idx="69">
                  <c:v>X</c:v>
                </c:pt>
                <c:pt idx="70">
                  <c:v>XI</c:v>
                </c:pt>
                <c:pt idx="71">
                  <c:v>XII</c:v>
                </c:pt>
              </c:strCache>
            </c:strRef>
          </c:cat>
          <c:val>
            <c:numRef>
              <c:f>Dati1!$AD$3:$AD$19</c:f>
              <c:numCache>
                <c:formatCode>#,##0</c:formatCode>
                <c:ptCount val="17"/>
                <c:pt idx="0">
                  <c:v>0</c:v>
                </c:pt>
                <c:pt idx="1">
                  <c:v>89729</c:v>
                </c:pt>
                <c:pt idx="2">
                  <c:v>337563</c:v>
                </c:pt>
                <c:pt idx="3">
                  <c:v>445802</c:v>
                </c:pt>
                <c:pt idx="4">
                  <c:v>461219</c:v>
                </c:pt>
                <c:pt idx="5">
                  <c:v>657248</c:v>
                </c:pt>
                <c:pt idx="6">
                  <c:v>829719</c:v>
                </c:pt>
                <c:pt idx="7">
                  <c:v>780489</c:v>
                </c:pt>
                <c:pt idx="8">
                  <c:v>946934</c:v>
                </c:pt>
                <c:pt idx="9">
                  <c:v>987724</c:v>
                </c:pt>
                <c:pt idx="10">
                  <c:v>927440</c:v>
                </c:pt>
                <c:pt idx="11">
                  <c:v>1137674</c:v>
                </c:pt>
                <c:pt idx="12">
                  <c:v>1013185.8799999998</c:v>
                </c:pt>
                <c:pt idx="13">
                  <c:v>1393241.54</c:v>
                </c:pt>
                <c:pt idx="14">
                  <c:v>1711027.6599999997</c:v>
                </c:pt>
                <c:pt idx="15">
                  <c:v>1902785.3900000001</c:v>
                </c:pt>
                <c:pt idx="16">
                  <c:v>1892502</c:v>
                </c:pt>
              </c:numCache>
            </c:numRef>
          </c:val>
          <c:smooth val="0"/>
        </c:ser>
        <c:ser>
          <c:idx val="0"/>
          <c:order val="1"/>
          <c:tx>
            <c:v>Prognoze</c:v>
          </c:tx>
          <c:spPr>
            <a:ln>
              <a:solidFill>
                <a:schemeClr val="accent6">
                  <a:lumMod val="75000"/>
                </a:schemeClr>
              </a:solidFill>
            </a:ln>
          </c:spPr>
          <c:marker>
            <c:symbol val="none"/>
          </c:marker>
          <c:val>
            <c:numRef>
              <c:f>Dati1!$AE$3:$AE$74</c:f>
              <c:numCache>
                <c:formatCode>General</c:formatCode>
                <c:ptCount val="72"/>
                <c:pt idx="16" formatCode="#,##0">
                  <c:v>1892502</c:v>
                </c:pt>
                <c:pt idx="17" formatCode="#,##0">
                  <c:v>1972290.9128095238</c:v>
                </c:pt>
                <c:pt idx="18" formatCode="#,##0">
                  <c:v>2071960.1069523813</c:v>
                </c:pt>
                <c:pt idx="19" formatCode="#,##0">
                  <c:v>2171629.3010952384</c:v>
                </c:pt>
                <c:pt idx="20" formatCode="#,##0">
                  <c:v>2271298.4952380955</c:v>
                </c:pt>
                <c:pt idx="21" formatCode="#,##0">
                  <c:v>2370967.6893809526</c:v>
                </c:pt>
                <c:pt idx="22" formatCode="#,##0">
                  <c:v>2470636.8835238097</c:v>
                </c:pt>
                <c:pt idx="23" formatCode="#,##0">
                  <c:v>2570306.0776666668</c:v>
                </c:pt>
                <c:pt idx="24" formatCode="#,##0">
                  <c:v>2610173.7553238096</c:v>
                </c:pt>
                <c:pt idx="25" formatCode="#,##0">
                  <c:v>2650041.4329809528</c:v>
                </c:pt>
                <c:pt idx="26" formatCode="#,##0">
                  <c:v>2689909.1106380955</c:v>
                </c:pt>
                <c:pt idx="27" formatCode="#,##0">
                  <c:v>2729776.7882952383</c:v>
                </c:pt>
                <c:pt idx="28" formatCode="#,##0">
                  <c:v>2769644.4659523815</c:v>
                </c:pt>
                <c:pt idx="29" formatCode="#,##0">
                  <c:v>2809512.1436095242</c:v>
                </c:pt>
                <c:pt idx="30" formatCode="#,##0">
                  <c:v>2849379.821266667</c:v>
                </c:pt>
                <c:pt idx="31" formatCode="#,##0">
                  <c:v>2889247.4989238097</c:v>
                </c:pt>
                <c:pt idx="32" formatCode="#,##0">
                  <c:v>2929115.1765809529</c:v>
                </c:pt>
                <c:pt idx="33" formatCode="#,##0">
                  <c:v>2968982.8542380957</c:v>
                </c:pt>
                <c:pt idx="34" formatCode="#,##0">
                  <c:v>3008850.5318952384</c:v>
                </c:pt>
                <c:pt idx="35" formatCode="#,##0">
                  <c:v>3048718.2095523812</c:v>
                </c:pt>
                <c:pt idx="36" formatCode="#,##0">
                  <c:v>3064665.2806152385</c:v>
                </c:pt>
                <c:pt idx="37" formatCode="#,##0">
                  <c:v>3080612.3516780953</c:v>
                </c:pt>
                <c:pt idx="38" formatCode="#,##0">
                  <c:v>3096559.4227409526</c:v>
                </c:pt>
                <c:pt idx="39" formatCode="#,##0">
                  <c:v>3112506.4938038099</c:v>
                </c:pt>
                <c:pt idx="40" formatCode="#,##0">
                  <c:v>3128453.5648666667</c:v>
                </c:pt>
                <c:pt idx="41" formatCode="#,##0">
                  <c:v>3144400.635929524</c:v>
                </c:pt>
                <c:pt idx="42" formatCode="#,##0">
                  <c:v>3160347.7069923813</c:v>
                </c:pt>
                <c:pt idx="43" formatCode="#,##0">
                  <c:v>3176294.7780552385</c:v>
                </c:pt>
                <c:pt idx="44" formatCode="#,##0">
                  <c:v>3192241.8491180958</c:v>
                </c:pt>
                <c:pt idx="45" formatCode="#,##0">
                  <c:v>3208188.9201809526</c:v>
                </c:pt>
                <c:pt idx="46" formatCode="#,##0">
                  <c:v>3224135.9912438099</c:v>
                </c:pt>
                <c:pt idx="47" formatCode="#,##0">
                  <c:v>3240083.0623066672</c:v>
                </c:pt>
                <c:pt idx="48" formatCode="#,##0">
                  <c:v>3249651.3049443811</c:v>
                </c:pt>
                <c:pt idx="49" formatCode="#,##0">
                  <c:v>3259219.5475820955</c:v>
                </c:pt>
                <c:pt idx="50" formatCode="#,##0">
                  <c:v>3268787.7902198099</c:v>
                </c:pt>
                <c:pt idx="51" formatCode="#,##0">
                  <c:v>3278356.0328575242</c:v>
                </c:pt>
                <c:pt idx="52" formatCode="#,##0">
                  <c:v>3287924.2754952386</c:v>
                </c:pt>
                <c:pt idx="53" formatCode="#,##0">
                  <c:v>3297492.518132953</c:v>
                </c:pt>
                <c:pt idx="54" formatCode="#,##0">
                  <c:v>3307060.7607706673</c:v>
                </c:pt>
                <c:pt idx="55" formatCode="#,##0">
                  <c:v>3316629.0034083817</c:v>
                </c:pt>
                <c:pt idx="56" formatCode="#,##0">
                  <c:v>3326197.2460460956</c:v>
                </c:pt>
                <c:pt idx="57" formatCode="#,##0">
                  <c:v>3335765.48868381</c:v>
                </c:pt>
                <c:pt idx="58" formatCode="#,##0">
                  <c:v>3345333.7313215244</c:v>
                </c:pt>
                <c:pt idx="59" formatCode="#,##0">
                  <c:v>3354901.9739592387</c:v>
                </c:pt>
                <c:pt idx="60" formatCode="#,##0">
                  <c:v>3360642.919541867</c:v>
                </c:pt>
                <c:pt idx="61" formatCode="#,##0">
                  <c:v>3366383.8651244957</c:v>
                </c:pt>
                <c:pt idx="62" formatCode="#,##0">
                  <c:v>3372124.8107071244</c:v>
                </c:pt>
                <c:pt idx="63" formatCode="#,##0">
                  <c:v>3377865.7562897531</c:v>
                </c:pt>
                <c:pt idx="64" formatCode="#,##0">
                  <c:v>3383606.7018723814</c:v>
                </c:pt>
                <c:pt idx="65" formatCode="#,##0">
                  <c:v>3389347.6474550101</c:v>
                </c:pt>
                <c:pt idx="66" formatCode="#,##0">
                  <c:v>3395088.5930376388</c:v>
                </c:pt>
                <c:pt idx="67" formatCode="#,##0">
                  <c:v>3400829.5386202675</c:v>
                </c:pt>
                <c:pt idx="68" formatCode="#,##0">
                  <c:v>3406570.4842028962</c:v>
                </c:pt>
                <c:pt idx="69" formatCode="#,##0">
                  <c:v>3412311.4297855245</c:v>
                </c:pt>
                <c:pt idx="70" formatCode="#,##0">
                  <c:v>3418052.3753681532</c:v>
                </c:pt>
                <c:pt idx="71" formatCode="#,##0">
                  <c:v>3423793.3209507819</c:v>
                </c:pt>
              </c:numCache>
            </c:numRef>
          </c:val>
          <c:smooth val="0"/>
        </c:ser>
        <c:dLbls>
          <c:showLegendKey val="0"/>
          <c:showVal val="0"/>
          <c:showCatName val="0"/>
          <c:showSerName val="0"/>
          <c:showPercent val="0"/>
          <c:showBubbleSize val="0"/>
        </c:dLbls>
        <c:smooth val="0"/>
        <c:axId val="757270648"/>
        <c:axId val="376881416"/>
      </c:lineChart>
      <c:catAx>
        <c:axId val="757270648"/>
        <c:scaling>
          <c:orientation val="minMax"/>
        </c:scaling>
        <c:delete val="0"/>
        <c:axPos val="b"/>
        <c:numFmt formatCode="General" sourceLinked="0"/>
        <c:majorTickMark val="out"/>
        <c:minorTickMark val="none"/>
        <c:tickLblPos val="nextTo"/>
        <c:crossAx val="376881416"/>
        <c:crosses val="autoZero"/>
        <c:auto val="1"/>
        <c:lblAlgn val="ctr"/>
        <c:lblOffset val="100"/>
        <c:noMultiLvlLbl val="0"/>
      </c:catAx>
      <c:valAx>
        <c:axId val="376881416"/>
        <c:scaling>
          <c:orientation val="minMax"/>
        </c:scaling>
        <c:delete val="0"/>
        <c:axPos val="l"/>
        <c:majorGridlines/>
        <c:numFmt formatCode="#,##0" sourceLinked="1"/>
        <c:majorTickMark val="out"/>
        <c:minorTickMark val="none"/>
        <c:tickLblPos val="nextTo"/>
        <c:crossAx val="757270648"/>
        <c:crosses val="autoZero"/>
        <c:crossBetween val="midCat"/>
        <c:dispUnits>
          <c:builtInUnit val="thousands"/>
        </c:dispUnits>
      </c:valAx>
    </c:plotArea>
    <c:legend>
      <c:legendPos val="b"/>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2BBA-1E50-483B-9865-4F1423DB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1540</Words>
  <Characters>10720</Characters>
  <Application>Microsoft Office Word</Application>
  <DocSecurity>0</DocSecurity>
  <Lines>218</Lines>
  <Paragraphs>53</Paragraphs>
  <ScaleCrop>false</ScaleCrop>
  <HeadingPairs>
    <vt:vector size="2" baseType="variant">
      <vt:variant>
        <vt:lpstr>Title</vt:lpstr>
      </vt:variant>
      <vt:variant>
        <vt:i4>1</vt:i4>
      </vt:variant>
    </vt:vector>
  </HeadingPairs>
  <TitlesOfParts>
    <vt:vector size="1" baseType="lpstr">
      <vt:lpstr/>
    </vt:vector>
  </TitlesOfParts>
  <Company>AFI</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Vītola</dc:creator>
  <cp:lastModifiedBy>Dace Vītola</cp:lastModifiedBy>
  <cp:revision>6</cp:revision>
  <cp:lastPrinted>2016-06-27T06:23:00Z</cp:lastPrinted>
  <dcterms:created xsi:type="dcterms:W3CDTF">2016-06-27T06:04:00Z</dcterms:created>
  <dcterms:modified xsi:type="dcterms:W3CDTF">2016-06-27T07:02:00Z</dcterms:modified>
</cp:coreProperties>
</file>