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9E19AF" w:rsidTr="00650469">
        <w:trPr>
          <w:trHeight w:val="1554"/>
          <w:tblCellSpacing w:w="0" w:type="dxa"/>
        </w:trPr>
        <w:tc>
          <w:tcPr>
            <w:tcW w:w="9202" w:type="dxa"/>
            <w:gridSpan w:val="3"/>
            <w:vAlign w:val="center"/>
          </w:tcPr>
          <w:p w:rsidR="00AA085C" w:rsidRPr="00CC7093" w:rsidRDefault="00787412" w:rsidP="00EC5F50">
            <w:pPr>
              <w:jc w:val="center"/>
            </w:pPr>
            <w:bookmarkStart w:id="0" w:name="OLE_LINK1"/>
            <w:bookmarkStart w:id="1" w:name="OLE_LINK2"/>
            <w:r>
              <w:t xml:space="preserve">                                                                                                                                                                                                                                                                                                                                                                                                                                                                                                                                                                                                                                                                                                                                                  </w:t>
            </w:r>
            <w:r w:rsidR="00AA085C" w:rsidRPr="00CC7093">
              <w:t>Ministru kabineta rīkojuma projekta</w:t>
            </w:r>
          </w:p>
          <w:p w:rsidR="00AA085C" w:rsidRPr="00FA6B67" w:rsidRDefault="004A2FEB" w:rsidP="000113F4">
            <w:pPr>
              <w:jc w:val="center"/>
              <w:rPr>
                <w:b/>
                <w:bCs/>
              </w:rPr>
            </w:pPr>
            <w:bookmarkStart w:id="2" w:name="OLE_LINK3"/>
            <w:bookmarkStart w:id="3" w:name="OLE_LINK4"/>
            <w:r w:rsidRPr="00FA6B67">
              <w:rPr>
                <w:b/>
                <w:bCs/>
              </w:rPr>
              <w:t>„</w:t>
            </w:r>
            <w:bookmarkEnd w:id="2"/>
            <w:bookmarkEnd w:id="3"/>
            <w:r w:rsidR="00FA6B67" w:rsidRPr="00FA6B67">
              <w:rPr>
                <w:b/>
              </w:rPr>
              <w:t>Grozījum</w:t>
            </w:r>
            <w:r w:rsidR="00AF7DCD">
              <w:rPr>
                <w:b/>
              </w:rPr>
              <w:t>s</w:t>
            </w:r>
            <w:r w:rsidR="00FA6B67" w:rsidRPr="00FA6B67">
              <w:rPr>
                <w:b/>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AA085C" w:rsidRPr="00FA6B67">
              <w:rPr>
                <w:b/>
                <w:bCs/>
              </w:rPr>
              <w:t xml:space="preserve">” </w:t>
            </w:r>
          </w:p>
          <w:p w:rsidR="00AA085C" w:rsidRPr="00CC7093" w:rsidRDefault="00AA085C" w:rsidP="00EC5F50">
            <w:pPr>
              <w:spacing w:after="120"/>
              <w:jc w:val="center"/>
              <w:rPr>
                <w:rFonts w:ascii="Arial" w:hAnsi="Arial" w:cs="Arial"/>
                <w:color w:val="000000"/>
              </w:rPr>
            </w:pPr>
            <w:r w:rsidRPr="00CC7093">
              <w:t>sākotnējās ietekmes novērtējuma ziņojums (anotācija)</w:t>
            </w:r>
            <w:r w:rsidRPr="00CC7093">
              <w:rPr>
                <w:rFonts w:ascii="Arial" w:hAnsi="Arial" w:cs="Arial"/>
                <w:color w:val="00000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2268"/>
              <w:gridCol w:w="142"/>
              <w:gridCol w:w="6218"/>
            </w:tblGrid>
            <w:tr w:rsidR="00AA085C" w:rsidRPr="00CC7093" w:rsidTr="0042321A">
              <w:trPr>
                <w:tblCellSpacing w:w="15" w:type="dxa"/>
              </w:trPr>
              <w:tc>
                <w:tcPr>
                  <w:tcW w:w="9132" w:type="dxa"/>
                  <w:gridSpan w:val="5"/>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EC5F50">
                  <w:pPr>
                    <w:jc w:val="center"/>
                    <w:rPr>
                      <w:b/>
                    </w:rPr>
                  </w:pPr>
                  <w:r w:rsidRPr="00CC7093">
                    <w:rPr>
                      <w:b/>
                    </w:rPr>
                    <w:t>I. Tiesību akta projekta izstrādes nepieciešamība</w:t>
                  </w:r>
                </w:p>
              </w:tc>
            </w:tr>
            <w:tr w:rsidR="00AA085C" w:rsidRPr="00CC7093" w:rsidTr="00E522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1.</w:t>
                  </w:r>
                </w:p>
              </w:tc>
              <w:tc>
                <w:tcPr>
                  <w:tcW w:w="2590"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Pamatojums</w:t>
                  </w:r>
                </w:p>
              </w:tc>
              <w:tc>
                <w:tcPr>
                  <w:tcW w:w="6173" w:type="dxa"/>
                  <w:tcBorders>
                    <w:top w:val="single" w:sz="4" w:space="0" w:color="auto"/>
                    <w:left w:val="single" w:sz="4" w:space="0" w:color="auto"/>
                    <w:bottom w:val="single" w:sz="4" w:space="0" w:color="auto"/>
                    <w:right w:val="single" w:sz="4" w:space="0" w:color="auto"/>
                  </w:tcBorders>
                </w:tcPr>
                <w:p w:rsidR="009A1BF5" w:rsidRDefault="009A1BF5" w:rsidP="00D0199A">
                  <w:pPr>
                    <w:pStyle w:val="BodyText2"/>
                    <w:spacing w:after="0" w:line="240" w:lineRule="auto"/>
                    <w:ind w:firstLine="720"/>
                    <w:jc w:val="both"/>
                  </w:pPr>
                  <w:r>
                    <w:t>Likuma „Par valsts un pašvaldību zemes īpašuma tiesībām un t</w:t>
                  </w:r>
                  <w:r w:rsidR="00E93DDB">
                    <w:t xml:space="preserve">o nostiprināšanu zemesgrāmatās” 2.pants, </w:t>
                  </w:r>
                  <w:r>
                    <w:t>6.panta sestā un septītā daļa</w:t>
                  </w:r>
                  <w:r w:rsidR="00D0199A">
                    <w:t>.</w:t>
                  </w:r>
                </w:p>
                <w:p w:rsidR="00E93DDB" w:rsidRDefault="009A1BF5" w:rsidP="00E93DDB">
                  <w:pPr>
                    <w:pStyle w:val="BodyText2"/>
                    <w:spacing w:after="0" w:line="240" w:lineRule="auto"/>
                    <w:ind w:firstLine="720"/>
                    <w:jc w:val="both"/>
                  </w:pPr>
                  <w:r>
                    <w:t>Zemes pārvaldība</w:t>
                  </w:r>
                  <w:r w:rsidR="00E93DDB">
                    <w:t xml:space="preserve">s likuma 17.panta ceturtā daļa. </w:t>
                  </w:r>
                </w:p>
                <w:p w:rsidR="00CD5012" w:rsidRPr="00CC7093" w:rsidRDefault="00962ED0" w:rsidP="00E93DDB">
                  <w:pPr>
                    <w:pStyle w:val="BodyText2"/>
                    <w:spacing w:after="0" w:line="240" w:lineRule="auto"/>
                    <w:ind w:firstLine="720"/>
                    <w:jc w:val="both"/>
                  </w:pPr>
                  <w:r w:rsidRPr="00962ED0">
                    <w:t>Ministru kabineta 2009.gada 1.septembra noteikumu Nr.996 „Kārtība, kādā nosaka valstij un pašvaldībām piekrītošo lauku apvidu zemi, kura turpmāk izmantojama zemes reformas pabeigšanai, kā arī valstij un pašvaldībām piedero</w:t>
                  </w:r>
                  <w:r>
                    <w:t>šo un piekrītošo zemi” 10.punkts.</w:t>
                  </w:r>
                </w:p>
              </w:tc>
            </w:tr>
            <w:tr w:rsidR="00AA085C" w:rsidRPr="00CC7093" w:rsidTr="00E522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2.</w:t>
                  </w:r>
                </w:p>
              </w:tc>
              <w:tc>
                <w:tcPr>
                  <w:tcW w:w="2590" w:type="dxa"/>
                  <w:gridSpan w:val="3"/>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Pašreizējā situācija un problēmas, kuru risināšanai tiesību akta projekts izstrādāts, tiesiskā regulējuma mērķis un būtība</w:t>
                  </w:r>
                </w:p>
              </w:tc>
              <w:tc>
                <w:tcPr>
                  <w:tcW w:w="6173" w:type="dxa"/>
                  <w:tcBorders>
                    <w:top w:val="single" w:sz="4" w:space="0" w:color="auto"/>
                    <w:left w:val="single" w:sz="4" w:space="0" w:color="auto"/>
                    <w:bottom w:val="single" w:sz="4" w:space="0" w:color="auto"/>
                    <w:right w:val="single" w:sz="4" w:space="0" w:color="auto"/>
                  </w:tcBorders>
                </w:tcPr>
                <w:p w:rsidR="00962ED0" w:rsidRPr="002F5F75" w:rsidRDefault="00962ED0" w:rsidP="00616D42">
                  <w:pPr>
                    <w:spacing w:after="120"/>
                    <w:ind w:firstLine="720"/>
                    <w:jc w:val="both"/>
                  </w:pPr>
                  <w:bookmarkStart w:id="4" w:name="bkm17"/>
                  <w:r w:rsidRPr="00CC7093">
                    <w:t xml:space="preserve">Ņemot vērā ierobežotos termiņus, kādos bija </w:t>
                  </w:r>
                  <w:r>
                    <w:t xml:space="preserve">nepieciešams iesniegt </w:t>
                  </w:r>
                  <w:r w:rsidRPr="00CC7093">
                    <w:t xml:space="preserve">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962ED0">
                    <w:t>Ministru kabinet</w:t>
                  </w:r>
                  <w:r>
                    <w:t>a 2010.gada 10.novembra rīkojumā</w:t>
                  </w:r>
                  <w:r w:rsidRPr="00962ED0">
                    <w:t xml:space="preserve"> Nr.648 „Par zemes vienību Rīgas administratīvajā teritorijā piederību vai piekritību valstij un nostiprināšanu zemesgrāmatā uz valsts vārda attiecīgās ministrijas vai valsts akciju sabiedrības „Privatizācijas aģentūra” perso</w:t>
                  </w:r>
                  <w:r>
                    <w:t xml:space="preserve">nā” (turpmāk – rīkojums Nr.648). </w:t>
                  </w:r>
                  <w:r w:rsidRPr="00CC7093">
                    <w:t xml:space="preserve">Kadastra objekta - zemes vienības - noteikšanai un reģistrēšanai </w:t>
                  </w:r>
                  <w:r>
                    <w:t xml:space="preserve">Nekustamā īpašuma valsts kadastra informācijas sistēmā (turpmāk - Kadastrs) </w:t>
                  </w:r>
                  <w:r w:rsidRPr="00CC7093">
                    <w:t xml:space="preserve">ir jāiesniedz Ministru kabineta </w:t>
                  </w:r>
                  <w:r w:rsidRPr="002F5F75">
                    <w:t xml:space="preserve">rīkojums par tās piekritību vai piederību valstij, tādēļ Finanšu ministrija ir izstrādājusi </w:t>
                  </w:r>
                  <w:r>
                    <w:t>Ministru kabineta rīkojuma projektu „</w:t>
                  </w:r>
                  <w:r w:rsidR="00E5226B">
                    <w:t>Grozījums</w:t>
                  </w:r>
                  <w:r w:rsidRPr="00962ED0">
                    <w:t xml:space="preserve"> Ministru kabineta 2010.gada 10.novembra rīkojumā Nr.648 „Par zemes vienību Rīgas administratīvajā teritorijā piederību vai piekritību valstij un nostiprināšanu zemesgrāmatā uz valsts vārda attiecīgās ministrijas</w:t>
                  </w:r>
                  <w:r>
                    <w:t xml:space="preserve"> vai valsts akciju sabiedrības „</w:t>
                  </w:r>
                  <w:r w:rsidRPr="00962ED0">
                    <w:t>Privatizācijas aģentūra” personā”</w:t>
                  </w:r>
                  <w:r>
                    <w:t xml:space="preserve">” (turpmāk – </w:t>
                  </w:r>
                  <w:r w:rsidR="00D0199A">
                    <w:t>R</w:t>
                  </w:r>
                  <w:r>
                    <w:t>īkojuma projekts)</w:t>
                  </w:r>
                  <w:r w:rsidRPr="002F5F75">
                    <w:t xml:space="preserve">, lai </w:t>
                  </w:r>
                  <w:r w:rsidR="00D0199A">
                    <w:t>R</w:t>
                  </w:r>
                  <w:r w:rsidRPr="002F5F75">
                    <w:t xml:space="preserve">īkojuma projektā minētās zemes vienības varētu reģistrēt </w:t>
                  </w:r>
                  <w:bookmarkEnd w:id="4"/>
                  <w:r w:rsidRPr="002F5F75">
                    <w:t>Kadastrā kā valstij piekrītošas.</w:t>
                  </w:r>
                </w:p>
                <w:p w:rsidR="00A15449" w:rsidRDefault="00616D42" w:rsidP="00A15449">
                  <w:pPr>
                    <w:ind w:firstLine="720"/>
                    <w:jc w:val="both"/>
                  </w:pPr>
                  <w:r w:rsidRPr="00D0199A">
                    <w:rPr>
                      <w:b/>
                    </w:rPr>
                    <w:t>1.</w:t>
                  </w:r>
                  <w:r w:rsidR="00050E08">
                    <w:t xml:space="preserve"> Rīkojuma projektā Nr.15</w:t>
                  </w:r>
                  <w:r w:rsidR="009954DB">
                    <w:t>4</w:t>
                  </w:r>
                  <w:r>
                    <w:t xml:space="preserve"> –</w:t>
                  </w:r>
                  <w:r w:rsidR="00A15449">
                    <w:t xml:space="preserve"> ¼ domājamā daļa no zemes vienības</w:t>
                  </w:r>
                  <w:r>
                    <w:t xml:space="preserve"> </w:t>
                  </w:r>
                  <w:r w:rsidR="00A15449">
                    <w:t>Robežu</w:t>
                  </w:r>
                  <w:r>
                    <w:t xml:space="preserve"> ielā </w:t>
                  </w:r>
                  <w:r w:rsidR="00A15449">
                    <w:t>23A</w:t>
                  </w:r>
                  <w:r>
                    <w:t xml:space="preserve">, Rīgā, (zemes vienības kadastra apzīmējums </w:t>
                  </w:r>
                  <w:r w:rsidRPr="00D0199A">
                    <w:rPr>
                      <w:b/>
                    </w:rPr>
                    <w:t xml:space="preserve">0100 </w:t>
                  </w:r>
                  <w:r w:rsidR="00A15449">
                    <w:rPr>
                      <w:b/>
                    </w:rPr>
                    <w:t>075</w:t>
                  </w:r>
                  <w:r w:rsidRPr="00D0199A">
                    <w:rPr>
                      <w:b/>
                    </w:rPr>
                    <w:t xml:space="preserve"> </w:t>
                  </w:r>
                  <w:r w:rsidR="00A15449">
                    <w:rPr>
                      <w:b/>
                    </w:rPr>
                    <w:t>0539</w:t>
                  </w:r>
                  <w:r>
                    <w:t>) 0,</w:t>
                  </w:r>
                  <w:r w:rsidR="00A15449">
                    <w:t>1073</w:t>
                  </w:r>
                  <w:r>
                    <w:t xml:space="preserve"> ha platībā, zemes vienības kadastrālā vērtība uz 2015.gada 1.j</w:t>
                  </w:r>
                  <w:r w:rsidR="00A15449">
                    <w:t>ūniju</w:t>
                  </w:r>
                  <w:r>
                    <w:t xml:space="preserve"> sastāda </w:t>
                  </w:r>
                  <w:r w:rsidR="00A15449">
                    <w:t>24 188</w:t>
                  </w:r>
                  <w:r>
                    <w:t xml:space="preserve"> </w:t>
                  </w:r>
                  <w:proofErr w:type="spellStart"/>
                  <w:r w:rsidRPr="00752C94">
                    <w:rPr>
                      <w:i/>
                    </w:rPr>
                    <w:t>euro</w:t>
                  </w:r>
                  <w:proofErr w:type="spellEnd"/>
                  <w:r>
                    <w:t xml:space="preserve">. Saskaņā ar Kadastra datiem zemes vienības statuss ir – nekustamais īpašums. </w:t>
                  </w:r>
                </w:p>
                <w:p w:rsidR="00616D42" w:rsidRDefault="00616D42" w:rsidP="00A15449">
                  <w:pPr>
                    <w:ind w:firstLine="720"/>
                    <w:jc w:val="both"/>
                  </w:pPr>
                  <w:r>
                    <w:lastRenderedPageBreak/>
                    <w:t xml:space="preserve">Saskaņā ar Kadastra datiem uz zemes vienības atrodas </w:t>
                  </w:r>
                  <w:r w:rsidR="00A15449">
                    <w:t xml:space="preserve">nekustamā īpašuma </w:t>
                  </w:r>
                  <w:r w:rsidR="00AE0DD7">
                    <w:t xml:space="preserve">(nekustamā īpašuma kadastra Nr.0100 075 0539) </w:t>
                  </w:r>
                  <w:r w:rsidR="00A15449">
                    <w:t xml:space="preserve">sastāvā ietilpstoša </w:t>
                  </w:r>
                  <w:r>
                    <w:t xml:space="preserve">dzīvojamā ēka (būves kadastra apzīmējums 0100 </w:t>
                  </w:r>
                  <w:r w:rsidR="00A15449">
                    <w:t>075 0539 001</w:t>
                  </w:r>
                  <w:r>
                    <w:t>)</w:t>
                  </w:r>
                  <w:r w:rsidR="00A15449">
                    <w:t>, divi šķūņi (būvju kadastra apzīmējumi 0100 075 0539 002 un 0100 075 0539 004), garāža (būves kadastra apzīmējums 0100 075 0539 005) un pagrabs (būves kadastra apzīmējums 0100 075 0539 006)</w:t>
                  </w:r>
                  <w:r>
                    <w:t xml:space="preserve">. </w:t>
                  </w:r>
                </w:p>
                <w:p w:rsidR="00616D42" w:rsidRDefault="00616D42" w:rsidP="00616D42">
                  <w:pPr>
                    <w:ind w:firstLine="720"/>
                    <w:jc w:val="both"/>
                  </w:pPr>
                  <w:r>
                    <w:t>Atbilstoši Rīgas pilsētas zemesgrāmatas nodalījumā Nr.</w:t>
                  </w:r>
                  <w:r w:rsidR="00A15449">
                    <w:t>15372</w:t>
                  </w:r>
                  <w:r>
                    <w:t xml:space="preserve"> esošajai informācijai īpašuma tiesības uz zemes vienības </w:t>
                  </w:r>
                  <w:r w:rsidR="00A15449">
                    <w:t>3/4</w:t>
                  </w:r>
                  <w:r>
                    <w:t xml:space="preserve"> domājamām daļām un </w:t>
                  </w:r>
                  <w:r w:rsidR="00A15449">
                    <w:t>ēkām</w:t>
                  </w:r>
                  <w:r>
                    <w:t xml:space="preserve"> ir nosti</w:t>
                  </w:r>
                  <w:r w:rsidR="00811E6D">
                    <w:t xml:space="preserve">prinātas fiziskai personai </w:t>
                  </w:r>
                  <w:r w:rsidR="007A23D2">
                    <w:t xml:space="preserve">Vitai </w:t>
                  </w:r>
                  <w:proofErr w:type="spellStart"/>
                  <w:r w:rsidR="007A23D2">
                    <w:t>Suharevskai</w:t>
                  </w:r>
                  <w:proofErr w:type="spellEnd"/>
                  <w:r>
                    <w:t>.</w:t>
                  </w:r>
                </w:p>
                <w:p w:rsidR="00AE2ADE" w:rsidRDefault="00616D42" w:rsidP="00616D42">
                  <w:pPr>
                    <w:ind w:firstLine="720"/>
                    <w:jc w:val="both"/>
                  </w:pPr>
                  <w:r>
                    <w:t>Latvijas Nacionālā arhīva 201</w:t>
                  </w:r>
                  <w:r w:rsidR="00A15449">
                    <w:t>5</w:t>
                  </w:r>
                  <w:r>
                    <w:t xml:space="preserve">.gada </w:t>
                  </w:r>
                  <w:r w:rsidR="00A15449">
                    <w:t>26.marta</w:t>
                  </w:r>
                  <w:r>
                    <w:t xml:space="preserve"> izziņā Nr.5-</w:t>
                  </w:r>
                  <w:r w:rsidR="00A15449">
                    <w:t>S</w:t>
                  </w:r>
                  <w:r>
                    <w:t>-</w:t>
                  </w:r>
                  <w:r w:rsidR="00A15449">
                    <w:t>1529</w:t>
                  </w:r>
                  <w:r>
                    <w:t xml:space="preserve"> norādīts, ka </w:t>
                  </w:r>
                  <w:r w:rsidR="00AE2ADE">
                    <w:t>uz zemes vienību</w:t>
                  </w:r>
                  <w:r>
                    <w:t xml:space="preserve"> Rīgas pilsētā, </w:t>
                  </w:r>
                  <w:r w:rsidR="00A15449">
                    <w:t>75</w:t>
                  </w:r>
                  <w:r>
                    <w:t>.grupā, Nr.</w:t>
                  </w:r>
                  <w:r w:rsidR="00A15449">
                    <w:t>318</w:t>
                  </w:r>
                  <w:r>
                    <w:t xml:space="preserve">, </w:t>
                  </w:r>
                  <w:r w:rsidR="00A15449">
                    <w:t>Robežu ielā</w:t>
                  </w:r>
                  <w:r>
                    <w:t xml:space="preserve"> </w:t>
                  </w:r>
                  <w:r w:rsidR="00AE2ADE">
                    <w:t xml:space="preserve">uz </w:t>
                  </w:r>
                  <w:proofErr w:type="spellStart"/>
                  <w:r w:rsidR="00AE2ADE">
                    <w:t>dzmitsrentes</w:t>
                  </w:r>
                  <w:proofErr w:type="spellEnd"/>
                  <w:r w:rsidR="00AE2ADE">
                    <w:t xml:space="preserve"> līguma pamata </w:t>
                  </w:r>
                  <w:proofErr w:type="spellStart"/>
                  <w:r w:rsidR="00AE2ADE">
                    <w:t>dzimtsrentes</w:t>
                  </w:r>
                  <w:proofErr w:type="spellEnd"/>
                  <w:r w:rsidR="00AE2ADE">
                    <w:t xml:space="preserve"> tiesības apstiprinātas </w:t>
                  </w:r>
                  <w:proofErr w:type="spellStart"/>
                  <w:r w:rsidR="00AE2ADE">
                    <w:t>Klemensam</w:t>
                  </w:r>
                  <w:proofErr w:type="spellEnd"/>
                  <w:r w:rsidR="00AE2ADE">
                    <w:t xml:space="preserve"> </w:t>
                  </w:r>
                  <w:proofErr w:type="spellStart"/>
                  <w:r w:rsidR="00AE2ADE">
                    <w:t>Burbo</w:t>
                  </w:r>
                  <w:proofErr w:type="spellEnd"/>
                  <w:r w:rsidR="00AE2ADE">
                    <w:t xml:space="preserve"> Ādama dēlam, atstājot </w:t>
                  </w:r>
                  <w:proofErr w:type="spellStart"/>
                  <w:r w:rsidR="00AE2ADE">
                    <w:t>virsīpašuma</w:t>
                  </w:r>
                  <w:proofErr w:type="spellEnd"/>
                  <w:r w:rsidR="00AE2ADE">
                    <w:t xml:space="preserve"> tiesības Rīgas pilsētai. Ar Likumu par dalītu īpašuma ties</w:t>
                  </w:r>
                  <w:r w:rsidR="001E7B92">
                    <w:t>ību at</w:t>
                  </w:r>
                  <w:r w:rsidR="00AE2ADE">
                    <w:t xml:space="preserve">celšanu līdzšinējam </w:t>
                  </w:r>
                  <w:proofErr w:type="spellStart"/>
                  <w:r w:rsidR="00AE2ADE">
                    <w:t>īpašumtiesīgajam</w:t>
                  </w:r>
                  <w:proofErr w:type="spellEnd"/>
                  <w:r w:rsidR="00AE2ADE">
                    <w:t xml:space="preserve"> lietotājam piešķirtas pilnas īpašuma tiesības. Vēlāk izdarītu īpašuma tiesības apstiprinošu ierakstu zemesgrāmatā nav.  </w:t>
                  </w:r>
                </w:p>
                <w:p w:rsidR="00616D42" w:rsidRDefault="00616D42" w:rsidP="00616D42">
                  <w:pPr>
                    <w:ind w:firstLine="720"/>
                    <w:jc w:val="both"/>
                  </w:pPr>
                  <w:r>
                    <w:t>Rīg</w:t>
                  </w:r>
                  <w:r w:rsidR="00AE2ADE">
                    <w:t>as pilsētas zemes komisijas 2015</w:t>
                  </w:r>
                  <w:r>
                    <w:t xml:space="preserve">.gada </w:t>
                  </w:r>
                  <w:r w:rsidR="00AE2ADE">
                    <w:t>23.februāra</w:t>
                  </w:r>
                  <w:r>
                    <w:t xml:space="preserve"> izziņa </w:t>
                  </w:r>
                  <w:proofErr w:type="spellStart"/>
                  <w:r>
                    <w:t>Nr.ZK-1</w:t>
                  </w:r>
                  <w:r w:rsidR="00AE2ADE">
                    <w:t>5</w:t>
                  </w:r>
                  <w:r>
                    <w:t>-</w:t>
                  </w:r>
                  <w:r w:rsidR="00AE2ADE">
                    <w:t>55</w:t>
                  </w:r>
                  <w:proofErr w:type="spellEnd"/>
                  <w:r>
                    <w:t>-iz apli</w:t>
                  </w:r>
                  <w:r w:rsidR="00752C94">
                    <w:t>eci</w:t>
                  </w:r>
                  <w:r>
                    <w:t xml:space="preserve">na, ka uz zemes vienību </w:t>
                  </w:r>
                  <w:r w:rsidR="00AE2ADE">
                    <w:t>Rīgā, Robežu ielā, 75</w:t>
                  </w:r>
                  <w:r>
                    <w:t xml:space="preserve">.grupa, </w:t>
                  </w:r>
                  <w:r w:rsidR="00AE2ADE">
                    <w:t>318</w:t>
                  </w:r>
                  <w:r>
                    <w:t>.grunts,</w:t>
                  </w:r>
                  <w:r w:rsidR="00AE2ADE">
                    <w:t xml:space="preserve"> līdz 1994.gada 1.jūnijam bijušais īpašnieks, ne viņa mantinieki nav pieteikušies. No vēsturiskās zemes vienības atdalīts gruntsgabals Robežu ielā 23A, 75.grupa, Nr.539, kas nodots īpašumā par maksu Antoņinai </w:t>
                  </w:r>
                  <w:proofErr w:type="spellStart"/>
                  <w:r w:rsidR="00AE2ADE">
                    <w:t>Rjabčevskai</w:t>
                  </w:r>
                  <w:proofErr w:type="spellEnd"/>
                  <w:r w:rsidR="00AE2ADE">
                    <w:t xml:space="preserve"> ½ domājamās daļas apmērā un Anatolijam </w:t>
                  </w:r>
                  <w:proofErr w:type="spellStart"/>
                  <w:r w:rsidR="00AE2ADE">
                    <w:t>Rjabčevskim</w:t>
                  </w:r>
                  <w:proofErr w:type="spellEnd"/>
                  <w:r w:rsidR="00AE2ADE">
                    <w:t xml:space="preserve"> ¼ domājamās daļas apmērā. Uz zemes vienības ¼ domājamo daļu zemes pieprasītāju pieteikumi nav saņemti. </w:t>
                  </w:r>
                </w:p>
                <w:p w:rsidR="00C478FA" w:rsidRPr="00043058" w:rsidRDefault="00C478FA" w:rsidP="00616D42">
                  <w:pPr>
                    <w:ind w:firstLine="720"/>
                    <w:jc w:val="both"/>
                    <w:rPr>
                      <w:u w:val="single"/>
                    </w:rPr>
                  </w:pPr>
                  <w:r w:rsidRPr="00043058">
                    <w:rPr>
                      <w:u w:val="single"/>
                    </w:rPr>
                    <w:t>Ņemot vērā</w:t>
                  </w:r>
                  <w:r w:rsidR="0034195D">
                    <w:rPr>
                      <w:u w:val="single"/>
                    </w:rPr>
                    <w:t xml:space="preserve"> </w:t>
                  </w:r>
                  <w:r w:rsidR="00043058" w:rsidRPr="00043058">
                    <w:rPr>
                      <w:u w:val="single"/>
                    </w:rPr>
                    <w:t xml:space="preserve">minēto, secināms, </w:t>
                  </w:r>
                  <w:r w:rsidRPr="00043058">
                    <w:rPr>
                      <w:u w:val="single"/>
                    </w:rPr>
                    <w:t xml:space="preserve">ka </w:t>
                  </w:r>
                  <w:r w:rsidR="00043058" w:rsidRPr="00043058">
                    <w:rPr>
                      <w:u w:val="single"/>
                    </w:rPr>
                    <w:t xml:space="preserve">arī </w:t>
                  </w:r>
                  <w:r w:rsidRPr="00043058">
                    <w:rPr>
                      <w:u w:val="single"/>
                    </w:rPr>
                    <w:t xml:space="preserve">ēku īpašniece nebija iesniegusi pieteikumu zemes vienības 1/4 domājamās iegūšanai īpašumā par maksu likumā „Par zemes reformas pabeigšanu pilsētās” noteiktajā termiņā, </w:t>
                  </w:r>
                  <w:r w:rsidR="00043058" w:rsidRPr="00043058">
                    <w:rPr>
                      <w:u w:val="single"/>
                    </w:rPr>
                    <w:t xml:space="preserve">līdz ar to atbilstoši </w:t>
                  </w:r>
                  <w:r w:rsidR="00043058" w:rsidRPr="00043058">
                    <w:rPr>
                      <w:color w:val="000000"/>
                      <w:u w:val="single"/>
                    </w:rPr>
                    <w:t>likuma „</w:t>
                  </w:r>
                  <w:r w:rsidR="00043058" w:rsidRPr="00043058">
                    <w:rPr>
                      <w:bCs/>
                      <w:color w:val="000000"/>
                      <w:u w:val="single"/>
                    </w:rPr>
                    <w:t>Par zemes reformas pabeigšanu pilsētās</w:t>
                  </w:r>
                  <w:r w:rsidR="00043058" w:rsidRPr="00043058">
                    <w:rPr>
                      <w:color w:val="000000"/>
                      <w:u w:val="single"/>
                    </w:rPr>
                    <w:t>” 2.panta trešajai daļai, tā</w:t>
                  </w:r>
                  <w:r w:rsidR="00043058" w:rsidRPr="00043058">
                    <w:rPr>
                      <w:u w:val="single"/>
                    </w:rPr>
                    <w:t xml:space="preserve"> </w:t>
                  </w:r>
                  <w:r w:rsidRPr="00043058">
                    <w:rPr>
                      <w:u w:val="single"/>
                    </w:rPr>
                    <w:t>zaudēja tiesības izpirkt zemi likuma „Par zemes reformu Latvijas Republikas pilsētās” 12.pantā noteiktajā kārtībā.</w:t>
                  </w:r>
                </w:p>
                <w:p w:rsidR="00616D42" w:rsidRDefault="0034195D" w:rsidP="00616D42">
                  <w:pPr>
                    <w:ind w:firstLine="720"/>
                    <w:jc w:val="both"/>
                  </w:pPr>
                  <w:r>
                    <w:rPr>
                      <w:u w:val="single"/>
                    </w:rPr>
                    <w:t>Ņemot vērā, ka ēku īpašniecei šobrīd nav tiesību iegūt  īpašumā zemes vienības 1/4 domājamo daļu saskaņā ar zemes reformas likumiem,</w:t>
                  </w:r>
                  <w:r w:rsidRPr="0034195D">
                    <w:t xml:space="preserve"> atbilstoši </w:t>
                  </w:r>
                  <w:r w:rsidR="00616D42" w:rsidRPr="0034195D">
                    <w:t>likuma</w:t>
                  </w:r>
                  <w:r w:rsidR="00616D42">
                    <w:t xml:space="preserve"> „Par valsts un pašvaldību zemes īpašuma tiesībām un to nostiprināšanu zemesgrāmatās” 2.panta otrās daļas 2.punkt</w:t>
                  </w:r>
                  <w:r>
                    <w:t>am</w:t>
                  </w:r>
                  <w:r w:rsidR="00616D42">
                    <w:t xml:space="preserve"> </w:t>
                  </w:r>
                  <w:r w:rsidR="00544B19">
                    <w:t>tā</w:t>
                  </w:r>
                  <w:r w:rsidR="007A23D2">
                    <w:t xml:space="preserve"> ir piekritīga</w:t>
                  </w:r>
                  <w:r w:rsidR="00616D42">
                    <w:t xml:space="preserve"> valstij. </w:t>
                  </w:r>
                </w:p>
                <w:p w:rsidR="00616D42" w:rsidRDefault="00616D42" w:rsidP="00616D42">
                  <w:pPr>
                    <w:ind w:firstLine="720"/>
                    <w:jc w:val="both"/>
                  </w:pPr>
                  <w:r>
                    <w:t>Pēc Rīkojuma projekta pieņemšanas VNĪ piedāvās ēk</w:t>
                  </w:r>
                  <w:r w:rsidR="007A23D2">
                    <w:t>u</w:t>
                  </w:r>
                  <w:r>
                    <w:t xml:space="preserve"> īpašniekam slēgt nomas līgumu. Ņemot vērā, ka zemes vienības </w:t>
                  </w:r>
                  <w:r w:rsidR="007A23D2">
                    <w:t xml:space="preserve">¾ </w:t>
                  </w:r>
                  <w:r>
                    <w:t xml:space="preserve">domājamo daļu un </w:t>
                  </w:r>
                  <w:r w:rsidR="007A23D2">
                    <w:t>ēku</w:t>
                  </w:r>
                  <w:r w:rsidR="00811E6D">
                    <w:t xml:space="preserve"> īpašniece </w:t>
                  </w:r>
                  <w:r w:rsidR="007A23D2">
                    <w:t xml:space="preserve">Vita </w:t>
                  </w:r>
                  <w:proofErr w:type="spellStart"/>
                  <w:r w:rsidR="007A23D2">
                    <w:t>Suharevska</w:t>
                  </w:r>
                  <w:proofErr w:type="spellEnd"/>
                  <w:r>
                    <w:t xml:space="preserve"> 201</w:t>
                  </w:r>
                  <w:r w:rsidR="007A23D2">
                    <w:t>5</w:t>
                  </w:r>
                  <w:r>
                    <w:t xml:space="preserve">.gada </w:t>
                  </w:r>
                  <w:r w:rsidR="00B7043E">
                    <w:t>17</w:t>
                  </w:r>
                  <w:r w:rsidR="007A23D2">
                    <w:t>.jūnijā</w:t>
                  </w:r>
                  <w:r>
                    <w:t xml:space="preserve"> iesniegusi zemes vienības </w:t>
                  </w:r>
                  <w:r w:rsidR="007A23D2">
                    <w:t xml:space="preserve">1/4 domājamās daļas </w:t>
                  </w:r>
                  <w:r>
                    <w:t>atsavi</w:t>
                  </w:r>
                  <w:r w:rsidR="007A23D2">
                    <w:t>nāšanas ierosinājumu, pēc minētās zemes vienības domājamās</w:t>
                  </w:r>
                  <w:r>
                    <w:t xml:space="preserve"> d</w:t>
                  </w:r>
                  <w:r w:rsidR="007A23D2">
                    <w:t>aļas</w:t>
                  </w:r>
                  <w:r>
                    <w:t xml:space="preserve"> ierakstīšanas zemesgrāmatā uz valsts vārda </w:t>
                  </w:r>
                  <w:r>
                    <w:lastRenderedPageBreak/>
                    <w:t xml:space="preserve">Finanšu ministrijas personā, valsts akciju sabiedrība „Valsts nekustamie īpašumi” (turpmāk – VNĪ) pieņems lēmumu par zemes vienības </w:t>
                  </w:r>
                  <w:r w:rsidR="007A23D2">
                    <w:t>¼ domājamās daļas</w:t>
                  </w:r>
                  <w:r>
                    <w:t xml:space="preserve"> atsavināšanu apbūves īpašniekam, ievērojot Publiskas personas mantas atsavināšanas likuma 5.panta trešajā daļā un 44.panta ceturtajā un piektajā daļā</w:t>
                  </w:r>
                  <w:r w:rsidR="009F74C1">
                    <w:t xml:space="preserve"> un citos normatīvajos aktos</w:t>
                  </w:r>
                  <w:r>
                    <w:t xml:space="preserve"> noteikto.</w:t>
                  </w:r>
                </w:p>
                <w:p w:rsidR="00616D42" w:rsidRDefault="00616D42" w:rsidP="00616D42">
                  <w:pPr>
                    <w:ind w:firstLine="720"/>
                    <w:jc w:val="both"/>
                  </w:pPr>
                </w:p>
                <w:p w:rsidR="00616D42" w:rsidRDefault="00616D42" w:rsidP="00616D42">
                  <w:pPr>
                    <w:ind w:firstLine="720"/>
                    <w:jc w:val="both"/>
                  </w:pPr>
                  <w:r w:rsidRPr="00D0199A">
                    <w:rPr>
                      <w:b/>
                    </w:rPr>
                    <w:t>2.</w:t>
                  </w:r>
                  <w:r w:rsidR="009954DB">
                    <w:t xml:space="preserve"> Rīkojuma projektā Nr.155</w:t>
                  </w:r>
                  <w:r>
                    <w:t xml:space="preserve"> - zemes vienība </w:t>
                  </w:r>
                  <w:r w:rsidR="00AE0DD7">
                    <w:t>Augstrozes ielā</w:t>
                  </w:r>
                  <w:r w:rsidR="009F74C1">
                    <w:t>, Rīgā</w:t>
                  </w:r>
                  <w:r w:rsidR="00AE0DD7">
                    <w:t xml:space="preserve"> </w:t>
                  </w:r>
                  <w:r>
                    <w:t xml:space="preserve">(zemes vienības kadastra apzīmējums </w:t>
                  </w:r>
                  <w:r w:rsidRPr="00D0199A">
                    <w:rPr>
                      <w:b/>
                    </w:rPr>
                    <w:t>0100 0</w:t>
                  </w:r>
                  <w:r w:rsidR="00AE0DD7">
                    <w:rPr>
                      <w:b/>
                    </w:rPr>
                    <w:t>87</w:t>
                  </w:r>
                  <w:r w:rsidRPr="00D0199A">
                    <w:rPr>
                      <w:b/>
                    </w:rPr>
                    <w:t xml:space="preserve"> 02</w:t>
                  </w:r>
                  <w:r w:rsidR="00AE0DD7">
                    <w:rPr>
                      <w:b/>
                    </w:rPr>
                    <w:t>61</w:t>
                  </w:r>
                  <w:r>
                    <w:t>) 0,</w:t>
                  </w:r>
                  <w:r w:rsidR="0045352C">
                    <w:t>0209</w:t>
                  </w:r>
                  <w:r>
                    <w:t xml:space="preserve"> ha platībā, zemes vienības kadastrālā vērtība uz 2015.gada 1.j</w:t>
                  </w:r>
                  <w:r w:rsidR="0045352C">
                    <w:t>ūniju</w:t>
                  </w:r>
                  <w:r>
                    <w:t xml:space="preserve"> sastāda </w:t>
                  </w:r>
                  <w:r w:rsidR="0045352C">
                    <w:t>4163</w:t>
                  </w:r>
                  <w:r>
                    <w:t xml:space="preserve"> </w:t>
                  </w:r>
                  <w:proofErr w:type="spellStart"/>
                  <w:r w:rsidRPr="00752C94">
                    <w:rPr>
                      <w:i/>
                    </w:rPr>
                    <w:t>euro</w:t>
                  </w:r>
                  <w:proofErr w:type="spellEnd"/>
                  <w:r>
                    <w:t>. Saskaņā ar Kadastra datiem zemes vienības statuss ir – rezerves zemes fonds.</w:t>
                  </w:r>
                </w:p>
                <w:p w:rsidR="00F6386E" w:rsidRDefault="00616D42" w:rsidP="00616D42">
                  <w:pPr>
                    <w:ind w:firstLine="720"/>
                    <w:jc w:val="both"/>
                  </w:pPr>
                  <w:r>
                    <w:t xml:space="preserve">Saskaņā ar Kadastra datiem uz zemes vienības atrodas </w:t>
                  </w:r>
                  <w:r w:rsidR="00F6386E">
                    <w:t>cita nekustamā īpašuma (nekustamā īpašuma kadastra Nr.0100 087 0316) sastāvā esošas garāžas</w:t>
                  </w:r>
                  <w:r>
                    <w:t xml:space="preserve"> (būves kadastra apzīmējums 0100 </w:t>
                  </w:r>
                  <w:r w:rsidR="00F6386E">
                    <w:t xml:space="preserve">087 0316 002) daļa. </w:t>
                  </w:r>
                </w:p>
                <w:p w:rsidR="00F6386E" w:rsidRDefault="00F6386E" w:rsidP="00616D42">
                  <w:pPr>
                    <w:ind w:firstLine="720"/>
                    <w:jc w:val="both"/>
                  </w:pPr>
                  <w:r>
                    <w:t>Atbilstoši Rīgas pilsētas zemesgrāmatas nodalījumā Nr.15370 esošajai informācijai īpašuma tiesības uz minēto ēku ir nostiprinātas sabiedrībai ar ierobežotu atbildību „</w:t>
                  </w:r>
                  <w:proofErr w:type="spellStart"/>
                  <w:r>
                    <w:t>Hanuma</w:t>
                  </w:r>
                  <w:proofErr w:type="spellEnd"/>
                  <w:r>
                    <w:t xml:space="preserve"> </w:t>
                  </w:r>
                  <w:proofErr w:type="spellStart"/>
                  <w:r>
                    <w:t>Ltd</w:t>
                  </w:r>
                  <w:proofErr w:type="spellEnd"/>
                  <w:r>
                    <w:t>”.</w:t>
                  </w:r>
                </w:p>
                <w:p w:rsidR="001E7B92" w:rsidRDefault="00616D42" w:rsidP="001E7B92">
                  <w:pPr>
                    <w:ind w:firstLine="720"/>
                    <w:jc w:val="both"/>
                  </w:pPr>
                  <w:r>
                    <w:t>Latvijas Nacionālā arhīva 201</w:t>
                  </w:r>
                  <w:r w:rsidR="0071587B">
                    <w:t>5</w:t>
                  </w:r>
                  <w:r>
                    <w:t xml:space="preserve">.gada </w:t>
                  </w:r>
                  <w:r w:rsidR="0071587B">
                    <w:t>6.februāra</w:t>
                  </w:r>
                  <w:r>
                    <w:t xml:space="preserve"> izziņā Nr.5-JP-</w:t>
                  </w:r>
                  <w:r w:rsidR="0071587B">
                    <w:t>281</w:t>
                  </w:r>
                  <w:r>
                    <w:t xml:space="preserve"> norādīts, ka </w:t>
                  </w:r>
                  <w:r w:rsidR="0071587B">
                    <w:t>uz zemes vienību Rīgas pilsētā 87</w:t>
                  </w:r>
                  <w:r>
                    <w:t xml:space="preserve">.grupa, </w:t>
                  </w:r>
                  <w:r w:rsidR="0071587B">
                    <w:t>132.grunts,</w:t>
                  </w:r>
                  <w:r>
                    <w:t xml:space="preserve"> uz</w:t>
                  </w:r>
                  <w:r w:rsidR="0071587B">
                    <w:t xml:space="preserve"> 1937.gada 31.marta</w:t>
                  </w:r>
                  <w:r>
                    <w:t xml:space="preserve"> </w:t>
                  </w:r>
                  <w:r w:rsidR="0071587B">
                    <w:t>testamenta</w:t>
                  </w:r>
                  <w:r>
                    <w:t xml:space="preserve"> </w:t>
                  </w:r>
                  <w:r w:rsidR="0071587B">
                    <w:t xml:space="preserve">pamata </w:t>
                  </w:r>
                  <w:proofErr w:type="spellStart"/>
                  <w:r w:rsidR="0071587B">
                    <w:t>apakš</w:t>
                  </w:r>
                  <w:r>
                    <w:t>īpašuma</w:t>
                  </w:r>
                  <w:proofErr w:type="spellEnd"/>
                  <w:r>
                    <w:t xml:space="preserve"> tiesības ir apstiprinātas </w:t>
                  </w:r>
                  <w:r w:rsidR="0071587B">
                    <w:t xml:space="preserve">Aleksandram Georgam </w:t>
                  </w:r>
                  <w:proofErr w:type="spellStart"/>
                  <w:r w:rsidR="0071587B">
                    <w:t>Bulmerinkam</w:t>
                  </w:r>
                  <w:proofErr w:type="spellEnd"/>
                  <w:r w:rsidR="0071587B">
                    <w:t xml:space="preserve">, neaizskarot Rīgas pilsētas </w:t>
                  </w:r>
                  <w:proofErr w:type="spellStart"/>
                  <w:r w:rsidR="0071587B">
                    <w:t>virsīpašumu</w:t>
                  </w:r>
                  <w:proofErr w:type="spellEnd"/>
                  <w:r w:rsidR="00811E6D">
                    <w:t xml:space="preserve">. </w:t>
                  </w:r>
                  <w:r w:rsidR="0071587B">
                    <w:t>Ar Likumu par dalītu īpašuma ties</w:t>
                  </w:r>
                  <w:r w:rsidR="001E7B92">
                    <w:t>ību at</w:t>
                  </w:r>
                  <w:r w:rsidR="0071587B">
                    <w:t xml:space="preserve">celšanu līdzšinējam </w:t>
                  </w:r>
                  <w:proofErr w:type="spellStart"/>
                  <w:r w:rsidR="0071587B">
                    <w:t>īpašumtiesīgajam</w:t>
                  </w:r>
                  <w:proofErr w:type="spellEnd"/>
                  <w:r w:rsidR="0071587B">
                    <w:t xml:space="preserve"> lietotājam piešķirtas pilnas īpašuma tiesības. Vēlāk izdarītu īpašuma tiesības apstiprinošu ierakstu zemesgrāmatā nav.  </w:t>
                  </w:r>
                </w:p>
                <w:p w:rsidR="00616D42" w:rsidRDefault="00616D42" w:rsidP="001E7B92">
                  <w:pPr>
                    <w:ind w:firstLine="720"/>
                    <w:jc w:val="both"/>
                  </w:pPr>
                  <w:r>
                    <w:t>Rīg</w:t>
                  </w:r>
                  <w:r w:rsidR="001E7B92">
                    <w:t>as pilsētas zemes komisijas 2015</w:t>
                  </w:r>
                  <w:r>
                    <w:t xml:space="preserve">.gada </w:t>
                  </w:r>
                  <w:r w:rsidR="001E7B92">
                    <w:t>31.marta</w:t>
                  </w:r>
                  <w:r>
                    <w:t xml:space="preserve"> izziņa </w:t>
                  </w:r>
                  <w:proofErr w:type="spellStart"/>
                  <w:r>
                    <w:t>Nr.</w:t>
                  </w:r>
                  <w:r w:rsidR="001E7B92">
                    <w:t>ZK-15-96</w:t>
                  </w:r>
                  <w:proofErr w:type="spellEnd"/>
                  <w:r w:rsidR="001E7B92">
                    <w:t>-iz</w:t>
                  </w:r>
                  <w:r>
                    <w:t xml:space="preserve"> apliecina, ka uz zemes vienību Rīgā, </w:t>
                  </w:r>
                  <w:r w:rsidR="001E7B92">
                    <w:t>Augstrozes ielā, 87</w:t>
                  </w:r>
                  <w:r>
                    <w:t xml:space="preserve">.grupa, </w:t>
                  </w:r>
                  <w:r w:rsidR="001E7B92">
                    <w:t>132</w:t>
                  </w:r>
                  <w:r>
                    <w:t>.grunts</w:t>
                  </w:r>
                  <w:r w:rsidR="001E7B92">
                    <w:t>,</w:t>
                  </w:r>
                  <w:r>
                    <w:t xml:space="preserve"> </w:t>
                  </w:r>
                  <w:r w:rsidR="001E7B92" w:rsidRPr="001E7B92">
                    <w:t>līdz 1994.gada 1.jūnijam bijušais īpašnieks, ne viņa mantinieki nav pieteikušies</w:t>
                  </w:r>
                  <w:r w:rsidR="001E7B92">
                    <w:t>. Citu zemes vienības pieprasītāju pieteikumi nav saņemti.</w:t>
                  </w:r>
                </w:p>
                <w:p w:rsidR="00616D42" w:rsidRDefault="00054EED" w:rsidP="00616D42">
                  <w:pPr>
                    <w:ind w:firstLine="720"/>
                    <w:jc w:val="both"/>
                  </w:pPr>
                  <w:r>
                    <w:t>S</w:t>
                  </w:r>
                  <w:r w:rsidR="00616D42">
                    <w:t xml:space="preserve">askaņā ar likuma „Par valsts un pašvaldību zemes īpašuma tiesībām un to nostiprināšanu zemesgrāmatās” 2.panta otrās daļas 2.punktu minētā zemes vienība ir piekritīga valstij. </w:t>
                  </w:r>
                </w:p>
                <w:p w:rsidR="0070767D" w:rsidRPr="0070767D" w:rsidRDefault="0070767D" w:rsidP="00616D42">
                  <w:pPr>
                    <w:ind w:firstLine="720"/>
                    <w:jc w:val="both"/>
                    <w:rPr>
                      <w:u w:val="single"/>
                    </w:rPr>
                  </w:pPr>
                  <w:r w:rsidRPr="0070767D">
                    <w:rPr>
                      <w:u w:val="single"/>
                    </w:rPr>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616D42" w:rsidRDefault="00616D42" w:rsidP="00616D42">
                  <w:pPr>
                    <w:ind w:firstLine="720"/>
                    <w:jc w:val="both"/>
                  </w:pPr>
                  <w:r>
                    <w:t xml:space="preserve">Pēc Rīkojuma projekta pieņemšanas VNĪ piedāvās </w:t>
                  </w:r>
                  <w:r w:rsidR="00054EED">
                    <w:t xml:space="preserve">garāžas (būves kadastra apzīmējums 0100 087 0316 002) īpašniekam </w:t>
                  </w:r>
                  <w:r>
                    <w:t xml:space="preserve">slēgt nomas līgumu. </w:t>
                  </w:r>
                </w:p>
                <w:p w:rsidR="00616D42" w:rsidRDefault="00932EB8" w:rsidP="00932EB8">
                  <w:pPr>
                    <w:ind w:firstLine="720"/>
                    <w:jc w:val="both"/>
                  </w:pPr>
                  <w:r>
                    <w:t>Ņemot vērā, ka uz zemes vienības esošās</w:t>
                  </w:r>
                  <w:r w:rsidR="00200D26" w:rsidRPr="006321F5">
                    <w:t xml:space="preserve"> </w:t>
                  </w:r>
                  <w:r>
                    <w:t>ēkas daļas</w:t>
                  </w:r>
                  <w:r w:rsidR="00616D42" w:rsidRPr="006321F5">
                    <w:t xml:space="preserve"> </w:t>
                  </w:r>
                  <w:r>
                    <w:lastRenderedPageBreak/>
                    <w:t>īpašnieks 2014.gada 10.novembrī</w:t>
                  </w:r>
                  <w:r w:rsidR="00616D42" w:rsidRPr="006321F5">
                    <w:t xml:space="preserve"> </w:t>
                  </w:r>
                  <w:r w:rsidR="00616D42" w:rsidRPr="00FC1297">
                    <w:t>iesniedzis zemes vien</w:t>
                  </w:r>
                  <w:r w:rsidR="00765D87" w:rsidRPr="00FC1297">
                    <w:t>ī</w:t>
                  </w:r>
                  <w:r>
                    <w:t xml:space="preserve">bas atsavināšanas ierosinājumu, </w:t>
                  </w:r>
                  <w:r w:rsidR="00616D42" w:rsidRPr="006321F5">
                    <w:t xml:space="preserve">pēc zemes vienības ierakstīšanas zemesgrāmatā uz valsts vārda Finanšu ministrijas personā, VNĪ pieņems lēmumu par zemes vienības atsavināšanu apbūves </w:t>
                  </w:r>
                  <w:r>
                    <w:t>īpašniekam</w:t>
                  </w:r>
                  <w:r w:rsidR="00616D42" w:rsidRPr="006321F5">
                    <w:t xml:space="preserve">, ievērojot Publiskas personas mantas atsavināšanas likuma 5.panta trešajā daļā un 44.panta ceturtajā un piektajā daļā </w:t>
                  </w:r>
                  <w:r w:rsidR="009F74C1">
                    <w:t>un citos normatīvajos aktos noteikto</w:t>
                  </w:r>
                  <w:r w:rsidR="00616D42" w:rsidRPr="006321F5">
                    <w:t>.</w:t>
                  </w:r>
                </w:p>
                <w:p w:rsidR="00616D42" w:rsidRDefault="00616D42" w:rsidP="00616D42">
                  <w:pPr>
                    <w:ind w:firstLine="720"/>
                    <w:jc w:val="both"/>
                  </w:pPr>
                </w:p>
                <w:p w:rsidR="00616D42" w:rsidRDefault="00616D42" w:rsidP="00616D42">
                  <w:pPr>
                    <w:ind w:firstLine="720"/>
                    <w:jc w:val="both"/>
                  </w:pPr>
                  <w:r w:rsidRPr="00D0199A">
                    <w:rPr>
                      <w:b/>
                    </w:rPr>
                    <w:t>3.</w:t>
                  </w:r>
                  <w:r w:rsidR="00D31CCF">
                    <w:t xml:space="preserve"> Rīkojuma projektā Nr.15</w:t>
                  </w:r>
                  <w:r w:rsidR="009954DB">
                    <w:t>6</w:t>
                  </w:r>
                  <w:r>
                    <w:t xml:space="preserve"> –</w:t>
                  </w:r>
                  <w:r w:rsidR="00D31CCF">
                    <w:t>zemes vienība</w:t>
                  </w:r>
                  <w:r>
                    <w:t xml:space="preserve"> </w:t>
                  </w:r>
                  <w:r w:rsidR="00D31CCF">
                    <w:t>Vāveres ielā 3</w:t>
                  </w:r>
                  <w:r>
                    <w:t xml:space="preserve">, Rīgā, (zemes vienības kadastra apzīmējums </w:t>
                  </w:r>
                  <w:r w:rsidR="00D31CCF">
                    <w:rPr>
                      <w:b/>
                    </w:rPr>
                    <w:t>0100 086</w:t>
                  </w:r>
                  <w:r w:rsidRPr="00D0199A">
                    <w:rPr>
                      <w:b/>
                    </w:rPr>
                    <w:t xml:space="preserve"> </w:t>
                  </w:r>
                  <w:r w:rsidR="00D31CCF">
                    <w:rPr>
                      <w:b/>
                    </w:rPr>
                    <w:t>2072</w:t>
                  </w:r>
                  <w:r>
                    <w:t>) 0,</w:t>
                  </w:r>
                  <w:r w:rsidR="00D31CCF">
                    <w:t>1449</w:t>
                  </w:r>
                  <w:r>
                    <w:t xml:space="preserve"> ha platībā, zemes vienības kadastrālā vērtība uz 2015.gada 1.j</w:t>
                  </w:r>
                  <w:r w:rsidR="00D31CCF">
                    <w:t>ūniju</w:t>
                  </w:r>
                  <w:r>
                    <w:t xml:space="preserve"> sastāda </w:t>
                  </w:r>
                  <w:r w:rsidR="00D31CCF">
                    <w:t>61</w:t>
                  </w:r>
                  <w:r>
                    <w:t xml:space="preserve"> </w:t>
                  </w:r>
                  <w:r w:rsidR="00D31CCF">
                    <w:t>858</w:t>
                  </w:r>
                  <w:r>
                    <w:t xml:space="preserve"> </w:t>
                  </w:r>
                  <w:proofErr w:type="spellStart"/>
                  <w:r w:rsidRPr="00752C94">
                    <w:rPr>
                      <w:i/>
                    </w:rPr>
                    <w:t>euro</w:t>
                  </w:r>
                  <w:proofErr w:type="spellEnd"/>
                  <w:r>
                    <w:t xml:space="preserve">. Saskaņā ar Kadastra datiem zemes vienības statuss ir – </w:t>
                  </w:r>
                  <w:r w:rsidR="00D31CCF" w:rsidRPr="009F74C1">
                    <w:t>zemes lietojums</w:t>
                  </w:r>
                  <w:r w:rsidRPr="009F74C1">
                    <w:t>.</w:t>
                  </w:r>
                </w:p>
                <w:p w:rsidR="00616D42" w:rsidRDefault="00616D42" w:rsidP="00616D42">
                  <w:pPr>
                    <w:ind w:firstLine="720"/>
                    <w:jc w:val="both"/>
                  </w:pPr>
                  <w:r>
                    <w:t>Saskaņā ar Kadastra datiem uz zemes vienības atrodas</w:t>
                  </w:r>
                  <w:r w:rsidR="00764BC6">
                    <w:t xml:space="preserve"> cita nekustamā īpašuma </w:t>
                  </w:r>
                  <w:r w:rsidR="009F74C1">
                    <w:t xml:space="preserve">Vāveres ielā 3, Rīgā, </w:t>
                  </w:r>
                  <w:r w:rsidR="00764BC6">
                    <w:t xml:space="preserve">(nekustamā īpašuma kadastra Nr.0100 586 0167) sastāvā esoša dzīvojamā māja (būves kadastra apzīmējums </w:t>
                  </w:r>
                  <w:r>
                    <w:t>0100 0</w:t>
                  </w:r>
                  <w:r w:rsidR="00764BC6">
                    <w:t>86</w:t>
                  </w:r>
                  <w:r>
                    <w:t xml:space="preserve"> </w:t>
                  </w:r>
                  <w:r w:rsidR="00764BC6">
                    <w:t>2072</w:t>
                  </w:r>
                  <w:r>
                    <w:t xml:space="preserve"> 00</w:t>
                  </w:r>
                  <w:r w:rsidR="00764BC6">
                    <w:t>1</w:t>
                  </w:r>
                  <w:r>
                    <w:t xml:space="preserve">), </w:t>
                  </w:r>
                  <w:r w:rsidR="00764BC6">
                    <w:t>garāža</w:t>
                  </w:r>
                  <w:r>
                    <w:t xml:space="preserve"> (būves kadastra apzīmējums </w:t>
                  </w:r>
                  <w:r w:rsidR="00764BC6">
                    <w:t>0100 086 2072 002</w:t>
                  </w:r>
                  <w:r>
                    <w:t xml:space="preserve">), </w:t>
                  </w:r>
                  <w:r w:rsidR="00764BC6">
                    <w:t>šķūnis (būves</w:t>
                  </w:r>
                  <w:r>
                    <w:t xml:space="preserve"> kadastra apzīmējumi </w:t>
                  </w:r>
                  <w:r w:rsidR="00764BC6">
                    <w:t>0100 086 2072 003)</w:t>
                  </w:r>
                  <w:r w:rsidR="009F74C1">
                    <w:t xml:space="preserve">. Uz zemes vienības atrodas arī </w:t>
                  </w:r>
                  <w:r>
                    <w:t>nojume</w:t>
                  </w:r>
                  <w:r w:rsidR="00764BC6">
                    <w:t xml:space="preserve"> (būves kadastra apzīmējums</w:t>
                  </w:r>
                  <w:r>
                    <w:t xml:space="preserve"> </w:t>
                  </w:r>
                  <w:r w:rsidR="00764BC6">
                    <w:t>0100 086 2072 005</w:t>
                  </w:r>
                  <w:r w:rsidR="009F74C1">
                    <w:t xml:space="preserve">), uz kuru </w:t>
                  </w:r>
                  <w:r w:rsidR="009F74C1" w:rsidRPr="00282491">
                    <w:rPr>
                      <w:color w:val="000000" w:themeColor="text1"/>
                    </w:rPr>
                    <w:t>īpašuma tiesības nav reģistrētas.</w:t>
                  </w:r>
                </w:p>
                <w:p w:rsidR="00616D42" w:rsidRDefault="00616D42" w:rsidP="00BE57F0">
                  <w:pPr>
                    <w:ind w:firstLine="720"/>
                    <w:jc w:val="both"/>
                  </w:pPr>
                  <w:r>
                    <w:t>Atbilstoši Rīgas pilsētas zemesgrāmatas nodalījumā Nr.100000</w:t>
                  </w:r>
                  <w:r w:rsidR="00764BC6">
                    <w:t>301790</w:t>
                  </w:r>
                  <w:r>
                    <w:t xml:space="preserve"> esošajai informācijai īpašuma </w:t>
                  </w:r>
                  <w:r w:rsidR="00764BC6">
                    <w:t xml:space="preserve">tiesības uz zemes vienības esošajām ēkām (būvju kadastra apzīmējumi 0100 086 2072 001, 0100 086 2072 002 un 0100 086 2072 003) ir nostiprinātas </w:t>
                  </w:r>
                  <w:r>
                    <w:t xml:space="preserve">Mārītei </w:t>
                  </w:r>
                  <w:proofErr w:type="spellStart"/>
                  <w:r w:rsidR="00764BC6">
                    <w:t>Konošonokai</w:t>
                  </w:r>
                  <w:proofErr w:type="spellEnd"/>
                  <w:r w:rsidR="00764BC6">
                    <w:t xml:space="preserve">, Ingai </w:t>
                  </w:r>
                  <w:proofErr w:type="spellStart"/>
                  <w:r w:rsidR="00764BC6">
                    <w:t>Žeglovai</w:t>
                  </w:r>
                  <w:proofErr w:type="spellEnd"/>
                  <w:r w:rsidR="00764BC6">
                    <w:t xml:space="preserve"> un Vladimiram </w:t>
                  </w:r>
                  <w:proofErr w:type="spellStart"/>
                  <w:r w:rsidR="00764BC6">
                    <w:t>Bogdanam</w:t>
                  </w:r>
                  <w:proofErr w:type="spellEnd"/>
                  <w:r w:rsidR="00764BC6">
                    <w:t xml:space="preserve">, katram ¼ domājamās daļas apmērā, un Ivaram Miķelsonam un Jutai </w:t>
                  </w:r>
                  <w:proofErr w:type="spellStart"/>
                  <w:r w:rsidR="00764BC6">
                    <w:t>Miķelsonei</w:t>
                  </w:r>
                  <w:proofErr w:type="spellEnd"/>
                  <w:r w:rsidR="00764BC6">
                    <w:t xml:space="preserve">, katram 1/8 </w:t>
                  </w:r>
                  <w:r>
                    <w:t xml:space="preserve">domājamās daļas apmērā. </w:t>
                  </w:r>
                </w:p>
                <w:p w:rsidR="00006EC7" w:rsidRDefault="00006EC7" w:rsidP="00616D42">
                  <w:pPr>
                    <w:ind w:firstLine="720"/>
                    <w:jc w:val="both"/>
                  </w:pPr>
                  <w:r>
                    <w:t>Zemes vienība izveidota, apvienojot divas bijušās zemes vienības, 86.grupa, Nr.155 un Nr.301.</w:t>
                  </w:r>
                </w:p>
                <w:p w:rsidR="00550A74" w:rsidRDefault="00616D42" w:rsidP="00616D42">
                  <w:pPr>
                    <w:ind w:firstLine="720"/>
                    <w:jc w:val="both"/>
                  </w:pPr>
                  <w:r>
                    <w:t>Latvijas Nacionālā arhīva 201</w:t>
                  </w:r>
                  <w:r w:rsidR="00006EC7">
                    <w:t>5</w:t>
                  </w:r>
                  <w:r>
                    <w:t xml:space="preserve">.gada </w:t>
                  </w:r>
                  <w:r w:rsidR="00006EC7">
                    <w:t>5.jūnija</w:t>
                  </w:r>
                  <w:r>
                    <w:t xml:space="preserve"> izziņā </w:t>
                  </w:r>
                  <w:proofErr w:type="spellStart"/>
                  <w:r>
                    <w:t>Nr.</w:t>
                  </w:r>
                  <w:r w:rsidR="00006EC7">
                    <w:t>LVVA-6.2.1.</w:t>
                  </w:r>
                  <w:proofErr w:type="spellEnd"/>
                  <w:r w:rsidR="00006EC7">
                    <w:t>/5/1178</w:t>
                  </w:r>
                  <w:r>
                    <w:t xml:space="preserve"> norādīts, ka uz zemes vienību Rīgas pilsētā, </w:t>
                  </w:r>
                  <w:r w:rsidR="00550A74">
                    <w:t>86</w:t>
                  </w:r>
                  <w:r w:rsidR="009F74C1">
                    <w:t xml:space="preserve">.grupā, </w:t>
                  </w:r>
                  <w:r w:rsidR="00E24572">
                    <w:t>155.grunts</w:t>
                  </w:r>
                  <w:r>
                    <w:t xml:space="preserve">, </w:t>
                  </w:r>
                  <w:r w:rsidR="00550A74">
                    <w:t>Vāveres un Lapsu</w:t>
                  </w:r>
                  <w:r>
                    <w:t xml:space="preserve"> ielā, pamatojoties uz </w:t>
                  </w:r>
                  <w:r w:rsidR="00550A74">
                    <w:t xml:space="preserve">1937.gada 19.jūlija </w:t>
                  </w:r>
                  <w:r>
                    <w:t xml:space="preserve">pirkuma līgumu </w:t>
                  </w:r>
                  <w:proofErr w:type="spellStart"/>
                  <w:r>
                    <w:t>apakšīpaš</w:t>
                  </w:r>
                  <w:r w:rsidR="00550A74">
                    <w:t>uma</w:t>
                  </w:r>
                  <w:proofErr w:type="spellEnd"/>
                  <w:r>
                    <w:t xml:space="preserve"> tiesības </w:t>
                  </w:r>
                  <w:r w:rsidR="00550A74">
                    <w:t xml:space="preserve">līdzīgās daļās </w:t>
                  </w:r>
                  <w:r>
                    <w:t xml:space="preserve">apstiprinātas </w:t>
                  </w:r>
                  <w:r w:rsidR="00550A74">
                    <w:t xml:space="preserve">Eduardam </w:t>
                  </w:r>
                  <w:proofErr w:type="spellStart"/>
                  <w:r w:rsidR="00550A74">
                    <w:t>Liepam</w:t>
                  </w:r>
                  <w:proofErr w:type="spellEnd"/>
                  <w:r w:rsidR="00550A74">
                    <w:t xml:space="preserve"> un Marijai </w:t>
                  </w:r>
                  <w:proofErr w:type="spellStart"/>
                  <w:r w:rsidR="00550A74">
                    <w:t>Volnistijai</w:t>
                  </w:r>
                  <w:proofErr w:type="spellEnd"/>
                  <w:r w:rsidR="00550A74">
                    <w:t xml:space="preserve"> (1937</w:t>
                  </w:r>
                  <w:r>
                    <w:t xml:space="preserve">.gada </w:t>
                  </w:r>
                  <w:r w:rsidR="00550A74">
                    <w:t>29.oktobra</w:t>
                  </w:r>
                  <w:r>
                    <w:t xml:space="preserve"> ieraksts). </w:t>
                  </w:r>
                  <w:r w:rsidR="00550A74">
                    <w:t xml:space="preserve">Uz 1938.gada 22.septembra pirkuma līguma pamata </w:t>
                  </w:r>
                  <w:proofErr w:type="spellStart"/>
                  <w:r w:rsidR="00550A74">
                    <w:t>apakšīpašuma</w:t>
                  </w:r>
                  <w:proofErr w:type="spellEnd"/>
                  <w:r w:rsidR="00550A74">
                    <w:t xml:space="preserve"> tiesības uz Eduardam </w:t>
                  </w:r>
                  <w:proofErr w:type="spellStart"/>
                  <w:r w:rsidR="00550A74">
                    <w:t>Liepam</w:t>
                  </w:r>
                  <w:proofErr w:type="spellEnd"/>
                  <w:r w:rsidR="00550A74">
                    <w:t xml:space="preserve"> piederošo ½ domājamo daļu no nekustamā īpašuma apstiprinātas Jāzepam </w:t>
                  </w:r>
                  <w:proofErr w:type="spellStart"/>
                  <w:r w:rsidR="00550A74">
                    <w:t>Volnistijam</w:t>
                  </w:r>
                  <w:proofErr w:type="spellEnd"/>
                  <w:r w:rsidR="00550A74">
                    <w:t xml:space="preserve">, neaizskarot Rīgas pilsētas </w:t>
                  </w:r>
                  <w:proofErr w:type="spellStart"/>
                  <w:r w:rsidR="00550A74">
                    <w:t>virsīpašuma</w:t>
                  </w:r>
                  <w:proofErr w:type="spellEnd"/>
                  <w:r w:rsidR="00550A74">
                    <w:t xml:space="preserve"> tiesības (1938.gada 29.novembra ieraksts). </w:t>
                  </w:r>
                  <w:r>
                    <w:t>Ar Likumu par dalītu īpašuma tiesību atcelšanu l</w:t>
                  </w:r>
                  <w:r w:rsidR="00550A74">
                    <w:t xml:space="preserve">īdzšinējiem </w:t>
                  </w:r>
                  <w:proofErr w:type="spellStart"/>
                  <w:r w:rsidR="00550A74">
                    <w:t>īpašumtiesīgajiem</w:t>
                  </w:r>
                  <w:proofErr w:type="spellEnd"/>
                  <w:r w:rsidR="00550A74">
                    <w:t xml:space="preserve"> lietotājiem</w:t>
                  </w:r>
                  <w:r>
                    <w:t xml:space="preserve"> piešķirtas pilnas īpašuma tiesības. </w:t>
                  </w:r>
                  <w:r w:rsidR="00550A74">
                    <w:t xml:space="preserve">Vēlāk izdarītu īpašuma tiesības apstiprinošu ierakstu zemesgrāmatā nav.  </w:t>
                  </w:r>
                </w:p>
                <w:p w:rsidR="00EC5F50" w:rsidRDefault="00EC5F50" w:rsidP="00616D42">
                  <w:pPr>
                    <w:ind w:firstLine="720"/>
                    <w:jc w:val="both"/>
                  </w:pPr>
                  <w:r>
                    <w:t xml:space="preserve">Latvijas Nacionālā arhīva 2015.gada 26.marta </w:t>
                  </w:r>
                  <w:r w:rsidR="005763C0">
                    <w:t>izziņā Nr.5-JP-1361 norādīts, ka uz zemes vienību Rīgas pilsētā, 86.grupā, 301</w:t>
                  </w:r>
                  <w:r w:rsidR="00E24572">
                    <w:t>.grunts</w:t>
                  </w:r>
                  <w:r w:rsidR="005763C0">
                    <w:t>, Vāveres ielā 3, pamatojoties uz 1937.gada 22.sept</w:t>
                  </w:r>
                  <w:r w:rsidR="00A149DB">
                    <w:t>em</w:t>
                  </w:r>
                  <w:r w:rsidR="005763C0">
                    <w:t xml:space="preserve">bra pirkuma-pārdevuma līgumu </w:t>
                  </w:r>
                  <w:proofErr w:type="spellStart"/>
                  <w:r w:rsidR="005763C0">
                    <w:lastRenderedPageBreak/>
                    <w:t>obroknomas</w:t>
                  </w:r>
                  <w:proofErr w:type="spellEnd"/>
                  <w:r w:rsidR="005763C0">
                    <w:t xml:space="preserve"> tiesības apstiprinātas laulātiem Reinholdam </w:t>
                  </w:r>
                  <w:proofErr w:type="spellStart"/>
                  <w:r w:rsidR="005763C0">
                    <w:t>Zekem</w:t>
                  </w:r>
                  <w:proofErr w:type="spellEnd"/>
                  <w:r w:rsidR="005763C0">
                    <w:t xml:space="preserve"> un Minnai </w:t>
                  </w:r>
                  <w:proofErr w:type="spellStart"/>
                  <w:r w:rsidR="005763C0">
                    <w:t>Zekei</w:t>
                  </w:r>
                  <w:proofErr w:type="spellEnd"/>
                  <w:r w:rsidR="00272BCA">
                    <w:t xml:space="preserve"> uz vienu ideālo pusi, bet laulātajiem Francim </w:t>
                  </w:r>
                  <w:proofErr w:type="spellStart"/>
                  <w:r w:rsidR="00272BCA">
                    <w:t>Maksimovam</w:t>
                  </w:r>
                  <w:proofErr w:type="spellEnd"/>
                  <w:r w:rsidR="00272BCA">
                    <w:t xml:space="preserve"> un Martai </w:t>
                  </w:r>
                  <w:proofErr w:type="spellStart"/>
                  <w:r w:rsidR="00272BCA">
                    <w:t>Maksimovai</w:t>
                  </w:r>
                  <w:proofErr w:type="spellEnd"/>
                  <w:r w:rsidR="00272BCA">
                    <w:t xml:space="preserve"> uz otru ideālo pusi nekustamā īpašumā, atstājot </w:t>
                  </w:r>
                  <w:proofErr w:type="spellStart"/>
                  <w:r w:rsidR="00272BCA" w:rsidRPr="00272BCA">
                    <w:t>virsīpašuma</w:t>
                  </w:r>
                  <w:proofErr w:type="spellEnd"/>
                  <w:r w:rsidR="00272BCA" w:rsidRPr="00272BCA">
                    <w:t xml:space="preserve"> tiesības </w:t>
                  </w:r>
                  <w:r w:rsidR="00272BCA">
                    <w:t>Rīgas pilsētai</w:t>
                  </w:r>
                  <w:r w:rsidR="00272BCA" w:rsidRPr="00272BCA">
                    <w:t xml:space="preserve"> </w:t>
                  </w:r>
                  <w:r w:rsidR="00272BCA">
                    <w:t xml:space="preserve">(1937.gada </w:t>
                  </w:r>
                  <w:r w:rsidR="00272BCA" w:rsidRPr="00272BCA">
                    <w:t xml:space="preserve">9.novembra ieraksts). Ar Likumu par dalītu īpašuma tiesību atcelšanu līdzšinējiem </w:t>
                  </w:r>
                  <w:proofErr w:type="spellStart"/>
                  <w:r w:rsidR="00272BCA" w:rsidRPr="00272BCA">
                    <w:t>īpašumtiesīgajiem</w:t>
                  </w:r>
                  <w:proofErr w:type="spellEnd"/>
                  <w:r w:rsidR="00272BCA" w:rsidRPr="00272BCA">
                    <w:t xml:space="preserve"> lietotājiem piešķirtas pilnas īpašuma tiesības. Vēlāk izdarītu īpašuma tiesības apstiprinošu ierakstu zemesgrāmatā nav.  </w:t>
                  </w:r>
                </w:p>
                <w:p w:rsidR="003462A8" w:rsidRDefault="00AE2497" w:rsidP="00616D42">
                  <w:pPr>
                    <w:ind w:firstLine="720"/>
                    <w:jc w:val="both"/>
                  </w:pPr>
                  <w:r w:rsidRPr="00AE2497">
                    <w:t>Rīgas pilsē</w:t>
                  </w:r>
                  <w:r>
                    <w:t xml:space="preserve">tas zemes komisijas 2015.gada 11.maija izziņa </w:t>
                  </w:r>
                  <w:proofErr w:type="spellStart"/>
                  <w:r>
                    <w:t>Nr.ZK-15-131</w:t>
                  </w:r>
                  <w:proofErr w:type="spellEnd"/>
                  <w:r w:rsidRPr="00AE2497">
                    <w:t xml:space="preserve">-iz apliecina, ka uz zemes vienību Rīgā, </w:t>
                  </w:r>
                  <w:r>
                    <w:t>Vāveres</w:t>
                  </w:r>
                  <w:r w:rsidRPr="00AE2497">
                    <w:t xml:space="preserve"> ielā</w:t>
                  </w:r>
                  <w:r>
                    <w:t xml:space="preserve"> 3 (agrāk – </w:t>
                  </w:r>
                  <w:proofErr w:type="spellStart"/>
                  <w:r>
                    <w:t>Caunes</w:t>
                  </w:r>
                  <w:proofErr w:type="spellEnd"/>
                  <w:r>
                    <w:t xml:space="preserve"> ielā 4), 86</w:t>
                  </w:r>
                  <w:r w:rsidRPr="00AE2497">
                    <w:t xml:space="preserve">.grupa, </w:t>
                  </w:r>
                  <w:r w:rsidR="00BE57F0">
                    <w:t>155.grunts</w:t>
                  </w:r>
                  <w:r w:rsidRPr="00AE2497">
                    <w:t>, līdz 1994.gada 1.jūnijam bijušais īpašnieks, ne viņa mantinieki nav pieteikušies.</w:t>
                  </w:r>
                  <w:r>
                    <w:t xml:space="preserve"> Īpašuma tiesības nav atzītas.</w:t>
                  </w:r>
                  <w:r w:rsidRPr="00AE2497">
                    <w:t xml:space="preserve"> Citu zemes vienības pieprasītāju pieteikumi nav saņemti.</w:t>
                  </w:r>
                </w:p>
                <w:p w:rsidR="00AE2497" w:rsidRDefault="00AE2497" w:rsidP="00AE2497">
                  <w:pPr>
                    <w:ind w:firstLine="720"/>
                    <w:jc w:val="both"/>
                  </w:pPr>
                  <w:r w:rsidRPr="00AE2497">
                    <w:t>Rīgas pilsē</w:t>
                  </w:r>
                  <w:r>
                    <w:t xml:space="preserve">tas zemes komisijas 2015.gada 25.marta izziņa </w:t>
                  </w:r>
                  <w:proofErr w:type="spellStart"/>
                  <w:r>
                    <w:t>Nr.ZK-15-92</w:t>
                  </w:r>
                  <w:proofErr w:type="spellEnd"/>
                  <w:r w:rsidRPr="00AE2497">
                    <w:t xml:space="preserve">-iz apliecina, ka uz zemes vienību Rīgā, </w:t>
                  </w:r>
                  <w:r>
                    <w:t>Vāveres</w:t>
                  </w:r>
                  <w:r w:rsidRPr="00AE2497">
                    <w:t xml:space="preserve"> ielā</w:t>
                  </w:r>
                  <w:r>
                    <w:t xml:space="preserve"> 3 (agrāk – </w:t>
                  </w:r>
                  <w:proofErr w:type="spellStart"/>
                  <w:r>
                    <w:t>Caunes</w:t>
                  </w:r>
                  <w:proofErr w:type="spellEnd"/>
                  <w:r>
                    <w:t xml:space="preserve"> ielā 4), 86</w:t>
                  </w:r>
                  <w:r w:rsidRPr="00AE2497">
                    <w:t xml:space="preserve">.grupa, </w:t>
                  </w:r>
                  <w:r>
                    <w:t>301</w:t>
                  </w:r>
                  <w:r w:rsidR="00BE57F0">
                    <w:t>.grunts</w:t>
                  </w:r>
                  <w:r w:rsidRPr="00AE2497">
                    <w:t>, līdz 1994.gada 1.jūnijam bijušais īpašnieks, ne viņa mantinieki nav pieteikušies.</w:t>
                  </w:r>
                  <w:r>
                    <w:t xml:space="preserve"> Īpašuma tiesības nav atzītas.</w:t>
                  </w:r>
                  <w:r w:rsidRPr="00AE2497">
                    <w:t xml:space="preserve"> Citu zemes vienības pieprasītāju pieteikumi nav saņemti.</w:t>
                  </w:r>
                </w:p>
                <w:p w:rsidR="00C478FA" w:rsidRDefault="00043058" w:rsidP="00043058">
                  <w:pPr>
                    <w:ind w:firstLine="720"/>
                    <w:jc w:val="both"/>
                    <w:rPr>
                      <w:u w:val="single"/>
                    </w:rPr>
                  </w:pPr>
                  <w:r w:rsidRPr="00043058">
                    <w:rPr>
                      <w:u w:val="single"/>
                    </w:rPr>
                    <w:t>Ņemot vērā minēto, secināms, ka arī</w:t>
                  </w:r>
                  <w:r w:rsidR="00C478FA" w:rsidRPr="00C478FA">
                    <w:rPr>
                      <w:u w:val="single"/>
                    </w:rPr>
                    <w:t xml:space="preserve"> ēku </w:t>
                  </w:r>
                  <w:r w:rsidR="00C478FA">
                    <w:rPr>
                      <w:u w:val="single"/>
                    </w:rPr>
                    <w:t>kop</w:t>
                  </w:r>
                  <w:r w:rsidR="00C478FA" w:rsidRPr="00C478FA">
                    <w:rPr>
                      <w:u w:val="single"/>
                    </w:rPr>
                    <w:t>īpašnie</w:t>
                  </w:r>
                  <w:r w:rsidR="00C478FA">
                    <w:rPr>
                      <w:u w:val="single"/>
                    </w:rPr>
                    <w:t>ki</w:t>
                  </w:r>
                  <w:r w:rsidR="00C478FA" w:rsidRPr="00C478FA">
                    <w:rPr>
                      <w:u w:val="single"/>
                    </w:rPr>
                    <w:t xml:space="preserve"> nebija iesniegu</w:t>
                  </w:r>
                  <w:r w:rsidR="00C478FA">
                    <w:rPr>
                      <w:u w:val="single"/>
                    </w:rPr>
                    <w:t>ši</w:t>
                  </w:r>
                  <w:r w:rsidR="00C478FA" w:rsidRPr="00C478FA">
                    <w:rPr>
                      <w:u w:val="single"/>
                    </w:rPr>
                    <w:t xml:space="preserve"> pieteikumu zemes vienības iegūšanai īpašumā par maksu likumā „Par zemes reformas pabeigšanu pilsētās” noteiktajā termiņā, </w:t>
                  </w:r>
                  <w:r>
                    <w:rPr>
                      <w:u w:val="single"/>
                    </w:rPr>
                    <w:t xml:space="preserve">līdz ar to </w:t>
                  </w:r>
                  <w:r w:rsidRPr="00043058">
                    <w:rPr>
                      <w:u w:val="single"/>
                    </w:rPr>
                    <w:t xml:space="preserve">atbilstoši </w:t>
                  </w:r>
                  <w:r w:rsidRPr="00043058">
                    <w:rPr>
                      <w:color w:val="000000"/>
                      <w:u w:val="single"/>
                    </w:rPr>
                    <w:t>likuma „</w:t>
                  </w:r>
                  <w:r w:rsidRPr="00043058">
                    <w:rPr>
                      <w:bCs/>
                      <w:color w:val="000000"/>
                      <w:u w:val="single"/>
                    </w:rPr>
                    <w:t>Par zemes reformas pabeigšanu pilsētās</w:t>
                  </w:r>
                  <w:r w:rsidRPr="00043058">
                    <w:rPr>
                      <w:color w:val="000000"/>
                      <w:u w:val="single"/>
                    </w:rPr>
                    <w:t>” 2.panta trešajai daļai</w:t>
                  </w:r>
                  <w:r>
                    <w:rPr>
                      <w:u w:val="single"/>
                    </w:rPr>
                    <w:t xml:space="preserve"> </w:t>
                  </w:r>
                  <w:r w:rsidR="00C478FA" w:rsidRPr="00C478FA">
                    <w:rPr>
                      <w:u w:val="single"/>
                    </w:rPr>
                    <w:t>tā</w:t>
                  </w:r>
                  <w:r w:rsidR="00311F02">
                    <w:rPr>
                      <w:u w:val="single"/>
                    </w:rPr>
                    <w:t>s</w:t>
                  </w:r>
                  <w:r w:rsidR="00C478FA" w:rsidRPr="00C478FA">
                    <w:rPr>
                      <w:u w:val="single"/>
                    </w:rPr>
                    <w:t xml:space="preserve"> zaudēja tiesības izpirkt zemi likuma „Par zemes reformu Latvijas Republikas pilsētā</w:t>
                  </w:r>
                  <w:r>
                    <w:rPr>
                      <w:u w:val="single"/>
                    </w:rPr>
                    <w:t>s” 12.pantā noteiktajā kārtībā.</w:t>
                  </w:r>
                </w:p>
                <w:p w:rsidR="005E6DEB" w:rsidRPr="0034195D" w:rsidRDefault="0034195D" w:rsidP="0034195D">
                  <w:pPr>
                    <w:ind w:firstLine="720"/>
                    <w:jc w:val="both"/>
                    <w:rPr>
                      <w:u w:val="single"/>
                    </w:rPr>
                  </w:pPr>
                  <w:r>
                    <w:rPr>
                      <w:u w:val="single"/>
                    </w:rPr>
                    <w:t>Ņemot vērā, ka ēku kopīpašniekiem šobrīd nav tiesību iegūt īpašumā zemes vienību saskaņā ar zemes reformas likumiem,</w:t>
                  </w:r>
                  <w:r w:rsidRPr="0034195D">
                    <w:t xml:space="preserve"> </w:t>
                  </w:r>
                  <w:r>
                    <w:t>atbilstoši</w:t>
                  </w:r>
                  <w:r w:rsidR="005E6DEB">
                    <w:t xml:space="preserve"> likuma „Par valsts un pašvaldību zemes īpašuma tiesībām un to nostiprināšanu zemesgrāmatās” 2.panta otrās daļas 2.punktu </w:t>
                  </w:r>
                  <w:r w:rsidR="00544B19">
                    <w:t>tā</w:t>
                  </w:r>
                  <w:r w:rsidR="005E6DEB">
                    <w:t xml:space="preserve"> ir piekritīga valstij. </w:t>
                  </w:r>
                </w:p>
                <w:p w:rsidR="00AF7DCD" w:rsidRDefault="00AF7DCD" w:rsidP="00AF7DCD">
                  <w:pPr>
                    <w:ind w:firstLine="720"/>
                    <w:jc w:val="both"/>
                  </w:pPr>
                  <w:r>
                    <w:t xml:space="preserve">Pēc zemes vienības pārņemšanas Finanšu ministrijas valdījumā tiks veiktas nepieciešamās darbības būves </w:t>
                  </w:r>
                  <w:r w:rsidRPr="00282491">
                    <w:rPr>
                      <w:color w:val="000000" w:themeColor="text1"/>
                    </w:rPr>
                    <w:t>(būves kadastra apzīmējums 0100 086 2072 005)</w:t>
                  </w:r>
                  <w:r>
                    <w:t>, uz kuru īpašuma tiesības nav reģistrētas, piederības noskaidrošanai, nepieciešamības gadījumā veicot darbības tās atzīšanai par valstij piekrītošu.</w:t>
                  </w:r>
                </w:p>
                <w:p w:rsidR="005E6DEB" w:rsidRDefault="005E6DEB" w:rsidP="005E6DEB">
                  <w:pPr>
                    <w:ind w:firstLine="720"/>
                    <w:jc w:val="both"/>
                  </w:pPr>
                  <w:r>
                    <w:t xml:space="preserve">Pēc Rīkojuma projekta pieņemšanas VNĪ piedāvās apbūves </w:t>
                  </w:r>
                  <w:r w:rsidR="00AF7DCD">
                    <w:t>kop</w:t>
                  </w:r>
                  <w:r>
                    <w:t xml:space="preserve">īpašniekiem slēgt nomas līgumu. </w:t>
                  </w:r>
                </w:p>
                <w:p w:rsidR="00282491" w:rsidRDefault="00282491" w:rsidP="00282491">
                  <w:pPr>
                    <w:ind w:firstLine="720"/>
                    <w:jc w:val="both"/>
                  </w:pPr>
                  <w:r>
                    <w:t>P</w:t>
                  </w:r>
                  <w:r w:rsidR="005E6DEB" w:rsidRPr="006321F5">
                    <w:t xml:space="preserve">ēc zemes vienības ierakstīšanas zemesgrāmatā uz valsts vārda Finanšu ministrijas personā, </w:t>
                  </w:r>
                  <w:r>
                    <w:t xml:space="preserve">apbūves kopīpašniekiem radīsies tiesības ierosināt zemes vienības atsavināšanu, ievērojot Publiskas personas </w:t>
                  </w:r>
                  <w:r w:rsidRPr="00FC1297">
                    <w:t xml:space="preserve">mantas atsavināšanas likuma 4.panta ceturtās daļas </w:t>
                  </w:r>
                  <w:r w:rsidR="00AF7DCD">
                    <w:t>3</w:t>
                  </w:r>
                  <w:r w:rsidRPr="00FC1297">
                    <w:t>.punktu.</w:t>
                  </w:r>
                </w:p>
                <w:p w:rsidR="00665053" w:rsidRDefault="00665053" w:rsidP="00282491">
                  <w:pPr>
                    <w:ind w:firstLine="720"/>
                    <w:jc w:val="both"/>
                  </w:pPr>
                </w:p>
                <w:p w:rsidR="00A21534" w:rsidRDefault="00665053" w:rsidP="00A21534">
                  <w:pPr>
                    <w:ind w:firstLine="720"/>
                    <w:jc w:val="both"/>
                  </w:pPr>
                  <w:r w:rsidRPr="00665053">
                    <w:rPr>
                      <w:b/>
                    </w:rPr>
                    <w:t xml:space="preserve">4. </w:t>
                  </w:r>
                  <w:r w:rsidR="009954DB">
                    <w:t>Rīkojuma projektā Nr.157</w:t>
                  </w:r>
                  <w:r w:rsidR="00A21534">
                    <w:t xml:space="preserve"> –7/15 domājamās daļas no zemes vienības Slokas ielā 150, Rīgā, (zemes vienības kadastra apzīmējums </w:t>
                  </w:r>
                  <w:r w:rsidR="00A21534" w:rsidRPr="00D0199A">
                    <w:rPr>
                      <w:b/>
                    </w:rPr>
                    <w:t xml:space="preserve">0100 </w:t>
                  </w:r>
                  <w:r w:rsidR="00A21534">
                    <w:rPr>
                      <w:b/>
                    </w:rPr>
                    <w:t>117</w:t>
                  </w:r>
                  <w:r w:rsidR="00A21534" w:rsidRPr="00D0199A">
                    <w:rPr>
                      <w:b/>
                    </w:rPr>
                    <w:t xml:space="preserve"> </w:t>
                  </w:r>
                  <w:r w:rsidR="00A21534">
                    <w:rPr>
                      <w:b/>
                    </w:rPr>
                    <w:t>0011</w:t>
                  </w:r>
                  <w:r w:rsidR="00A21534" w:rsidRPr="0086756B">
                    <w:t>) 0,</w:t>
                  </w:r>
                  <w:r w:rsidR="00722736">
                    <w:t>1411</w:t>
                  </w:r>
                  <w:r w:rsidR="00A21534">
                    <w:t xml:space="preserve"> ha platībā, zemes </w:t>
                  </w:r>
                  <w:r w:rsidR="00A21534">
                    <w:lastRenderedPageBreak/>
                    <w:t xml:space="preserve">vienības kadastrālā vērtība uz 2015.gada 1.jūniju sastāda 39 755 </w:t>
                  </w:r>
                  <w:proofErr w:type="spellStart"/>
                  <w:r w:rsidR="00A21534" w:rsidRPr="00752C94">
                    <w:rPr>
                      <w:i/>
                    </w:rPr>
                    <w:t>euro</w:t>
                  </w:r>
                  <w:proofErr w:type="spellEnd"/>
                  <w:r w:rsidR="00A21534">
                    <w:t xml:space="preserve">. Saskaņā ar Kadastra datiem zemes vienības statuss ir – nekustamais īpašums. </w:t>
                  </w:r>
                </w:p>
                <w:p w:rsidR="00A21534" w:rsidRDefault="00A21534" w:rsidP="00A21534">
                  <w:pPr>
                    <w:ind w:firstLine="720"/>
                    <w:jc w:val="both"/>
                  </w:pPr>
                  <w:r>
                    <w:t xml:space="preserve">Saskaņā ar Kadastra datiem uz zemes vienības atrodas nekustamā īpašuma (nekustamā īpašuma kadastra Nr.0100 </w:t>
                  </w:r>
                  <w:r w:rsidRPr="00A21534">
                    <w:t>117</w:t>
                  </w:r>
                  <w:r>
                    <w:t xml:space="preserve"> </w:t>
                  </w:r>
                  <w:r w:rsidRPr="00A21534">
                    <w:t>0011)</w:t>
                  </w:r>
                  <w:r>
                    <w:t xml:space="preserve"> sastāvā ietilpstoša dzīvojamā ēka (būves kadastra apzīmējums </w:t>
                  </w:r>
                  <w:r w:rsidRPr="00A21534">
                    <w:t>0100 117 0011</w:t>
                  </w:r>
                  <w:r>
                    <w:t xml:space="preserve"> 001).</w:t>
                  </w:r>
                </w:p>
                <w:p w:rsidR="00A21534" w:rsidRDefault="00A21534" w:rsidP="003962F7">
                  <w:pPr>
                    <w:ind w:firstLine="720"/>
                    <w:jc w:val="both"/>
                  </w:pPr>
                  <w:r>
                    <w:t>Atbilstoši Rīgas pilsēt</w:t>
                  </w:r>
                  <w:r w:rsidR="009E0074">
                    <w:t xml:space="preserve">as </w:t>
                  </w:r>
                  <w:proofErr w:type="spellStart"/>
                  <w:r w:rsidR="003962F7">
                    <w:t>zemes</w:t>
                  </w:r>
                  <w:r w:rsidR="009E0074">
                    <w:t>esgrāmatas</w:t>
                  </w:r>
                  <w:proofErr w:type="spellEnd"/>
                  <w:r w:rsidR="009E0074">
                    <w:t xml:space="preserve"> nodalījumā Nr.26605</w:t>
                  </w:r>
                  <w:r>
                    <w:t xml:space="preserve"> esošajai informācijai īpašuma tiesības uz </w:t>
                  </w:r>
                  <w:r w:rsidR="00722736">
                    <w:t xml:space="preserve">zemes vienības un dzīvojamās ēkas </w:t>
                  </w:r>
                  <w:r w:rsidR="009E0074">
                    <w:t xml:space="preserve">1/3 domājamo daļu </w:t>
                  </w:r>
                  <w:r>
                    <w:t xml:space="preserve">ir nostiprinātas fiziskai personai </w:t>
                  </w:r>
                  <w:r w:rsidR="009E0074">
                    <w:t xml:space="preserve">Jurim </w:t>
                  </w:r>
                  <w:proofErr w:type="spellStart"/>
                  <w:r w:rsidR="009E0074">
                    <w:t>Suhovam</w:t>
                  </w:r>
                  <w:proofErr w:type="spellEnd"/>
                  <w:r w:rsidR="009E0074">
                    <w:t>.</w:t>
                  </w:r>
                </w:p>
                <w:p w:rsidR="00380BD0" w:rsidRDefault="00380BD0" w:rsidP="00AA180E">
                  <w:pPr>
                    <w:ind w:firstLine="720"/>
                    <w:jc w:val="both"/>
                  </w:pPr>
                  <w:r>
                    <w:t xml:space="preserve">Īpašuma tiesības uz dzīvojamās ēkas 1/3 domājamo daļu ir nostiprinātas </w:t>
                  </w:r>
                  <w:proofErr w:type="spellStart"/>
                  <w:r>
                    <w:t>Maksimam</w:t>
                  </w:r>
                  <w:proofErr w:type="spellEnd"/>
                  <w:r>
                    <w:t xml:space="preserve"> </w:t>
                  </w:r>
                  <w:proofErr w:type="spellStart"/>
                  <w:r>
                    <w:t>Rogozinam</w:t>
                  </w:r>
                  <w:proofErr w:type="spellEnd"/>
                  <w:r>
                    <w:t xml:space="preserve"> un uz 1/3 domājamo daļu – Ignatam </w:t>
                  </w:r>
                  <w:proofErr w:type="spellStart"/>
                  <w:r>
                    <w:t>Rogozinam</w:t>
                  </w:r>
                  <w:proofErr w:type="spellEnd"/>
                  <w:r>
                    <w:t>.</w:t>
                  </w:r>
                </w:p>
                <w:p w:rsidR="00A60CA2" w:rsidRDefault="00A21534" w:rsidP="00A60CA2">
                  <w:pPr>
                    <w:ind w:firstLine="720"/>
                    <w:jc w:val="both"/>
                  </w:pPr>
                  <w:r>
                    <w:t>Latvij</w:t>
                  </w:r>
                  <w:r w:rsidR="00A60CA2">
                    <w:t>as Nacionālā arhīva 2015.gada 6</w:t>
                  </w:r>
                  <w:r>
                    <w:t>.</w:t>
                  </w:r>
                  <w:r w:rsidR="00A60CA2">
                    <w:t xml:space="preserve">februāra izziņā Nr.5-JP-222 norādīts, ka </w:t>
                  </w:r>
                  <w:r>
                    <w:t>uz</w:t>
                  </w:r>
                  <w:r w:rsidR="00A60CA2">
                    <w:t xml:space="preserve"> zemes vienību Rīgas pilsētā, 117</w:t>
                  </w:r>
                  <w:r>
                    <w:t>.grup</w:t>
                  </w:r>
                  <w:r w:rsidR="001255A9">
                    <w:t xml:space="preserve">ā, </w:t>
                  </w:r>
                  <w:r w:rsidR="00A60CA2">
                    <w:t>12</w:t>
                  </w:r>
                  <w:r w:rsidR="001255A9">
                    <w:t>.grunts</w:t>
                  </w:r>
                  <w:r>
                    <w:t xml:space="preserve">, </w:t>
                  </w:r>
                  <w:r w:rsidR="00A60CA2">
                    <w:t xml:space="preserve">Slokas ielā 144, uz pirkuma pārdevuma līguma pamata īpašuma tiesības apstiprinātas Rūdolfam </w:t>
                  </w:r>
                  <w:proofErr w:type="spellStart"/>
                  <w:r w:rsidR="00A60CA2">
                    <w:t>Vipulim</w:t>
                  </w:r>
                  <w:proofErr w:type="spellEnd"/>
                  <w:r w:rsidR="00A60CA2">
                    <w:t xml:space="preserve"> (1937.gada 5.marta ieraksts). </w:t>
                  </w:r>
                  <w:r w:rsidR="00A60CA2" w:rsidRPr="00272BCA">
                    <w:t xml:space="preserve">Vēlāk izdarītu īpašuma tiesības apstiprinošu ierakstu zemesgrāmatā nav.  </w:t>
                  </w:r>
                </w:p>
                <w:p w:rsidR="001255A9" w:rsidRDefault="00A21534" w:rsidP="00A21534">
                  <w:pPr>
                    <w:ind w:firstLine="720"/>
                    <w:jc w:val="both"/>
                  </w:pPr>
                  <w:r>
                    <w:t>Rīgas pilsē</w:t>
                  </w:r>
                  <w:r w:rsidR="001255A9">
                    <w:t>tas zemes komisijas 2015.gada 6.janvār</w:t>
                  </w:r>
                  <w:r>
                    <w:t xml:space="preserve">a izziņa </w:t>
                  </w:r>
                  <w:proofErr w:type="spellStart"/>
                  <w:r>
                    <w:t>Nr.ZK-15-</w:t>
                  </w:r>
                  <w:r w:rsidR="001255A9">
                    <w:t>1</w:t>
                  </w:r>
                  <w:proofErr w:type="spellEnd"/>
                  <w:r>
                    <w:t xml:space="preserve">-iz apliecina, ka uz zemes vienību Rīgā, </w:t>
                  </w:r>
                  <w:r w:rsidR="001255A9">
                    <w:t>Slokas</w:t>
                  </w:r>
                  <w:r>
                    <w:t xml:space="preserve"> ielā, </w:t>
                  </w:r>
                  <w:r w:rsidR="001255A9">
                    <w:t>117</w:t>
                  </w:r>
                  <w:r>
                    <w:t xml:space="preserve">.grupa, </w:t>
                  </w:r>
                  <w:r w:rsidR="001255A9">
                    <w:t>12</w:t>
                  </w:r>
                  <w:r>
                    <w:t xml:space="preserve">.grunts, līdz 1994.gada 1.jūnijam bijušais īpašnieks, ne viņa mantinieki nav pieteikušies. </w:t>
                  </w:r>
                  <w:r w:rsidR="001A4193">
                    <w:t>Z</w:t>
                  </w:r>
                  <w:r w:rsidR="001255A9">
                    <w:t>emes vienība saskaņā ar Rīgas pilsētas zemes komisijas 2000.gada 23.marta lēmumu Nr.6/170 1</w:t>
                  </w:r>
                  <w:r w:rsidR="00361BB6">
                    <w:t>/3 domājamās daļas apmērā nodota</w:t>
                  </w:r>
                  <w:r w:rsidR="001255A9">
                    <w:t xml:space="preserve"> īpašumā par maksu Jurijam </w:t>
                  </w:r>
                  <w:proofErr w:type="spellStart"/>
                  <w:r w:rsidR="001255A9">
                    <w:t>Suhovam</w:t>
                  </w:r>
                  <w:proofErr w:type="spellEnd"/>
                  <w:r w:rsidR="001255A9">
                    <w:t xml:space="preserve">. Jurijs </w:t>
                  </w:r>
                  <w:proofErr w:type="spellStart"/>
                  <w:r w:rsidR="001255A9">
                    <w:t>Suhovs</w:t>
                  </w:r>
                  <w:proofErr w:type="spellEnd"/>
                  <w:r w:rsidR="001255A9">
                    <w:t xml:space="preserve"> noslēdzis līgumu ar akciju sabiedrību „Latvijas Hipotēku un zemes banka” par zemes izpirkšanu un savu īpašumu reģistrējis Zemesgrāmatā. Uz zemes vienības 2/3 domājamām daļām zemes pieprasītāju pieteikumi nav saņemti</w:t>
                  </w:r>
                  <w:r w:rsidR="001A4193">
                    <w:t>.</w:t>
                  </w:r>
                </w:p>
                <w:p w:rsidR="00AA180E" w:rsidRPr="00400F77" w:rsidRDefault="0036182B" w:rsidP="00AA180E">
                  <w:pPr>
                    <w:ind w:firstLine="720"/>
                    <w:jc w:val="both"/>
                  </w:pPr>
                  <w:r>
                    <w:t>Rīgas domes 2010.gada 14.decembra</w:t>
                  </w:r>
                  <w:r w:rsidR="003E0E06">
                    <w:t xml:space="preserve"> lēmumā Nr.2395 (prot.Nr.47, 103.</w:t>
                  </w:r>
                  <w:r w:rsidR="003E0E06" w:rsidRPr="00141C69">
                    <w:rPr>
                      <w:color w:val="000000" w:themeColor="text1"/>
                    </w:rPr>
                    <w:t>§</w:t>
                  </w:r>
                  <w:r w:rsidR="003E0E06">
                    <w:rPr>
                      <w:color w:val="000000" w:themeColor="text1"/>
                    </w:rPr>
                    <w:t>)</w:t>
                  </w:r>
                  <w:r w:rsidR="00FD1E80">
                    <w:rPr>
                      <w:color w:val="000000" w:themeColor="text1"/>
                    </w:rPr>
                    <w:t xml:space="preserve"> (</w:t>
                  </w:r>
                  <w:r w:rsidR="00ED54E4">
                    <w:t xml:space="preserve">grozījumi ar Rīgas domes 13.12.2011. lēmumu Nr.3984) Par zemesgabalu piederību un piekritību </w:t>
                  </w:r>
                  <w:r w:rsidR="00B80FCB">
                    <w:t xml:space="preserve">noteikts ņemt vērā, ka zemes vienību Rīgā, Slokas ielā 144, (zemes vienības </w:t>
                  </w:r>
                  <w:r w:rsidR="00ED54E4">
                    <w:t>kadastra apzīmējums 0100</w:t>
                  </w:r>
                  <w:r w:rsidR="00B80FCB">
                    <w:t xml:space="preserve"> </w:t>
                  </w:r>
                  <w:r w:rsidR="00ED54E4">
                    <w:t>117</w:t>
                  </w:r>
                  <w:r w:rsidR="00B80FCB">
                    <w:t xml:space="preserve"> </w:t>
                  </w:r>
                  <w:r w:rsidR="00ED54E4">
                    <w:t>0011), 1411</w:t>
                  </w:r>
                  <w:r w:rsidR="00B80FCB">
                    <w:t xml:space="preserve"> </w:t>
                  </w:r>
                  <w:r w:rsidR="00ED54E4">
                    <w:t>m</w:t>
                  </w:r>
                  <w:r w:rsidR="00ED54E4">
                    <w:rPr>
                      <w:vertAlign w:val="superscript"/>
                    </w:rPr>
                    <w:t>2</w:t>
                  </w:r>
                  <w:r w:rsidR="00ED54E4">
                    <w:t xml:space="preserve"> platībā veido</w:t>
                  </w:r>
                  <w:r w:rsidR="00B80FCB">
                    <w:t xml:space="preserve"> Rīgas pilsētas vēsturiskā zemes vienības (117.grupa, 13.grupa) daļa ar aptuveno platību 424 m</w:t>
                  </w:r>
                  <w:r w:rsidR="00B80FCB" w:rsidRPr="00B80FCB">
                    <w:rPr>
                      <w:vertAlign w:val="superscript"/>
                    </w:rPr>
                    <w:t>2</w:t>
                  </w:r>
                  <w:r w:rsidR="00B80FCB">
                    <w:t xml:space="preserve"> un bijušā privātīpašuma (117.grupa, Nr.12) daļa ar aptuveno platību 987 m</w:t>
                  </w:r>
                  <w:r w:rsidR="00B80FCB" w:rsidRPr="00B80FCB">
                    <w:rPr>
                      <w:vertAlign w:val="superscript"/>
                    </w:rPr>
                    <w:t>2</w:t>
                  </w:r>
                  <w:r w:rsidR="00B80FCB">
                    <w:t xml:space="preserve"> un noteikts, ka zemes vienību Rīgā, Slokas ielā 144 (zemes vienības kadastra apzīmējums 0100 117 0011) 1411 m</w:t>
                  </w:r>
                  <w:r w:rsidR="00B80FCB">
                    <w:rPr>
                      <w:vertAlign w:val="superscript"/>
                    </w:rPr>
                    <w:t xml:space="preserve">2 </w:t>
                  </w:r>
                  <w:r w:rsidR="00B80FCB">
                    <w:t>platībā veidojošā</w:t>
                  </w:r>
                  <w:r w:rsidR="0086756B">
                    <w:t>s</w:t>
                  </w:r>
                  <w:r w:rsidR="00B80FCB">
                    <w:t xml:space="preserve"> zemes vien</w:t>
                  </w:r>
                  <w:r w:rsidR="00400F77">
                    <w:t>ības (117.grupa, 13.grunts) ar aptuveno platību 424 m</w:t>
                  </w:r>
                  <w:r w:rsidR="00400F77" w:rsidRPr="00400F77">
                    <w:rPr>
                      <w:vertAlign w:val="superscript"/>
                    </w:rPr>
                    <w:t>2</w:t>
                  </w:r>
                  <w:r w:rsidR="00400F77">
                    <w:t xml:space="preserve"> 2/3 domājamās daļas pieder Rīgas pilsētas pašvaldībai kā zeme, kas 1940.gada 21.jūlijā piederēja Rīgas pilsētai, tādējādi zemes vienības (zemes vienības </w:t>
                  </w:r>
                  <w:r w:rsidR="00400F77" w:rsidRPr="00AA180E">
                    <w:t>kadastra apzīmējums 0100 117 0011) attiecīgā domājamā daļa ir ierakstāma zemesgrāmatā uz Rīgas pilsētas pašvaldības vārda saskaņā ar</w:t>
                  </w:r>
                  <w:r w:rsidR="00400F77">
                    <w:rPr>
                      <w:b/>
                    </w:rPr>
                    <w:t xml:space="preserve"> </w:t>
                  </w:r>
                  <w:r w:rsidR="00400F77">
                    <w:t xml:space="preserve">likuma „Par valsts un pašvaldību zemes īpašuma tiesībām un to nostiprināšanu zemesgrāmatās” </w:t>
                  </w:r>
                  <w:r w:rsidR="00400F77">
                    <w:lastRenderedPageBreak/>
                    <w:t>3.panta pirmo da</w:t>
                  </w:r>
                  <w:r w:rsidR="005B504D">
                    <w:t xml:space="preserve">ļu. </w:t>
                  </w:r>
                </w:p>
                <w:p w:rsidR="00B80FCB" w:rsidRDefault="00DF6B93" w:rsidP="00DF6B93">
                  <w:pPr>
                    <w:ind w:firstLine="720"/>
                    <w:jc w:val="both"/>
                  </w:pPr>
                  <w:r>
                    <w:t xml:space="preserve">Rīgas domes </w:t>
                  </w:r>
                  <w:r w:rsidR="00407E38">
                    <w:t xml:space="preserve">Īpašuma departaments </w:t>
                  </w:r>
                  <w:r>
                    <w:t>2014.gada 7.oktobra vēstulē Nr.1-7/DI-14-</w:t>
                  </w:r>
                  <w:r w:rsidR="007474C8">
                    <w:t>1465-nd ierosina noteikt šādu atlikušo 2/3 domājamo daļu no zemes vienības sadalījumu: Rīgas pilsētas pašvaldībai 3/15 domājamās daļas (atbilstoši 2/3 domājamām daļām no vēsturiskā Rīgas pilsētas īpašuma 424 m</w:t>
                  </w:r>
                  <w:r w:rsidR="007474C8" w:rsidRPr="007474C8">
                    <w:rPr>
                      <w:vertAlign w:val="superscript"/>
                    </w:rPr>
                    <w:t>2</w:t>
                  </w:r>
                  <w:r w:rsidR="007474C8">
                    <w:t xml:space="preserve"> platībā) un Latvijas valstij 7/15 domājamās daļas (atbilstoši vēsturiskajai privātīpašuma daļai 987 m</w:t>
                  </w:r>
                  <w:r w:rsidR="007474C8" w:rsidRPr="007474C8">
                    <w:rPr>
                      <w:vertAlign w:val="superscript"/>
                    </w:rPr>
                    <w:t>2</w:t>
                  </w:r>
                  <w:r w:rsidR="007474C8">
                    <w:t xml:space="preserve"> platībā)</w:t>
                  </w:r>
                  <w:r w:rsidR="00AA180E">
                    <w:t xml:space="preserve">. </w:t>
                  </w:r>
                </w:p>
                <w:p w:rsidR="00AA180E" w:rsidRDefault="00AA180E" w:rsidP="00DF6B93">
                  <w:pPr>
                    <w:ind w:firstLine="720"/>
                    <w:jc w:val="both"/>
                  </w:pPr>
                  <w:r>
                    <w:t xml:space="preserve">VNĪ 2014.gada 14.oktobra vēstulē piekrīt minētajam zemes vienības 2/3 domājamo daļu sadalījumam. </w:t>
                  </w:r>
                </w:p>
                <w:p w:rsidR="00311F02" w:rsidRDefault="00624054" w:rsidP="00311F02">
                  <w:pPr>
                    <w:ind w:firstLine="720"/>
                    <w:jc w:val="both"/>
                    <w:rPr>
                      <w:u w:val="single"/>
                    </w:rPr>
                  </w:pPr>
                  <w:r>
                    <w:rPr>
                      <w:u w:val="single"/>
                    </w:rPr>
                    <w:t>Tā kā uz zemes vienības 7/15 domājamām daļām</w:t>
                  </w:r>
                  <w:r w:rsidR="00043058" w:rsidRPr="00043058">
                    <w:rPr>
                      <w:u w:val="single"/>
                    </w:rPr>
                    <w:t xml:space="preserve"> </w:t>
                  </w:r>
                  <w:r w:rsidRPr="00624054">
                    <w:rPr>
                      <w:u w:val="single"/>
                    </w:rPr>
                    <w:t xml:space="preserve">zemes pieprasītāju pieteikumi </w:t>
                  </w:r>
                  <w:r>
                    <w:rPr>
                      <w:u w:val="single"/>
                    </w:rPr>
                    <w:t>netika</w:t>
                  </w:r>
                  <w:r w:rsidRPr="00624054">
                    <w:rPr>
                      <w:u w:val="single"/>
                    </w:rPr>
                    <w:t xml:space="preserve"> saņemti</w:t>
                  </w:r>
                  <w:r>
                    <w:rPr>
                      <w:u w:val="single"/>
                    </w:rPr>
                    <w:t xml:space="preserve">, </w:t>
                  </w:r>
                  <w:r w:rsidR="00043058" w:rsidRPr="00043058">
                    <w:rPr>
                      <w:u w:val="single"/>
                    </w:rPr>
                    <w:t xml:space="preserve">secināms, ka </w:t>
                  </w:r>
                  <w:r w:rsidR="00544B19">
                    <w:rPr>
                      <w:u w:val="single"/>
                    </w:rPr>
                    <w:t xml:space="preserve">arī </w:t>
                  </w:r>
                  <w:r w:rsidR="00043058" w:rsidRPr="00043058">
                    <w:rPr>
                      <w:u w:val="single"/>
                    </w:rPr>
                    <w:t>ēku kopīpašnieki nebija iesnieguši pieteikumu zemes vienības 7/15 domājamo</w:t>
                  </w:r>
                  <w:r w:rsidR="00544B19">
                    <w:rPr>
                      <w:u w:val="single"/>
                    </w:rPr>
                    <w:t xml:space="preserve"> daļu</w:t>
                  </w:r>
                  <w:r w:rsidR="00043058" w:rsidRPr="00043058">
                    <w:rPr>
                      <w:u w:val="single"/>
                    </w:rPr>
                    <w:t xml:space="preserve"> iegūšanai īpašumā par maksu likumā „Par zemes reformas pabeigšanu pilsētās” noteiktajā termiņā, līdz ar to atbilstoši likuma „Par zemes reformas pabeigšanu p</w:t>
                  </w:r>
                  <w:r w:rsidR="00043058">
                    <w:rPr>
                      <w:u w:val="single"/>
                    </w:rPr>
                    <w:t xml:space="preserve">ilsētās” 2.panta trešajai daļai, </w:t>
                  </w:r>
                  <w:r w:rsidR="00311F02" w:rsidRPr="00C478FA">
                    <w:rPr>
                      <w:u w:val="single"/>
                    </w:rPr>
                    <w:t>tā</w:t>
                  </w:r>
                  <w:r w:rsidR="00311F02">
                    <w:rPr>
                      <w:u w:val="single"/>
                    </w:rPr>
                    <w:t>s</w:t>
                  </w:r>
                  <w:r w:rsidR="00311F02" w:rsidRPr="00C478FA">
                    <w:rPr>
                      <w:u w:val="single"/>
                    </w:rPr>
                    <w:t xml:space="preserve"> zaudēja tiesības izpirkt zemi likuma „Par zemes reformu Latvijas Republikas pilsētā</w:t>
                  </w:r>
                  <w:r w:rsidR="00311F02">
                    <w:rPr>
                      <w:u w:val="single"/>
                    </w:rPr>
                    <w:t>s” 12.pantā noteiktajā kārtībā.</w:t>
                  </w:r>
                </w:p>
                <w:p w:rsidR="00AA180E" w:rsidRDefault="00544B19" w:rsidP="00AA180E">
                  <w:pPr>
                    <w:ind w:firstLine="720"/>
                    <w:jc w:val="both"/>
                  </w:pPr>
                  <w:r>
                    <w:rPr>
                      <w:u w:val="single"/>
                    </w:rPr>
                    <w:t>Ņemot vērā, ka ēku kopīpašniekiem šobrīd nav tiesību iegūt īpašumā zemes vienības 7/15 domājamās daļas saskaņā ar zemes reformas likumiem,</w:t>
                  </w:r>
                  <w:r w:rsidRPr="00544B19">
                    <w:t xml:space="preserve"> atbilstoši </w:t>
                  </w:r>
                  <w:r w:rsidR="00AA180E" w:rsidRPr="00544B19">
                    <w:t>likuma</w:t>
                  </w:r>
                  <w:r w:rsidR="00AA180E">
                    <w:t xml:space="preserve"> „Par valsts un pašvaldību zemes īpašuma tiesībām un to nostiprināšanu zemesgrāmatās” 2.panta otrās daļas 2.punktu </w:t>
                  </w:r>
                  <w:r>
                    <w:t>tās</w:t>
                  </w:r>
                  <w:r w:rsidR="00AA180E">
                    <w:t xml:space="preserve"> ir piekritīgas valstij. </w:t>
                  </w:r>
                </w:p>
                <w:p w:rsidR="00041F97" w:rsidRDefault="00041F97" w:rsidP="00041F97">
                  <w:pPr>
                    <w:ind w:firstLine="720"/>
                    <w:jc w:val="both"/>
                  </w:pPr>
                  <w:r>
                    <w:t xml:space="preserve">Pēc Rīkojuma projekta pieņemšanas VNĪ piedāvās apbūves kopīpašniekiem slēgt nomas līgumu. </w:t>
                  </w:r>
                </w:p>
                <w:p w:rsidR="00041F97" w:rsidRDefault="00041F97" w:rsidP="00041F97">
                  <w:pPr>
                    <w:ind w:firstLine="720"/>
                    <w:jc w:val="both"/>
                  </w:pPr>
                  <w:r>
                    <w:t>P</w:t>
                  </w:r>
                  <w:r w:rsidRPr="006321F5">
                    <w:t xml:space="preserve">ēc zemes vienības </w:t>
                  </w:r>
                  <w:r w:rsidR="00361BB6">
                    <w:t xml:space="preserve">7/15 domājamo daļu </w:t>
                  </w:r>
                  <w:r w:rsidRPr="006321F5">
                    <w:t xml:space="preserve">ierakstīšanas zemesgrāmatā uz valsts vārda Finanšu ministrijas personā, </w:t>
                  </w:r>
                  <w:r>
                    <w:t xml:space="preserve">apbūves kopīpašniekiem radīsies tiesības ierosināt </w:t>
                  </w:r>
                  <w:r w:rsidR="00361BB6">
                    <w:t xml:space="preserve">minēto </w:t>
                  </w:r>
                  <w:r>
                    <w:t xml:space="preserve">zemes vienības domājamo daļu atsavināšanu, ievērojot Publiskas personas </w:t>
                  </w:r>
                  <w:r w:rsidRPr="00FC1297">
                    <w:t xml:space="preserve">mantas atsavināšanas likuma 4.panta ceturtās daļas </w:t>
                  </w:r>
                  <w:r>
                    <w:t>3</w:t>
                  </w:r>
                  <w:r w:rsidRPr="00FC1297">
                    <w:t>.punktu.</w:t>
                  </w:r>
                </w:p>
                <w:p w:rsidR="00780C8C" w:rsidRPr="0025218E" w:rsidRDefault="00AF7DCD" w:rsidP="00257522">
                  <w:pPr>
                    <w:ind w:firstLine="720"/>
                    <w:jc w:val="both"/>
                  </w:pPr>
                  <w:r>
                    <w:t>Ņemot vērā iepriekš minēto ir sagatavots Rīkojuma projekts, kas paredz grozīt Rīkojuma Nr.648 11.pielikumu – papildinot to ar zemes vienībām, kas ir piekritīgas valstij un kuras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AA085C" w:rsidRPr="00CC7093" w:rsidTr="00E522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lastRenderedPageBreak/>
                    <w:t>3.</w:t>
                  </w:r>
                </w:p>
              </w:tc>
              <w:tc>
                <w:tcPr>
                  <w:tcW w:w="2590" w:type="dxa"/>
                  <w:gridSpan w:val="3"/>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Projekta izstrādē iesaistītās institūcijas</w:t>
                  </w:r>
                </w:p>
              </w:tc>
              <w:tc>
                <w:tcPr>
                  <w:tcW w:w="6173" w:type="dxa"/>
                  <w:tcBorders>
                    <w:top w:val="single" w:sz="4" w:space="0" w:color="auto"/>
                    <w:left w:val="single" w:sz="4" w:space="0" w:color="auto"/>
                    <w:bottom w:val="single" w:sz="4" w:space="0" w:color="auto"/>
                    <w:right w:val="single" w:sz="4" w:space="0" w:color="auto"/>
                  </w:tcBorders>
                </w:tcPr>
                <w:p w:rsidR="00AA085C" w:rsidRPr="00CC7093" w:rsidRDefault="00B46A16" w:rsidP="00046AFF">
                  <w:pPr>
                    <w:ind w:firstLine="720"/>
                    <w:jc w:val="both"/>
                  </w:pPr>
                  <w:r>
                    <w:t>Rīkojuma p</w:t>
                  </w:r>
                  <w:r w:rsidR="00780C8C" w:rsidRPr="00CC7093">
                    <w:t xml:space="preserve">rojekta izstrādē ir iesaistīta Finanšu ministrija un </w:t>
                  </w:r>
                  <w:r w:rsidR="00046AFF">
                    <w:t>VNĪ</w:t>
                  </w:r>
                  <w:r w:rsidR="00780C8C" w:rsidRPr="00CC7093">
                    <w:t>.</w:t>
                  </w:r>
                </w:p>
              </w:tc>
            </w:tr>
            <w:tr w:rsidR="00AA085C" w:rsidRPr="00CC7093" w:rsidTr="00E522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4</w:t>
                  </w:r>
                  <w:r w:rsidR="00AA085C" w:rsidRPr="00CC7093">
                    <w:t>.</w:t>
                  </w:r>
                </w:p>
              </w:tc>
              <w:tc>
                <w:tcPr>
                  <w:tcW w:w="2590"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Cita informācija</w:t>
                  </w:r>
                </w:p>
              </w:tc>
              <w:tc>
                <w:tcPr>
                  <w:tcW w:w="6173" w:type="dxa"/>
                  <w:tcBorders>
                    <w:top w:val="single" w:sz="4" w:space="0" w:color="auto"/>
                    <w:left w:val="single" w:sz="4" w:space="0" w:color="auto"/>
                    <w:bottom w:val="single" w:sz="4" w:space="0" w:color="auto"/>
                    <w:right w:val="single" w:sz="4" w:space="0" w:color="auto"/>
                  </w:tcBorders>
                </w:tcPr>
                <w:p w:rsidR="00AA085C" w:rsidRPr="00CC7093" w:rsidRDefault="00AA085C" w:rsidP="00EC5F50">
                  <w:pPr>
                    <w:ind w:firstLine="131"/>
                  </w:pPr>
                  <w:r w:rsidRPr="00CC7093">
                    <w:t>Nav.</w:t>
                  </w:r>
                </w:p>
              </w:tc>
            </w:tr>
            <w:tr w:rsidR="0085529C" w:rsidRPr="00CC7093" w:rsidTr="0042321A">
              <w:tblPrEx>
                <w:tblCellMar>
                  <w:top w:w="24" w:type="dxa"/>
                  <w:left w:w="24" w:type="dxa"/>
                  <w:bottom w:w="24" w:type="dxa"/>
                  <w:right w:w="24" w:type="dxa"/>
                </w:tblCellMar>
              </w:tblPrEx>
              <w:trPr>
                <w:trHeight w:val="375"/>
                <w:tblCellSpacing w:w="15" w:type="dxa"/>
              </w:trPr>
              <w:tc>
                <w:tcPr>
                  <w:tcW w:w="9132" w:type="dxa"/>
                  <w:gridSpan w:val="5"/>
                  <w:tcBorders>
                    <w:top w:val="single" w:sz="4" w:space="0" w:color="auto"/>
                    <w:left w:val="single" w:sz="4" w:space="0" w:color="auto"/>
                    <w:bottom w:val="single" w:sz="4" w:space="0" w:color="auto"/>
                    <w:right w:val="single" w:sz="4" w:space="0" w:color="auto"/>
                  </w:tcBorders>
                  <w:vAlign w:val="center"/>
                  <w:hideMark/>
                </w:tcPr>
                <w:p w:rsidR="00046AFF" w:rsidRDefault="00046AFF" w:rsidP="00EC5F50">
                  <w:pPr>
                    <w:ind w:firstLine="300"/>
                    <w:jc w:val="center"/>
                  </w:pPr>
                </w:p>
                <w:p w:rsidR="0085529C" w:rsidRPr="00CC7093" w:rsidRDefault="00AA085C" w:rsidP="00EC5F50">
                  <w:pPr>
                    <w:ind w:firstLine="300"/>
                    <w:jc w:val="center"/>
                    <w:rPr>
                      <w:b/>
                      <w:bCs/>
                    </w:rPr>
                  </w:pPr>
                  <w:r w:rsidRPr="00CC7093">
                    <w:t> </w:t>
                  </w:r>
                  <w:r w:rsidR="0085529C" w:rsidRPr="00CC7093">
                    <w:rPr>
                      <w:b/>
                      <w:bCs/>
                    </w:rPr>
                    <w:t>II. Tiesību akta projekta ietekme uz sabiedrību, tautsaimniecības attīstību un administratīvo slogu</w:t>
                  </w:r>
                </w:p>
              </w:tc>
            </w:tr>
            <w:tr w:rsidR="0085529C" w:rsidRPr="00CC7093"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1.</w:t>
                  </w:r>
                </w:p>
              </w:tc>
              <w:tc>
                <w:tcPr>
                  <w:tcW w:w="2380"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 xml:space="preserve">Sabiedrības </w:t>
                  </w:r>
                  <w:proofErr w:type="spellStart"/>
                  <w:r w:rsidRPr="00CC7093">
                    <w:t>mērķgrupas</w:t>
                  </w:r>
                  <w:proofErr w:type="spellEnd"/>
                  <w:r w:rsidRPr="00CC7093">
                    <w:t>, kuras tiesiskais 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AF7DCD">
                  <w:pPr>
                    <w:ind w:firstLine="720"/>
                    <w:jc w:val="both"/>
                  </w:pPr>
                  <w:r w:rsidRPr="00992F0A">
                    <w:t>Rīkojuma projektā risinātie jautājumi skar tiesību subjektus - fiziskas un juridiskas personas, kuru ēkas atrodas uz valstij piekritīgajām zemes vienībām un kas vēlas izmantot savas normatīvos aktos noteiktās tiesības realizēt pirmpirkuma tiesības uz valstij piekritīgajām zemes vienībām.</w:t>
                  </w:r>
                  <w:r>
                    <w:t xml:space="preserve"> </w:t>
                  </w:r>
                  <w:r w:rsidR="009A1BF5">
                    <w:t>Finanšu ministrija (VNĪ).</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2.</w:t>
                  </w:r>
                </w:p>
              </w:tc>
              <w:tc>
                <w:tcPr>
                  <w:tcW w:w="2380"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tautsaimniecību, kā valsts saimniecības nozari, neietekmē un administratīvo slogu nemaina.</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3.</w:t>
                  </w:r>
                </w:p>
              </w:tc>
              <w:tc>
                <w:tcPr>
                  <w:tcW w:w="2380"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administratīvo slogu neietekmē.</w:t>
                  </w:r>
                </w:p>
              </w:tc>
            </w:tr>
            <w:tr w:rsidR="0085529C" w:rsidRPr="00CC7093"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Default="0085529C" w:rsidP="00EC5F50">
                  <w:pPr>
                    <w:rPr>
                      <w:color w:val="414142"/>
                    </w:rPr>
                  </w:pPr>
                  <w:r w:rsidRPr="00CC7093">
                    <w:rPr>
                      <w:color w:val="414142"/>
                    </w:rPr>
                    <w:t>4.</w:t>
                  </w:r>
                </w:p>
                <w:p w:rsidR="0042321A" w:rsidRPr="00CC7093" w:rsidRDefault="0042321A" w:rsidP="00EC5F50">
                  <w:pPr>
                    <w:rPr>
                      <w:color w:val="414142"/>
                    </w:rPr>
                  </w:pPr>
                </w:p>
              </w:tc>
              <w:tc>
                <w:tcPr>
                  <w:tcW w:w="2380"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EC5F50">
                  <w:pPr>
                    <w:ind w:firstLine="720"/>
                    <w:jc w:val="both"/>
                  </w:pPr>
                  <w:r w:rsidRPr="00992F0A">
                    <w:t>Rīkojuma projekta īstenošanai nav nepieciešami papildus līdzekļi no valsts vai pašvaldību budžeta.</w:t>
                  </w:r>
                </w:p>
              </w:tc>
            </w:tr>
            <w:tr w:rsidR="0085529C" w:rsidRPr="00CC7093"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5"/>
                  <w:vAlign w:val="center"/>
                  <w:hideMark/>
                </w:tcPr>
                <w:p w:rsidR="0085529C" w:rsidRPr="00CC7093" w:rsidRDefault="0085529C" w:rsidP="00B46A16">
                  <w:pPr>
                    <w:spacing w:line="360" w:lineRule="auto"/>
                    <w:ind w:firstLine="301"/>
                    <w:jc w:val="center"/>
                    <w:rPr>
                      <w:b/>
                      <w:bCs/>
                    </w:rPr>
                  </w:pPr>
                  <w:r w:rsidRPr="00CC7093">
                    <w:rPr>
                      <w:b/>
                      <w:bCs/>
                    </w:rPr>
                    <w:t>VI. Sabiedrības līdzdalība un komunikācijas aktivitātes</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hideMark/>
                </w:tcPr>
                <w:p w:rsidR="0085529C" w:rsidRPr="00CC7093" w:rsidRDefault="0085529C" w:rsidP="00EC5F50">
                  <w:r w:rsidRPr="00CC7093">
                    <w:t>1.</w:t>
                  </w:r>
                </w:p>
              </w:tc>
              <w:tc>
                <w:tcPr>
                  <w:tcW w:w="2238" w:type="dxa"/>
                  <w:hideMark/>
                </w:tcPr>
                <w:p w:rsidR="0085529C" w:rsidRPr="00CC7093" w:rsidRDefault="0085529C" w:rsidP="00EC5F50">
                  <w:r w:rsidRPr="00CC7093">
                    <w:t>Plānotās sabiedrības līdzdalības un komunikācijas aktivitātes saistībā ar projektu</w:t>
                  </w:r>
                </w:p>
              </w:tc>
              <w:tc>
                <w:tcPr>
                  <w:tcW w:w="6315" w:type="dxa"/>
                  <w:gridSpan w:val="2"/>
                  <w:hideMark/>
                </w:tcPr>
                <w:p w:rsidR="00286C01" w:rsidRDefault="00286C01" w:rsidP="00B46A16">
                  <w:pPr>
                    <w:ind w:firstLine="720"/>
                    <w:jc w:val="both"/>
                  </w:pPr>
                  <w: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CC7093" w:rsidRDefault="00286C01" w:rsidP="00B46A16">
                  <w:pPr>
                    <w:ind w:firstLine="720"/>
                    <w:jc w:val="both"/>
                  </w:pPr>
                  <w: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hideMark/>
                </w:tcPr>
                <w:p w:rsidR="0085529C" w:rsidRPr="00CC7093" w:rsidRDefault="0085529C" w:rsidP="00EC5F50">
                  <w:r w:rsidRPr="00CC7093">
                    <w:t>2.</w:t>
                  </w:r>
                </w:p>
              </w:tc>
              <w:tc>
                <w:tcPr>
                  <w:tcW w:w="2238" w:type="dxa"/>
                  <w:hideMark/>
                </w:tcPr>
                <w:p w:rsidR="0085529C" w:rsidRPr="00CC7093" w:rsidRDefault="0085529C" w:rsidP="00EC5F50">
                  <w:r w:rsidRPr="00CC7093">
                    <w:t>Sabiedrības līdzdalība projekta izstrādē</w:t>
                  </w:r>
                </w:p>
              </w:tc>
              <w:tc>
                <w:tcPr>
                  <w:tcW w:w="6315" w:type="dxa"/>
                  <w:gridSpan w:val="2"/>
                  <w:hideMark/>
                </w:tcPr>
                <w:p w:rsidR="0085529C" w:rsidRPr="00CC7093" w:rsidRDefault="00FA6B67" w:rsidP="00B46A16">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CC7093" w:rsidRDefault="0085529C" w:rsidP="00EC5F50">
                  <w:r w:rsidRPr="00CC7093">
                    <w:t>3.</w:t>
                  </w:r>
                </w:p>
              </w:tc>
              <w:tc>
                <w:tcPr>
                  <w:tcW w:w="2238" w:type="dxa"/>
                  <w:hideMark/>
                </w:tcPr>
                <w:p w:rsidR="0085529C" w:rsidRPr="00CC7093" w:rsidRDefault="0085529C" w:rsidP="00EC5F50">
                  <w:r w:rsidRPr="00CC7093">
                    <w:t>Sabiedrības līdzdalības rezultāti</w:t>
                  </w:r>
                </w:p>
              </w:tc>
              <w:tc>
                <w:tcPr>
                  <w:tcW w:w="6315" w:type="dxa"/>
                  <w:gridSpan w:val="2"/>
                  <w:hideMark/>
                </w:tcPr>
                <w:p w:rsidR="0085529C" w:rsidRPr="00CC7093" w:rsidRDefault="00FA6B67" w:rsidP="009A1BF5">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CC7093" w:rsidRDefault="0085529C" w:rsidP="00EC5F50">
                  <w:r w:rsidRPr="00CC7093">
                    <w:t>4.</w:t>
                  </w:r>
                </w:p>
              </w:tc>
              <w:tc>
                <w:tcPr>
                  <w:tcW w:w="2238" w:type="dxa"/>
                  <w:hideMark/>
                </w:tcPr>
                <w:p w:rsidR="0085529C" w:rsidRPr="00CC7093" w:rsidRDefault="0085529C" w:rsidP="00EC5F50">
                  <w:r w:rsidRPr="00CC7093">
                    <w:t>Cita informācija</w:t>
                  </w:r>
                </w:p>
              </w:tc>
              <w:tc>
                <w:tcPr>
                  <w:tcW w:w="6315" w:type="dxa"/>
                  <w:gridSpan w:val="2"/>
                  <w:hideMark/>
                </w:tcPr>
                <w:p w:rsidR="0085529C" w:rsidRPr="00CC7093" w:rsidRDefault="0085529C" w:rsidP="00B46A16">
                  <w:pPr>
                    <w:spacing w:before="100" w:beforeAutospacing="1" w:after="100" w:afterAutospacing="1"/>
                    <w:ind w:firstLine="720"/>
                    <w:jc w:val="both"/>
                  </w:pPr>
                  <w:r w:rsidRPr="00CC7093">
                    <w:t>Saskaņā ar Oficiālo publikāciju un t</w:t>
                  </w:r>
                  <w:r w:rsidR="006C753F">
                    <w:t>iesiskās informācijas likuma 2.panta pirmo daļu un 3.</w:t>
                  </w:r>
                  <w:r w:rsidRPr="00CC7093">
                    <w:t xml:space="preserve">panta pirmo daļu tiesību aktus publicē oficiālajā izdevumā „Latvijas Vēstnesis”, tos publicējot elektroniski tīmekļa vietnē </w:t>
                  </w:r>
                  <w:proofErr w:type="spellStart"/>
                  <w:r w:rsidRPr="00CC7093">
                    <w:t>www.vestnesis.lv</w:t>
                  </w:r>
                  <w:proofErr w:type="spellEnd"/>
                  <w:r w:rsidRPr="00CC7093">
                    <w:t>.</w:t>
                  </w:r>
                </w:p>
              </w:tc>
            </w:tr>
          </w:tbl>
          <w:p w:rsidR="0085529C" w:rsidRPr="00286C01" w:rsidRDefault="0085529C" w:rsidP="00286C01">
            <w:pPr>
              <w:rPr>
                <w:lang w:eastAsia="en-US"/>
              </w:rPr>
            </w:pPr>
          </w:p>
        </w:tc>
      </w:tr>
      <w:tr w:rsidR="00F94DC9" w:rsidRPr="0085529C"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CC7093" w:rsidRDefault="00F94DC9" w:rsidP="00CC7093">
            <w:pPr>
              <w:spacing w:before="100" w:beforeAutospacing="1" w:after="100" w:afterAutospacing="1"/>
              <w:jc w:val="center"/>
              <w:rPr>
                <w:b/>
                <w:bCs/>
              </w:rPr>
            </w:pPr>
            <w:r w:rsidRPr="00CC7093">
              <w:rPr>
                <w:b/>
                <w:bCs/>
              </w:rPr>
              <w:lastRenderedPageBreak/>
              <w:t>VII. Tiesību akta projekta izpildes nodrošināšana un tās ietekme uz institūcijām</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1.</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Projekta izpildē iesaistītās institūcijas</w:t>
            </w:r>
          </w:p>
        </w:tc>
        <w:tc>
          <w:tcPr>
            <w:tcW w:w="6365" w:type="dxa"/>
            <w:tcBorders>
              <w:top w:val="outset" w:sz="6" w:space="0" w:color="000000"/>
              <w:left w:val="outset" w:sz="6" w:space="0" w:color="000000"/>
              <w:bottom w:val="outset" w:sz="6" w:space="0" w:color="000000"/>
            </w:tcBorders>
          </w:tcPr>
          <w:p w:rsidR="00F94DC9" w:rsidRPr="00CC7093" w:rsidRDefault="00F94DC9" w:rsidP="009E1677">
            <w:pPr>
              <w:spacing w:before="100" w:beforeAutospacing="1" w:after="100" w:afterAutospacing="1"/>
              <w:ind w:firstLine="720"/>
              <w:jc w:val="both"/>
            </w:pPr>
            <w:r w:rsidRPr="00CC7093">
              <w:t xml:space="preserve">Par rīkojuma projekta izpildi atbildīgā ir </w:t>
            </w:r>
            <w:r w:rsidR="009A1BF5">
              <w:t>Finanšu ministrija (</w:t>
            </w:r>
            <w:r w:rsidR="00046AFF">
              <w:t>VNĪ</w:t>
            </w:r>
            <w:r w:rsidR="009A1BF5">
              <w:t>)</w:t>
            </w:r>
            <w:r w:rsidR="009E1677">
              <w:t>.</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2.</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 xml:space="preserve">Projekta izpildes ietekme uz pārvaldes funkcijām un </w:t>
            </w:r>
            <w:r w:rsidRPr="00CC7093">
              <w:lastRenderedPageBreak/>
              <w:t xml:space="preserve">institucionālo struktūru. </w:t>
            </w:r>
          </w:p>
          <w:p w:rsidR="00F94DC9" w:rsidRPr="00CC7093" w:rsidRDefault="00F94DC9" w:rsidP="00EC5F50">
            <w:pPr>
              <w:spacing w:before="100" w:beforeAutospacing="1" w:after="100" w:afterAutospacing="1"/>
            </w:pPr>
            <w:r w:rsidRPr="00CC7093">
              <w:t>Jaunu institūciju izveide, esošu institūciju likvidācija 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CC7093" w:rsidRDefault="0042321A" w:rsidP="0042321A">
            <w:pPr>
              <w:spacing w:before="100" w:beforeAutospacing="1" w:after="100" w:afterAutospacing="1"/>
              <w:jc w:val="both"/>
            </w:pPr>
            <w:r w:rsidRPr="0042321A">
              <w:lastRenderedPageBreak/>
              <w:t>Projekts šo jomu neskar.</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r w:rsidRPr="00CC7093">
              <w:lastRenderedPageBreak/>
              <w:t>3.</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r w:rsidRPr="00CC7093">
              <w:t>Cita informācija</w:t>
            </w:r>
          </w:p>
        </w:tc>
        <w:tc>
          <w:tcPr>
            <w:tcW w:w="6365" w:type="dxa"/>
            <w:tcBorders>
              <w:top w:val="outset" w:sz="6" w:space="0" w:color="000000"/>
              <w:left w:val="outset" w:sz="6" w:space="0" w:color="000000"/>
              <w:bottom w:val="outset" w:sz="6" w:space="0" w:color="000000"/>
            </w:tcBorders>
          </w:tcPr>
          <w:p w:rsidR="00F94DC9" w:rsidRPr="00CC7093" w:rsidRDefault="00992F0A" w:rsidP="0042321A">
            <w:pPr>
              <w:jc w:val="both"/>
            </w:pPr>
            <w:r w:rsidRPr="00992F0A">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B46A16" w:rsidRDefault="00F94DC9" w:rsidP="00B46A16">
      <w:pPr>
        <w:spacing w:before="100" w:beforeAutospacing="1" w:after="100" w:afterAutospacing="1"/>
        <w:rPr>
          <w:i/>
        </w:rPr>
      </w:pPr>
      <w:r w:rsidRPr="00D70023">
        <w:rPr>
          <w:bCs/>
          <w:i/>
        </w:rPr>
        <w:t xml:space="preserve">Anotācijas </w:t>
      </w:r>
      <w:r w:rsidR="00992F0A">
        <w:rPr>
          <w:bCs/>
          <w:i/>
        </w:rPr>
        <w:t xml:space="preserve">III., </w:t>
      </w:r>
      <w:r w:rsidR="0042321A">
        <w:rPr>
          <w:bCs/>
          <w:i/>
        </w:rPr>
        <w:t xml:space="preserve">IV. </w:t>
      </w:r>
      <w:r w:rsidRPr="00D70023">
        <w:rPr>
          <w:bCs/>
          <w:i/>
        </w:rPr>
        <w:t>un V. sadaļa –projekts šīs jomas neskar.</w:t>
      </w:r>
    </w:p>
    <w:p w:rsidR="009E1677" w:rsidRDefault="009E1677" w:rsidP="00CC7093">
      <w:pPr>
        <w:pStyle w:val="BodyTextIndent"/>
        <w:ind w:left="0"/>
      </w:pPr>
    </w:p>
    <w:p w:rsidR="001A4193" w:rsidRDefault="001A4193" w:rsidP="00CC7093">
      <w:pPr>
        <w:pStyle w:val="BodyTextIndent"/>
        <w:ind w:left="0"/>
      </w:pPr>
    </w:p>
    <w:p w:rsidR="00AA085C" w:rsidRPr="00AC5E9A" w:rsidRDefault="00A725F1" w:rsidP="00CC7093">
      <w:pPr>
        <w:pStyle w:val="BodyTextIndent"/>
        <w:ind w:left="0"/>
      </w:pPr>
      <w:r>
        <w:t>Finanšu ministre</w:t>
      </w:r>
      <w:r w:rsidR="00AA085C" w:rsidRPr="00AC5E9A">
        <w:tab/>
      </w:r>
      <w:r w:rsidR="00AA085C" w:rsidRPr="00AC5E9A">
        <w:tab/>
      </w:r>
      <w:r w:rsidR="00AA085C" w:rsidRPr="00AC5E9A">
        <w:tab/>
      </w:r>
      <w:r w:rsidR="00AA085C" w:rsidRPr="00AC5E9A">
        <w:tab/>
      </w:r>
      <w:r w:rsidR="00AA085C" w:rsidRPr="00AC5E9A">
        <w:tab/>
      </w:r>
      <w:r w:rsidR="00AA085C" w:rsidRPr="00AC5E9A">
        <w:tab/>
      </w:r>
      <w:r w:rsidR="00AA085C" w:rsidRPr="00AC5E9A">
        <w:tab/>
      </w:r>
      <w:proofErr w:type="spellStart"/>
      <w:r>
        <w:t>D.Reizniece-Ozola</w:t>
      </w:r>
      <w:proofErr w:type="spellEnd"/>
    </w:p>
    <w:p w:rsidR="009A1BF5" w:rsidRDefault="009A1BF5" w:rsidP="009A1BF5">
      <w:pPr>
        <w:rPr>
          <w:sz w:val="20"/>
        </w:rPr>
      </w:pPr>
    </w:p>
    <w:p w:rsidR="00650469" w:rsidRDefault="00650469" w:rsidP="009A1BF5">
      <w:pPr>
        <w:rPr>
          <w:sz w:val="20"/>
        </w:rPr>
      </w:pPr>
    </w:p>
    <w:p w:rsidR="00650469" w:rsidRDefault="00650469" w:rsidP="009A1BF5">
      <w:pPr>
        <w:rPr>
          <w:sz w:val="20"/>
        </w:rPr>
      </w:pPr>
    </w:p>
    <w:p w:rsidR="00650469" w:rsidRDefault="00650469" w:rsidP="009A1BF5">
      <w:pPr>
        <w:rPr>
          <w:sz w:val="20"/>
        </w:rPr>
      </w:pPr>
    </w:p>
    <w:p w:rsidR="00650469" w:rsidRDefault="00650469" w:rsidP="009A1BF5">
      <w:pPr>
        <w:rPr>
          <w:sz w:val="20"/>
        </w:rPr>
      </w:pPr>
    </w:p>
    <w:p w:rsidR="00624054" w:rsidRDefault="00624054" w:rsidP="009A1BF5">
      <w:pPr>
        <w:rPr>
          <w:sz w:val="20"/>
        </w:rPr>
      </w:pPr>
    </w:p>
    <w:p w:rsidR="00624054" w:rsidRDefault="00624054" w:rsidP="009A1BF5">
      <w:pPr>
        <w:rPr>
          <w:sz w:val="20"/>
        </w:rPr>
      </w:pPr>
    </w:p>
    <w:p w:rsidR="00624054" w:rsidRDefault="00624054" w:rsidP="009A1BF5">
      <w:pPr>
        <w:rPr>
          <w:sz w:val="20"/>
        </w:rPr>
      </w:pPr>
    </w:p>
    <w:p w:rsidR="001A4193" w:rsidRDefault="001A4193" w:rsidP="009A1BF5">
      <w:pPr>
        <w:rPr>
          <w:sz w:val="20"/>
        </w:rPr>
      </w:pPr>
    </w:p>
    <w:p w:rsidR="001A4193" w:rsidRDefault="001A4193" w:rsidP="009A1BF5">
      <w:pPr>
        <w:rPr>
          <w:sz w:val="20"/>
        </w:rPr>
      </w:pPr>
    </w:p>
    <w:p w:rsidR="00650469" w:rsidRDefault="00650469" w:rsidP="009A1BF5">
      <w:pPr>
        <w:rPr>
          <w:sz w:val="20"/>
        </w:rPr>
      </w:pPr>
    </w:p>
    <w:p w:rsidR="00437A74" w:rsidRPr="009A1BF5" w:rsidRDefault="009954DB" w:rsidP="009A1BF5">
      <w:pPr>
        <w:rPr>
          <w:sz w:val="20"/>
        </w:rPr>
      </w:pPr>
      <w:r>
        <w:rPr>
          <w:sz w:val="20"/>
        </w:rPr>
        <w:t>16.06.2016. 14</w:t>
      </w:r>
      <w:r w:rsidR="00E5226B">
        <w:rPr>
          <w:sz w:val="20"/>
        </w:rPr>
        <w:t>:</w:t>
      </w:r>
      <w:r>
        <w:rPr>
          <w:sz w:val="20"/>
        </w:rPr>
        <w:t>58</w:t>
      </w:r>
      <w:bookmarkStart w:id="5" w:name="_GoBack"/>
      <w:bookmarkEnd w:id="5"/>
    </w:p>
    <w:p w:rsidR="009A1BF5" w:rsidRPr="009A1BF5" w:rsidRDefault="00624054" w:rsidP="009A1BF5">
      <w:pPr>
        <w:rPr>
          <w:sz w:val="20"/>
        </w:rPr>
      </w:pPr>
      <w:r>
        <w:rPr>
          <w:sz w:val="20"/>
        </w:rPr>
        <w:t>2705</w:t>
      </w:r>
    </w:p>
    <w:p w:rsidR="009A1BF5" w:rsidRPr="009A1BF5" w:rsidRDefault="009A1BF5" w:rsidP="009A1BF5">
      <w:pPr>
        <w:rPr>
          <w:sz w:val="20"/>
        </w:rPr>
      </w:pPr>
      <w:proofErr w:type="spellStart"/>
      <w:r w:rsidRPr="009A1BF5">
        <w:rPr>
          <w:sz w:val="20"/>
        </w:rPr>
        <w:t>M.Deņisova</w:t>
      </w:r>
      <w:proofErr w:type="spellEnd"/>
      <w:r w:rsidRPr="009A1BF5">
        <w:rPr>
          <w:sz w:val="20"/>
        </w:rPr>
        <w:t xml:space="preserve"> 67024676</w:t>
      </w:r>
    </w:p>
    <w:p w:rsidR="00B46A16" w:rsidRDefault="009954DB" w:rsidP="00AA085C">
      <w:pPr>
        <w:rPr>
          <w:sz w:val="20"/>
        </w:rPr>
      </w:pPr>
      <w:hyperlink r:id="rId12" w:history="1">
        <w:r w:rsidR="009A1BF5" w:rsidRPr="00F2304A">
          <w:rPr>
            <w:rStyle w:val="Hyperlink"/>
            <w:sz w:val="20"/>
          </w:rPr>
          <w:t>Mara.Denisova@vni.lv</w:t>
        </w:r>
      </w:hyperlink>
      <w:r w:rsidR="009A1BF5">
        <w:rPr>
          <w:sz w:val="20"/>
        </w:rPr>
        <w:t xml:space="preserve"> </w:t>
      </w:r>
    </w:p>
    <w:sectPr w:rsidR="00B46A16" w:rsidSect="0042321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F1" w:rsidRDefault="00A725F1">
      <w:r>
        <w:separator/>
      </w:r>
    </w:p>
  </w:endnote>
  <w:endnote w:type="continuationSeparator" w:id="0">
    <w:p w:rsidR="00A725F1" w:rsidRDefault="00A7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1" w:rsidRPr="00E5226B" w:rsidRDefault="00A725F1" w:rsidP="00E5226B">
    <w:pPr>
      <w:pStyle w:val="Footer"/>
      <w:jc w:val="both"/>
    </w:pPr>
    <w:r w:rsidRPr="00FA6B67">
      <w:rPr>
        <w:sz w:val="20"/>
        <w:szCs w:val="20"/>
      </w:rPr>
      <w:t>FMAnot_</w:t>
    </w:r>
    <w:r>
      <w:rPr>
        <w:sz w:val="20"/>
        <w:szCs w:val="20"/>
      </w:rPr>
      <w:t>1008</w:t>
    </w:r>
    <w:r w:rsidRPr="00FA6B67">
      <w:rPr>
        <w:sz w:val="20"/>
        <w:szCs w:val="20"/>
      </w:rPr>
      <w:t>15_groz_648; Ministru kabine</w:t>
    </w:r>
    <w:r>
      <w:rPr>
        <w:sz w:val="20"/>
        <w:szCs w:val="20"/>
      </w:rPr>
      <w:t xml:space="preserve">ta rīkojuma projekta „Grozījums </w:t>
    </w:r>
    <w:r w:rsidRPr="00FA6B67">
      <w:rPr>
        <w:sz w:val="20"/>
        <w:szCs w:val="20"/>
      </w:rPr>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1" w:rsidRPr="00FA6B67" w:rsidRDefault="00A725F1" w:rsidP="00FA6B67">
    <w:pPr>
      <w:pStyle w:val="Footer"/>
      <w:jc w:val="both"/>
    </w:pPr>
    <w:r w:rsidRPr="00FA6B67">
      <w:rPr>
        <w:sz w:val="20"/>
        <w:szCs w:val="20"/>
      </w:rPr>
      <w:t>FMAnot_</w:t>
    </w:r>
    <w:r>
      <w:rPr>
        <w:sz w:val="20"/>
        <w:szCs w:val="20"/>
      </w:rPr>
      <w:t>1008</w:t>
    </w:r>
    <w:r w:rsidRPr="00FA6B67">
      <w:rPr>
        <w:sz w:val="20"/>
        <w:szCs w:val="20"/>
      </w:rPr>
      <w:t>15_groz_648; Ministru kabine</w:t>
    </w:r>
    <w:r>
      <w:rPr>
        <w:sz w:val="20"/>
        <w:szCs w:val="20"/>
      </w:rPr>
      <w:t xml:space="preserve">ta rīkojuma projekta „Grozījums </w:t>
    </w:r>
    <w:r w:rsidRPr="00FA6B67">
      <w:rPr>
        <w:sz w:val="20"/>
        <w:szCs w:val="20"/>
      </w:rPr>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F1" w:rsidRDefault="00A725F1">
      <w:r>
        <w:separator/>
      </w:r>
    </w:p>
  </w:footnote>
  <w:footnote w:type="continuationSeparator" w:id="0">
    <w:p w:rsidR="00A725F1" w:rsidRDefault="00A7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1" w:rsidRDefault="00A725F1"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5F1" w:rsidRDefault="00A72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1" w:rsidRDefault="00A725F1"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4DB">
      <w:rPr>
        <w:rStyle w:val="PageNumber"/>
        <w:noProof/>
      </w:rPr>
      <w:t>9</w:t>
    </w:r>
    <w:r>
      <w:rPr>
        <w:rStyle w:val="PageNumber"/>
      </w:rPr>
      <w:fldChar w:fldCharType="end"/>
    </w:r>
  </w:p>
  <w:p w:rsidR="00A725F1" w:rsidRDefault="00A72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3816"/>
    <w:rsid w:val="00006EC7"/>
    <w:rsid w:val="00010B98"/>
    <w:rsid w:val="000113F4"/>
    <w:rsid w:val="0001247A"/>
    <w:rsid w:val="00012863"/>
    <w:rsid w:val="00017BA9"/>
    <w:rsid w:val="0002167D"/>
    <w:rsid w:val="00040BE6"/>
    <w:rsid w:val="0004173F"/>
    <w:rsid w:val="00041F97"/>
    <w:rsid w:val="00043058"/>
    <w:rsid w:val="00046AFF"/>
    <w:rsid w:val="00050E08"/>
    <w:rsid w:val="00052F8E"/>
    <w:rsid w:val="00054EED"/>
    <w:rsid w:val="0007106D"/>
    <w:rsid w:val="000770CE"/>
    <w:rsid w:val="00095F94"/>
    <w:rsid w:val="000B0BF5"/>
    <w:rsid w:val="000B5199"/>
    <w:rsid w:val="000B6AD9"/>
    <w:rsid w:val="000C5FD7"/>
    <w:rsid w:val="000E0CBF"/>
    <w:rsid w:val="000F111C"/>
    <w:rsid w:val="000F1545"/>
    <w:rsid w:val="000F647F"/>
    <w:rsid w:val="00107ACE"/>
    <w:rsid w:val="0011205B"/>
    <w:rsid w:val="001255A9"/>
    <w:rsid w:val="001322EC"/>
    <w:rsid w:val="00135B09"/>
    <w:rsid w:val="001454FC"/>
    <w:rsid w:val="00157C71"/>
    <w:rsid w:val="001831EA"/>
    <w:rsid w:val="00195AEB"/>
    <w:rsid w:val="001A4193"/>
    <w:rsid w:val="001B106E"/>
    <w:rsid w:val="001E2F62"/>
    <w:rsid w:val="001E4398"/>
    <w:rsid w:val="001E7B92"/>
    <w:rsid w:val="001F5D55"/>
    <w:rsid w:val="001F6655"/>
    <w:rsid w:val="001F6713"/>
    <w:rsid w:val="001F75F6"/>
    <w:rsid w:val="00200282"/>
    <w:rsid w:val="00200D26"/>
    <w:rsid w:val="002028ED"/>
    <w:rsid w:val="00205CBD"/>
    <w:rsid w:val="002170D6"/>
    <w:rsid w:val="0021721B"/>
    <w:rsid w:val="00221CD9"/>
    <w:rsid w:val="002277E7"/>
    <w:rsid w:val="00235859"/>
    <w:rsid w:val="00242ABD"/>
    <w:rsid w:val="00243011"/>
    <w:rsid w:val="00244C70"/>
    <w:rsid w:val="0025218E"/>
    <w:rsid w:val="00257522"/>
    <w:rsid w:val="00262100"/>
    <w:rsid w:val="00263392"/>
    <w:rsid w:val="00266894"/>
    <w:rsid w:val="00270553"/>
    <w:rsid w:val="00272BCA"/>
    <w:rsid w:val="00280BC2"/>
    <w:rsid w:val="00282491"/>
    <w:rsid w:val="00284D27"/>
    <w:rsid w:val="002868D2"/>
    <w:rsid w:val="00286C01"/>
    <w:rsid w:val="00291235"/>
    <w:rsid w:val="00294463"/>
    <w:rsid w:val="0029622E"/>
    <w:rsid w:val="002A0E1A"/>
    <w:rsid w:val="002B6A5F"/>
    <w:rsid w:val="002C0F54"/>
    <w:rsid w:val="002C26B4"/>
    <w:rsid w:val="002C6BD7"/>
    <w:rsid w:val="002E0115"/>
    <w:rsid w:val="002E3451"/>
    <w:rsid w:val="002F06D8"/>
    <w:rsid w:val="00306DFD"/>
    <w:rsid w:val="00310A73"/>
    <w:rsid w:val="00311F02"/>
    <w:rsid w:val="00313B92"/>
    <w:rsid w:val="00322B38"/>
    <w:rsid w:val="00323B7C"/>
    <w:rsid w:val="0034195D"/>
    <w:rsid w:val="003422B3"/>
    <w:rsid w:val="00343D7F"/>
    <w:rsid w:val="00344CD5"/>
    <w:rsid w:val="003462A8"/>
    <w:rsid w:val="00347DAB"/>
    <w:rsid w:val="0035131F"/>
    <w:rsid w:val="00355DED"/>
    <w:rsid w:val="00357AAD"/>
    <w:rsid w:val="0036182B"/>
    <w:rsid w:val="00361BB6"/>
    <w:rsid w:val="0036212E"/>
    <w:rsid w:val="00364CD8"/>
    <w:rsid w:val="003743E2"/>
    <w:rsid w:val="00380BD0"/>
    <w:rsid w:val="003962F7"/>
    <w:rsid w:val="003A4265"/>
    <w:rsid w:val="003E0E06"/>
    <w:rsid w:val="003E6F99"/>
    <w:rsid w:val="003F7041"/>
    <w:rsid w:val="004007F1"/>
    <w:rsid w:val="00400F77"/>
    <w:rsid w:val="004033B9"/>
    <w:rsid w:val="004060BA"/>
    <w:rsid w:val="00406DD3"/>
    <w:rsid w:val="00407E38"/>
    <w:rsid w:val="00412D7B"/>
    <w:rsid w:val="00413680"/>
    <w:rsid w:val="0042321A"/>
    <w:rsid w:val="00426FAC"/>
    <w:rsid w:val="00427FA3"/>
    <w:rsid w:val="00433323"/>
    <w:rsid w:val="00437A74"/>
    <w:rsid w:val="004433D4"/>
    <w:rsid w:val="00446019"/>
    <w:rsid w:val="00447330"/>
    <w:rsid w:val="00452BAC"/>
    <w:rsid w:val="0045352C"/>
    <w:rsid w:val="00455166"/>
    <w:rsid w:val="00460D38"/>
    <w:rsid w:val="0046546A"/>
    <w:rsid w:val="0047301B"/>
    <w:rsid w:val="00482F90"/>
    <w:rsid w:val="00491A6E"/>
    <w:rsid w:val="00491BFE"/>
    <w:rsid w:val="00493392"/>
    <w:rsid w:val="00493C2C"/>
    <w:rsid w:val="0049538A"/>
    <w:rsid w:val="00497FC1"/>
    <w:rsid w:val="004A2FEB"/>
    <w:rsid w:val="004A591D"/>
    <w:rsid w:val="004A7B49"/>
    <w:rsid w:val="004B52DC"/>
    <w:rsid w:val="004B5469"/>
    <w:rsid w:val="004C209A"/>
    <w:rsid w:val="004C7D8D"/>
    <w:rsid w:val="004F18FF"/>
    <w:rsid w:val="004F25AA"/>
    <w:rsid w:val="004F5AC1"/>
    <w:rsid w:val="00516782"/>
    <w:rsid w:val="00524C15"/>
    <w:rsid w:val="00524CA5"/>
    <w:rsid w:val="00525D23"/>
    <w:rsid w:val="005336DD"/>
    <w:rsid w:val="005356B8"/>
    <w:rsid w:val="00536AFA"/>
    <w:rsid w:val="00544B19"/>
    <w:rsid w:val="00546933"/>
    <w:rsid w:val="00550A74"/>
    <w:rsid w:val="005511ED"/>
    <w:rsid w:val="00553849"/>
    <w:rsid w:val="00555418"/>
    <w:rsid w:val="005579C9"/>
    <w:rsid w:val="005607DB"/>
    <w:rsid w:val="00567B3F"/>
    <w:rsid w:val="0057135B"/>
    <w:rsid w:val="0057170D"/>
    <w:rsid w:val="005726C3"/>
    <w:rsid w:val="00575AC2"/>
    <w:rsid w:val="005763C0"/>
    <w:rsid w:val="005819B1"/>
    <w:rsid w:val="00593992"/>
    <w:rsid w:val="005A673B"/>
    <w:rsid w:val="005B504D"/>
    <w:rsid w:val="005C1121"/>
    <w:rsid w:val="005D5D9B"/>
    <w:rsid w:val="005D786E"/>
    <w:rsid w:val="005E6DEB"/>
    <w:rsid w:val="0060202A"/>
    <w:rsid w:val="00607131"/>
    <w:rsid w:val="00616D42"/>
    <w:rsid w:val="00624054"/>
    <w:rsid w:val="00631B6A"/>
    <w:rsid w:val="006321F5"/>
    <w:rsid w:val="0064165F"/>
    <w:rsid w:val="00650469"/>
    <w:rsid w:val="00652B9E"/>
    <w:rsid w:val="00654DAF"/>
    <w:rsid w:val="00662F47"/>
    <w:rsid w:val="006630E4"/>
    <w:rsid w:val="00665053"/>
    <w:rsid w:val="006852FB"/>
    <w:rsid w:val="006936B7"/>
    <w:rsid w:val="006B027E"/>
    <w:rsid w:val="006B0B11"/>
    <w:rsid w:val="006B1728"/>
    <w:rsid w:val="006B29C3"/>
    <w:rsid w:val="006C753F"/>
    <w:rsid w:val="00700B86"/>
    <w:rsid w:val="0070767D"/>
    <w:rsid w:val="00713D7C"/>
    <w:rsid w:val="0071587B"/>
    <w:rsid w:val="00716893"/>
    <w:rsid w:val="00722736"/>
    <w:rsid w:val="007262D0"/>
    <w:rsid w:val="007320B6"/>
    <w:rsid w:val="007332C8"/>
    <w:rsid w:val="007427D5"/>
    <w:rsid w:val="007474C8"/>
    <w:rsid w:val="00750130"/>
    <w:rsid w:val="00752C94"/>
    <w:rsid w:val="00764BC6"/>
    <w:rsid w:val="00765D87"/>
    <w:rsid w:val="007721F6"/>
    <w:rsid w:val="0077710F"/>
    <w:rsid w:val="00780C8C"/>
    <w:rsid w:val="00783CB5"/>
    <w:rsid w:val="00784FD4"/>
    <w:rsid w:val="007858DA"/>
    <w:rsid w:val="00787412"/>
    <w:rsid w:val="00792AFE"/>
    <w:rsid w:val="00792EE5"/>
    <w:rsid w:val="00793108"/>
    <w:rsid w:val="00797540"/>
    <w:rsid w:val="007A1F78"/>
    <w:rsid w:val="007A23D2"/>
    <w:rsid w:val="007A2E4A"/>
    <w:rsid w:val="007A6169"/>
    <w:rsid w:val="007A766E"/>
    <w:rsid w:val="007A7F61"/>
    <w:rsid w:val="007B03F0"/>
    <w:rsid w:val="007B0AE8"/>
    <w:rsid w:val="007C2978"/>
    <w:rsid w:val="007D1716"/>
    <w:rsid w:val="007F0565"/>
    <w:rsid w:val="007F0FEC"/>
    <w:rsid w:val="007F7B29"/>
    <w:rsid w:val="008004C8"/>
    <w:rsid w:val="0080520D"/>
    <w:rsid w:val="00811E6D"/>
    <w:rsid w:val="00813802"/>
    <w:rsid w:val="0081607E"/>
    <w:rsid w:val="00816778"/>
    <w:rsid w:val="00826CAE"/>
    <w:rsid w:val="008429A0"/>
    <w:rsid w:val="00842CE5"/>
    <w:rsid w:val="00843253"/>
    <w:rsid w:val="0085529C"/>
    <w:rsid w:val="00857020"/>
    <w:rsid w:val="0086118E"/>
    <w:rsid w:val="0086688D"/>
    <w:rsid w:val="0086756B"/>
    <w:rsid w:val="00874873"/>
    <w:rsid w:val="00883AAD"/>
    <w:rsid w:val="00893926"/>
    <w:rsid w:val="00893D7D"/>
    <w:rsid w:val="008944A5"/>
    <w:rsid w:val="0089691C"/>
    <w:rsid w:val="008A720A"/>
    <w:rsid w:val="008B0861"/>
    <w:rsid w:val="008B1195"/>
    <w:rsid w:val="008B69EA"/>
    <w:rsid w:val="008B7782"/>
    <w:rsid w:val="008B7E41"/>
    <w:rsid w:val="008C1C79"/>
    <w:rsid w:val="008C5648"/>
    <w:rsid w:val="008D1B50"/>
    <w:rsid w:val="008D5762"/>
    <w:rsid w:val="008E6D5F"/>
    <w:rsid w:val="00906E78"/>
    <w:rsid w:val="009074C9"/>
    <w:rsid w:val="009141B9"/>
    <w:rsid w:val="009203CC"/>
    <w:rsid w:val="00920FBF"/>
    <w:rsid w:val="00921844"/>
    <w:rsid w:val="00932EB8"/>
    <w:rsid w:val="009424D7"/>
    <w:rsid w:val="009436A2"/>
    <w:rsid w:val="00944B5B"/>
    <w:rsid w:val="00962ED0"/>
    <w:rsid w:val="009666C0"/>
    <w:rsid w:val="0097438A"/>
    <w:rsid w:val="00985AA7"/>
    <w:rsid w:val="00992F0A"/>
    <w:rsid w:val="009954DB"/>
    <w:rsid w:val="00995E1C"/>
    <w:rsid w:val="009A1BF5"/>
    <w:rsid w:val="009A3A67"/>
    <w:rsid w:val="009A4015"/>
    <w:rsid w:val="009B366C"/>
    <w:rsid w:val="009C5065"/>
    <w:rsid w:val="009D1166"/>
    <w:rsid w:val="009D14D8"/>
    <w:rsid w:val="009D2423"/>
    <w:rsid w:val="009E0074"/>
    <w:rsid w:val="009E13EC"/>
    <w:rsid w:val="009E1677"/>
    <w:rsid w:val="009E6BA3"/>
    <w:rsid w:val="009E736A"/>
    <w:rsid w:val="009F3AC7"/>
    <w:rsid w:val="009F4BDC"/>
    <w:rsid w:val="009F74C1"/>
    <w:rsid w:val="00A016D8"/>
    <w:rsid w:val="00A03BFF"/>
    <w:rsid w:val="00A103B8"/>
    <w:rsid w:val="00A10B61"/>
    <w:rsid w:val="00A13613"/>
    <w:rsid w:val="00A13D64"/>
    <w:rsid w:val="00A149DB"/>
    <w:rsid w:val="00A15449"/>
    <w:rsid w:val="00A15F01"/>
    <w:rsid w:val="00A21534"/>
    <w:rsid w:val="00A22A8C"/>
    <w:rsid w:val="00A24463"/>
    <w:rsid w:val="00A2646D"/>
    <w:rsid w:val="00A35992"/>
    <w:rsid w:val="00A36994"/>
    <w:rsid w:val="00A40DEE"/>
    <w:rsid w:val="00A5022A"/>
    <w:rsid w:val="00A52EC1"/>
    <w:rsid w:val="00A545DD"/>
    <w:rsid w:val="00A559AC"/>
    <w:rsid w:val="00A603BC"/>
    <w:rsid w:val="00A60CA2"/>
    <w:rsid w:val="00A725F1"/>
    <w:rsid w:val="00A91938"/>
    <w:rsid w:val="00A93CF4"/>
    <w:rsid w:val="00AA085C"/>
    <w:rsid w:val="00AA180E"/>
    <w:rsid w:val="00AB0355"/>
    <w:rsid w:val="00AB2451"/>
    <w:rsid w:val="00AB5079"/>
    <w:rsid w:val="00AB51A1"/>
    <w:rsid w:val="00AB75B6"/>
    <w:rsid w:val="00AC3563"/>
    <w:rsid w:val="00AC5E9A"/>
    <w:rsid w:val="00AE0DD7"/>
    <w:rsid w:val="00AE2497"/>
    <w:rsid w:val="00AE2ADE"/>
    <w:rsid w:val="00AF3344"/>
    <w:rsid w:val="00AF747F"/>
    <w:rsid w:val="00AF7DCD"/>
    <w:rsid w:val="00B030D0"/>
    <w:rsid w:val="00B179E5"/>
    <w:rsid w:val="00B26BFC"/>
    <w:rsid w:val="00B42710"/>
    <w:rsid w:val="00B46A16"/>
    <w:rsid w:val="00B46F6C"/>
    <w:rsid w:val="00B50A23"/>
    <w:rsid w:val="00B51543"/>
    <w:rsid w:val="00B51873"/>
    <w:rsid w:val="00B52141"/>
    <w:rsid w:val="00B52ADF"/>
    <w:rsid w:val="00B633AD"/>
    <w:rsid w:val="00B64BB3"/>
    <w:rsid w:val="00B7043E"/>
    <w:rsid w:val="00B70991"/>
    <w:rsid w:val="00B80CC4"/>
    <w:rsid w:val="00B80FCB"/>
    <w:rsid w:val="00B825F0"/>
    <w:rsid w:val="00B875F5"/>
    <w:rsid w:val="00B964BA"/>
    <w:rsid w:val="00BA3C15"/>
    <w:rsid w:val="00BA5BED"/>
    <w:rsid w:val="00BA7F65"/>
    <w:rsid w:val="00BB4766"/>
    <w:rsid w:val="00BD72F0"/>
    <w:rsid w:val="00BE57F0"/>
    <w:rsid w:val="00BF3F96"/>
    <w:rsid w:val="00BF754B"/>
    <w:rsid w:val="00C22F95"/>
    <w:rsid w:val="00C2360C"/>
    <w:rsid w:val="00C25010"/>
    <w:rsid w:val="00C279AF"/>
    <w:rsid w:val="00C34EEA"/>
    <w:rsid w:val="00C41B4E"/>
    <w:rsid w:val="00C4712E"/>
    <w:rsid w:val="00C478FA"/>
    <w:rsid w:val="00C502F4"/>
    <w:rsid w:val="00C50640"/>
    <w:rsid w:val="00C52AB6"/>
    <w:rsid w:val="00C55AC5"/>
    <w:rsid w:val="00C64AD2"/>
    <w:rsid w:val="00C725C0"/>
    <w:rsid w:val="00C7554B"/>
    <w:rsid w:val="00C83DAD"/>
    <w:rsid w:val="00C9144A"/>
    <w:rsid w:val="00C91586"/>
    <w:rsid w:val="00C9387F"/>
    <w:rsid w:val="00C96525"/>
    <w:rsid w:val="00CB6D5E"/>
    <w:rsid w:val="00CC7093"/>
    <w:rsid w:val="00CC7AB8"/>
    <w:rsid w:val="00CD23F9"/>
    <w:rsid w:val="00CD5012"/>
    <w:rsid w:val="00CD5180"/>
    <w:rsid w:val="00CE1440"/>
    <w:rsid w:val="00CE3E9C"/>
    <w:rsid w:val="00CE5AAA"/>
    <w:rsid w:val="00CE7B28"/>
    <w:rsid w:val="00CF349B"/>
    <w:rsid w:val="00CF60A7"/>
    <w:rsid w:val="00D003E8"/>
    <w:rsid w:val="00D0199A"/>
    <w:rsid w:val="00D07633"/>
    <w:rsid w:val="00D12D11"/>
    <w:rsid w:val="00D31CCF"/>
    <w:rsid w:val="00D3791D"/>
    <w:rsid w:val="00D4408B"/>
    <w:rsid w:val="00D55EA9"/>
    <w:rsid w:val="00D604B4"/>
    <w:rsid w:val="00D70023"/>
    <w:rsid w:val="00D74447"/>
    <w:rsid w:val="00D87814"/>
    <w:rsid w:val="00D94284"/>
    <w:rsid w:val="00D97108"/>
    <w:rsid w:val="00DA2C6C"/>
    <w:rsid w:val="00DA4114"/>
    <w:rsid w:val="00DB1B50"/>
    <w:rsid w:val="00DB7D3D"/>
    <w:rsid w:val="00DD2D00"/>
    <w:rsid w:val="00DE3511"/>
    <w:rsid w:val="00DE5054"/>
    <w:rsid w:val="00DF19F8"/>
    <w:rsid w:val="00DF26DB"/>
    <w:rsid w:val="00DF6B93"/>
    <w:rsid w:val="00DF6CC3"/>
    <w:rsid w:val="00E04DF8"/>
    <w:rsid w:val="00E06C90"/>
    <w:rsid w:val="00E119CD"/>
    <w:rsid w:val="00E12E76"/>
    <w:rsid w:val="00E13BCE"/>
    <w:rsid w:val="00E14122"/>
    <w:rsid w:val="00E16AA4"/>
    <w:rsid w:val="00E21046"/>
    <w:rsid w:val="00E2222E"/>
    <w:rsid w:val="00E24572"/>
    <w:rsid w:val="00E27089"/>
    <w:rsid w:val="00E471C8"/>
    <w:rsid w:val="00E5052F"/>
    <w:rsid w:val="00E5226B"/>
    <w:rsid w:val="00E559A8"/>
    <w:rsid w:val="00E81A04"/>
    <w:rsid w:val="00E90E24"/>
    <w:rsid w:val="00E93DDB"/>
    <w:rsid w:val="00EA25DE"/>
    <w:rsid w:val="00EA5550"/>
    <w:rsid w:val="00EA6FE4"/>
    <w:rsid w:val="00EC5F0C"/>
    <w:rsid w:val="00EC5F50"/>
    <w:rsid w:val="00ED20CA"/>
    <w:rsid w:val="00ED3350"/>
    <w:rsid w:val="00ED532B"/>
    <w:rsid w:val="00ED54E4"/>
    <w:rsid w:val="00EE7269"/>
    <w:rsid w:val="00F01D88"/>
    <w:rsid w:val="00F05F91"/>
    <w:rsid w:val="00F16B03"/>
    <w:rsid w:val="00F20194"/>
    <w:rsid w:val="00F235BA"/>
    <w:rsid w:val="00F44F4A"/>
    <w:rsid w:val="00F466AA"/>
    <w:rsid w:val="00F47CA5"/>
    <w:rsid w:val="00F6386E"/>
    <w:rsid w:val="00F75599"/>
    <w:rsid w:val="00F75ED3"/>
    <w:rsid w:val="00F809A5"/>
    <w:rsid w:val="00F86896"/>
    <w:rsid w:val="00F94DC9"/>
    <w:rsid w:val="00FA34F2"/>
    <w:rsid w:val="00FA6B67"/>
    <w:rsid w:val="00FB4E16"/>
    <w:rsid w:val="00FC1297"/>
    <w:rsid w:val="00FD1E80"/>
    <w:rsid w:val="00FD22B8"/>
    <w:rsid w:val="00FD5186"/>
    <w:rsid w:val="00FE5892"/>
    <w:rsid w:val="00FF28A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2.xml><?xml version="1.0" encoding="utf-8"?>
<ds:datastoreItem xmlns:ds="http://schemas.openxmlformats.org/officeDocument/2006/customXml" ds:itemID="{F3F38CFD-9033-4ADD-84F8-3C308E086FE4}">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e5bb04e-596e-45bd-9003-43ca78b1ba16"/>
    <ds:schemaRef ds:uri="http://www.w3.org/XML/1998/namespace"/>
  </ds:schemaRefs>
</ds:datastoreItem>
</file>

<file path=customXml/itemProps3.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883F17-81B4-4785-AA2A-B97B863B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6012</TotalTime>
  <Pages>9</Pages>
  <Words>14097</Words>
  <Characters>8036</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creator>mara.denisova@vni.lv</dc:creator>
  <dc:description>mara.denisova@vni.lv, 67024676</dc:description>
  <cp:lastModifiedBy>Māra Deņisova</cp:lastModifiedBy>
  <cp:revision>227</cp:revision>
  <cp:lastPrinted>2015-12-03T13:42:00Z</cp:lastPrinted>
  <dcterms:created xsi:type="dcterms:W3CDTF">2013-12-18T07:47:00Z</dcterms:created>
  <dcterms:modified xsi:type="dcterms:W3CDTF">2016-06-16T11:58:00Z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