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AC" w:rsidRPr="00763B14" w:rsidRDefault="00CC77AC" w:rsidP="00CC77AC">
      <w:pPr>
        <w:pStyle w:val="naislab"/>
        <w:spacing w:before="0" w:after="0"/>
        <w:ind w:firstLine="720"/>
        <w:jc w:val="center"/>
        <w:rPr>
          <w:b/>
          <w:sz w:val="26"/>
          <w:szCs w:val="26"/>
        </w:rPr>
      </w:pPr>
      <w:r w:rsidRPr="00763B14">
        <w:rPr>
          <w:b/>
          <w:sz w:val="26"/>
          <w:szCs w:val="26"/>
        </w:rPr>
        <w:t xml:space="preserve">Ministru kabineta noteikumu projekta </w:t>
      </w:r>
    </w:p>
    <w:p w:rsidR="007756FB" w:rsidRPr="00763B14" w:rsidRDefault="0083772F" w:rsidP="00CC77AC">
      <w:pPr>
        <w:pStyle w:val="naislab"/>
        <w:spacing w:before="0" w:after="0"/>
        <w:ind w:firstLine="720"/>
        <w:jc w:val="center"/>
        <w:rPr>
          <w:b/>
          <w:sz w:val="26"/>
          <w:szCs w:val="26"/>
        </w:rPr>
      </w:pPr>
      <w:r w:rsidRPr="00763B14">
        <w:rPr>
          <w:b/>
          <w:sz w:val="26"/>
          <w:szCs w:val="26"/>
        </w:rPr>
        <w:t>„</w:t>
      </w:r>
      <w:r w:rsidR="00965524" w:rsidRPr="00763B14">
        <w:rPr>
          <w:b/>
          <w:sz w:val="26"/>
          <w:szCs w:val="26"/>
        </w:rPr>
        <w:t xml:space="preserve">Grozījumi Ministru kabineta 2010.gada 30.marta noteikumos Nr.302 </w:t>
      </w:r>
      <w:r w:rsidRPr="00763B14">
        <w:rPr>
          <w:b/>
          <w:sz w:val="26"/>
          <w:szCs w:val="26"/>
        </w:rPr>
        <w:t>„</w:t>
      </w:r>
      <w:r w:rsidR="00965524" w:rsidRPr="00763B14">
        <w:rPr>
          <w:b/>
          <w:sz w:val="26"/>
          <w:szCs w:val="26"/>
        </w:rPr>
        <w:t>Noteikumi par akcīzes nodokļa nodrošinājumiem</w:t>
      </w:r>
      <w:r w:rsidR="00CC77AC" w:rsidRPr="00763B14">
        <w:rPr>
          <w:b/>
          <w:sz w:val="26"/>
          <w:szCs w:val="26"/>
        </w:rPr>
        <w:t>”</w:t>
      </w:r>
      <w:r w:rsidR="00965524" w:rsidRPr="00763B14">
        <w:rPr>
          <w:b/>
          <w:sz w:val="26"/>
          <w:szCs w:val="26"/>
        </w:rPr>
        <w:t>”</w:t>
      </w:r>
      <w:r w:rsidR="00CC77AC" w:rsidRPr="00763B14">
        <w:rPr>
          <w:b/>
          <w:sz w:val="26"/>
          <w:szCs w:val="26"/>
        </w:rPr>
        <w:t xml:space="preserve"> sākotnējās ietekmes novērtējuma ziņojums (anotācija)</w:t>
      </w:r>
    </w:p>
    <w:p w:rsidR="008961E6" w:rsidRPr="00763B14" w:rsidRDefault="008961E6" w:rsidP="00032C63">
      <w:pPr>
        <w:spacing w:line="270" w:lineRule="atLeast"/>
        <w:jc w:val="both"/>
        <w:rPr>
          <w:rStyle w:val="apple-style-sp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14"/>
        <w:gridCol w:w="5812"/>
      </w:tblGrid>
      <w:tr w:rsidR="000225D5" w:rsidRPr="009E1031" w:rsidTr="00743410">
        <w:trPr>
          <w:trHeight w:val="427"/>
        </w:trPr>
        <w:tc>
          <w:tcPr>
            <w:tcW w:w="9322" w:type="dxa"/>
            <w:gridSpan w:val="3"/>
            <w:hideMark/>
          </w:tcPr>
          <w:p w:rsidR="00032C63" w:rsidRPr="00763B14" w:rsidRDefault="002F74EA" w:rsidP="00B85675">
            <w:pPr>
              <w:jc w:val="center"/>
              <w:rPr>
                <w:b/>
                <w:bCs/>
                <w:sz w:val="26"/>
                <w:szCs w:val="26"/>
              </w:rPr>
            </w:pPr>
            <w:r w:rsidRPr="00763B14">
              <w:rPr>
                <w:b/>
                <w:bCs/>
                <w:sz w:val="26"/>
                <w:szCs w:val="26"/>
              </w:rPr>
              <w:t xml:space="preserve">I. </w:t>
            </w:r>
            <w:r w:rsidR="00032C63" w:rsidRPr="00763B14">
              <w:rPr>
                <w:b/>
                <w:bCs/>
                <w:sz w:val="26"/>
                <w:szCs w:val="26"/>
              </w:rPr>
              <w:t>Tiesību akta projekta izstrādes nepieciešamība</w:t>
            </w:r>
          </w:p>
        </w:tc>
      </w:tr>
      <w:tr w:rsidR="000225D5" w:rsidRPr="009E1031" w:rsidTr="00346732">
        <w:tc>
          <w:tcPr>
            <w:tcW w:w="496" w:type="dxa"/>
            <w:hideMark/>
          </w:tcPr>
          <w:p w:rsidR="00032C63" w:rsidRPr="00763B14" w:rsidRDefault="00032C63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1.</w:t>
            </w:r>
          </w:p>
        </w:tc>
        <w:tc>
          <w:tcPr>
            <w:tcW w:w="3014" w:type="dxa"/>
            <w:hideMark/>
          </w:tcPr>
          <w:p w:rsidR="00743069" w:rsidRPr="00763B14" w:rsidRDefault="00032C63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Pamatojums</w:t>
            </w:r>
          </w:p>
        </w:tc>
        <w:tc>
          <w:tcPr>
            <w:tcW w:w="5812" w:type="dxa"/>
          </w:tcPr>
          <w:p w:rsidR="00FA5091" w:rsidRPr="00763B14" w:rsidRDefault="006B4F35" w:rsidP="0061245B">
            <w:pPr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Noteikumu projekts izstrādāts, lai mazinātu administratīvo slogu akcīzes preču aprites jomā ilgstoši strādājošiem komersantiem, paredzot akcīzes nodokļa vispārējā nodrošinājuma atvieglojumu tiesības par patēriņam nodotām akcīzes precēm.</w:t>
            </w:r>
          </w:p>
        </w:tc>
      </w:tr>
      <w:tr w:rsidR="000225D5" w:rsidRPr="009E1031" w:rsidTr="00346732">
        <w:tc>
          <w:tcPr>
            <w:tcW w:w="496" w:type="dxa"/>
            <w:hideMark/>
          </w:tcPr>
          <w:p w:rsidR="00032C63" w:rsidRPr="00763B14" w:rsidRDefault="00032C63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2.</w:t>
            </w:r>
          </w:p>
        </w:tc>
        <w:tc>
          <w:tcPr>
            <w:tcW w:w="3014" w:type="dxa"/>
            <w:hideMark/>
          </w:tcPr>
          <w:p w:rsidR="00032C63" w:rsidRPr="00763B14" w:rsidRDefault="003169F1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812" w:type="dxa"/>
          </w:tcPr>
          <w:p w:rsidR="00857479" w:rsidRPr="00763B14" w:rsidRDefault="00322A62" w:rsidP="00FA5091">
            <w:pPr>
              <w:jc w:val="both"/>
              <w:rPr>
                <w:bCs/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Saeim</w:t>
            </w:r>
            <w:r w:rsidR="004673E6" w:rsidRPr="00763B14">
              <w:rPr>
                <w:sz w:val="26"/>
                <w:szCs w:val="26"/>
              </w:rPr>
              <w:t>a</w:t>
            </w:r>
            <w:r w:rsidRPr="00763B14">
              <w:rPr>
                <w:sz w:val="26"/>
                <w:szCs w:val="26"/>
              </w:rPr>
              <w:t xml:space="preserve"> 2015.gada 30.novembrī pieņēma likumu „Grozījumi likumā „Par akcīzes nodokli”” (stājās spēkā 2016.gada 1.janvārī), ar kuru</w:t>
            </w:r>
            <w:r w:rsidR="00857479" w:rsidRPr="00763B14">
              <w:rPr>
                <w:sz w:val="26"/>
                <w:szCs w:val="26"/>
              </w:rPr>
              <w:t xml:space="preserve"> likumā „Par akcīzes nodokli</w:t>
            </w:r>
            <w:r w:rsidR="00387729">
              <w:rPr>
                <w:sz w:val="26"/>
                <w:szCs w:val="26"/>
              </w:rPr>
              <w:t>”</w:t>
            </w:r>
            <w:r w:rsidR="00857479" w:rsidRPr="00763B14">
              <w:rPr>
                <w:sz w:val="26"/>
                <w:szCs w:val="26"/>
              </w:rPr>
              <w:t xml:space="preserve"> </w:t>
            </w:r>
            <w:r w:rsidR="00857479" w:rsidRPr="00763B14">
              <w:rPr>
                <w:bCs/>
                <w:sz w:val="26"/>
                <w:szCs w:val="26"/>
              </w:rPr>
              <w:t>no 2016.gada 1.</w:t>
            </w:r>
            <w:r w:rsidR="00387729">
              <w:rPr>
                <w:bCs/>
                <w:sz w:val="26"/>
                <w:szCs w:val="26"/>
              </w:rPr>
              <w:t>janvāra</w:t>
            </w:r>
            <w:r w:rsidR="00387729" w:rsidRPr="00763B14">
              <w:rPr>
                <w:bCs/>
                <w:sz w:val="26"/>
                <w:szCs w:val="26"/>
              </w:rPr>
              <w:t xml:space="preserve"> </w:t>
            </w:r>
            <w:r w:rsidR="00387729">
              <w:rPr>
                <w:bCs/>
                <w:sz w:val="26"/>
                <w:szCs w:val="26"/>
              </w:rPr>
              <w:t xml:space="preserve">tika </w:t>
            </w:r>
            <w:r w:rsidR="0061245B" w:rsidRPr="00763B14">
              <w:rPr>
                <w:bCs/>
                <w:sz w:val="26"/>
                <w:szCs w:val="26"/>
              </w:rPr>
              <w:t>palielinā</w:t>
            </w:r>
            <w:r w:rsidR="00387729">
              <w:rPr>
                <w:bCs/>
                <w:sz w:val="26"/>
                <w:szCs w:val="26"/>
              </w:rPr>
              <w:t>tas</w:t>
            </w:r>
            <w:r w:rsidR="0061245B" w:rsidRPr="00763B14">
              <w:rPr>
                <w:bCs/>
                <w:sz w:val="26"/>
                <w:szCs w:val="26"/>
              </w:rPr>
              <w:t xml:space="preserve"> </w:t>
            </w:r>
            <w:r w:rsidR="00857479" w:rsidRPr="00763B14">
              <w:rPr>
                <w:bCs/>
                <w:sz w:val="26"/>
                <w:szCs w:val="26"/>
              </w:rPr>
              <w:t>akcīzes nodokļa likmes vairākām akcīzes preču grupām.</w:t>
            </w:r>
          </w:p>
          <w:p w:rsidR="00857479" w:rsidRPr="00763B14" w:rsidRDefault="000A5375" w:rsidP="00FA5091">
            <w:pPr>
              <w:jc w:val="both"/>
              <w:rPr>
                <w:bCs/>
                <w:sz w:val="26"/>
                <w:szCs w:val="26"/>
              </w:rPr>
            </w:pPr>
            <w:r w:rsidRPr="00763B14">
              <w:rPr>
                <w:bCs/>
                <w:sz w:val="26"/>
                <w:szCs w:val="26"/>
              </w:rPr>
              <w:t>Minēto</w:t>
            </w:r>
            <w:r w:rsidR="00C70B6A" w:rsidRPr="00763B14">
              <w:rPr>
                <w:bCs/>
                <w:sz w:val="26"/>
                <w:szCs w:val="26"/>
              </w:rPr>
              <w:t xml:space="preserve"> grozījumu rezultātā</w:t>
            </w:r>
            <w:r w:rsidR="00857479" w:rsidRPr="00763B14">
              <w:rPr>
                <w:bCs/>
                <w:sz w:val="26"/>
                <w:szCs w:val="26"/>
              </w:rPr>
              <w:t xml:space="preserve"> </w:t>
            </w:r>
            <w:r w:rsidR="000C1191" w:rsidRPr="00763B14">
              <w:rPr>
                <w:bCs/>
                <w:sz w:val="26"/>
                <w:szCs w:val="26"/>
              </w:rPr>
              <w:t>akcīzes preču aprites jomā ilgstoši strādājošiem komersantiem palielinājās finansiālais</w:t>
            </w:r>
            <w:r w:rsidR="002709D6" w:rsidRPr="00763B14">
              <w:rPr>
                <w:bCs/>
                <w:sz w:val="26"/>
                <w:szCs w:val="26"/>
              </w:rPr>
              <w:t xml:space="preserve"> </w:t>
            </w:r>
            <w:r w:rsidR="000C1191" w:rsidRPr="00763B14">
              <w:rPr>
                <w:bCs/>
                <w:sz w:val="26"/>
                <w:szCs w:val="26"/>
              </w:rPr>
              <w:t xml:space="preserve">slogs, jo aizvien biežāk </w:t>
            </w:r>
            <w:r w:rsidR="00161733">
              <w:rPr>
                <w:bCs/>
                <w:sz w:val="26"/>
                <w:szCs w:val="26"/>
              </w:rPr>
              <w:t xml:space="preserve">tika konstatēta akcīzes nodokļa </w:t>
            </w:r>
            <w:r w:rsidR="000C1191" w:rsidRPr="00763B14">
              <w:rPr>
                <w:bCs/>
                <w:sz w:val="26"/>
                <w:szCs w:val="26"/>
              </w:rPr>
              <w:t>vispārējā nodrošinājuma nepietiekamība.</w:t>
            </w:r>
          </w:p>
          <w:p w:rsidR="00C76748" w:rsidRPr="00AD1ECE" w:rsidRDefault="00C76748" w:rsidP="00C7674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Note</w:t>
            </w:r>
            <w:r w:rsidR="00161733">
              <w:rPr>
                <w:sz w:val="26"/>
                <w:szCs w:val="26"/>
              </w:rPr>
              <w:t>ikumu projekts izstrādāts</w:t>
            </w:r>
            <w:r w:rsidR="004F3148" w:rsidRPr="00763B1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l</w:t>
            </w:r>
            <w:r w:rsidRPr="00AD1ECE">
              <w:rPr>
                <w:bCs/>
                <w:sz w:val="26"/>
                <w:szCs w:val="26"/>
              </w:rPr>
              <w:t>ai atrisinātu pašreizējo situāciju</w:t>
            </w:r>
            <w:r>
              <w:rPr>
                <w:bCs/>
                <w:sz w:val="26"/>
                <w:szCs w:val="26"/>
              </w:rPr>
              <w:t xml:space="preserve"> un </w:t>
            </w:r>
            <w:r w:rsidRPr="00AD1ECE">
              <w:rPr>
                <w:bCs/>
                <w:sz w:val="26"/>
                <w:szCs w:val="26"/>
              </w:rPr>
              <w:t xml:space="preserve">akcīzes preču aprites jomā ilgstoši strādājošiem komersantiem </w:t>
            </w:r>
            <w:r>
              <w:rPr>
                <w:bCs/>
                <w:sz w:val="26"/>
                <w:szCs w:val="26"/>
              </w:rPr>
              <w:t>n</w:t>
            </w:r>
            <w:r w:rsidRPr="00AD1ECE">
              <w:rPr>
                <w:bCs/>
                <w:sz w:val="26"/>
                <w:szCs w:val="26"/>
              </w:rPr>
              <w:t>oteikt</w:t>
            </w:r>
            <w:r>
              <w:rPr>
                <w:bCs/>
                <w:sz w:val="26"/>
                <w:szCs w:val="26"/>
              </w:rPr>
              <w:t>u</w:t>
            </w:r>
            <w:r w:rsidRPr="00AD1EC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iespēju samazināt nepieciešamo vispārējā nodrošinājuma apjomu arī</w:t>
            </w:r>
            <w:r w:rsidRPr="00AD1ECE">
              <w:rPr>
                <w:sz w:val="26"/>
                <w:szCs w:val="26"/>
              </w:rPr>
              <w:t xml:space="preserve"> par patēriņam nodotām akcīzes precēm.</w:t>
            </w:r>
          </w:p>
          <w:p w:rsidR="00D40450" w:rsidRPr="00763B14" w:rsidRDefault="000A5375" w:rsidP="000A5375">
            <w:pPr>
              <w:ind w:firstLine="176"/>
              <w:jc w:val="both"/>
              <w:rPr>
                <w:color w:val="000000" w:themeColor="text1"/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Noteikumu projekts paredz</w:t>
            </w:r>
            <w:r w:rsidR="00863502" w:rsidRPr="00763B14">
              <w:rPr>
                <w:color w:val="000000" w:themeColor="text1"/>
                <w:sz w:val="26"/>
                <w:szCs w:val="26"/>
              </w:rPr>
              <w:t>:</w:t>
            </w:r>
          </w:p>
          <w:p w:rsidR="00863502" w:rsidRPr="00763B14" w:rsidRDefault="009B1A44" w:rsidP="006A6071">
            <w:pPr>
              <w:pStyle w:val="ListParagraph"/>
              <w:numPr>
                <w:ilvl w:val="0"/>
                <w:numId w:val="32"/>
              </w:numPr>
              <w:ind w:left="34" w:firstLine="326"/>
              <w:jc w:val="both"/>
              <w:rPr>
                <w:color w:val="000000" w:themeColor="text1"/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 xml:space="preserve">grozījumus </w:t>
            </w:r>
            <w:r w:rsidR="006A6071" w:rsidRPr="00763B14">
              <w:rPr>
                <w:sz w:val="26"/>
                <w:szCs w:val="26"/>
              </w:rPr>
              <w:t>Ministru kabineta 2010.gada 30.marta</w:t>
            </w:r>
            <w:r w:rsidR="00863502" w:rsidRPr="00763B14">
              <w:rPr>
                <w:sz w:val="26"/>
                <w:szCs w:val="26"/>
              </w:rPr>
              <w:t xml:space="preserve"> noteikumu Nr.302 </w:t>
            </w:r>
            <w:r w:rsidR="000A5375" w:rsidRPr="00763B14">
              <w:rPr>
                <w:sz w:val="26"/>
                <w:szCs w:val="26"/>
              </w:rPr>
              <w:t>„Noteikumi par akcīzes nodokļa nodrošinājumiem” (</w:t>
            </w:r>
            <w:r w:rsidR="00861A4B">
              <w:rPr>
                <w:sz w:val="26"/>
                <w:szCs w:val="26"/>
              </w:rPr>
              <w:t>turpmāk – noteikumi Nr.302</w:t>
            </w:r>
            <w:r w:rsidR="000A5375" w:rsidRPr="00763B14">
              <w:rPr>
                <w:sz w:val="26"/>
                <w:szCs w:val="26"/>
              </w:rPr>
              <w:t xml:space="preserve">) </w:t>
            </w:r>
            <w:r w:rsidR="00863502" w:rsidRPr="00763B14">
              <w:rPr>
                <w:sz w:val="26"/>
                <w:szCs w:val="26"/>
              </w:rPr>
              <w:t>41.</w:t>
            </w:r>
            <w:r w:rsidR="00863502" w:rsidRPr="00763B14">
              <w:rPr>
                <w:sz w:val="26"/>
                <w:szCs w:val="26"/>
                <w:vertAlign w:val="superscript"/>
              </w:rPr>
              <w:t>1</w:t>
            </w:r>
            <w:r w:rsidR="00863502" w:rsidRPr="00763B14">
              <w:rPr>
                <w:sz w:val="26"/>
                <w:szCs w:val="26"/>
              </w:rPr>
              <w:t>4.</w:t>
            </w:r>
            <w:r w:rsidR="000A5375" w:rsidRPr="00763B14">
              <w:rPr>
                <w:sz w:val="26"/>
                <w:szCs w:val="26"/>
              </w:rPr>
              <w:t>apakšpunktā</w:t>
            </w:r>
            <w:r w:rsidR="00387729">
              <w:rPr>
                <w:sz w:val="26"/>
                <w:szCs w:val="26"/>
              </w:rPr>
              <w:t>,</w:t>
            </w:r>
            <w:r w:rsidRPr="00763B14">
              <w:rPr>
                <w:sz w:val="26"/>
                <w:szCs w:val="26"/>
              </w:rPr>
              <w:t xml:space="preserve"> 48.</w:t>
            </w:r>
            <w:r w:rsidR="00387729">
              <w:rPr>
                <w:sz w:val="26"/>
                <w:szCs w:val="26"/>
              </w:rPr>
              <w:t xml:space="preserve"> un 53.</w:t>
            </w:r>
            <w:r w:rsidRPr="00763B14">
              <w:rPr>
                <w:sz w:val="26"/>
                <w:szCs w:val="26"/>
              </w:rPr>
              <w:t xml:space="preserve">punktā, kā arī papildināt noteikumus ar </w:t>
            </w:r>
            <w:r w:rsidR="00863502" w:rsidRPr="00763B14">
              <w:rPr>
                <w:sz w:val="26"/>
                <w:szCs w:val="26"/>
              </w:rPr>
              <w:t>41.</w:t>
            </w:r>
            <w:r w:rsidR="00863502" w:rsidRPr="00763B14">
              <w:rPr>
                <w:sz w:val="26"/>
                <w:szCs w:val="26"/>
                <w:vertAlign w:val="superscript"/>
              </w:rPr>
              <w:t>1</w:t>
            </w:r>
            <w:r w:rsidR="00863502" w:rsidRPr="00763B14">
              <w:rPr>
                <w:sz w:val="26"/>
                <w:szCs w:val="26"/>
              </w:rPr>
              <w:t>7.apakšpunkt</w:t>
            </w:r>
            <w:r w:rsidRPr="00763B14">
              <w:rPr>
                <w:sz w:val="26"/>
                <w:szCs w:val="26"/>
              </w:rPr>
              <w:t xml:space="preserve">u, attiecībā uz </w:t>
            </w:r>
            <w:r w:rsidR="00863502" w:rsidRPr="00763B14">
              <w:rPr>
                <w:sz w:val="26"/>
                <w:szCs w:val="26"/>
              </w:rPr>
              <w:t xml:space="preserve"> </w:t>
            </w:r>
            <w:r w:rsidRPr="00763B14">
              <w:rPr>
                <w:sz w:val="26"/>
                <w:szCs w:val="26"/>
              </w:rPr>
              <w:t>prasīb</w:t>
            </w:r>
            <w:r w:rsidR="009D1EAB" w:rsidRPr="00763B14">
              <w:rPr>
                <w:sz w:val="26"/>
                <w:szCs w:val="26"/>
              </w:rPr>
              <w:t>ām</w:t>
            </w:r>
            <w:r w:rsidRPr="00763B14">
              <w:rPr>
                <w:sz w:val="26"/>
                <w:szCs w:val="26"/>
              </w:rPr>
              <w:t xml:space="preserve"> </w:t>
            </w:r>
            <w:r w:rsidR="00863502" w:rsidRPr="00763B14">
              <w:rPr>
                <w:sz w:val="26"/>
                <w:szCs w:val="26"/>
              </w:rPr>
              <w:t>akcīzes nodokļa vispārējā nodrošinājuma lieluma aprēķināšan</w:t>
            </w:r>
            <w:r w:rsidRPr="00763B14">
              <w:rPr>
                <w:sz w:val="26"/>
                <w:szCs w:val="26"/>
              </w:rPr>
              <w:t>ai</w:t>
            </w:r>
            <w:r w:rsidR="00863502" w:rsidRPr="00763B14">
              <w:rPr>
                <w:sz w:val="26"/>
                <w:szCs w:val="26"/>
              </w:rPr>
              <w:t xml:space="preserve"> komersantiem, uz kuriem neattiecas </w:t>
            </w:r>
            <w:r w:rsidR="00242FDF" w:rsidRPr="00763B14">
              <w:rPr>
                <w:sz w:val="26"/>
                <w:szCs w:val="26"/>
              </w:rPr>
              <w:t xml:space="preserve">akcīzes nodokļa vispārējā nodrošinājuma </w:t>
            </w:r>
            <w:r w:rsidR="00C94925" w:rsidRPr="00763B14">
              <w:rPr>
                <w:sz w:val="26"/>
                <w:szCs w:val="26"/>
              </w:rPr>
              <w:t>samazinājuma piemērošanas</w:t>
            </w:r>
            <w:r w:rsidR="00242FDF" w:rsidRPr="00763B14">
              <w:rPr>
                <w:sz w:val="26"/>
                <w:szCs w:val="26"/>
              </w:rPr>
              <w:t xml:space="preserve"> tiesības</w:t>
            </w:r>
            <w:r w:rsidR="00242FDF" w:rsidRPr="00763B14" w:rsidDel="00242FDF">
              <w:rPr>
                <w:sz w:val="26"/>
                <w:szCs w:val="26"/>
              </w:rPr>
              <w:t xml:space="preserve"> </w:t>
            </w:r>
            <w:r w:rsidR="00863502" w:rsidRPr="00763B14">
              <w:rPr>
                <w:sz w:val="26"/>
                <w:szCs w:val="26"/>
              </w:rPr>
              <w:t>par patēriņam nodotām akcīzes precēm</w:t>
            </w:r>
            <w:r w:rsidR="00242FDF" w:rsidRPr="00763B14">
              <w:rPr>
                <w:sz w:val="26"/>
                <w:szCs w:val="26"/>
              </w:rPr>
              <w:t>;</w:t>
            </w:r>
          </w:p>
          <w:p w:rsidR="00921542" w:rsidRPr="00763B14" w:rsidRDefault="00025DED">
            <w:pPr>
              <w:pStyle w:val="ListParagraph"/>
              <w:numPr>
                <w:ilvl w:val="0"/>
                <w:numId w:val="32"/>
              </w:numPr>
              <w:ind w:left="34" w:firstLine="326"/>
              <w:jc w:val="both"/>
              <w:rPr>
                <w:color w:val="000000" w:themeColor="text1"/>
                <w:sz w:val="26"/>
                <w:szCs w:val="26"/>
              </w:rPr>
            </w:pPr>
            <w:r w:rsidRPr="00763B14">
              <w:rPr>
                <w:color w:val="000000" w:themeColor="text1"/>
                <w:sz w:val="26"/>
                <w:szCs w:val="26"/>
              </w:rPr>
              <w:t xml:space="preserve">papildināt </w:t>
            </w:r>
            <w:r w:rsidR="00861A4B">
              <w:rPr>
                <w:color w:val="000000" w:themeColor="text1"/>
                <w:sz w:val="26"/>
                <w:szCs w:val="26"/>
              </w:rPr>
              <w:t xml:space="preserve">noteikumus </w:t>
            </w:r>
            <w:r w:rsidR="000A5375" w:rsidRPr="00763B14">
              <w:rPr>
                <w:color w:val="000000" w:themeColor="text1"/>
                <w:sz w:val="26"/>
                <w:szCs w:val="26"/>
              </w:rPr>
              <w:t xml:space="preserve">Nr.302 </w:t>
            </w:r>
            <w:r w:rsidRPr="00763B14">
              <w:rPr>
                <w:color w:val="000000" w:themeColor="text1"/>
                <w:sz w:val="26"/>
                <w:szCs w:val="26"/>
              </w:rPr>
              <w:t xml:space="preserve">ar </w:t>
            </w:r>
            <w:r w:rsidR="00921542" w:rsidRPr="00763B14">
              <w:rPr>
                <w:color w:val="000000" w:themeColor="text1"/>
                <w:sz w:val="26"/>
                <w:szCs w:val="26"/>
              </w:rPr>
              <w:t>53.</w:t>
            </w:r>
            <w:r w:rsidR="00921542" w:rsidRPr="00763B14">
              <w:rPr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="00921542" w:rsidRPr="00763B14">
              <w:rPr>
                <w:color w:val="000000" w:themeColor="text1"/>
                <w:sz w:val="26"/>
                <w:szCs w:val="26"/>
              </w:rPr>
              <w:t xml:space="preserve">punktu, kas </w:t>
            </w:r>
            <w:r w:rsidRPr="00763B14">
              <w:rPr>
                <w:color w:val="000000" w:themeColor="text1"/>
                <w:sz w:val="26"/>
                <w:szCs w:val="26"/>
              </w:rPr>
              <w:t xml:space="preserve">noteiks iespējamā </w:t>
            </w:r>
            <w:r w:rsidR="00921542" w:rsidRPr="00763B14">
              <w:rPr>
                <w:color w:val="000000" w:themeColor="text1"/>
                <w:sz w:val="26"/>
                <w:szCs w:val="26"/>
              </w:rPr>
              <w:t xml:space="preserve">akcīzes nodokļa parāda </w:t>
            </w:r>
            <w:r w:rsidRPr="00763B14">
              <w:rPr>
                <w:color w:val="000000" w:themeColor="text1"/>
                <w:sz w:val="26"/>
                <w:szCs w:val="26"/>
              </w:rPr>
              <w:t xml:space="preserve">aprēķināšanas kārtību </w:t>
            </w:r>
            <w:r w:rsidR="00921542" w:rsidRPr="00763B14">
              <w:rPr>
                <w:color w:val="000000" w:themeColor="text1"/>
                <w:sz w:val="26"/>
                <w:szCs w:val="26"/>
              </w:rPr>
              <w:t xml:space="preserve">komersantiem, kuriem </w:t>
            </w:r>
            <w:r w:rsidR="00921542" w:rsidRPr="00763B14">
              <w:rPr>
                <w:sz w:val="26"/>
                <w:szCs w:val="26"/>
              </w:rPr>
              <w:t>izsniegta speciālā atļauja (licence) apstiprināta noliktavas turētāja darbībai ne mazāk kā trīs gadus</w:t>
            </w:r>
            <w:r w:rsidR="00C878F4" w:rsidRPr="00763B14">
              <w:rPr>
                <w:sz w:val="26"/>
                <w:szCs w:val="26"/>
              </w:rPr>
              <w:t xml:space="preserve"> un kuriem ir izsniegta vispārējā nodrošinājuma apliecība, piemērojot kādu no</w:t>
            </w:r>
            <w:r w:rsidR="00861A4B">
              <w:rPr>
                <w:sz w:val="26"/>
                <w:szCs w:val="26"/>
              </w:rPr>
              <w:t xml:space="preserve"> </w:t>
            </w:r>
            <w:r w:rsidR="00C878F4" w:rsidRPr="00763B14">
              <w:rPr>
                <w:sz w:val="26"/>
                <w:szCs w:val="26"/>
              </w:rPr>
              <w:t xml:space="preserve">noteikumu Nr.302 48.punktā noteiktajiem </w:t>
            </w:r>
            <w:r w:rsidR="009D1EAB" w:rsidRPr="00763B14">
              <w:rPr>
                <w:sz w:val="26"/>
                <w:szCs w:val="26"/>
              </w:rPr>
              <w:t>atvieglojumiem</w:t>
            </w:r>
            <w:r w:rsidR="00C878F4" w:rsidRPr="00763B14">
              <w:rPr>
                <w:sz w:val="26"/>
                <w:szCs w:val="26"/>
              </w:rPr>
              <w:t>.</w:t>
            </w:r>
          </w:p>
        </w:tc>
      </w:tr>
      <w:tr w:rsidR="000225D5" w:rsidRPr="009E1031" w:rsidTr="00346732">
        <w:tc>
          <w:tcPr>
            <w:tcW w:w="496" w:type="dxa"/>
            <w:hideMark/>
          </w:tcPr>
          <w:p w:rsidR="00032C63" w:rsidRPr="00763B14" w:rsidRDefault="00431C1A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3.</w:t>
            </w:r>
          </w:p>
        </w:tc>
        <w:tc>
          <w:tcPr>
            <w:tcW w:w="3014" w:type="dxa"/>
            <w:hideMark/>
          </w:tcPr>
          <w:p w:rsidR="00032C63" w:rsidRPr="00763B14" w:rsidRDefault="00431C1A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 xml:space="preserve">Projekta izstrādē </w:t>
            </w:r>
            <w:r w:rsidRPr="00763B14">
              <w:rPr>
                <w:sz w:val="26"/>
                <w:szCs w:val="26"/>
              </w:rPr>
              <w:lastRenderedPageBreak/>
              <w:t>iesaistītās institūcijas</w:t>
            </w:r>
          </w:p>
        </w:tc>
        <w:tc>
          <w:tcPr>
            <w:tcW w:w="5812" w:type="dxa"/>
            <w:vAlign w:val="center"/>
            <w:hideMark/>
          </w:tcPr>
          <w:p w:rsidR="00032C63" w:rsidRPr="00763B14" w:rsidRDefault="00CC77AC" w:rsidP="00115F44">
            <w:pPr>
              <w:rPr>
                <w:sz w:val="26"/>
                <w:szCs w:val="26"/>
                <w:highlight w:val="yellow"/>
              </w:rPr>
            </w:pPr>
            <w:r w:rsidRPr="00763B14">
              <w:rPr>
                <w:color w:val="000000" w:themeColor="text1"/>
                <w:sz w:val="26"/>
                <w:szCs w:val="26"/>
              </w:rPr>
              <w:lastRenderedPageBreak/>
              <w:t>Valsts ieņēmumu dienests</w:t>
            </w:r>
          </w:p>
        </w:tc>
      </w:tr>
      <w:tr w:rsidR="000225D5" w:rsidRPr="009E1031" w:rsidTr="00391365">
        <w:tc>
          <w:tcPr>
            <w:tcW w:w="496" w:type="dxa"/>
            <w:hideMark/>
          </w:tcPr>
          <w:p w:rsidR="00032C63" w:rsidRPr="00763B14" w:rsidRDefault="00431C1A" w:rsidP="00032C63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014" w:type="dxa"/>
            <w:hideMark/>
          </w:tcPr>
          <w:p w:rsidR="00032C63" w:rsidRPr="00763B14" w:rsidRDefault="00032C63" w:rsidP="00032C63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Cita informācija</w:t>
            </w:r>
          </w:p>
        </w:tc>
        <w:tc>
          <w:tcPr>
            <w:tcW w:w="5812" w:type="dxa"/>
            <w:hideMark/>
          </w:tcPr>
          <w:p w:rsidR="00AA56A1" w:rsidRPr="00763B14" w:rsidRDefault="008A2B68" w:rsidP="004840C3">
            <w:pPr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Nav</w:t>
            </w:r>
          </w:p>
        </w:tc>
      </w:tr>
    </w:tbl>
    <w:p w:rsidR="00032C63" w:rsidRPr="00763B14" w:rsidRDefault="00032C63" w:rsidP="00032C63">
      <w:pPr>
        <w:spacing w:line="270" w:lineRule="atLeast"/>
        <w:jc w:val="both"/>
        <w:rPr>
          <w:rStyle w:val="apple-style-span"/>
          <w:sz w:val="26"/>
          <w:szCs w:val="26"/>
        </w:rPr>
      </w:pPr>
    </w:p>
    <w:tbl>
      <w:tblPr>
        <w:tblW w:w="5124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7"/>
        <w:gridCol w:w="2837"/>
        <w:gridCol w:w="5813"/>
      </w:tblGrid>
      <w:tr w:rsidR="000225D5" w:rsidRPr="009E1031" w:rsidTr="00032C6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032C63" w:rsidRPr="00763B14" w:rsidRDefault="00032C63" w:rsidP="00B8567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63B14">
              <w:rPr>
                <w:b/>
                <w:bCs/>
                <w:sz w:val="26"/>
                <w:szCs w:val="26"/>
              </w:rPr>
              <w:t>II. Tiesību akta projekta ietekme uz sabiedrību</w:t>
            </w:r>
            <w:r w:rsidR="00431C1A" w:rsidRPr="00763B14">
              <w:rPr>
                <w:b/>
                <w:bCs/>
                <w:sz w:val="26"/>
                <w:szCs w:val="26"/>
              </w:rPr>
              <w:t>, tautsaimniecības attīstību un administratīvo slogu</w:t>
            </w:r>
          </w:p>
        </w:tc>
      </w:tr>
      <w:tr w:rsidR="000225D5" w:rsidRPr="009E1031" w:rsidTr="00346732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763B14" w:rsidRDefault="00032C63" w:rsidP="00346732">
            <w:pPr>
              <w:pStyle w:val="NormalWeb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1.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763B14" w:rsidRDefault="00032C63" w:rsidP="00346732">
            <w:pPr>
              <w:pStyle w:val="NormalWeb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Sabiedrības mērķgrupa</w:t>
            </w:r>
            <w:r w:rsidR="00431C1A" w:rsidRPr="00763B14">
              <w:rPr>
                <w:sz w:val="26"/>
                <w:szCs w:val="26"/>
              </w:rPr>
              <w:t>s, kuras tiesiskais regulējums ietekmē vai varētu ietekmēt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893" w:rsidRPr="00763B14" w:rsidRDefault="00325893" w:rsidP="00325893">
            <w:pPr>
              <w:spacing w:after="120"/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Komersanti, kuriem izsniegta:</w:t>
            </w:r>
          </w:p>
          <w:p w:rsidR="00510F3D" w:rsidRPr="00763B14" w:rsidRDefault="00325893" w:rsidP="00510F3D">
            <w:pPr>
              <w:pStyle w:val="ListParagraph"/>
              <w:numPr>
                <w:ilvl w:val="0"/>
                <w:numId w:val="32"/>
              </w:numPr>
              <w:ind w:left="0" w:firstLine="396"/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speciālā atļauja (licence) apstiprināta noliktavas turētāja darbībai ne mazāk kā trīs gadus;</w:t>
            </w:r>
          </w:p>
          <w:p w:rsidR="00325893" w:rsidRPr="00763B14" w:rsidRDefault="00325893" w:rsidP="0061245B">
            <w:pPr>
              <w:pStyle w:val="ListParagraph"/>
              <w:numPr>
                <w:ilvl w:val="0"/>
                <w:numId w:val="32"/>
              </w:numPr>
              <w:ind w:left="-30" w:firstLine="390"/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vispārējā nodrošinājum</w:t>
            </w:r>
            <w:r w:rsidR="00161733">
              <w:rPr>
                <w:sz w:val="26"/>
                <w:szCs w:val="26"/>
              </w:rPr>
              <w:t>a apliecība, piemērojot kādu no</w:t>
            </w:r>
            <w:r w:rsidR="00861A4B">
              <w:rPr>
                <w:sz w:val="26"/>
                <w:szCs w:val="26"/>
              </w:rPr>
              <w:t xml:space="preserve"> </w:t>
            </w:r>
            <w:r w:rsidRPr="00763B14">
              <w:rPr>
                <w:sz w:val="26"/>
                <w:szCs w:val="26"/>
              </w:rPr>
              <w:t>noteikumu Nr.302 48.punktā noteiktajiem atbrīvojumiem.</w:t>
            </w:r>
          </w:p>
          <w:p w:rsidR="00510F3D" w:rsidRPr="00763B14" w:rsidRDefault="00510F3D" w:rsidP="00510F3D">
            <w:pPr>
              <w:jc w:val="both"/>
              <w:rPr>
                <w:sz w:val="26"/>
                <w:szCs w:val="26"/>
              </w:rPr>
            </w:pPr>
          </w:p>
          <w:p w:rsidR="00AB2729" w:rsidRPr="00763B14" w:rsidRDefault="00AB2729" w:rsidP="00BF2771">
            <w:pPr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Saskaņā ar Valsts ieņēmumu di</w:t>
            </w:r>
            <w:r w:rsidR="00325893" w:rsidRPr="00763B14">
              <w:rPr>
                <w:sz w:val="26"/>
                <w:szCs w:val="26"/>
              </w:rPr>
              <w:t>enesta rīcībā esošo informāciju, komersantu, kuri atbilst iepriekš noteiktaji</w:t>
            </w:r>
            <w:r w:rsidR="00F223DC" w:rsidRPr="00763B14">
              <w:rPr>
                <w:sz w:val="26"/>
                <w:szCs w:val="26"/>
              </w:rPr>
              <w:t xml:space="preserve">em kritērijiem, skaits sasniedz </w:t>
            </w:r>
            <w:r w:rsidR="00BF2771" w:rsidRPr="00763B14">
              <w:rPr>
                <w:sz w:val="26"/>
                <w:szCs w:val="26"/>
              </w:rPr>
              <w:t>64</w:t>
            </w:r>
            <w:r w:rsidR="00F223DC" w:rsidRPr="00763B14">
              <w:rPr>
                <w:sz w:val="26"/>
                <w:szCs w:val="26"/>
              </w:rPr>
              <w:t>.</w:t>
            </w:r>
          </w:p>
        </w:tc>
      </w:tr>
      <w:tr w:rsidR="000225D5" w:rsidRPr="009E1031" w:rsidTr="00346732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763B14" w:rsidRDefault="00032C63" w:rsidP="00346732">
            <w:pPr>
              <w:pStyle w:val="NormalWeb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763B14" w:rsidRDefault="00431C1A" w:rsidP="00346732">
            <w:pPr>
              <w:pStyle w:val="NormalWeb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78D2" w:rsidRPr="00763B14" w:rsidRDefault="009E1031" w:rsidP="00387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Nosakot</w:t>
            </w:r>
            <w:r w:rsidRPr="00F808A1">
              <w:rPr>
                <w:sz w:val="26"/>
                <w:szCs w:val="26"/>
              </w:rPr>
              <w:t xml:space="preserve"> akcīzes nodokļa vispārējā nodrošinājuma samazinājuma piemērošanas tiesības</w:t>
            </w:r>
            <w:r w:rsidRPr="00F808A1" w:rsidDel="00242FDF">
              <w:rPr>
                <w:sz w:val="26"/>
                <w:szCs w:val="26"/>
              </w:rPr>
              <w:t xml:space="preserve"> </w:t>
            </w:r>
            <w:r w:rsidRPr="00F808A1">
              <w:rPr>
                <w:sz w:val="26"/>
                <w:szCs w:val="26"/>
              </w:rPr>
              <w:t>par patēriņam nodotām akcīzes precēm</w:t>
            </w:r>
            <w:r w:rsidRPr="009E1031" w:rsidDel="009E10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ilgstoši strādājošiem komersantiem akcīzes preču aprites jomā, tiks samazināts </w:t>
            </w:r>
            <w:r w:rsidR="00387729">
              <w:rPr>
                <w:sz w:val="26"/>
                <w:szCs w:val="26"/>
              </w:rPr>
              <w:t xml:space="preserve">finansiālais </w:t>
            </w:r>
            <w:r>
              <w:rPr>
                <w:sz w:val="26"/>
                <w:szCs w:val="26"/>
              </w:rPr>
              <w:t>slogs</w:t>
            </w:r>
            <w:r w:rsidR="00C76748">
              <w:rPr>
                <w:sz w:val="26"/>
                <w:szCs w:val="26"/>
              </w:rPr>
              <w:t>.</w:t>
            </w:r>
          </w:p>
        </w:tc>
      </w:tr>
      <w:tr w:rsidR="000225D5" w:rsidRPr="009E1031" w:rsidTr="00161733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763B14" w:rsidRDefault="00032C63" w:rsidP="004878EB">
            <w:pPr>
              <w:pStyle w:val="NormalWeb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3.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763B14" w:rsidRDefault="00431C1A" w:rsidP="00032C63">
            <w:pPr>
              <w:pStyle w:val="NormalWeb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50A" w:rsidRPr="00161733" w:rsidRDefault="004673E6" w:rsidP="0016173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63B14">
              <w:rPr>
                <w:color w:val="000000" w:themeColor="text1"/>
                <w:sz w:val="26"/>
                <w:szCs w:val="26"/>
              </w:rPr>
              <w:t>Projekts šo jomu neskar</w:t>
            </w:r>
          </w:p>
        </w:tc>
      </w:tr>
      <w:tr w:rsidR="000225D5" w:rsidRPr="009E1031" w:rsidTr="00AB2729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763B14" w:rsidRDefault="00431C1A" w:rsidP="004878EB">
            <w:pPr>
              <w:pStyle w:val="NormalWeb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4</w:t>
            </w:r>
            <w:r w:rsidR="00032C63" w:rsidRPr="00763B14">
              <w:rPr>
                <w:sz w:val="26"/>
                <w:szCs w:val="26"/>
              </w:rPr>
              <w:t>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763B14" w:rsidRDefault="00032C63" w:rsidP="00032C63">
            <w:pPr>
              <w:pStyle w:val="NormalWeb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Cita informācija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2C63" w:rsidRPr="00763B14" w:rsidRDefault="00032C63" w:rsidP="00AB2729">
            <w:pPr>
              <w:pStyle w:val="NormalWeb"/>
              <w:rPr>
                <w:color w:val="000000" w:themeColor="text1"/>
                <w:sz w:val="26"/>
                <w:szCs w:val="26"/>
              </w:rPr>
            </w:pPr>
            <w:r w:rsidRPr="00763B14">
              <w:rPr>
                <w:color w:val="000000" w:themeColor="text1"/>
                <w:sz w:val="26"/>
                <w:szCs w:val="26"/>
              </w:rPr>
              <w:t>Nav</w:t>
            </w:r>
          </w:p>
        </w:tc>
      </w:tr>
    </w:tbl>
    <w:p w:rsidR="00032C63" w:rsidRPr="00763B14" w:rsidRDefault="00032C63" w:rsidP="00032C63">
      <w:pPr>
        <w:rPr>
          <w:sz w:val="26"/>
          <w:szCs w:val="26"/>
        </w:rPr>
      </w:pPr>
      <w:r w:rsidRPr="00763B14">
        <w:rPr>
          <w:sz w:val="26"/>
          <w:szCs w:val="26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AA281E" w:rsidRPr="009E1031" w:rsidTr="00517F4A">
        <w:tc>
          <w:tcPr>
            <w:tcW w:w="9287" w:type="dxa"/>
            <w:gridSpan w:val="3"/>
          </w:tcPr>
          <w:p w:rsidR="00AA281E" w:rsidRPr="00763B14" w:rsidRDefault="00AA281E" w:rsidP="00517F4A">
            <w:pPr>
              <w:jc w:val="center"/>
              <w:rPr>
                <w:b/>
                <w:sz w:val="26"/>
                <w:szCs w:val="26"/>
              </w:rPr>
            </w:pPr>
            <w:r w:rsidRPr="00763B14">
              <w:rPr>
                <w:b/>
                <w:sz w:val="26"/>
                <w:szCs w:val="26"/>
              </w:rPr>
              <w:t>VI. Sabiedrības līdzdalība un komunikācijas aktivitātes</w:t>
            </w:r>
          </w:p>
        </w:tc>
      </w:tr>
      <w:tr w:rsidR="00C94925" w:rsidRPr="009E1031" w:rsidTr="00346732">
        <w:tc>
          <w:tcPr>
            <w:tcW w:w="675" w:type="dxa"/>
          </w:tcPr>
          <w:p w:rsidR="00AA281E" w:rsidRPr="00763B14" w:rsidRDefault="00AA281E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AA281E" w:rsidRPr="00763B14" w:rsidRDefault="00AA281E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5777" w:type="dxa"/>
            <w:vAlign w:val="center"/>
          </w:tcPr>
          <w:p w:rsidR="00AA281E" w:rsidRPr="00763B14" w:rsidRDefault="00C331A0" w:rsidP="00BC5916">
            <w:pPr>
              <w:jc w:val="both"/>
              <w:rPr>
                <w:sz w:val="26"/>
                <w:szCs w:val="26"/>
              </w:rPr>
            </w:pPr>
            <w:r w:rsidRPr="00763B14">
              <w:rPr>
                <w:bCs/>
                <w:sz w:val="26"/>
                <w:szCs w:val="26"/>
              </w:rPr>
              <w:t>Sabiedrība tika informēta par noteikumu projekta izstrādes uzsākšanu, publicējot uzziņu 2016.gada 18.aprīlī Fina</w:t>
            </w:r>
            <w:r w:rsidR="007328DB" w:rsidRPr="00763B14">
              <w:rPr>
                <w:bCs/>
                <w:sz w:val="26"/>
                <w:szCs w:val="26"/>
              </w:rPr>
              <w:t>nšu ministrijas interneta mājas</w:t>
            </w:r>
            <w:r w:rsidRPr="00763B14">
              <w:rPr>
                <w:bCs/>
                <w:sz w:val="26"/>
                <w:szCs w:val="26"/>
              </w:rPr>
              <w:t>lapas sadaļā „Sabiedrības līdzdalība”.</w:t>
            </w:r>
          </w:p>
        </w:tc>
      </w:tr>
      <w:tr w:rsidR="00C94925" w:rsidRPr="009E1031" w:rsidTr="00346732">
        <w:tc>
          <w:tcPr>
            <w:tcW w:w="675" w:type="dxa"/>
          </w:tcPr>
          <w:p w:rsidR="00AA281E" w:rsidRPr="00763B14" w:rsidRDefault="00AA281E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AA281E" w:rsidRPr="00763B14" w:rsidRDefault="00AA281E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5777" w:type="dxa"/>
          </w:tcPr>
          <w:p w:rsidR="00AA281E" w:rsidRPr="00763B14" w:rsidRDefault="000561E1" w:rsidP="0061245B">
            <w:pPr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2016.gada 28.aprīlī Valsts ieņēmumu dienest</w:t>
            </w:r>
            <w:r w:rsidR="00C331A0" w:rsidRPr="00763B14">
              <w:rPr>
                <w:sz w:val="26"/>
                <w:szCs w:val="26"/>
              </w:rPr>
              <w:t>ā</w:t>
            </w:r>
            <w:r w:rsidRPr="00763B14">
              <w:rPr>
                <w:sz w:val="26"/>
                <w:szCs w:val="26"/>
              </w:rPr>
              <w:t xml:space="preserve"> notika </w:t>
            </w:r>
            <w:r w:rsidR="00346B4F" w:rsidRPr="00763B14">
              <w:rPr>
                <w:sz w:val="26"/>
                <w:szCs w:val="26"/>
              </w:rPr>
              <w:t>tikšanās</w:t>
            </w:r>
            <w:r w:rsidRPr="00763B14">
              <w:rPr>
                <w:sz w:val="26"/>
                <w:szCs w:val="26"/>
              </w:rPr>
              <w:t xml:space="preserve"> ar Latvijas alus darītāju asociācijas, </w:t>
            </w:r>
            <w:r w:rsidR="00135A1E" w:rsidRPr="00763B14">
              <w:rPr>
                <w:sz w:val="26"/>
                <w:szCs w:val="26"/>
              </w:rPr>
              <w:t xml:space="preserve">Latvijas alus darītāju savienības, </w:t>
            </w:r>
            <w:r w:rsidRPr="00763B14">
              <w:rPr>
                <w:sz w:val="26"/>
                <w:szCs w:val="26"/>
              </w:rPr>
              <w:t>Latvijas D</w:t>
            </w:r>
            <w:r w:rsidR="00135A1E" w:rsidRPr="00763B14">
              <w:rPr>
                <w:sz w:val="26"/>
                <w:szCs w:val="26"/>
              </w:rPr>
              <w:t xml:space="preserve">egvielas tirgotāju asociācijas un </w:t>
            </w:r>
            <w:r w:rsidRPr="00763B14">
              <w:rPr>
                <w:sz w:val="26"/>
                <w:szCs w:val="26"/>
              </w:rPr>
              <w:t>Finanšu ministrijas pārstāvjiem</w:t>
            </w:r>
            <w:r w:rsidR="00346B4F" w:rsidRPr="00763B14">
              <w:rPr>
                <w:sz w:val="26"/>
                <w:szCs w:val="26"/>
              </w:rPr>
              <w:t xml:space="preserve">, </w:t>
            </w:r>
            <w:r w:rsidRPr="00763B14">
              <w:rPr>
                <w:sz w:val="26"/>
                <w:szCs w:val="26"/>
              </w:rPr>
              <w:t>ar kuriem</w:t>
            </w:r>
            <w:r w:rsidR="00346B4F" w:rsidRPr="00763B14">
              <w:rPr>
                <w:sz w:val="26"/>
                <w:szCs w:val="26"/>
              </w:rPr>
              <w:t xml:space="preserve"> tika pārrunāti sagatavotie grozījumi </w:t>
            </w:r>
            <w:r w:rsidR="0061245B" w:rsidRPr="00763B14">
              <w:rPr>
                <w:sz w:val="26"/>
                <w:szCs w:val="26"/>
              </w:rPr>
              <w:t xml:space="preserve">Ministru kabineta 2010.gada 30.marta </w:t>
            </w:r>
            <w:r w:rsidR="00346B4F" w:rsidRPr="00763B14">
              <w:rPr>
                <w:sz w:val="26"/>
                <w:szCs w:val="26"/>
              </w:rPr>
              <w:t>noteikumos Nr.302.</w:t>
            </w:r>
            <w:r w:rsidRPr="00763B14">
              <w:rPr>
                <w:sz w:val="26"/>
                <w:szCs w:val="26"/>
              </w:rPr>
              <w:t xml:space="preserve"> </w:t>
            </w:r>
          </w:p>
        </w:tc>
      </w:tr>
      <w:tr w:rsidR="00C94925" w:rsidRPr="009E1031" w:rsidTr="00346732">
        <w:tc>
          <w:tcPr>
            <w:tcW w:w="675" w:type="dxa"/>
          </w:tcPr>
          <w:p w:rsidR="00AA281E" w:rsidRPr="00763B14" w:rsidRDefault="00AA281E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AA281E" w:rsidRPr="00763B14" w:rsidRDefault="00AA281E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5777" w:type="dxa"/>
          </w:tcPr>
          <w:p w:rsidR="00AA281E" w:rsidRPr="00763B14" w:rsidRDefault="00FF2F65" w:rsidP="003B5A34">
            <w:pPr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 xml:space="preserve">Nevalstiskās organizācijas izteica priekšlikumus par </w:t>
            </w:r>
            <w:r w:rsidR="00D70F1F" w:rsidRPr="00763B14">
              <w:rPr>
                <w:sz w:val="26"/>
                <w:szCs w:val="26"/>
              </w:rPr>
              <w:t xml:space="preserve">noteikumu projektu un atbalstīja </w:t>
            </w:r>
            <w:r w:rsidR="003B5A34" w:rsidRPr="00763B14">
              <w:rPr>
                <w:sz w:val="26"/>
                <w:szCs w:val="26"/>
              </w:rPr>
              <w:t>tā tālāku virzību</w:t>
            </w:r>
            <w:r w:rsidR="00D70F1F" w:rsidRPr="00763B14">
              <w:rPr>
                <w:sz w:val="26"/>
                <w:szCs w:val="26"/>
              </w:rPr>
              <w:t>, lai atvieglotu</w:t>
            </w:r>
            <w:r w:rsidR="002709D6" w:rsidRPr="00763B14">
              <w:rPr>
                <w:sz w:val="26"/>
                <w:szCs w:val="26"/>
              </w:rPr>
              <w:t xml:space="preserve"> </w:t>
            </w:r>
            <w:r w:rsidR="00D70F1F" w:rsidRPr="00763B14">
              <w:rPr>
                <w:sz w:val="26"/>
                <w:szCs w:val="26"/>
              </w:rPr>
              <w:t>finansiālo slogu akcīzes preču aprites jomā ilgstoši strādājošiem komersantiem</w:t>
            </w:r>
            <w:r w:rsidR="00EB5BB2">
              <w:rPr>
                <w:sz w:val="26"/>
                <w:szCs w:val="26"/>
              </w:rPr>
              <w:t>.</w:t>
            </w:r>
          </w:p>
        </w:tc>
      </w:tr>
      <w:tr w:rsidR="00C94925" w:rsidRPr="009E1031" w:rsidTr="00346732">
        <w:tc>
          <w:tcPr>
            <w:tcW w:w="675" w:type="dxa"/>
          </w:tcPr>
          <w:p w:rsidR="00AA281E" w:rsidRPr="00763B14" w:rsidRDefault="00AA281E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AA281E" w:rsidRPr="00763B14" w:rsidRDefault="00AA281E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Cita informācija</w:t>
            </w:r>
          </w:p>
        </w:tc>
        <w:tc>
          <w:tcPr>
            <w:tcW w:w="5777" w:type="dxa"/>
          </w:tcPr>
          <w:p w:rsidR="00AA281E" w:rsidRPr="00763B14" w:rsidRDefault="00980AD8" w:rsidP="00517F4A">
            <w:pPr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Nav</w:t>
            </w:r>
          </w:p>
        </w:tc>
      </w:tr>
    </w:tbl>
    <w:p w:rsidR="008B1BB5" w:rsidRDefault="008B1BB5" w:rsidP="00032C63">
      <w:pPr>
        <w:rPr>
          <w:sz w:val="26"/>
          <w:szCs w:val="26"/>
        </w:rPr>
      </w:pPr>
    </w:p>
    <w:p w:rsidR="008B1BB5" w:rsidRDefault="008B1BB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124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2880"/>
        <w:gridCol w:w="342"/>
        <w:gridCol w:w="4624"/>
        <w:gridCol w:w="846"/>
      </w:tblGrid>
      <w:tr w:rsidR="000225D5" w:rsidRPr="009E1031" w:rsidTr="001A1B9E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C63" w:rsidRPr="00763B14" w:rsidRDefault="00032C63" w:rsidP="00B85675">
            <w:pPr>
              <w:jc w:val="center"/>
              <w:rPr>
                <w:b/>
                <w:bCs/>
                <w:sz w:val="26"/>
                <w:szCs w:val="26"/>
              </w:rPr>
            </w:pPr>
            <w:r w:rsidRPr="00763B14">
              <w:rPr>
                <w:b/>
                <w:bCs/>
                <w:sz w:val="26"/>
                <w:szCs w:val="26"/>
              </w:rPr>
              <w:lastRenderedPageBreak/>
              <w:t>VII. Tiesību akta projekta izpildes nodrošināšana un tās ietekme uz institūcijām</w:t>
            </w:r>
          </w:p>
        </w:tc>
      </w:tr>
      <w:tr w:rsidR="000225D5" w:rsidRPr="009E1031" w:rsidTr="00406AD3"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32C63" w:rsidRPr="00763B14" w:rsidRDefault="00032C63" w:rsidP="00517F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1.</w:t>
            </w:r>
          </w:p>
        </w:tc>
        <w:tc>
          <w:tcPr>
            <w:tcW w:w="153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32C63" w:rsidRPr="00763B14" w:rsidRDefault="00032C63" w:rsidP="0034673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3106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32C63" w:rsidRPr="00763B14" w:rsidRDefault="001D738C" w:rsidP="00406AD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B14">
              <w:rPr>
                <w:color w:val="000000" w:themeColor="text1"/>
                <w:sz w:val="26"/>
                <w:szCs w:val="26"/>
              </w:rPr>
              <w:t>Valsts ieņēmumu dienests</w:t>
            </w:r>
          </w:p>
        </w:tc>
      </w:tr>
      <w:tr w:rsidR="000225D5" w:rsidRPr="009E1031" w:rsidTr="00161733"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32C63" w:rsidRPr="00763B14" w:rsidRDefault="00032C63" w:rsidP="00517F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2.</w:t>
            </w:r>
          </w:p>
        </w:tc>
        <w:tc>
          <w:tcPr>
            <w:tcW w:w="153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32C63" w:rsidRPr="00763B14" w:rsidRDefault="00FF735C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Projekta izpildes ietekme uz pārvaldes funkcijām un institucionālo struktūru.</w:t>
            </w:r>
            <w:r w:rsidR="000C52A7" w:rsidRPr="00763B14">
              <w:rPr>
                <w:sz w:val="26"/>
                <w:szCs w:val="26"/>
              </w:rPr>
              <w:t xml:space="preserve"> </w:t>
            </w:r>
            <w:r w:rsidRPr="00763B14">
              <w:rPr>
                <w:sz w:val="26"/>
                <w:szCs w:val="26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3106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1D3F" w:rsidRPr="00763B14" w:rsidRDefault="00241D3F" w:rsidP="0053313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3B14">
              <w:rPr>
                <w:color w:val="000000" w:themeColor="text1"/>
                <w:sz w:val="26"/>
                <w:szCs w:val="26"/>
              </w:rPr>
              <w:t>Normatīvā akta izpild</w:t>
            </w:r>
            <w:r w:rsidR="00E12F26" w:rsidRPr="00763B14">
              <w:rPr>
                <w:color w:val="000000" w:themeColor="text1"/>
                <w:sz w:val="26"/>
                <w:szCs w:val="26"/>
              </w:rPr>
              <w:t>i</w:t>
            </w:r>
            <w:r w:rsidRPr="00763B14">
              <w:rPr>
                <w:color w:val="000000" w:themeColor="text1"/>
                <w:sz w:val="26"/>
                <w:szCs w:val="26"/>
              </w:rPr>
              <w:t xml:space="preserve"> nodrošinā</w:t>
            </w:r>
            <w:r w:rsidR="00E12F26" w:rsidRPr="00763B14">
              <w:rPr>
                <w:color w:val="000000" w:themeColor="text1"/>
                <w:sz w:val="26"/>
                <w:szCs w:val="26"/>
              </w:rPr>
              <w:t>s</w:t>
            </w:r>
            <w:r w:rsidRPr="00763B14">
              <w:rPr>
                <w:color w:val="000000" w:themeColor="text1"/>
                <w:sz w:val="26"/>
                <w:szCs w:val="26"/>
              </w:rPr>
              <w:t xml:space="preserve"> esošo institūciju līdzšinējo funkciju un cilvēkresursu ietvaros. </w:t>
            </w:r>
          </w:p>
          <w:p w:rsidR="00032C63" w:rsidRPr="00763B14" w:rsidRDefault="00241D3F" w:rsidP="0053313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63B14">
              <w:rPr>
                <w:color w:val="000000" w:themeColor="text1"/>
                <w:sz w:val="26"/>
                <w:szCs w:val="26"/>
              </w:rPr>
              <w:t>Jaunu valsts institūciju izveidošana nav nepieciešama un papil</w:t>
            </w:r>
            <w:r w:rsidR="00FA5F2A" w:rsidRPr="00763B14">
              <w:rPr>
                <w:color w:val="000000" w:themeColor="text1"/>
                <w:sz w:val="26"/>
                <w:szCs w:val="26"/>
              </w:rPr>
              <w:t>du finansējums nav nepieciešams.</w:t>
            </w:r>
          </w:p>
        </w:tc>
      </w:tr>
      <w:tr w:rsidR="000225D5" w:rsidRPr="009E1031" w:rsidTr="00346732"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32C63" w:rsidRPr="00763B14" w:rsidRDefault="00032C63" w:rsidP="0034673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3.</w:t>
            </w:r>
          </w:p>
        </w:tc>
        <w:tc>
          <w:tcPr>
            <w:tcW w:w="153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32C63" w:rsidRPr="00763B14" w:rsidRDefault="00FF735C" w:rsidP="00346732">
            <w:pPr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Cita informācija</w:t>
            </w:r>
          </w:p>
        </w:tc>
        <w:tc>
          <w:tcPr>
            <w:tcW w:w="3106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32C63" w:rsidRPr="00763B14" w:rsidRDefault="00FF735C" w:rsidP="00040A1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63B14">
              <w:rPr>
                <w:sz w:val="26"/>
                <w:szCs w:val="26"/>
              </w:rPr>
              <w:t>Nav</w:t>
            </w:r>
          </w:p>
        </w:tc>
      </w:tr>
      <w:tr w:rsidR="000225D5" w:rsidRPr="009E1031" w:rsidTr="00DC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2" w:type="pct"/>
          <w:trHeight w:val="707"/>
        </w:trPr>
        <w:tc>
          <w:tcPr>
            <w:tcW w:w="2077" w:type="pct"/>
            <w:gridSpan w:val="3"/>
          </w:tcPr>
          <w:p w:rsidR="00032C63" w:rsidRPr="00763B14" w:rsidRDefault="00032C63" w:rsidP="00032C6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1" w:type="pct"/>
          </w:tcPr>
          <w:p w:rsidR="00032C63" w:rsidRPr="00763B14" w:rsidRDefault="00032C63" w:rsidP="00032C6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CC77AC" w:rsidRPr="00763B14" w:rsidRDefault="00CC77AC" w:rsidP="00B85675">
      <w:pPr>
        <w:ind w:firstLine="720"/>
        <w:jc w:val="both"/>
        <w:rPr>
          <w:sz w:val="26"/>
          <w:szCs w:val="26"/>
        </w:rPr>
      </w:pPr>
      <w:r w:rsidRPr="00763B14">
        <w:rPr>
          <w:sz w:val="26"/>
          <w:szCs w:val="26"/>
        </w:rPr>
        <w:t xml:space="preserve">Anotācijas </w:t>
      </w:r>
      <w:r w:rsidR="0015454A" w:rsidRPr="00763B14">
        <w:rPr>
          <w:sz w:val="26"/>
          <w:szCs w:val="26"/>
        </w:rPr>
        <w:t xml:space="preserve">III, </w:t>
      </w:r>
      <w:r w:rsidR="00E94721" w:rsidRPr="00763B14">
        <w:rPr>
          <w:sz w:val="26"/>
          <w:szCs w:val="26"/>
        </w:rPr>
        <w:t xml:space="preserve">IV, </w:t>
      </w:r>
      <w:r w:rsidR="00C072BC" w:rsidRPr="00763B14">
        <w:rPr>
          <w:sz w:val="26"/>
          <w:szCs w:val="26"/>
        </w:rPr>
        <w:t>V</w:t>
      </w:r>
      <w:r w:rsidR="004D2D3A" w:rsidRPr="00763B14">
        <w:rPr>
          <w:sz w:val="26"/>
          <w:szCs w:val="26"/>
        </w:rPr>
        <w:t xml:space="preserve"> </w:t>
      </w:r>
      <w:r w:rsidRPr="00763B14">
        <w:rPr>
          <w:sz w:val="26"/>
          <w:szCs w:val="26"/>
        </w:rPr>
        <w:t>sadaļa – projekts šo jomu neskar.</w:t>
      </w:r>
    </w:p>
    <w:p w:rsidR="001A0D12" w:rsidRPr="00763B14" w:rsidRDefault="001A0D12" w:rsidP="00CC77AC">
      <w:pPr>
        <w:rPr>
          <w:sz w:val="26"/>
          <w:szCs w:val="26"/>
        </w:rPr>
      </w:pPr>
    </w:p>
    <w:p w:rsidR="001A1B9E" w:rsidRPr="00763B14" w:rsidRDefault="001A1B9E" w:rsidP="00CC77AC">
      <w:pPr>
        <w:rPr>
          <w:sz w:val="26"/>
          <w:szCs w:val="26"/>
        </w:rPr>
      </w:pPr>
    </w:p>
    <w:p w:rsidR="00CC77AC" w:rsidRPr="00763B14" w:rsidRDefault="00DF7FF8" w:rsidP="00DF7FF8">
      <w:pPr>
        <w:tabs>
          <w:tab w:val="left" w:pos="6804"/>
        </w:tabs>
        <w:rPr>
          <w:sz w:val="26"/>
          <w:szCs w:val="26"/>
        </w:rPr>
      </w:pPr>
      <w:r w:rsidRPr="00763B14">
        <w:rPr>
          <w:sz w:val="26"/>
          <w:szCs w:val="26"/>
        </w:rPr>
        <w:t>Finanšu ministre</w:t>
      </w:r>
      <w:r w:rsidR="00CC77AC" w:rsidRPr="00763B14">
        <w:rPr>
          <w:sz w:val="26"/>
          <w:szCs w:val="26"/>
        </w:rPr>
        <w:t xml:space="preserve"> </w:t>
      </w:r>
      <w:r w:rsidRPr="00763B14">
        <w:rPr>
          <w:sz w:val="26"/>
          <w:szCs w:val="26"/>
        </w:rPr>
        <w:tab/>
        <w:t>D.Reizniece-Ozola</w:t>
      </w:r>
    </w:p>
    <w:p w:rsidR="005E377A" w:rsidRDefault="005E377A" w:rsidP="00CC77AC">
      <w:pPr>
        <w:rPr>
          <w:sz w:val="28"/>
          <w:szCs w:val="28"/>
        </w:rPr>
      </w:pPr>
    </w:p>
    <w:p w:rsidR="00DE6EDA" w:rsidRPr="00115F44" w:rsidRDefault="00DE6EDA" w:rsidP="00CC77AC">
      <w:pPr>
        <w:rPr>
          <w:sz w:val="28"/>
          <w:szCs w:val="28"/>
          <w:u w:val="single"/>
        </w:rPr>
      </w:pPr>
    </w:p>
    <w:p w:rsidR="001A0D12" w:rsidRPr="0082727C" w:rsidRDefault="001A0D12" w:rsidP="00CC77AC">
      <w:pPr>
        <w:rPr>
          <w:sz w:val="28"/>
          <w:szCs w:val="28"/>
        </w:rPr>
      </w:pPr>
    </w:p>
    <w:p w:rsidR="002A1C3C" w:rsidRPr="00763B14" w:rsidRDefault="0053313A" w:rsidP="00E12F26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3D088B">
        <w:rPr>
          <w:sz w:val="22"/>
          <w:szCs w:val="22"/>
        </w:rPr>
        <w:t>.06</w:t>
      </w:r>
      <w:r w:rsidR="009A1B2A" w:rsidRPr="00763B14">
        <w:rPr>
          <w:sz w:val="22"/>
          <w:szCs w:val="22"/>
        </w:rPr>
        <w:t xml:space="preserve">.2016 </w:t>
      </w:r>
      <w:r w:rsidR="00346732">
        <w:rPr>
          <w:sz w:val="22"/>
          <w:szCs w:val="22"/>
        </w:rPr>
        <w:t>14</w:t>
      </w:r>
      <w:r w:rsidR="00F9475C" w:rsidRPr="00763B14">
        <w:rPr>
          <w:sz w:val="22"/>
          <w:szCs w:val="22"/>
        </w:rPr>
        <w:t>:</w:t>
      </w:r>
      <w:r w:rsidR="00346732">
        <w:rPr>
          <w:sz w:val="22"/>
          <w:szCs w:val="22"/>
        </w:rPr>
        <w:t>07</w:t>
      </w:r>
      <w:bookmarkStart w:id="0" w:name="_GoBack"/>
      <w:bookmarkEnd w:id="0"/>
    </w:p>
    <w:p w:rsidR="00E12F26" w:rsidRPr="00763B14" w:rsidRDefault="00861A4B" w:rsidP="00E12F26">
      <w:pPr>
        <w:rPr>
          <w:sz w:val="22"/>
          <w:szCs w:val="22"/>
          <w:u w:val="single"/>
        </w:rPr>
      </w:pPr>
      <w:r>
        <w:rPr>
          <w:sz w:val="22"/>
          <w:szCs w:val="22"/>
        </w:rPr>
        <w:t>570</w:t>
      </w:r>
    </w:p>
    <w:p w:rsidR="00E12F26" w:rsidRPr="00763B14" w:rsidRDefault="00E12F26" w:rsidP="00E12F26">
      <w:pPr>
        <w:rPr>
          <w:sz w:val="22"/>
          <w:szCs w:val="22"/>
        </w:rPr>
      </w:pPr>
      <w:r w:rsidRPr="00763B14">
        <w:rPr>
          <w:sz w:val="22"/>
          <w:szCs w:val="22"/>
        </w:rPr>
        <w:t>Bormanis 67120109</w:t>
      </w:r>
    </w:p>
    <w:p w:rsidR="00E12F26" w:rsidRPr="00763B14" w:rsidRDefault="00E12F26" w:rsidP="00E12F26">
      <w:pPr>
        <w:rPr>
          <w:sz w:val="22"/>
          <w:szCs w:val="22"/>
        </w:rPr>
      </w:pPr>
      <w:r w:rsidRPr="00763B14">
        <w:rPr>
          <w:sz w:val="22"/>
          <w:szCs w:val="22"/>
        </w:rPr>
        <w:t>Janis.Bormanis@vid.gov.lv</w:t>
      </w:r>
    </w:p>
    <w:p w:rsidR="00CC77AC" w:rsidRPr="001A0D12" w:rsidRDefault="00CC77AC" w:rsidP="00CC77AC">
      <w:pPr>
        <w:rPr>
          <w:sz w:val="22"/>
          <w:szCs w:val="22"/>
        </w:rPr>
      </w:pPr>
    </w:p>
    <w:sectPr w:rsidR="00CC77AC" w:rsidRPr="001A0D12" w:rsidSect="002F74EA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8D" w:rsidRDefault="005B218D">
      <w:r>
        <w:separator/>
      </w:r>
    </w:p>
  </w:endnote>
  <w:endnote w:type="continuationSeparator" w:id="0">
    <w:p w:rsidR="005B218D" w:rsidRDefault="005B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B9" w:rsidRPr="00145BCB" w:rsidRDefault="005C1F8A" w:rsidP="00763BB9">
    <w:pPr>
      <w:pStyle w:val="Footer"/>
      <w:tabs>
        <w:tab w:val="clear" w:pos="4153"/>
        <w:tab w:val="clear" w:pos="8306"/>
      </w:tabs>
      <w:jc w:val="both"/>
      <w:rPr>
        <w:sz w:val="20"/>
        <w:szCs w:val="20"/>
      </w:rPr>
    </w:pPr>
    <w:r w:rsidRPr="00145BCB">
      <w:rPr>
        <w:sz w:val="20"/>
        <w:szCs w:val="20"/>
      </w:rPr>
      <w:t>FMAnot_</w:t>
    </w:r>
    <w:r w:rsidR="0053313A">
      <w:rPr>
        <w:sz w:val="20"/>
        <w:szCs w:val="20"/>
      </w:rPr>
      <w:t>15</w:t>
    </w:r>
    <w:r w:rsidR="003D088B">
      <w:rPr>
        <w:sz w:val="20"/>
        <w:szCs w:val="20"/>
      </w:rPr>
      <w:t>06</w:t>
    </w:r>
    <w:r w:rsidR="003D088B" w:rsidRPr="00CD4197">
      <w:rPr>
        <w:sz w:val="20"/>
        <w:szCs w:val="20"/>
      </w:rPr>
      <w:t>1</w:t>
    </w:r>
    <w:r w:rsidR="003D088B">
      <w:rPr>
        <w:sz w:val="20"/>
        <w:szCs w:val="20"/>
      </w:rPr>
      <w:t>6</w:t>
    </w:r>
    <w:r>
      <w:rPr>
        <w:sz w:val="20"/>
        <w:szCs w:val="20"/>
      </w:rPr>
      <w:t>_groz_302</w:t>
    </w:r>
    <w:r w:rsidR="00F22538">
      <w:rPr>
        <w:sz w:val="20"/>
        <w:szCs w:val="20"/>
      </w:rPr>
      <w:t>.docx</w:t>
    </w:r>
    <w:r w:rsidR="00763BB9" w:rsidRPr="00145BCB">
      <w:rPr>
        <w:sz w:val="20"/>
        <w:szCs w:val="20"/>
      </w:rPr>
      <w:t xml:space="preserve">; Ministru kabineta noteikumu projekta </w:t>
    </w:r>
    <w:r w:rsidR="00B21329" w:rsidRPr="00B21329">
      <w:rPr>
        <w:sz w:val="20"/>
        <w:szCs w:val="20"/>
      </w:rPr>
      <w:t>„</w:t>
    </w:r>
    <w:r w:rsidR="00763BB9">
      <w:rPr>
        <w:sz w:val="20"/>
        <w:szCs w:val="20"/>
      </w:rPr>
      <w:t>Grozījumi Ministru kabineta 2010.gada 30.marta noteikumos Nr.302 „Noteikumi par akcīzes nodokļa nodrošinājumiem”</w:t>
    </w:r>
    <w:r w:rsidR="00763BB9" w:rsidRPr="00145BCB">
      <w:rPr>
        <w:sz w:val="20"/>
        <w:szCs w:val="20"/>
      </w:rPr>
      <w:t>” sākotnējās ietekmes novērtējuma ziņojums (anotācija)</w:t>
    </w:r>
  </w:p>
  <w:p w:rsidR="005953B4" w:rsidRDefault="005953B4" w:rsidP="00040A18">
    <w:pPr>
      <w:pStyle w:val="naislab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4B" w:rsidRPr="00145BCB" w:rsidRDefault="00193B4B" w:rsidP="00B85675">
    <w:pPr>
      <w:pStyle w:val="Footer"/>
      <w:tabs>
        <w:tab w:val="clear" w:pos="4153"/>
        <w:tab w:val="clear" w:pos="8306"/>
      </w:tabs>
      <w:jc w:val="both"/>
      <w:rPr>
        <w:sz w:val="20"/>
        <w:szCs w:val="20"/>
      </w:rPr>
    </w:pPr>
    <w:r w:rsidRPr="00145BCB">
      <w:rPr>
        <w:sz w:val="20"/>
        <w:szCs w:val="20"/>
      </w:rPr>
      <w:t>FMAnot_</w:t>
    </w:r>
    <w:r w:rsidR="0053313A">
      <w:rPr>
        <w:sz w:val="20"/>
        <w:szCs w:val="20"/>
      </w:rPr>
      <w:t>15</w:t>
    </w:r>
    <w:r w:rsidR="003D088B">
      <w:rPr>
        <w:sz w:val="20"/>
        <w:szCs w:val="20"/>
      </w:rPr>
      <w:t>06</w:t>
    </w:r>
    <w:r w:rsidR="003D088B" w:rsidRPr="00CD4197">
      <w:rPr>
        <w:sz w:val="20"/>
        <w:szCs w:val="20"/>
      </w:rPr>
      <w:t>1</w:t>
    </w:r>
    <w:r w:rsidR="003D088B">
      <w:rPr>
        <w:sz w:val="20"/>
        <w:szCs w:val="20"/>
      </w:rPr>
      <w:t>6</w:t>
    </w:r>
    <w:r w:rsidR="005C1F8A">
      <w:rPr>
        <w:sz w:val="20"/>
        <w:szCs w:val="20"/>
      </w:rPr>
      <w:t>_groz_302</w:t>
    </w:r>
    <w:r w:rsidR="00F22538">
      <w:rPr>
        <w:sz w:val="20"/>
        <w:szCs w:val="20"/>
      </w:rPr>
      <w:t>.docx</w:t>
    </w:r>
    <w:r w:rsidRPr="00145BCB">
      <w:rPr>
        <w:sz w:val="20"/>
        <w:szCs w:val="20"/>
      </w:rPr>
      <w:t>; Ministru kabineta noteikumu projekta “</w:t>
    </w:r>
    <w:r w:rsidR="00763BB9">
      <w:rPr>
        <w:sz w:val="20"/>
        <w:szCs w:val="20"/>
      </w:rPr>
      <w:t>Grozījumi Ministru kabineta 2010.gada 30.marta noteikumos Nr.302 „Noteikumi par akcīzes nodokļa nodrošinājumiem”</w:t>
    </w:r>
    <w:r w:rsidRPr="00145BCB">
      <w:rPr>
        <w:sz w:val="20"/>
        <w:szCs w:val="20"/>
      </w:rPr>
      <w:t>” sākotnējās ietekmes novērtējuma ziņojums (anotācija)</w:t>
    </w:r>
  </w:p>
  <w:p w:rsidR="00193B4B" w:rsidRDefault="00193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8D" w:rsidRDefault="005B218D">
      <w:r>
        <w:separator/>
      </w:r>
    </w:p>
  </w:footnote>
  <w:footnote w:type="continuationSeparator" w:id="0">
    <w:p w:rsidR="005B218D" w:rsidRDefault="005B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27" w:rsidRDefault="009D5827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827" w:rsidRDefault="009D58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27" w:rsidRDefault="009D5827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732">
      <w:rPr>
        <w:rStyle w:val="PageNumber"/>
        <w:noProof/>
      </w:rPr>
      <w:t>3</w:t>
    </w:r>
    <w:r>
      <w:rPr>
        <w:rStyle w:val="PageNumber"/>
      </w:rPr>
      <w:fldChar w:fldCharType="end"/>
    </w:r>
  </w:p>
  <w:p w:rsidR="009D5827" w:rsidRDefault="009D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44"/>
    <w:multiLevelType w:val="hybridMultilevel"/>
    <w:tmpl w:val="347E5378"/>
    <w:lvl w:ilvl="0" w:tplc="88C2111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509"/>
    <w:multiLevelType w:val="hybridMultilevel"/>
    <w:tmpl w:val="0032D3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000E"/>
    <w:multiLevelType w:val="hybridMultilevel"/>
    <w:tmpl w:val="9558D132"/>
    <w:lvl w:ilvl="0" w:tplc="84FE7D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DA62CB"/>
    <w:multiLevelType w:val="hybridMultilevel"/>
    <w:tmpl w:val="D31C72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7582"/>
    <w:multiLevelType w:val="hybridMultilevel"/>
    <w:tmpl w:val="8A28C2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E61FF"/>
    <w:multiLevelType w:val="hybridMultilevel"/>
    <w:tmpl w:val="F84AB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46AC"/>
    <w:multiLevelType w:val="hybridMultilevel"/>
    <w:tmpl w:val="43EE90FC"/>
    <w:lvl w:ilvl="0" w:tplc="6B563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013590"/>
    <w:multiLevelType w:val="hybridMultilevel"/>
    <w:tmpl w:val="1F28A9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67588"/>
    <w:multiLevelType w:val="hybridMultilevel"/>
    <w:tmpl w:val="A95A79EC"/>
    <w:lvl w:ilvl="0" w:tplc="CEDA0F10">
      <w:numFmt w:val="bullet"/>
      <w:lvlText w:val="-"/>
      <w:lvlJc w:val="left"/>
      <w:pPr>
        <w:ind w:left="631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>
    <w:nsid w:val="2CE80E17"/>
    <w:multiLevelType w:val="hybridMultilevel"/>
    <w:tmpl w:val="3B8E18A0"/>
    <w:lvl w:ilvl="0" w:tplc="21506FEA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color w:val="00000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52B3C"/>
    <w:multiLevelType w:val="hybridMultilevel"/>
    <w:tmpl w:val="E31AD8EE"/>
    <w:lvl w:ilvl="0" w:tplc="38B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D7977"/>
    <w:multiLevelType w:val="hybridMultilevel"/>
    <w:tmpl w:val="505409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D5C1C"/>
    <w:multiLevelType w:val="hybridMultilevel"/>
    <w:tmpl w:val="D3BED12E"/>
    <w:lvl w:ilvl="0" w:tplc="57A480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722D9"/>
    <w:multiLevelType w:val="hybridMultilevel"/>
    <w:tmpl w:val="0F3CC864"/>
    <w:lvl w:ilvl="0" w:tplc="56FE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BA037D"/>
    <w:multiLevelType w:val="hybridMultilevel"/>
    <w:tmpl w:val="E0525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49E0"/>
    <w:multiLevelType w:val="hybridMultilevel"/>
    <w:tmpl w:val="DFCAF0D2"/>
    <w:lvl w:ilvl="0" w:tplc="CEDA0F1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46B1498C"/>
    <w:multiLevelType w:val="hybridMultilevel"/>
    <w:tmpl w:val="F84AB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61324"/>
    <w:multiLevelType w:val="hybridMultilevel"/>
    <w:tmpl w:val="9DA8DB4E"/>
    <w:lvl w:ilvl="0" w:tplc="FD9A8A38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32AE0"/>
    <w:multiLevelType w:val="hybridMultilevel"/>
    <w:tmpl w:val="45FA10E6"/>
    <w:lvl w:ilvl="0" w:tplc="FD1487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57F46"/>
    <w:multiLevelType w:val="hybridMultilevel"/>
    <w:tmpl w:val="7C3203AC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C094E"/>
    <w:multiLevelType w:val="hybridMultilevel"/>
    <w:tmpl w:val="4C780B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43F95"/>
    <w:multiLevelType w:val="hybridMultilevel"/>
    <w:tmpl w:val="E31AD8EE"/>
    <w:lvl w:ilvl="0" w:tplc="38B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0648D"/>
    <w:multiLevelType w:val="hybridMultilevel"/>
    <w:tmpl w:val="F02439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5587C"/>
    <w:multiLevelType w:val="hybridMultilevel"/>
    <w:tmpl w:val="ED2C3D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C47ED"/>
    <w:multiLevelType w:val="hybridMultilevel"/>
    <w:tmpl w:val="309C36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A4F3C"/>
    <w:multiLevelType w:val="hybridMultilevel"/>
    <w:tmpl w:val="D9CAD4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A36F4"/>
    <w:multiLevelType w:val="hybridMultilevel"/>
    <w:tmpl w:val="0F3CC864"/>
    <w:lvl w:ilvl="0" w:tplc="56FE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CF5254"/>
    <w:multiLevelType w:val="hybridMultilevel"/>
    <w:tmpl w:val="66CAA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E3A2D"/>
    <w:multiLevelType w:val="hybridMultilevel"/>
    <w:tmpl w:val="3CB09900"/>
    <w:lvl w:ilvl="0" w:tplc="3C666CB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42204"/>
    <w:multiLevelType w:val="hybridMultilevel"/>
    <w:tmpl w:val="D59E8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E656A"/>
    <w:multiLevelType w:val="hybridMultilevel"/>
    <w:tmpl w:val="641AAAF4"/>
    <w:lvl w:ilvl="0" w:tplc="51F6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27"/>
  </w:num>
  <w:num w:numId="5">
    <w:abstractNumId w:val="14"/>
  </w:num>
  <w:num w:numId="6">
    <w:abstractNumId w:val="31"/>
  </w:num>
  <w:num w:numId="7">
    <w:abstractNumId w:val="6"/>
  </w:num>
  <w:num w:numId="8">
    <w:abstractNumId w:val="2"/>
  </w:num>
  <w:num w:numId="9">
    <w:abstractNumId w:val="29"/>
  </w:num>
  <w:num w:numId="10">
    <w:abstractNumId w:val="22"/>
  </w:num>
  <w:num w:numId="11">
    <w:abstractNumId w:val="10"/>
  </w:num>
  <w:num w:numId="12">
    <w:abstractNumId w:val="20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5"/>
  </w:num>
  <w:num w:numId="18">
    <w:abstractNumId w:val="17"/>
  </w:num>
  <w:num w:numId="19">
    <w:abstractNumId w:val="3"/>
  </w:num>
  <w:num w:numId="20">
    <w:abstractNumId w:val="15"/>
  </w:num>
  <w:num w:numId="21">
    <w:abstractNumId w:val="8"/>
  </w:num>
  <w:num w:numId="22">
    <w:abstractNumId w:val="16"/>
  </w:num>
  <w:num w:numId="23">
    <w:abstractNumId w:val="30"/>
  </w:num>
  <w:num w:numId="24">
    <w:abstractNumId w:val="26"/>
  </w:num>
  <w:num w:numId="25">
    <w:abstractNumId w:val="4"/>
  </w:num>
  <w:num w:numId="26">
    <w:abstractNumId w:val="25"/>
  </w:num>
  <w:num w:numId="27">
    <w:abstractNumId w:val="23"/>
  </w:num>
  <w:num w:numId="28">
    <w:abstractNumId w:val="11"/>
  </w:num>
  <w:num w:numId="29">
    <w:abstractNumId w:val="7"/>
  </w:num>
  <w:num w:numId="30">
    <w:abstractNumId w:val="21"/>
  </w:num>
  <w:num w:numId="31">
    <w:abstractNumId w:val="28"/>
  </w:num>
  <w:num w:numId="3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a Pužule">
    <w15:presenceInfo w15:providerId="None" w15:userId="Gunta Pužu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4F"/>
    <w:rsid w:val="000021BD"/>
    <w:rsid w:val="0000695B"/>
    <w:rsid w:val="00006E93"/>
    <w:rsid w:val="00011B9B"/>
    <w:rsid w:val="00012F84"/>
    <w:rsid w:val="00013F38"/>
    <w:rsid w:val="000143E6"/>
    <w:rsid w:val="000160DF"/>
    <w:rsid w:val="0002018C"/>
    <w:rsid w:val="0002259A"/>
    <w:rsid w:val="000225D5"/>
    <w:rsid w:val="00024D4A"/>
    <w:rsid w:val="00025DED"/>
    <w:rsid w:val="00032C63"/>
    <w:rsid w:val="000336B4"/>
    <w:rsid w:val="000346E3"/>
    <w:rsid w:val="0003687D"/>
    <w:rsid w:val="00040A18"/>
    <w:rsid w:val="00041BFE"/>
    <w:rsid w:val="000454C8"/>
    <w:rsid w:val="00045E7D"/>
    <w:rsid w:val="00052962"/>
    <w:rsid w:val="000561E1"/>
    <w:rsid w:val="0006213B"/>
    <w:rsid w:val="0006224E"/>
    <w:rsid w:val="00070FE0"/>
    <w:rsid w:val="00075879"/>
    <w:rsid w:val="00076776"/>
    <w:rsid w:val="00081DAB"/>
    <w:rsid w:val="00081DF3"/>
    <w:rsid w:val="00085997"/>
    <w:rsid w:val="00091CC2"/>
    <w:rsid w:val="000926E1"/>
    <w:rsid w:val="00093490"/>
    <w:rsid w:val="000936E0"/>
    <w:rsid w:val="00095671"/>
    <w:rsid w:val="000A3646"/>
    <w:rsid w:val="000A47C4"/>
    <w:rsid w:val="000A5375"/>
    <w:rsid w:val="000B2D5C"/>
    <w:rsid w:val="000B3304"/>
    <w:rsid w:val="000B5A03"/>
    <w:rsid w:val="000B6BEE"/>
    <w:rsid w:val="000C1191"/>
    <w:rsid w:val="000C52A7"/>
    <w:rsid w:val="000C5ABB"/>
    <w:rsid w:val="000C6C57"/>
    <w:rsid w:val="000D4E09"/>
    <w:rsid w:val="000E06A4"/>
    <w:rsid w:val="000E1944"/>
    <w:rsid w:val="000E47B2"/>
    <w:rsid w:val="000F0FB2"/>
    <w:rsid w:val="000F148C"/>
    <w:rsid w:val="000F31A8"/>
    <w:rsid w:val="000F45CD"/>
    <w:rsid w:val="000F4DA4"/>
    <w:rsid w:val="000F7CD5"/>
    <w:rsid w:val="001012AA"/>
    <w:rsid w:val="00112808"/>
    <w:rsid w:val="0011309E"/>
    <w:rsid w:val="00115F44"/>
    <w:rsid w:val="001166D1"/>
    <w:rsid w:val="00116FEC"/>
    <w:rsid w:val="00117726"/>
    <w:rsid w:val="00121706"/>
    <w:rsid w:val="0013216F"/>
    <w:rsid w:val="00134C95"/>
    <w:rsid w:val="00135A1E"/>
    <w:rsid w:val="0014067A"/>
    <w:rsid w:val="00142AB7"/>
    <w:rsid w:val="00143DE8"/>
    <w:rsid w:val="00145BCB"/>
    <w:rsid w:val="00147420"/>
    <w:rsid w:val="0015454A"/>
    <w:rsid w:val="00157261"/>
    <w:rsid w:val="00161733"/>
    <w:rsid w:val="00164AB4"/>
    <w:rsid w:val="00165520"/>
    <w:rsid w:val="0016754A"/>
    <w:rsid w:val="00170ABE"/>
    <w:rsid w:val="00170AC9"/>
    <w:rsid w:val="00172098"/>
    <w:rsid w:val="001750E3"/>
    <w:rsid w:val="001764D4"/>
    <w:rsid w:val="0017674A"/>
    <w:rsid w:val="00180257"/>
    <w:rsid w:val="0018677C"/>
    <w:rsid w:val="0018771A"/>
    <w:rsid w:val="00187B19"/>
    <w:rsid w:val="001908E6"/>
    <w:rsid w:val="001935E4"/>
    <w:rsid w:val="00193B4B"/>
    <w:rsid w:val="00197C12"/>
    <w:rsid w:val="001A048B"/>
    <w:rsid w:val="001A0939"/>
    <w:rsid w:val="001A0D12"/>
    <w:rsid w:val="001A0D5C"/>
    <w:rsid w:val="001A1B9E"/>
    <w:rsid w:val="001A2EE8"/>
    <w:rsid w:val="001B16A6"/>
    <w:rsid w:val="001B4146"/>
    <w:rsid w:val="001B6E27"/>
    <w:rsid w:val="001C48FB"/>
    <w:rsid w:val="001C6F8F"/>
    <w:rsid w:val="001C7060"/>
    <w:rsid w:val="001D49EA"/>
    <w:rsid w:val="001D70DA"/>
    <w:rsid w:val="001D738C"/>
    <w:rsid w:val="001D73D4"/>
    <w:rsid w:val="001E1B17"/>
    <w:rsid w:val="001E34D9"/>
    <w:rsid w:val="001E7B85"/>
    <w:rsid w:val="001F0C31"/>
    <w:rsid w:val="001F10EB"/>
    <w:rsid w:val="001F23CC"/>
    <w:rsid w:val="001F5499"/>
    <w:rsid w:val="001F59C9"/>
    <w:rsid w:val="002012FF"/>
    <w:rsid w:val="00204907"/>
    <w:rsid w:val="00205A58"/>
    <w:rsid w:val="002064C5"/>
    <w:rsid w:val="00206C80"/>
    <w:rsid w:val="00206F3A"/>
    <w:rsid w:val="0021058A"/>
    <w:rsid w:val="0021162D"/>
    <w:rsid w:val="002125FF"/>
    <w:rsid w:val="00214CD0"/>
    <w:rsid w:val="00221485"/>
    <w:rsid w:val="00221E2A"/>
    <w:rsid w:val="00222B42"/>
    <w:rsid w:val="002230C4"/>
    <w:rsid w:val="002268EF"/>
    <w:rsid w:val="00231E45"/>
    <w:rsid w:val="002321BC"/>
    <w:rsid w:val="00232718"/>
    <w:rsid w:val="00232C65"/>
    <w:rsid w:val="00234299"/>
    <w:rsid w:val="00241D3F"/>
    <w:rsid w:val="00242FDF"/>
    <w:rsid w:val="00243382"/>
    <w:rsid w:val="00244570"/>
    <w:rsid w:val="00246D9C"/>
    <w:rsid w:val="0025062C"/>
    <w:rsid w:val="002517E4"/>
    <w:rsid w:val="00253E23"/>
    <w:rsid w:val="00254604"/>
    <w:rsid w:val="00255A5A"/>
    <w:rsid w:val="00256D80"/>
    <w:rsid w:val="00267711"/>
    <w:rsid w:val="002709D6"/>
    <w:rsid w:val="002716A4"/>
    <w:rsid w:val="00271A80"/>
    <w:rsid w:val="00273818"/>
    <w:rsid w:val="0027384B"/>
    <w:rsid w:val="00282616"/>
    <w:rsid w:val="002829BB"/>
    <w:rsid w:val="00286218"/>
    <w:rsid w:val="00286E3E"/>
    <w:rsid w:val="00290450"/>
    <w:rsid w:val="002913D0"/>
    <w:rsid w:val="00291DF3"/>
    <w:rsid w:val="00294287"/>
    <w:rsid w:val="00294A3C"/>
    <w:rsid w:val="00295D20"/>
    <w:rsid w:val="00296449"/>
    <w:rsid w:val="002A1C3C"/>
    <w:rsid w:val="002A59B1"/>
    <w:rsid w:val="002B01EB"/>
    <w:rsid w:val="002B2F64"/>
    <w:rsid w:val="002B458F"/>
    <w:rsid w:val="002B7E32"/>
    <w:rsid w:val="002B7F20"/>
    <w:rsid w:val="002C2088"/>
    <w:rsid w:val="002C2132"/>
    <w:rsid w:val="002C3F3D"/>
    <w:rsid w:val="002C4B8F"/>
    <w:rsid w:val="002C7F75"/>
    <w:rsid w:val="002D0F8A"/>
    <w:rsid w:val="002D7D23"/>
    <w:rsid w:val="002E1C54"/>
    <w:rsid w:val="002F033B"/>
    <w:rsid w:val="002F0AC0"/>
    <w:rsid w:val="002F226A"/>
    <w:rsid w:val="002F3CEC"/>
    <w:rsid w:val="002F4C6B"/>
    <w:rsid w:val="002F74EA"/>
    <w:rsid w:val="003005B9"/>
    <w:rsid w:val="00302C58"/>
    <w:rsid w:val="00306D56"/>
    <w:rsid w:val="0031278B"/>
    <w:rsid w:val="00312827"/>
    <w:rsid w:val="003129F6"/>
    <w:rsid w:val="0031696E"/>
    <w:rsid w:val="003169F1"/>
    <w:rsid w:val="003171EE"/>
    <w:rsid w:val="00317D2D"/>
    <w:rsid w:val="0032137D"/>
    <w:rsid w:val="00322A62"/>
    <w:rsid w:val="00324A5D"/>
    <w:rsid w:val="00325893"/>
    <w:rsid w:val="00334C3D"/>
    <w:rsid w:val="00341D41"/>
    <w:rsid w:val="00343F57"/>
    <w:rsid w:val="00344A45"/>
    <w:rsid w:val="00346319"/>
    <w:rsid w:val="00346732"/>
    <w:rsid w:val="00346B4F"/>
    <w:rsid w:val="00350F82"/>
    <w:rsid w:val="00352217"/>
    <w:rsid w:val="00353346"/>
    <w:rsid w:val="003537C1"/>
    <w:rsid w:val="0035384C"/>
    <w:rsid w:val="00353D75"/>
    <w:rsid w:val="00360256"/>
    <w:rsid w:val="00362A69"/>
    <w:rsid w:val="00365AF2"/>
    <w:rsid w:val="00366B4F"/>
    <w:rsid w:val="003678D2"/>
    <w:rsid w:val="0037109E"/>
    <w:rsid w:val="00376FD6"/>
    <w:rsid w:val="003804CD"/>
    <w:rsid w:val="0038251B"/>
    <w:rsid w:val="00382A77"/>
    <w:rsid w:val="00386629"/>
    <w:rsid w:val="003866C7"/>
    <w:rsid w:val="00387729"/>
    <w:rsid w:val="00387B30"/>
    <w:rsid w:val="003903A1"/>
    <w:rsid w:val="00391365"/>
    <w:rsid w:val="00393CD0"/>
    <w:rsid w:val="003956F2"/>
    <w:rsid w:val="003A0D2F"/>
    <w:rsid w:val="003B21E7"/>
    <w:rsid w:val="003B5A34"/>
    <w:rsid w:val="003C2949"/>
    <w:rsid w:val="003C3DD6"/>
    <w:rsid w:val="003C5A60"/>
    <w:rsid w:val="003C642A"/>
    <w:rsid w:val="003C6A6E"/>
    <w:rsid w:val="003D088B"/>
    <w:rsid w:val="003D35D3"/>
    <w:rsid w:val="003E6F4E"/>
    <w:rsid w:val="003E7B0B"/>
    <w:rsid w:val="003F327A"/>
    <w:rsid w:val="003F3C4F"/>
    <w:rsid w:val="003F6A7A"/>
    <w:rsid w:val="003F791A"/>
    <w:rsid w:val="004005ED"/>
    <w:rsid w:val="00400BC5"/>
    <w:rsid w:val="004025F0"/>
    <w:rsid w:val="00405EAD"/>
    <w:rsid w:val="00406AD3"/>
    <w:rsid w:val="00406B34"/>
    <w:rsid w:val="00406CBF"/>
    <w:rsid w:val="00407D4B"/>
    <w:rsid w:val="004147D1"/>
    <w:rsid w:val="00414CD7"/>
    <w:rsid w:val="0041676E"/>
    <w:rsid w:val="00426A12"/>
    <w:rsid w:val="00431878"/>
    <w:rsid w:val="00431AEF"/>
    <w:rsid w:val="00431C1A"/>
    <w:rsid w:val="004349F3"/>
    <w:rsid w:val="00435156"/>
    <w:rsid w:val="00436FB2"/>
    <w:rsid w:val="004402AD"/>
    <w:rsid w:val="00441ADD"/>
    <w:rsid w:val="0044291F"/>
    <w:rsid w:val="00460038"/>
    <w:rsid w:val="00464810"/>
    <w:rsid w:val="00466645"/>
    <w:rsid w:val="004671FD"/>
    <w:rsid w:val="004673E6"/>
    <w:rsid w:val="0047129A"/>
    <w:rsid w:val="0047317F"/>
    <w:rsid w:val="004735F7"/>
    <w:rsid w:val="0047494D"/>
    <w:rsid w:val="00477623"/>
    <w:rsid w:val="004800A1"/>
    <w:rsid w:val="00483499"/>
    <w:rsid w:val="004840C3"/>
    <w:rsid w:val="00487759"/>
    <w:rsid w:val="004878EB"/>
    <w:rsid w:val="004913B1"/>
    <w:rsid w:val="00491FC4"/>
    <w:rsid w:val="004933D4"/>
    <w:rsid w:val="00493932"/>
    <w:rsid w:val="00495216"/>
    <w:rsid w:val="004969A9"/>
    <w:rsid w:val="00496E26"/>
    <w:rsid w:val="004B050C"/>
    <w:rsid w:val="004B1783"/>
    <w:rsid w:val="004B55FA"/>
    <w:rsid w:val="004C1DC2"/>
    <w:rsid w:val="004C3A53"/>
    <w:rsid w:val="004C4CEE"/>
    <w:rsid w:val="004C7E64"/>
    <w:rsid w:val="004D0F9A"/>
    <w:rsid w:val="004D2D3A"/>
    <w:rsid w:val="004D42EC"/>
    <w:rsid w:val="004E26C2"/>
    <w:rsid w:val="004E342D"/>
    <w:rsid w:val="004E38E8"/>
    <w:rsid w:val="004E4573"/>
    <w:rsid w:val="004E683A"/>
    <w:rsid w:val="004E7AB1"/>
    <w:rsid w:val="004F1B4F"/>
    <w:rsid w:val="004F3148"/>
    <w:rsid w:val="004F317A"/>
    <w:rsid w:val="004F4CA0"/>
    <w:rsid w:val="004F56AF"/>
    <w:rsid w:val="004F7B81"/>
    <w:rsid w:val="004F7C75"/>
    <w:rsid w:val="00506EFB"/>
    <w:rsid w:val="00510280"/>
    <w:rsid w:val="005103BA"/>
    <w:rsid w:val="00510F3D"/>
    <w:rsid w:val="00513166"/>
    <w:rsid w:val="00517F4A"/>
    <w:rsid w:val="0052357C"/>
    <w:rsid w:val="005255DC"/>
    <w:rsid w:val="005329F9"/>
    <w:rsid w:val="0053313A"/>
    <w:rsid w:val="00535025"/>
    <w:rsid w:val="005363BD"/>
    <w:rsid w:val="00546AEF"/>
    <w:rsid w:val="00551152"/>
    <w:rsid w:val="005524C9"/>
    <w:rsid w:val="00554A35"/>
    <w:rsid w:val="00555B2F"/>
    <w:rsid w:val="00557266"/>
    <w:rsid w:val="00557D5D"/>
    <w:rsid w:val="00565204"/>
    <w:rsid w:val="00570629"/>
    <w:rsid w:val="0057320C"/>
    <w:rsid w:val="00577566"/>
    <w:rsid w:val="005779DE"/>
    <w:rsid w:val="00580032"/>
    <w:rsid w:val="00580555"/>
    <w:rsid w:val="00581660"/>
    <w:rsid w:val="00584E62"/>
    <w:rsid w:val="00591A95"/>
    <w:rsid w:val="005953B4"/>
    <w:rsid w:val="00595DB5"/>
    <w:rsid w:val="005971A4"/>
    <w:rsid w:val="005A020D"/>
    <w:rsid w:val="005A53A3"/>
    <w:rsid w:val="005A559A"/>
    <w:rsid w:val="005A7A3D"/>
    <w:rsid w:val="005A7F94"/>
    <w:rsid w:val="005B181D"/>
    <w:rsid w:val="005B218D"/>
    <w:rsid w:val="005B3362"/>
    <w:rsid w:val="005C1F8A"/>
    <w:rsid w:val="005D0AC2"/>
    <w:rsid w:val="005D5B86"/>
    <w:rsid w:val="005E25FF"/>
    <w:rsid w:val="005E377A"/>
    <w:rsid w:val="005E4124"/>
    <w:rsid w:val="005E4B46"/>
    <w:rsid w:val="005E57E1"/>
    <w:rsid w:val="005F593E"/>
    <w:rsid w:val="0060078A"/>
    <w:rsid w:val="0060262C"/>
    <w:rsid w:val="00604115"/>
    <w:rsid w:val="0061245B"/>
    <w:rsid w:val="00613251"/>
    <w:rsid w:val="0061508C"/>
    <w:rsid w:val="00620834"/>
    <w:rsid w:val="00621AD7"/>
    <w:rsid w:val="00621E39"/>
    <w:rsid w:val="00634F0A"/>
    <w:rsid w:val="00643EAB"/>
    <w:rsid w:val="006469AD"/>
    <w:rsid w:val="006514BE"/>
    <w:rsid w:val="00654AD2"/>
    <w:rsid w:val="00655B17"/>
    <w:rsid w:val="006578B7"/>
    <w:rsid w:val="00657AE9"/>
    <w:rsid w:val="00657D42"/>
    <w:rsid w:val="00660D1E"/>
    <w:rsid w:val="00661712"/>
    <w:rsid w:val="00670A38"/>
    <w:rsid w:val="0067240C"/>
    <w:rsid w:val="00673945"/>
    <w:rsid w:val="0068077E"/>
    <w:rsid w:val="00681C50"/>
    <w:rsid w:val="00684766"/>
    <w:rsid w:val="00685BF0"/>
    <w:rsid w:val="00686D06"/>
    <w:rsid w:val="006924F7"/>
    <w:rsid w:val="00694740"/>
    <w:rsid w:val="006949DA"/>
    <w:rsid w:val="00697780"/>
    <w:rsid w:val="006A0CA2"/>
    <w:rsid w:val="006A6071"/>
    <w:rsid w:val="006B1B31"/>
    <w:rsid w:val="006B3468"/>
    <w:rsid w:val="006B4F35"/>
    <w:rsid w:val="006B7BC6"/>
    <w:rsid w:val="006C2315"/>
    <w:rsid w:val="006C3221"/>
    <w:rsid w:val="006C4C20"/>
    <w:rsid w:val="006D0E46"/>
    <w:rsid w:val="006E1110"/>
    <w:rsid w:val="006E288A"/>
    <w:rsid w:val="006E68D1"/>
    <w:rsid w:val="006F02EA"/>
    <w:rsid w:val="006F0FDE"/>
    <w:rsid w:val="006F3167"/>
    <w:rsid w:val="006F3FEE"/>
    <w:rsid w:val="007011CD"/>
    <w:rsid w:val="00701B0C"/>
    <w:rsid w:val="00702067"/>
    <w:rsid w:val="0070271E"/>
    <w:rsid w:val="00705178"/>
    <w:rsid w:val="00707671"/>
    <w:rsid w:val="007100E7"/>
    <w:rsid w:val="007118F7"/>
    <w:rsid w:val="00711A4C"/>
    <w:rsid w:val="00713669"/>
    <w:rsid w:val="007149BF"/>
    <w:rsid w:val="0071503E"/>
    <w:rsid w:val="007328DB"/>
    <w:rsid w:val="00733D77"/>
    <w:rsid w:val="00734227"/>
    <w:rsid w:val="00735EF4"/>
    <w:rsid w:val="0073735F"/>
    <w:rsid w:val="00737C3A"/>
    <w:rsid w:val="0074149A"/>
    <w:rsid w:val="00741ADA"/>
    <w:rsid w:val="00743069"/>
    <w:rsid w:val="00743410"/>
    <w:rsid w:val="00743C57"/>
    <w:rsid w:val="007444DF"/>
    <w:rsid w:val="00746B8C"/>
    <w:rsid w:val="0075443D"/>
    <w:rsid w:val="007544EE"/>
    <w:rsid w:val="00762255"/>
    <w:rsid w:val="00762B5B"/>
    <w:rsid w:val="00763B14"/>
    <w:rsid w:val="00763BB9"/>
    <w:rsid w:val="0076494E"/>
    <w:rsid w:val="007659E6"/>
    <w:rsid w:val="007672ED"/>
    <w:rsid w:val="00774B57"/>
    <w:rsid w:val="00774CA6"/>
    <w:rsid w:val="007756FB"/>
    <w:rsid w:val="00775955"/>
    <w:rsid w:val="00775BE9"/>
    <w:rsid w:val="00776EED"/>
    <w:rsid w:val="0078381A"/>
    <w:rsid w:val="00785F87"/>
    <w:rsid w:val="007927B4"/>
    <w:rsid w:val="007961CD"/>
    <w:rsid w:val="007A033C"/>
    <w:rsid w:val="007A1287"/>
    <w:rsid w:val="007A6B20"/>
    <w:rsid w:val="007B33CD"/>
    <w:rsid w:val="007B342F"/>
    <w:rsid w:val="007B3484"/>
    <w:rsid w:val="007B4515"/>
    <w:rsid w:val="007B4F2B"/>
    <w:rsid w:val="007B557C"/>
    <w:rsid w:val="007B5885"/>
    <w:rsid w:val="007C1257"/>
    <w:rsid w:val="007C4A18"/>
    <w:rsid w:val="007D08A9"/>
    <w:rsid w:val="007D192A"/>
    <w:rsid w:val="007E166D"/>
    <w:rsid w:val="007E7AF1"/>
    <w:rsid w:val="007F43C5"/>
    <w:rsid w:val="007F4C66"/>
    <w:rsid w:val="007F599B"/>
    <w:rsid w:val="007F5E61"/>
    <w:rsid w:val="007F65DC"/>
    <w:rsid w:val="008017E8"/>
    <w:rsid w:val="0080364A"/>
    <w:rsid w:val="00805E16"/>
    <w:rsid w:val="00806911"/>
    <w:rsid w:val="00807FEA"/>
    <w:rsid w:val="00813916"/>
    <w:rsid w:val="008203B4"/>
    <w:rsid w:val="00820B40"/>
    <w:rsid w:val="00822CC1"/>
    <w:rsid w:val="00826319"/>
    <w:rsid w:val="00826F10"/>
    <w:rsid w:val="0082727C"/>
    <w:rsid w:val="00827512"/>
    <w:rsid w:val="00827514"/>
    <w:rsid w:val="00834FAF"/>
    <w:rsid w:val="00835D0B"/>
    <w:rsid w:val="0083772F"/>
    <w:rsid w:val="008441C4"/>
    <w:rsid w:val="008458C0"/>
    <w:rsid w:val="00847E9A"/>
    <w:rsid w:val="00855E24"/>
    <w:rsid w:val="00857479"/>
    <w:rsid w:val="0085794A"/>
    <w:rsid w:val="00861A4B"/>
    <w:rsid w:val="00862351"/>
    <w:rsid w:val="00863502"/>
    <w:rsid w:val="00864BA4"/>
    <w:rsid w:val="008714F5"/>
    <w:rsid w:val="00872E58"/>
    <w:rsid w:val="00873CA0"/>
    <w:rsid w:val="00880387"/>
    <w:rsid w:val="00881464"/>
    <w:rsid w:val="008923F1"/>
    <w:rsid w:val="00892C28"/>
    <w:rsid w:val="00894DA9"/>
    <w:rsid w:val="00895035"/>
    <w:rsid w:val="008961E6"/>
    <w:rsid w:val="0089749B"/>
    <w:rsid w:val="008A2375"/>
    <w:rsid w:val="008A27E1"/>
    <w:rsid w:val="008A2B68"/>
    <w:rsid w:val="008A5FE7"/>
    <w:rsid w:val="008B1BB5"/>
    <w:rsid w:val="008B2749"/>
    <w:rsid w:val="008C0969"/>
    <w:rsid w:val="008C6CAD"/>
    <w:rsid w:val="008D06E4"/>
    <w:rsid w:val="008D3128"/>
    <w:rsid w:val="008D34F1"/>
    <w:rsid w:val="008D4CB3"/>
    <w:rsid w:val="008D5E67"/>
    <w:rsid w:val="008D7759"/>
    <w:rsid w:val="008E2D18"/>
    <w:rsid w:val="008E37D1"/>
    <w:rsid w:val="008E74A8"/>
    <w:rsid w:val="008F394E"/>
    <w:rsid w:val="008F7DF2"/>
    <w:rsid w:val="00906DD8"/>
    <w:rsid w:val="00910384"/>
    <w:rsid w:val="00910BBB"/>
    <w:rsid w:val="0091278B"/>
    <w:rsid w:val="00913055"/>
    <w:rsid w:val="00915879"/>
    <w:rsid w:val="00921542"/>
    <w:rsid w:val="00934026"/>
    <w:rsid w:val="00936F23"/>
    <w:rsid w:val="009424CA"/>
    <w:rsid w:val="009429E9"/>
    <w:rsid w:val="009432C8"/>
    <w:rsid w:val="00947F62"/>
    <w:rsid w:val="009525A0"/>
    <w:rsid w:val="00954D03"/>
    <w:rsid w:val="00954F62"/>
    <w:rsid w:val="00955211"/>
    <w:rsid w:val="009553B5"/>
    <w:rsid w:val="00956F17"/>
    <w:rsid w:val="00957F74"/>
    <w:rsid w:val="00965524"/>
    <w:rsid w:val="00965C0B"/>
    <w:rsid w:val="009674B6"/>
    <w:rsid w:val="00970FE0"/>
    <w:rsid w:val="00971DF5"/>
    <w:rsid w:val="00973DC5"/>
    <w:rsid w:val="0097483D"/>
    <w:rsid w:val="009759AD"/>
    <w:rsid w:val="00976AC5"/>
    <w:rsid w:val="00977DD4"/>
    <w:rsid w:val="00980AD8"/>
    <w:rsid w:val="00981B9B"/>
    <w:rsid w:val="0099025E"/>
    <w:rsid w:val="00990ED9"/>
    <w:rsid w:val="009920E0"/>
    <w:rsid w:val="00994A1A"/>
    <w:rsid w:val="00997053"/>
    <w:rsid w:val="009A0DA3"/>
    <w:rsid w:val="009A1B2A"/>
    <w:rsid w:val="009A1F3D"/>
    <w:rsid w:val="009A5120"/>
    <w:rsid w:val="009B1A44"/>
    <w:rsid w:val="009B228E"/>
    <w:rsid w:val="009B2E67"/>
    <w:rsid w:val="009B6EF5"/>
    <w:rsid w:val="009C0BB9"/>
    <w:rsid w:val="009C4988"/>
    <w:rsid w:val="009C646D"/>
    <w:rsid w:val="009C6690"/>
    <w:rsid w:val="009D1EAB"/>
    <w:rsid w:val="009D5827"/>
    <w:rsid w:val="009E1031"/>
    <w:rsid w:val="009F1159"/>
    <w:rsid w:val="009F124C"/>
    <w:rsid w:val="009F2EC3"/>
    <w:rsid w:val="009F3101"/>
    <w:rsid w:val="00A00266"/>
    <w:rsid w:val="00A039C3"/>
    <w:rsid w:val="00A077EE"/>
    <w:rsid w:val="00A1123B"/>
    <w:rsid w:val="00A119B1"/>
    <w:rsid w:val="00A20361"/>
    <w:rsid w:val="00A21CC3"/>
    <w:rsid w:val="00A2689F"/>
    <w:rsid w:val="00A3208E"/>
    <w:rsid w:val="00A37D0C"/>
    <w:rsid w:val="00A421FA"/>
    <w:rsid w:val="00A4245B"/>
    <w:rsid w:val="00A43716"/>
    <w:rsid w:val="00A44B18"/>
    <w:rsid w:val="00A44C40"/>
    <w:rsid w:val="00A469D1"/>
    <w:rsid w:val="00A54408"/>
    <w:rsid w:val="00A57731"/>
    <w:rsid w:val="00A643E2"/>
    <w:rsid w:val="00A70A89"/>
    <w:rsid w:val="00A7372C"/>
    <w:rsid w:val="00A73C44"/>
    <w:rsid w:val="00A7453F"/>
    <w:rsid w:val="00A77332"/>
    <w:rsid w:val="00A82B33"/>
    <w:rsid w:val="00A83BC0"/>
    <w:rsid w:val="00A866B7"/>
    <w:rsid w:val="00A86F0B"/>
    <w:rsid w:val="00A91D39"/>
    <w:rsid w:val="00A92A79"/>
    <w:rsid w:val="00A93837"/>
    <w:rsid w:val="00A9608E"/>
    <w:rsid w:val="00AA1025"/>
    <w:rsid w:val="00AA1306"/>
    <w:rsid w:val="00AA14E9"/>
    <w:rsid w:val="00AA187D"/>
    <w:rsid w:val="00AA281E"/>
    <w:rsid w:val="00AA2A2B"/>
    <w:rsid w:val="00AA56A1"/>
    <w:rsid w:val="00AB01EB"/>
    <w:rsid w:val="00AB18A1"/>
    <w:rsid w:val="00AB25B1"/>
    <w:rsid w:val="00AB2729"/>
    <w:rsid w:val="00AB369C"/>
    <w:rsid w:val="00AB4549"/>
    <w:rsid w:val="00AB4E12"/>
    <w:rsid w:val="00AB57C7"/>
    <w:rsid w:val="00AB6F8C"/>
    <w:rsid w:val="00AC0278"/>
    <w:rsid w:val="00AC1C1B"/>
    <w:rsid w:val="00AC6D44"/>
    <w:rsid w:val="00AD1C9F"/>
    <w:rsid w:val="00AD1EAE"/>
    <w:rsid w:val="00AD3553"/>
    <w:rsid w:val="00AD45E2"/>
    <w:rsid w:val="00AD7A92"/>
    <w:rsid w:val="00AE115E"/>
    <w:rsid w:val="00AE27B2"/>
    <w:rsid w:val="00AE3F15"/>
    <w:rsid w:val="00AE4E30"/>
    <w:rsid w:val="00AE5AEC"/>
    <w:rsid w:val="00AF4904"/>
    <w:rsid w:val="00AF600C"/>
    <w:rsid w:val="00AF62A0"/>
    <w:rsid w:val="00B00777"/>
    <w:rsid w:val="00B007F6"/>
    <w:rsid w:val="00B00848"/>
    <w:rsid w:val="00B00D4A"/>
    <w:rsid w:val="00B02102"/>
    <w:rsid w:val="00B03E32"/>
    <w:rsid w:val="00B10012"/>
    <w:rsid w:val="00B102E6"/>
    <w:rsid w:val="00B11790"/>
    <w:rsid w:val="00B145E3"/>
    <w:rsid w:val="00B16DD3"/>
    <w:rsid w:val="00B21329"/>
    <w:rsid w:val="00B23299"/>
    <w:rsid w:val="00B31803"/>
    <w:rsid w:val="00B32A57"/>
    <w:rsid w:val="00B348CC"/>
    <w:rsid w:val="00B37D95"/>
    <w:rsid w:val="00B429A5"/>
    <w:rsid w:val="00B50153"/>
    <w:rsid w:val="00B52EEC"/>
    <w:rsid w:val="00B56FEF"/>
    <w:rsid w:val="00B57062"/>
    <w:rsid w:val="00B640A0"/>
    <w:rsid w:val="00B653BE"/>
    <w:rsid w:val="00B65406"/>
    <w:rsid w:val="00B6584F"/>
    <w:rsid w:val="00B701BB"/>
    <w:rsid w:val="00B71218"/>
    <w:rsid w:val="00B71503"/>
    <w:rsid w:val="00B734A4"/>
    <w:rsid w:val="00B762BD"/>
    <w:rsid w:val="00B84138"/>
    <w:rsid w:val="00B85675"/>
    <w:rsid w:val="00B86095"/>
    <w:rsid w:val="00B91112"/>
    <w:rsid w:val="00B94BFC"/>
    <w:rsid w:val="00B95168"/>
    <w:rsid w:val="00B96322"/>
    <w:rsid w:val="00BA1A44"/>
    <w:rsid w:val="00BA5790"/>
    <w:rsid w:val="00BA626C"/>
    <w:rsid w:val="00BA7295"/>
    <w:rsid w:val="00BA78A5"/>
    <w:rsid w:val="00BA79D6"/>
    <w:rsid w:val="00BB060F"/>
    <w:rsid w:val="00BB223B"/>
    <w:rsid w:val="00BB5078"/>
    <w:rsid w:val="00BB5CEB"/>
    <w:rsid w:val="00BB783A"/>
    <w:rsid w:val="00BC0F32"/>
    <w:rsid w:val="00BC24BC"/>
    <w:rsid w:val="00BC5916"/>
    <w:rsid w:val="00BC7074"/>
    <w:rsid w:val="00BC7F2C"/>
    <w:rsid w:val="00BD12B4"/>
    <w:rsid w:val="00BD18D1"/>
    <w:rsid w:val="00BD1FE0"/>
    <w:rsid w:val="00BD2506"/>
    <w:rsid w:val="00BD6F80"/>
    <w:rsid w:val="00BE1A8E"/>
    <w:rsid w:val="00BE40F9"/>
    <w:rsid w:val="00BF0961"/>
    <w:rsid w:val="00BF2451"/>
    <w:rsid w:val="00BF2771"/>
    <w:rsid w:val="00C022C8"/>
    <w:rsid w:val="00C03235"/>
    <w:rsid w:val="00C036CF"/>
    <w:rsid w:val="00C04A94"/>
    <w:rsid w:val="00C072BC"/>
    <w:rsid w:val="00C07833"/>
    <w:rsid w:val="00C127CE"/>
    <w:rsid w:val="00C15A15"/>
    <w:rsid w:val="00C1653F"/>
    <w:rsid w:val="00C21036"/>
    <w:rsid w:val="00C23294"/>
    <w:rsid w:val="00C2759D"/>
    <w:rsid w:val="00C27BDB"/>
    <w:rsid w:val="00C27E26"/>
    <w:rsid w:val="00C302C0"/>
    <w:rsid w:val="00C32129"/>
    <w:rsid w:val="00C331A0"/>
    <w:rsid w:val="00C35490"/>
    <w:rsid w:val="00C35D53"/>
    <w:rsid w:val="00C372FF"/>
    <w:rsid w:val="00C45B4E"/>
    <w:rsid w:val="00C47067"/>
    <w:rsid w:val="00C53146"/>
    <w:rsid w:val="00C54452"/>
    <w:rsid w:val="00C569BE"/>
    <w:rsid w:val="00C60A2F"/>
    <w:rsid w:val="00C64977"/>
    <w:rsid w:val="00C6746D"/>
    <w:rsid w:val="00C70B6A"/>
    <w:rsid w:val="00C716BA"/>
    <w:rsid w:val="00C733FB"/>
    <w:rsid w:val="00C74111"/>
    <w:rsid w:val="00C74583"/>
    <w:rsid w:val="00C7527D"/>
    <w:rsid w:val="00C76748"/>
    <w:rsid w:val="00C80266"/>
    <w:rsid w:val="00C837B1"/>
    <w:rsid w:val="00C84E94"/>
    <w:rsid w:val="00C86AC2"/>
    <w:rsid w:val="00C878F4"/>
    <w:rsid w:val="00C92914"/>
    <w:rsid w:val="00C94925"/>
    <w:rsid w:val="00C9581B"/>
    <w:rsid w:val="00C9730F"/>
    <w:rsid w:val="00CA23A1"/>
    <w:rsid w:val="00CA2B62"/>
    <w:rsid w:val="00CA3FFA"/>
    <w:rsid w:val="00CA51EB"/>
    <w:rsid w:val="00CB302C"/>
    <w:rsid w:val="00CB3C74"/>
    <w:rsid w:val="00CB69B7"/>
    <w:rsid w:val="00CC2DFB"/>
    <w:rsid w:val="00CC77AC"/>
    <w:rsid w:val="00CD4197"/>
    <w:rsid w:val="00CD712A"/>
    <w:rsid w:val="00CF148F"/>
    <w:rsid w:val="00CF2CD9"/>
    <w:rsid w:val="00CF6949"/>
    <w:rsid w:val="00CF790A"/>
    <w:rsid w:val="00CF7A66"/>
    <w:rsid w:val="00D02168"/>
    <w:rsid w:val="00D14FD6"/>
    <w:rsid w:val="00D157DE"/>
    <w:rsid w:val="00D159E5"/>
    <w:rsid w:val="00D244E2"/>
    <w:rsid w:val="00D249F0"/>
    <w:rsid w:val="00D26D28"/>
    <w:rsid w:val="00D3032B"/>
    <w:rsid w:val="00D3494C"/>
    <w:rsid w:val="00D3505B"/>
    <w:rsid w:val="00D36C4B"/>
    <w:rsid w:val="00D36D69"/>
    <w:rsid w:val="00D37689"/>
    <w:rsid w:val="00D40450"/>
    <w:rsid w:val="00D41788"/>
    <w:rsid w:val="00D45628"/>
    <w:rsid w:val="00D47525"/>
    <w:rsid w:val="00D55A33"/>
    <w:rsid w:val="00D55D45"/>
    <w:rsid w:val="00D60D46"/>
    <w:rsid w:val="00D62F75"/>
    <w:rsid w:val="00D64442"/>
    <w:rsid w:val="00D65011"/>
    <w:rsid w:val="00D67844"/>
    <w:rsid w:val="00D70F1F"/>
    <w:rsid w:val="00D722A3"/>
    <w:rsid w:val="00D735AB"/>
    <w:rsid w:val="00D74C0C"/>
    <w:rsid w:val="00D757C2"/>
    <w:rsid w:val="00D757E6"/>
    <w:rsid w:val="00D767AA"/>
    <w:rsid w:val="00D7731B"/>
    <w:rsid w:val="00D77B22"/>
    <w:rsid w:val="00D84F9D"/>
    <w:rsid w:val="00D86EDA"/>
    <w:rsid w:val="00D874C6"/>
    <w:rsid w:val="00D9354B"/>
    <w:rsid w:val="00D96652"/>
    <w:rsid w:val="00DA236D"/>
    <w:rsid w:val="00DB601B"/>
    <w:rsid w:val="00DB715D"/>
    <w:rsid w:val="00DC5B17"/>
    <w:rsid w:val="00DC69E3"/>
    <w:rsid w:val="00DD15DC"/>
    <w:rsid w:val="00DD4BC8"/>
    <w:rsid w:val="00DD5A81"/>
    <w:rsid w:val="00DD6A07"/>
    <w:rsid w:val="00DE0625"/>
    <w:rsid w:val="00DE1D08"/>
    <w:rsid w:val="00DE24ED"/>
    <w:rsid w:val="00DE3D90"/>
    <w:rsid w:val="00DE50A5"/>
    <w:rsid w:val="00DE6C2C"/>
    <w:rsid w:val="00DE6EDA"/>
    <w:rsid w:val="00DE7388"/>
    <w:rsid w:val="00DE7C85"/>
    <w:rsid w:val="00DF0CA2"/>
    <w:rsid w:val="00DF32D3"/>
    <w:rsid w:val="00DF7FF8"/>
    <w:rsid w:val="00E030BB"/>
    <w:rsid w:val="00E03F91"/>
    <w:rsid w:val="00E07705"/>
    <w:rsid w:val="00E108C4"/>
    <w:rsid w:val="00E12F26"/>
    <w:rsid w:val="00E158EC"/>
    <w:rsid w:val="00E20C1A"/>
    <w:rsid w:val="00E2509A"/>
    <w:rsid w:val="00E316DA"/>
    <w:rsid w:val="00E32545"/>
    <w:rsid w:val="00E42B82"/>
    <w:rsid w:val="00E42F0A"/>
    <w:rsid w:val="00E43698"/>
    <w:rsid w:val="00E44A3C"/>
    <w:rsid w:val="00E476A3"/>
    <w:rsid w:val="00E51879"/>
    <w:rsid w:val="00E56650"/>
    <w:rsid w:val="00E56872"/>
    <w:rsid w:val="00E602CB"/>
    <w:rsid w:val="00E60D8F"/>
    <w:rsid w:val="00E633CB"/>
    <w:rsid w:val="00E63872"/>
    <w:rsid w:val="00E6688C"/>
    <w:rsid w:val="00E67421"/>
    <w:rsid w:val="00E74D8B"/>
    <w:rsid w:val="00E8584F"/>
    <w:rsid w:val="00E8588A"/>
    <w:rsid w:val="00E91F57"/>
    <w:rsid w:val="00E94721"/>
    <w:rsid w:val="00E964CF"/>
    <w:rsid w:val="00EA1287"/>
    <w:rsid w:val="00EA5AD8"/>
    <w:rsid w:val="00EA5FA1"/>
    <w:rsid w:val="00EA6E0E"/>
    <w:rsid w:val="00EA73B4"/>
    <w:rsid w:val="00EA7488"/>
    <w:rsid w:val="00EA7F8E"/>
    <w:rsid w:val="00EB1818"/>
    <w:rsid w:val="00EB37F7"/>
    <w:rsid w:val="00EB585E"/>
    <w:rsid w:val="00EB5BB2"/>
    <w:rsid w:val="00EC622E"/>
    <w:rsid w:val="00ED06BD"/>
    <w:rsid w:val="00EE108A"/>
    <w:rsid w:val="00EE12D0"/>
    <w:rsid w:val="00EE7527"/>
    <w:rsid w:val="00EF0226"/>
    <w:rsid w:val="00EF0B31"/>
    <w:rsid w:val="00EF6BA8"/>
    <w:rsid w:val="00F005CF"/>
    <w:rsid w:val="00F02BE8"/>
    <w:rsid w:val="00F0480D"/>
    <w:rsid w:val="00F06673"/>
    <w:rsid w:val="00F0704D"/>
    <w:rsid w:val="00F1080C"/>
    <w:rsid w:val="00F114FB"/>
    <w:rsid w:val="00F12373"/>
    <w:rsid w:val="00F135BE"/>
    <w:rsid w:val="00F21B83"/>
    <w:rsid w:val="00F223DC"/>
    <w:rsid w:val="00F22538"/>
    <w:rsid w:val="00F229B7"/>
    <w:rsid w:val="00F2425A"/>
    <w:rsid w:val="00F2464E"/>
    <w:rsid w:val="00F246C4"/>
    <w:rsid w:val="00F30307"/>
    <w:rsid w:val="00F31A23"/>
    <w:rsid w:val="00F34898"/>
    <w:rsid w:val="00F353D5"/>
    <w:rsid w:val="00F41E10"/>
    <w:rsid w:val="00F43911"/>
    <w:rsid w:val="00F5062D"/>
    <w:rsid w:val="00F50E37"/>
    <w:rsid w:val="00F52F64"/>
    <w:rsid w:val="00F575E8"/>
    <w:rsid w:val="00F645E2"/>
    <w:rsid w:val="00F65706"/>
    <w:rsid w:val="00F67412"/>
    <w:rsid w:val="00F70516"/>
    <w:rsid w:val="00F7105A"/>
    <w:rsid w:val="00F74B9D"/>
    <w:rsid w:val="00F76CB8"/>
    <w:rsid w:val="00F80CDC"/>
    <w:rsid w:val="00F811A1"/>
    <w:rsid w:val="00F8601D"/>
    <w:rsid w:val="00F86096"/>
    <w:rsid w:val="00F86134"/>
    <w:rsid w:val="00F90A77"/>
    <w:rsid w:val="00F93DBE"/>
    <w:rsid w:val="00F9475C"/>
    <w:rsid w:val="00F95340"/>
    <w:rsid w:val="00FA5091"/>
    <w:rsid w:val="00FA5F2A"/>
    <w:rsid w:val="00FA6191"/>
    <w:rsid w:val="00FA728C"/>
    <w:rsid w:val="00FB003B"/>
    <w:rsid w:val="00FC609E"/>
    <w:rsid w:val="00FD0B0A"/>
    <w:rsid w:val="00FD13B6"/>
    <w:rsid w:val="00FD3C28"/>
    <w:rsid w:val="00FD6F89"/>
    <w:rsid w:val="00FD7C11"/>
    <w:rsid w:val="00FE050A"/>
    <w:rsid w:val="00FE1D20"/>
    <w:rsid w:val="00FE779F"/>
    <w:rsid w:val="00FF1471"/>
    <w:rsid w:val="00FF2D35"/>
    <w:rsid w:val="00FF2F65"/>
    <w:rsid w:val="00FF3A65"/>
    <w:rsid w:val="00FF4A22"/>
    <w:rsid w:val="00FF4CEF"/>
    <w:rsid w:val="00FF593A"/>
    <w:rsid w:val="00FF67C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4F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F1B4F"/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basedOn w:val="DefaultParagraphFont"/>
    <w:rsid w:val="004F1B4F"/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4F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756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79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146"/>
    <w:rPr>
      <w:rFonts w:eastAsia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444DF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4DF"/>
    <w:rPr>
      <w:rFonts w:eastAsia="Calibri" w:cs="Times New Roman"/>
      <w:sz w:val="20"/>
      <w:szCs w:val="20"/>
    </w:rPr>
  </w:style>
  <w:style w:type="character" w:styleId="FootnoteReference">
    <w:name w:val="footnote reference"/>
    <w:unhideWhenUsed/>
    <w:rsid w:val="007444DF"/>
    <w:rPr>
      <w:vertAlign w:val="superscript"/>
    </w:rPr>
  </w:style>
  <w:style w:type="character" w:styleId="Emphasis">
    <w:name w:val="Emphasis"/>
    <w:qFormat/>
    <w:rsid w:val="007444DF"/>
    <w:rPr>
      <w:i/>
      <w:iCs/>
    </w:rPr>
  </w:style>
  <w:style w:type="character" w:styleId="Strong">
    <w:name w:val="Strong"/>
    <w:basedOn w:val="DefaultParagraphFont"/>
    <w:uiPriority w:val="22"/>
    <w:qFormat/>
    <w:rsid w:val="008E74A8"/>
    <w:rPr>
      <w:b/>
      <w:bCs/>
    </w:rPr>
  </w:style>
  <w:style w:type="paragraph" w:styleId="Revision">
    <w:name w:val="Revision"/>
    <w:hidden/>
    <w:uiPriority w:val="99"/>
    <w:semiHidden/>
    <w:rsid w:val="00E94721"/>
    <w:rPr>
      <w:rFonts w:eastAsia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F4D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A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4F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F1B4F"/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basedOn w:val="DefaultParagraphFont"/>
    <w:rsid w:val="004F1B4F"/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4F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756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79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146"/>
    <w:rPr>
      <w:rFonts w:eastAsia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444DF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4DF"/>
    <w:rPr>
      <w:rFonts w:eastAsia="Calibri" w:cs="Times New Roman"/>
      <w:sz w:val="20"/>
      <w:szCs w:val="20"/>
    </w:rPr>
  </w:style>
  <w:style w:type="character" w:styleId="FootnoteReference">
    <w:name w:val="footnote reference"/>
    <w:unhideWhenUsed/>
    <w:rsid w:val="007444DF"/>
    <w:rPr>
      <w:vertAlign w:val="superscript"/>
    </w:rPr>
  </w:style>
  <w:style w:type="character" w:styleId="Emphasis">
    <w:name w:val="Emphasis"/>
    <w:qFormat/>
    <w:rsid w:val="007444DF"/>
    <w:rPr>
      <w:i/>
      <w:iCs/>
    </w:rPr>
  </w:style>
  <w:style w:type="character" w:styleId="Strong">
    <w:name w:val="Strong"/>
    <w:basedOn w:val="DefaultParagraphFont"/>
    <w:uiPriority w:val="22"/>
    <w:qFormat/>
    <w:rsid w:val="008E74A8"/>
    <w:rPr>
      <w:b/>
      <w:bCs/>
    </w:rPr>
  </w:style>
  <w:style w:type="paragraph" w:styleId="Revision">
    <w:name w:val="Revision"/>
    <w:hidden/>
    <w:uiPriority w:val="99"/>
    <w:semiHidden/>
    <w:rsid w:val="00E94721"/>
    <w:rPr>
      <w:rFonts w:eastAsia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F4D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A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T.Trenko </Vad_x012b_t_x0101_js>
    <Kategorija xmlns="2e5bb04e-596e-45bd-9003-43ca78b1ba16">Anotācija</Kategorija>
    <DKP xmlns="2e5bb04e-596e-45bd-9003-43ca78b1ba16">67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6D25-5CE6-4A82-9CE4-FF63412334C1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D3EEAB4C-AC19-4673-9EB7-4D3424969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D159C-FCFA-4417-9B31-4ED56208C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BBA816-C0A4-49A5-9980-CA51E5AD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3152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2010.gada 30.marta noteikumos Nr.302 „Noteikumi par akcīzes nodokļa nodrošinājumiem”” sākotnējās ietekmes novērtējuma ziņojums (anotācija)</vt:lpstr>
    </vt:vector>
  </TitlesOfParts>
  <Company>Valsts ieņēmumu dienests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30.marta noteikumos Nr.302 „Noteikumi par akcīzes nodokļa nodrošinājumiem”” sākotnējās ietekmes novērtējuma ziņojums (anotācija)</dc:title>
  <dc:subject>Anotācija</dc:subject>
  <dc:creator>Jānis Bormanis</dc:creator>
  <dc:description>Janis.Bormanis@vid.gov.lv; 67120109</dc:description>
  <cp:lastModifiedBy>Jānis Bormanis</cp:lastModifiedBy>
  <cp:revision>16</cp:revision>
  <cp:lastPrinted>2016-02-05T12:07:00Z</cp:lastPrinted>
  <dcterms:created xsi:type="dcterms:W3CDTF">2016-05-11T05:56:00Z</dcterms:created>
  <dcterms:modified xsi:type="dcterms:W3CDTF">2016-06-15T11:07:00Z</dcterms:modified>
  <cp:category>Anotācija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