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218D4" w14:textId="77777777" w:rsidR="00B00462" w:rsidRPr="00E915CD" w:rsidRDefault="00B00462" w:rsidP="00B00462">
      <w:pPr>
        <w:tabs>
          <w:tab w:val="left" w:pos="6237"/>
        </w:tabs>
        <w:jc w:val="center"/>
        <w:rPr>
          <w:b/>
        </w:rPr>
      </w:pPr>
      <w:bookmarkStart w:id="0" w:name="468683"/>
      <w:bookmarkStart w:id="1" w:name="OLE_LINK2"/>
      <w:bookmarkStart w:id="2" w:name="OLE_LINK3"/>
      <w:bookmarkStart w:id="3" w:name="OLE_LINK4"/>
      <w:bookmarkStart w:id="4" w:name="OLE_LINK1"/>
      <w:bookmarkEnd w:id="0"/>
      <w:r w:rsidRPr="00E915CD">
        <w:rPr>
          <w:b/>
        </w:rPr>
        <w:t>Minist</w:t>
      </w:r>
      <w:bookmarkStart w:id="5" w:name="OLE_LINK5"/>
      <w:bookmarkStart w:id="6" w:name="OLE_LINK8"/>
      <w:r w:rsidRPr="00E915CD">
        <w:rPr>
          <w:b/>
        </w:rPr>
        <w:t xml:space="preserve">ru kabineta noteikumu projekta “Grozījumi Ministru kabineta 2011.gada 1.februāra noteikumos Nr.109 </w:t>
      </w:r>
      <w:bookmarkEnd w:id="5"/>
      <w:bookmarkEnd w:id="6"/>
      <w:r w:rsidRPr="00E915CD">
        <w:rPr>
          <w:b/>
        </w:rPr>
        <w:t>“Kārtība, kādā atsavināma publiskas personas manta”” sākotnējās ietekmes novērtējuma ziņojums (anotācija</w:t>
      </w:r>
      <w:bookmarkEnd w:id="1"/>
      <w:r w:rsidRPr="00E915CD">
        <w:rPr>
          <w:b/>
        </w:rPr>
        <w:t>)</w:t>
      </w:r>
    </w:p>
    <w:p w14:paraId="48CF5BCD" w14:textId="77777777" w:rsidR="00055608" w:rsidRPr="00E915CD" w:rsidRDefault="00055608" w:rsidP="005D6B8A">
      <w:pPr>
        <w:jc w:val="center"/>
        <w:rPr>
          <w:b/>
        </w:rPr>
      </w:pPr>
    </w:p>
    <w:tbl>
      <w:tblPr>
        <w:tblpPr w:leftFromText="180" w:rightFromText="180" w:vertAnchor="text" w:horzAnchor="margin" w:tblpXSpec="center" w:tblpY="14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693"/>
        <w:gridCol w:w="6511"/>
      </w:tblGrid>
      <w:tr w:rsidR="00E915CD" w:rsidRPr="00E915CD" w14:paraId="164BBA9C" w14:textId="77777777" w:rsidTr="003E3E30">
        <w:tc>
          <w:tcPr>
            <w:tcW w:w="9634" w:type="dxa"/>
            <w:gridSpan w:val="3"/>
            <w:vAlign w:val="center"/>
          </w:tcPr>
          <w:bookmarkEnd w:id="2"/>
          <w:bookmarkEnd w:id="3"/>
          <w:bookmarkEnd w:id="4"/>
          <w:p w14:paraId="560198B2" w14:textId="77777777" w:rsidR="00585B7B" w:rsidRPr="00E915CD" w:rsidRDefault="00585B7B" w:rsidP="00194A0F">
            <w:pPr>
              <w:pStyle w:val="naisnod"/>
              <w:spacing w:before="0" w:after="0"/>
            </w:pPr>
            <w:r w:rsidRPr="00E915CD">
              <w:t>I. Tiesību akta projekta izstrādes nepieciešamība</w:t>
            </w:r>
          </w:p>
        </w:tc>
      </w:tr>
      <w:tr w:rsidR="00E915CD" w:rsidRPr="00E915CD" w14:paraId="1DC7DDB3" w14:textId="77777777" w:rsidTr="003E3E30">
        <w:trPr>
          <w:trHeight w:val="630"/>
        </w:trPr>
        <w:tc>
          <w:tcPr>
            <w:tcW w:w="430" w:type="dxa"/>
          </w:tcPr>
          <w:p w14:paraId="7242B342" w14:textId="77777777" w:rsidR="00585B7B" w:rsidRPr="00E915CD" w:rsidRDefault="00585B7B" w:rsidP="008430A7">
            <w:pPr>
              <w:pStyle w:val="naiskr"/>
              <w:spacing w:before="0" w:after="0"/>
              <w:jc w:val="center"/>
            </w:pPr>
            <w:r w:rsidRPr="00E915CD">
              <w:t>1.</w:t>
            </w:r>
          </w:p>
        </w:tc>
        <w:tc>
          <w:tcPr>
            <w:tcW w:w="2693" w:type="dxa"/>
          </w:tcPr>
          <w:p w14:paraId="03E3DAD9" w14:textId="77777777" w:rsidR="00585B7B" w:rsidRPr="00E915CD" w:rsidRDefault="00585B7B" w:rsidP="003E3E30">
            <w:pPr>
              <w:pStyle w:val="naiskr"/>
              <w:spacing w:before="0" w:after="0"/>
              <w:ind w:left="141" w:hanging="10"/>
              <w:jc w:val="both"/>
            </w:pPr>
            <w:r w:rsidRPr="00E915CD">
              <w:t>Pamatojums</w:t>
            </w:r>
          </w:p>
        </w:tc>
        <w:tc>
          <w:tcPr>
            <w:tcW w:w="6511" w:type="dxa"/>
          </w:tcPr>
          <w:p w14:paraId="574F71A6" w14:textId="77777777" w:rsidR="00190FBE" w:rsidRPr="00E915CD" w:rsidRDefault="003D14A5" w:rsidP="00C475B5">
            <w:pPr>
              <w:jc w:val="both"/>
            </w:pPr>
            <w:r w:rsidRPr="00E915CD">
              <w:t xml:space="preserve">Publiskas personas mantas </w:t>
            </w:r>
            <w:r w:rsidR="00E32F81" w:rsidRPr="00E915CD">
              <w:t>atsavināšanas likuma (turpmāk – </w:t>
            </w:r>
            <w:r w:rsidRPr="00E915CD">
              <w:t xml:space="preserve">Atsavināšanas likums) 4.panta </w:t>
            </w:r>
            <w:r w:rsidR="00942AB2" w:rsidRPr="00E915CD">
              <w:t>pirmā prim</w:t>
            </w:r>
            <w:r w:rsidRPr="00E915CD">
              <w:t xml:space="preserve"> daļa, </w:t>
            </w:r>
            <w:r w:rsidR="00A22FE8" w:rsidRPr="00E915CD">
              <w:t>4.panta ceturtās daļas 9.punkts un</w:t>
            </w:r>
            <w:r w:rsidRPr="00E915CD">
              <w:t xml:space="preserve"> pārejas noteikumu 18.punkts.</w:t>
            </w:r>
          </w:p>
        </w:tc>
      </w:tr>
      <w:tr w:rsidR="00E915CD" w:rsidRPr="00E915CD" w14:paraId="0279639F" w14:textId="77777777" w:rsidTr="00A63048">
        <w:trPr>
          <w:trHeight w:val="841"/>
        </w:trPr>
        <w:tc>
          <w:tcPr>
            <w:tcW w:w="430" w:type="dxa"/>
          </w:tcPr>
          <w:p w14:paraId="1790E130" w14:textId="3A0BB5C4" w:rsidR="00AA7EC0" w:rsidRPr="00E915CD" w:rsidRDefault="00585B7B" w:rsidP="008430A7">
            <w:pPr>
              <w:pStyle w:val="naiskr"/>
              <w:spacing w:before="0" w:after="0"/>
              <w:jc w:val="center"/>
            </w:pPr>
            <w:r w:rsidRPr="00E915CD">
              <w:t>2.</w:t>
            </w:r>
          </w:p>
          <w:p w14:paraId="30320A1C" w14:textId="77777777" w:rsidR="00AA7EC0" w:rsidRPr="00E915CD" w:rsidRDefault="00AA7EC0" w:rsidP="00AA7EC0"/>
          <w:p w14:paraId="37A12708" w14:textId="77777777" w:rsidR="00AA7EC0" w:rsidRPr="00E915CD" w:rsidRDefault="00AA7EC0" w:rsidP="00AA7EC0"/>
          <w:p w14:paraId="446CF6EC" w14:textId="77777777" w:rsidR="00AA7EC0" w:rsidRPr="00E915CD" w:rsidRDefault="00AA7EC0" w:rsidP="00AA7EC0"/>
          <w:p w14:paraId="590D394C" w14:textId="77777777" w:rsidR="00AA7EC0" w:rsidRPr="00E915CD" w:rsidRDefault="00AA7EC0" w:rsidP="00AA7EC0"/>
          <w:p w14:paraId="436AE0B0" w14:textId="77777777" w:rsidR="00AA7EC0" w:rsidRPr="00E915CD" w:rsidRDefault="00AA7EC0" w:rsidP="00AA7EC0"/>
          <w:p w14:paraId="41A8B346" w14:textId="77777777" w:rsidR="00AA7EC0" w:rsidRPr="00E915CD" w:rsidRDefault="00AA7EC0" w:rsidP="00AA7EC0"/>
          <w:p w14:paraId="119E3D27" w14:textId="77777777" w:rsidR="00AA7EC0" w:rsidRPr="00E915CD" w:rsidRDefault="00AA7EC0" w:rsidP="00AA7EC0"/>
          <w:p w14:paraId="5EFE5644" w14:textId="77777777" w:rsidR="00AA7EC0" w:rsidRPr="00E915CD" w:rsidRDefault="00AA7EC0" w:rsidP="00AA7EC0"/>
          <w:p w14:paraId="62CFD24E" w14:textId="77777777" w:rsidR="00AA7EC0" w:rsidRPr="00E915CD" w:rsidRDefault="00AA7EC0" w:rsidP="00AA7EC0"/>
          <w:p w14:paraId="4B2237D3" w14:textId="77777777" w:rsidR="00AA7EC0" w:rsidRPr="00E915CD" w:rsidRDefault="00AA7EC0" w:rsidP="00AA7EC0"/>
          <w:p w14:paraId="60D6D4AE" w14:textId="77777777" w:rsidR="00AA7EC0" w:rsidRPr="00E915CD" w:rsidRDefault="00AA7EC0" w:rsidP="00AA7EC0"/>
          <w:p w14:paraId="12292803" w14:textId="77777777" w:rsidR="00AA7EC0" w:rsidRPr="00E915CD" w:rsidRDefault="00AA7EC0" w:rsidP="00AA7EC0"/>
          <w:p w14:paraId="62EC59BD" w14:textId="77777777" w:rsidR="00AA7EC0" w:rsidRPr="00E915CD" w:rsidRDefault="00AA7EC0" w:rsidP="00AA7EC0"/>
          <w:p w14:paraId="275F4C1A" w14:textId="77777777" w:rsidR="00AA7EC0" w:rsidRPr="00E915CD" w:rsidRDefault="00AA7EC0" w:rsidP="00AA7EC0"/>
          <w:p w14:paraId="645C1DDD" w14:textId="77777777" w:rsidR="00AA7EC0" w:rsidRPr="00E915CD" w:rsidRDefault="00AA7EC0" w:rsidP="00AA7EC0"/>
          <w:p w14:paraId="41475828" w14:textId="77777777" w:rsidR="00AA7EC0" w:rsidRPr="00E915CD" w:rsidRDefault="00AA7EC0" w:rsidP="00AA7EC0"/>
          <w:p w14:paraId="4FDD76C1" w14:textId="77777777" w:rsidR="00AA7EC0" w:rsidRPr="00E915CD" w:rsidRDefault="00AA7EC0" w:rsidP="00AA7EC0"/>
          <w:p w14:paraId="6DE5FEED" w14:textId="77777777" w:rsidR="00AA7EC0" w:rsidRPr="00E915CD" w:rsidRDefault="00AA7EC0" w:rsidP="00AA7EC0"/>
          <w:p w14:paraId="47DDB88C" w14:textId="77777777" w:rsidR="00AA7EC0" w:rsidRPr="00E915CD" w:rsidRDefault="00AA7EC0" w:rsidP="00AA7EC0"/>
          <w:p w14:paraId="611C491B" w14:textId="77777777" w:rsidR="00AA7EC0" w:rsidRPr="00E915CD" w:rsidRDefault="00AA7EC0" w:rsidP="00AA7EC0"/>
          <w:p w14:paraId="0A3615EC" w14:textId="77777777" w:rsidR="00AA7EC0" w:rsidRPr="00E915CD" w:rsidRDefault="00AA7EC0" w:rsidP="00AA7EC0"/>
          <w:p w14:paraId="38BB4DCD" w14:textId="77777777" w:rsidR="00AA7EC0" w:rsidRPr="00E915CD" w:rsidRDefault="00AA7EC0" w:rsidP="00AA7EC0"/>
          <w:p w14:paraId="378FAD17" w14:textId="77777777" w:rsidR="00AA7EC0" w:rsidRPr="00E915CD" w:rsidRDefault="00AA7EC0" w:rsidP="00AA7EC0"/>
          <w:p w14:paraId="1DA8052E" w14:textId="77777777" w:rsidR="00AA7EC0" w:rsidRPr="00E915CD" w:rsidRDefault="00AA7EC0" w:rsidP="00AA7EC0"/>
          <w:p w14:paraId="6A5EFC99" w14:textId="77777777" w:rsidR="00AA7EC0" w:rsidRPr="00E915CD" w:rsidRDefault="00AA7EC0" w:rsidP="00AA7EC0"/>
          <w:p w14:paraId="71BBAB95" w14:textId="77777777" w:rsidR="00AA7EC0" w:rsidRPr="00E915CD" w:rsidRDefault="00AA7EC0" w:rsidP="00AA7EC0"/>
          <w:p w14:paraId="20E8D91E" w14:textId="77777777" w:rsidR="00AA7EC0" w:rsidRPr="00E915CD" w:rsidRDefault="00AA7EC0" w:rsidP="00AA7EC0"/>
          <w:p w14:paraId="26D8BC80" w14:textId="77777777" w:rsidR="00AA7EC0" w:rsidRPr="00E915CD" w:rsidRDefault="00AA7EC0" w:rsidP="00AA7EC0"/>
          <w:p w14:paraId="7D2F476C" w14:textId="77777777" w:rsidR="00AA7EC0" w:rsidRPr="00E915CD" w:rsidRDefault="00AA7EC0" w:rsidP="00AA7EC0"/>
          <w:p w14:paraId="72D41CAC" w14:textId="77777777" w:rsidR="00AA7EC0" w:rsidRPr="00E915CD" w:rsidRDefault="00AA7EC0" w:rsidP="00AA7EC0"/>
          <w:p w14:paraId="5D924A5F" w14:textId="77777777" w:rsidR="00AA7EC0" w:rsidRPr="00E915CD" w:rsidRDefault="00AA7EC0" w:rsidP="00AA7EC0"/>
          <w:p w14:paraId="2A84E5E8" w14:textId="77777777" w:rsidR="00AA7EC0" w:rsidRPr="00E915CD" w:rsidRDefault="00AA7EC0" w:rsidP="00AA7EC0"/>
          <w:p w14:paraId="6E490547" w14:textId="4774D018" w:rsidR="00AA7EC0" w:rsidRPr="00E915CD" w:rsidRDefault="00AA7EC0" w:rsidP="00AA7EC0"/>
          <w:p w14:paraId="67600840" w14:textId="6A296FCA" w:rsidR="00AA7EC0" w:rsidRPr="00E915CD" w:rsidRDefault="00AA7EC0" w:rsidP="00AA7EC0"/>
          <w:p w14:paraId="52B291D7" w14:textId="77777777" w:rsidR="00585B7B" w:rsidRPr="00E915CD" w:rsidRDefault="00585B7B" w:rsidP="00AA7EC0"/>
        </w:tc>
        <w:tc>
          <w:tcPr>
            <w:tcW w:w="2693" w:type="dxa"/>
          </w:tcPr>
          <w:p w14:paraId="2C1BBB04" w14:textId="77777777" w:rsidR="00B11DE0" w:rsidRPr="00E915CD" w:rsidRDefault="00E42247" w:rsidP="00190FBE">
            <w:pPr>
              <w:pStyle w:val="naiskr"/>
              <w:tabs>
                <w:tab w:val="left" w:pos="170"/>
              </w:tabs>
              <w:spacing w:before="0" w:after="0"/>
              <w:ind w:left="141"/>
            </w:pPr>
            <w:r w:rsidRPr="00E915CD">
              <w:t>Pašreizējā situācija un problēmas, kuru risināšanai tiesību akta projekts izstrādāts, tiesiskā regulējuma mērķis un būtība</w:t>
            </w:r>
          </w:p>
          <w:p w14:paraId="3EE2545B" w14:textId="77777777" w:rsidR="00B11DE0" w:rsidRPr="00E915CD" w:rsidRDefault="00B11DE0" w:rsidP="00B11DE0"/>
          <w:p w14:paraId="0BCB00FA" w14:textId="77777777" w:rsidR="00B11DE0" w:rsidRPr="00E915CD" w:rsidRDefault="00B11DE0" w:rsidP="00B11DE0"/>
          <w:p w14:paraId="05F1291A" w14:textId="77777777" w:rsidR="00B11DE0" w:rsidRPr="00E915CD" w:rsidRDefault="00B11DE0" w:rsidP="00B11DE0"/>
          <w:p w14:paraId="0FC2795B" w14:textId="77777777" w:rsidR="00B11DE0" w:rsidRPr="00E915CD" w:rsidRDefault="00B11DE0" w:rsidP="00B11DE0"/>
          <w:p w14:paraId="32B6404C" w14:textId="77777777" w:rsidR="00B11DE0" w:rsidRPr="00E915CD" w:rsidRDefault="00B11DE0" w:rsidP="00B11DE0"/>
          <w:p w14:paraId="14CD6BD8" w14:textId="77777777" w:rsidR="00B11DE0" w:rsidRPr="00E915CD" w:rsidRDefault="00B11DE0" w:rsidP="00B11DE0"/>
          <w:p w14:paraId="27AEF4D8" w14:textId="77777777" w:rsidR="00B11DE0" w:rsidRPr="00E915CD" w:rsidRDefault="00B11DE0" w:rsidP="00B11DE0"/>
          <w:p w14:paraId="7DF3BEDC" w14:textId="77777777" w:rsidR="00B11DE0" w:rsidRPr="00E915CD" w:rsidRDefault="00B11DE0" w:rsidP="00B11DE0"/>
          <w:p w14:paraId="0AEDE733" w14:textId="77777777" w:rsidR="00B11DE0" w:rsidRPr="00E915CD" w:rsidRDefault="00B11DE0" w:rsidP="00B11DE0"/>
          <w:p w14:paraId="63CB4AF2" w14:textId="77777777" w:rsidR="00B11DE0" w:rsidRPr="00E915CD" w:rsidRDefault="00B11DE0" w:rsidP="00B11DE0"/>
          <w:p w14:paraId="09070155" w14:textId="77777777" w:rsidR="00B11DE0" w:rsidRPr="00E915CD" w:rsidRDefault="00B11DE0" w:rsidP="00B11DE0"/>
          <w:p w14:paraId="6CCABE11" w14:textId="77777777" w:rsidR="00B11DE0" w:rsidRPr="00E915CD" w:rsidRDefault="00B11DE0" w:rsidP="00B11DE0"/>
          <w:p w14:paraId="38EA881D" w14:textId="77777777" w:rsidR="00B11DE0" w:rsidRPr="00E915CD" w:rsidRDefault="00B11DE0" w:rsidP="00B11DE0"/>
          <w:p w14:paraId="187496C8" w14:textId="77777777" w:rsidR="00B11DE0" w:rsidRPr="00E915CD" w:rsidRDefault="00B11DE0" w:rsidP="00B11DE0"/>
          <w:p w14:paraId="4BC92CC1" w14:textId="77777777" w:rsidR="00B11DE0" w:rsidRPr="00E915CD" w:rsidRDefault="00B11DE0" w:rsidP="00B11DE0"/>
          <w:p w14:paraId="7FC6C77E" w14:textId="77777777" w:rsidR="00B11DE0" w:rsidRPr="00E915CD" w:rsidRDefault="00B11DE0" w:rsidP="00B11DE0"/>
          <w:p w14:paraId="07E035BF" w14:textId="77777777" w:rsidR="00B11DE0" w:rsidRPr="00E915CD" w:rsidRDefault="00B11DE0" w:rsidP="00B11DE0"/>
          <w:p w14:paraId="3F7A955D" w14:textId="77777777" w:rsidR="00B11DE0" w:rsidRPr="00E915CD" w:rsidRDefault="00B11DE0" w:rsidP="00B11DE0"/>
          <w:p w14:paraId="5CC0D45E" w14:textId="77777777" w:rsidR="00B11DE0" w:rsidRPr="00E915CD" w:rsidRDefault="00B11DE0" w:rsidP="00B11DE0"/>
          <w:p w14:paraId="6CA01434" w14:textId="77777777" w:rsidR="00B11DE0" w:rsidRPr="00E915CD" w:rsidRDefault="00B11DE0" w:rsidP="00B11DE0"/>
          <w:p w14:paraId="54340AF9" w14:textId="77777777" w:rsidR="00B11DE0" w:rsidRPr="00E915CD" w:rsidRDefault="00B11DE0" w:rsidP="00B11DE0"/>
          <w:p w14:paraId="6B95C480" w14:textId="77777777" w:rsidR="00B11DE0" w:rsidRPr="00E915CD" w:rsidRDefault="00B11DE0" w:rsidP="00B11DE0"/>
          <w:p w14:paraId="6BA05EBB" w14:textId="77777777" w:rsidR="00585B7B" w:rsidRPr="00E915CD" w:rsidRDefault="00585B7B" w:rsidP="00B11DE0">
            <w:pPr>
              <w:jc w:val="center"/>
            </w:pPr>
          </w:p>
        </w:tc>
        <w:tc>
          <w:tcPr>
            <w:tcW w:w="6511" w:type="dxa"/>
          </w:tcPr>
          <w:p w14:paraId="135EC3D1" w14:textId="3102D216" w:rsidR="00942AB2" w:rsidRPr="00F47A3A" w:rsidRDefault="003D14A5" w:rsidP="003D14A5">
            <w:pPr>
              <w:jc w:val="both"/>
            </w:pPr>
            <w:r w:rsidRPr="00E915CD">
              <w:t>2015.gada 29.oktobrī Saeimā trešajā lasījumā tika pieņemts likumprojekts “Grozījumi Publiskas personas mantas atsavināšanas likumā” (Nr</w:t>
            </w:r>
            <w:r w:rsidRPr="00F47A3A">
              <w:t>.61/Lp12)</w:t>
            </w:r>
            <w:r w:rsidR="00501D1D" w:rsidRPr="00F47A3A">
              <w:t xml:space="preserve"> (turpmāk – Likumprojekts)</w:t>
            </w:r>
            <w:r w:rsidR="00527AF7" w:rsidRPr="00F47A3A">
              <w:t xml:space="preserve">. </w:t>
            </w:r>
            <w:r w:rsidR="00942AB2" w:rsidRPr="00F47A3A">
              <w:t>Ministru kabineta noteikumu projekts “Grozījumi Ministru kabineta 2011.gada 1.februāra noteikumos Nr.109 “Kārtība, kādā atsavināma publiska</w:t>
            </w:r>
            <w:r w:rsidR="00E17459" w:rsidRPr="00F47A3A">
              <w:t>s personas manta”” (turpmāk – Noteikumu projekts) ir izstrādāts</w:t>
            </w:r>
            <w:r w:rsidR="00942AB2" w:rsidRPr="00F47A3A">
              <w:t>, lai pielāgotu Ministru kabineta 2011.gada</w:t>
            </w:r>
            <w:r w:rsidR="00C475B5" w:rsidRPr="00F47A3A">
              <w:t xml:space="preserve"> </w:t>
            </w:r>
            <w:r w:rsidR="00942AB2" w:rsidRPr="00F47A3A">
              <w:t xml:space="preserve">1.februāra noteikumu Nr.109 “Kārtība, kādā atsavināma publiskas personas manta” (turpmāk – Noteikumi) tiesību normas </w:t>
            </w:r>
            <w:r w:rsidR="00E17459" w:rsidRPr="00F47A3A">
              <w:t>pieņemtajiem</w:t>
            </w:r>
            <w:r w:rsidR="00942AB2" w:rsidRPr="00F47A3A">
              <w:t xml:space="preserve"> g</w:t>
            </w:r>
            <w:r w:rsidR="00DA0516" w:rsidRPr="00F47A3A">
              <w:t>rozījumiem Atsavināšanas likumā, kā arī lai atbilstoši precizētu Noteikumos izmantotos terminus.</w:t>
            </w:r>
          </w:p>
          <w:p w14:paraId="358AE206" w14:textId="77777777" w:rsidR="00AA25C8" w:rsidRPr="00F47A3A" w:rsidRDefault="00AA25C8" w:rsidP="00F82E1F">
            <w:pPr>
              <w:pStyle w:val="ListParagraph"/>
              <w:numPr>
                <w:ilvl w:val="0"/>
                <w:numId w:val="14"/>
              </w:numPr>
              <w:ind w:left="0" w:firstLine="0"/>
              <w:jc w:val="both"/>
            </w:pPr>
            <w:r w:rsidRPr="00F47A3A">
              <w:t>Atsavināšanas likuma 4.panta pirmā prim daļa (redakcija līdz 03.12.2015.) noteica tikai atsevišķus atsavināšanas veidus, t.i., kustamās mantas maiņu vai nodošanu piegādātājam, izdarot ieskaitu, kurus varēja ierosināt, nenoskaidrojot publiskas personas vai tās iestāžu vajadzību pēc citai publiskai personai vai tās iestādēm nevajadzīgās kustamās mantas.</w:t>
            </w:r>
          </w:p>
          <w:p w14:paraId="2C0DDA65" w14:textId="4159B0A0" w:rsidR="00F82E1F" w:rsidRPr="00F47A3A" w:rsidRDefault="00C322F6" w:rsidP="00EE558B">
            <w:pPr>
              <w:shd w:val="clear" w:color="auto" w:fill="FFFFFF"/>
              <w:spacing w:after="60"/>
              <w:jc w:val="both"/>
            </w:pPr>
            <w:r w:rsidRPr="00F47A3A">
              <w:rPr>
                <w:rFonts w:eastAsia="Times New Roman"/>
              </w:rPr>
              <w:t>Ņemot vērā, ka t</w:t>
            </w:r>
            <w:r w:rsidR="00EE558B" w:rsidRPr="00F47A3A">
              <w:rPr>
                <w:rFonts w:eastAsia="Times New Roman"/>
              </w:rPr>
              <w:t>i</w:t>
            </w:r>
            <w:r w:rsidR="00AA25C8" w:rsidRPr="00F47A3A">
              <w:rPr>
                <w:rFonts w:eastAsia="Times New Roman"/>
              </w:rPr>
              <w:t xml:space="preserve">ek identificēti aizvien jauni gadījumi, kad valsts kustamo mantu būtu nepieciešams atsavināt privātpersonām, nenoskaidrojot citu iestāžu vajadzības pēc kustamās mantas, to realizējot ne vien maiņas vai nodošanas piegādātājam, izdarot ieskaitu, ceļā, bet </w:t>
            </w:r>
            <w:r w:rsidR="00AA25C8" w:rsidRPr="00F47A3A">
              <w:rPr>
                <w:shd w:val="clear" w:color="auto" w:fill="FFFFFF"/>
              </w:rPr>
              <w:t>arī pārd</w:t>
            </w:r>
            <w:r w:rsidR="00C445DD" w:rsidRPr="00F47A3A">
              <w:rPr>
                <w:shd w:val="clear" w:color="auto" w:fill="FFFFFF"/>
              </w:rPr>
              <w:t>odot izsolē, vai par brīvu cenu</w:t>
            </w:r>
            <w:r w:rsidR="00AA25C8" w:rsidRPr="00F47A3A">
              <w:rPr>
                <w:shd w:val="clear" w:color="auto" w:fill="FFFFFF"/>
              </w:rPr>
              <w:t xml:space="preserve"> </w:t>
            </w:r>
            <w:r w:rsidRPr="00F47A3A">
              <w:rPr>
                <w:shd w:val="clear" w:color="auto" w:fill="FFFFFF"/>
              </w:rPr>
              <w:t>(</w:t>
            </w:r>
            <w:r w:rsidR="00AA25C8" w:rsidRPr="00F47A3A">
              <w:rPr>
                <w:shd w:val="clear" w:color="auto" w:fill="FFFFFF"/>
              </w:rPr>
              <w:t>piemēram, valsts materiālās rezerves</w:t>
            </w:r>
            <w:r w:rsidR="0017235E" w:rsidRPr="00F47A3A">
              <w:rPr>
                <w:shd w:val="clear" w:color="auto" w:fill="FFFFFF"/>
              </w:rPr>
              <w:t>),</w:t>
            </w:r>
            <w:r w:rsidRPr="00F47A3A">
              <w:rPr>
                <w:shd w:val="clear" w:color="auto" w:fill="FFFFFF"/>
              </w:rPr>
              <w:t xml:space="preserve"> tika precizēta A</w:t>
            </w:r>
            <w:r w:rsidR="00F82E1F" w:rsidRPr="00F47A3A">
              <w:t xml:space="preserve">tsavināšanas likuma </w:t>
            </w:r>
            <w:r w:rsidR="003D14A5" w:rsidRPr="00F47A3A">
              <w:t xml:space="preserve">4.panta </w:t>
            </w:r>
            <w:r w:rsidR="00224972" w:rsidRPr="00F47A3A">
              <w:t>pirm</w:t>
            </w:r>
            <w:r w:rsidR="00942AB2" w:rsidRPr="00F47A3A">
              <w:t>ā prim</w:t>
            </w:r>
            <w:r w:rsidR="00AA25C8" w:rsidRPr="00F47A3A">
              <w:t xml:space="preserve"> daļa</w:t>
            </w:r>
            <w:r w:rsidR="00EE558B" w:rsidRPr="00F47A3A">
              <w:t xml:space="preserve">, </w:t>
            </w:r>
            <w:r w:rsidR="0017235E" w:rsidRPr="00F47A3A">
              <w:t>nosakot</w:t>
            </w:r>
            <w:r w:rsidR="003D14A5" w:rsidRPr="00F47A3A">
              <w:t>, ka publiskas personas kustamās mantas atsavināšanu noteiktos gadījumos var ierosināt, arī nenoskaidrojot publiskas personas vai tās iestāžu vajadzību pēc citai publiskai personai vai tās iestād</w:t>
            </w:r>
            <w:r w:rsidR="00F82E1F" w:rsidRPr="00F47A3A">
              <w:t xml:space="preserve">ēm nevajadzīgās kustamās mantas. </w:t>
            </w:r>
            <w:r w:rsidR="00F82E1F" w:rsidRPr="00F47A3A">
              <w:rPr>
                <w:rFonts w:eastAsia="Times New Roman"/>
              </w:rPr>
              <w:t xml:space="preserve">Tādējādi  ir paplašināts Ministru kabinetam noteiktais deleģējums attiecībā uz gadījumiem, kad publiskas personas kustamas mantas atsavināšanu var ierosināt, arī nenoskaidrojot publiskas personas vai tās iestāžu vajadzību pēc citai publiskai personai vai tās iestādēm nevajadzīgās kustamās mantas. </w:t>
            </w:r>
          </w:p>
          <w:p w14:paraId="2A8022D8" w14:textId="77777777" w:rsidR="00D34B5C" w:rsidRPr="00F47A3A" w:rsidRDefault="00FB31CB" w:rsidP="00F82E1F">
            <w:pPr>
              <w:shd w:val="clear" w:color="auto" w:fill="FFFFFF"/>
              <w:spacing w:after="60"/>
              <w:jc w:val="both"/>
            </w:pPr>
            <w:r w:rsidRPr="00F47A3A">
              <w:rPr>
                <w:shd w:val="clear" w:color="auto" w:fill="FFFFFF"/>
              </w:rPr>
              <w:t>Izglītības un zinātnes ministrija 2014.gada 30.janvāra atzinumā</w:t>
            </w:r>
            <w:r w:rsidR="001A11AE" w:rsidRPr="00F47A3A">
              <w:rPr>
                <w:shd w:val="clear" w:color="auto" w:fill="FFFFFF"/>
              </w:rPr>
              <w:t xml:space="preserve"> Nr.01-06/544</w:t>
            </w:r>
            <w:r w:rsidRPr="00F47A3A">
              <w:rPr>
                <w:shd w:val="clear" w:color="auto" w:fill="FFFFFF"/>
              </w:rPr>
              <w:t xml:space="preserve"> </w:t>
            </w:r>
            <w:r w:rsidR="00D34B5C" w:rsidRPr="00F47A3A">
              <w:rPr>
                <w:shd w:val="clear" w:color="auto" w:fill="FFFFFF"/>
              </w:rPr>
              <w:t xml:space="preserve">Finanšu ministrijai </w:t>
            </w:r>
            <w:r w:rsidRPr="00F47A3A">
              <w:rPr>
                <w:shd w:val="clear" w:color="auto" w:fill="FFFFFF"/>
              </w:rPr>
              <w:t xml:space="preserve">par </w:t>
            </w:r>
            <w:r w:rsidR="00501D1D" w:rsidRPr="00F47A3A">
              <w:rPr>
                <w:shd w:val="clear" w:color="auto" w:fill="FFFFFF"/>
              </w:rPr>
              <w:t>Likumprojektu</w:t>
            </w:r>
            <w:r w:rsidRPr="00F47A3A">
              <w:t xml:space="preserve"> ir norād</w:t>
            </w:r>
            <w:r w:rsidR="00D34B5C" w:rsidRPr="00F47A3A">
              <w:t xml:space="preserve">ījusi uz nepieciešamību izdarīt grozījumus Noteikumu sadaļā, lai paredzētu iespēju valsts kustamās mantas atsavināšanai, nenoskaidrojot valsts iestāžu un atvasinātu publisku personu vai to iestāžu vajadzības pēc ministrijas, tās padotībā esošas iestādes vai kapitālsabiedrības valdījumā vai turējumā esošās nevajadzīgās valsts kustamās mantas, lai valsts kustamo mantu nodotu konkrētai </w:t>
            </w:r>
            <w:r w:rsidR="00D34B5C" w:rsidRPr="00F47A3A">
              <w:lastRenderedPageBreak/>
              <w:t>iestādei, ja tas nepieciešams Eiropas Savienības struktūrfondu projekta ietvaros.</w:t>
            </w:r>
            <w:r w:rsidR="001A11AE" w:rsidRPr="00F47A3A">
              <w:t xml:space="preserve"> Līdzīgu priekšlikumu ir izteikusi arī Labklājības ministrija, kuras iniciatīvas rezultātā ar Ministru prezidentes 2015.gada  15.aprīļa rezolūciju Nr.1.1.1/45 finanšu ministram tika uzdots izvērtēt nepieciešamību noteiktā kārtībā sagatavot grozījumus Noteikumos, paredzot iespēju</w:t>
            </w:r>
            <w:r w:rsidR="008170D1" w:rsidRPr="00F47A3A">
              <w:t xml:space="preserve"> valsts kustamās mantas atsavināšanai konkrētai iestādei</w:t>
            </w:r>
            <w:r w:rsidR="001A11AE" w:rsidRPr="00F47A3A">
              <w:t>, nenoskaidrojot valsts iestāžu un atvasinātu publisku personu vai to iestāžu vajadzību pēc ministrijas, tās padotībā esošas iestādes mantas, tādai mantai, kas iegūta, īstenojot Eiropas Reģionālās attīstības fonda projektus vai citus līdzīgus projektus un manta domāta projektā iesaistītajam partnerim.</w:t>
            </w:r>
          </w:p>
          <w:p w14:paraId="55AC1E03" w14:textId="02C3305A" w:rsidR="00B433A0" w:rsidRPr="00FA1E71" w:rsidRDefault="00D34B5C" w:rsidP="00501D1D">
            <w:pPr>
              <w:shd w:val="clear" w:color="auto" w:fill="FFFFFF"/>
              <w:spacing w:after="60"/>
              <w:jc w:val="both"/>
            </w:pPr>
            <w:r w:rsidRPr="00F47A3A">
              <w:t>Ņemot</w:t>
            </w:r>
            <w:r w:rsidR="00DA0516" w:rsidRPr="00F47A3A">
              <w:t xml:space="preserve"> vērā iepriekš minē</w:t>
            </w:r>
            <w:r w:rsidR="00527AF7" w:rsidRPr="00F47A3A">
              <w:t xml:space="preserve">to, </w:t>
            </w:r>
            <w:r w:rsidR="00BB2ABD" w:rsidRPr="00F47A3A">
              <w:t>Noteikum</w:t>
            </w:r>
            <w:r w:rsidR="001D6F8B" w:rsidRPr="00F47A3A">
              <w:t>o</w:t>
            </w:r>
            <w:r w:rsidR="00BB2ABD" w:rsidRPr="00F47A3A">
              <w:t>s ir precizēts</w:t>
            </w:r>
            <w:r w:rsidR="006B3402" w:rsidRPr="00F47A3A">
              <w:t xml:space="preserve"> </w:t>
            </w:r>
            <w:r w:rsidR="00DA0516" w:rsidRPr="00F47A3A">
              <w:t>1.3.apakšpunkt</w:t>
            </w:r>
            <w:r w:rsidR="00BB2ABD" w:rsidRPr="00F47A3A">
              <w:t>s</w:t>
            </w:r>
            <w:r w:rsidR="00EE558B" w:rsidRPr="00F47A3A">
              <w:t xml:space="preserve"> un atbilstoši Noteikumu III.nodaļas nosaukum</w:t>
            </w:r>
            <w:r w:rsidR="00BB2ABD" w:rsidRPr="00F47A3A">
              <w:t>s</w:t>
            </w:r>
            <w:r w:rsidR="00A50F39" w:rsidRPr="00F47A3A">
              <w:t xml:space="preserve">, kā arī Noteikumi </w:t>
            </w:r>
            <w:r w:rsidR="00BB2ABD" w:rsidRPr="00F47A3A">
              <w:t xml:space="preserve">ir </w:t>
            </w:r>
            <w:r w:rsidR="001E2677" w:rsidRPr="00F47A3A">
              <w:t xml:space="preserve">papildināti </w:t>
            </w:r>
            <w:r w:rsidR="00C322F6" w:rsidRPr="00F47A3A">
              <w:t>ar 18.3.apakšpunktu un 18.4.apakšpunktu</w:t>
            </w:r>
            <w:r w:rsidRPr="00F47A3A">
              <w:t xml:space="preserve">, nosakot, ka </w:t>
            </w:r>
            <w:r w:rsidR="009E780B" w:rsidRPr="00F47A3A">
              <w:t>valsts kustamās mantas atsavināšanu var ierosināt, nenoskaidrojot valsts iestāžu un atvasinātu publisku personu vai to iestāžu vajadzību pēc ministrijas, tās padotībā esošas iestādes va</w:t>
            </w:r>
            <w:r w:rsidR="00501D1D" w:rsidRPr="00F47A3A">
              <w:t>i</w:t>
            </w:r>
            <w:r w:rsidR="009E780B" w:rsidRPr="00F47A3A">
              <w:t xml:space="preserve"> kapitālsabiedrības valdījumā vai turējumā esoš</w:t>
            </w:r>
            <w:r w:rsidR="00501D1D" w:rsidRPr="00F47A3A">
              <w:t xml:space="preserve">ās nevajadzīgās valsts kustamās mantas, ja atsavina </w:t>
            </w:r>
            <w:r w:rsidRPr="00F47A3A">
              <w:t>valsts kustamo mantu, kas iegūta, īstenojot Eiropas Sa</w:t>
            </w:r>
            <w:r w:rsidR="00B104E2" w:rsidRPr="00F47A3A">
              <w:t>vienības struktūrfondu projektu</w:t>
            </w:r>
            <w:r w:rsidR="00C322F6" w:rsidRPr="00F47A3A">
              <w:t xml:space="preserve"> </w:t>
            </w:r>
            <w:r w:rsidRPr="00F47A3A">
              <w:t xml:space="preserve">un </w:t>
            </w:r>
            <w:r w:rsidR="00B238A9" w:rsidRPr="00F47A3A">
              <w:t xml:space="preserve">kuru paredzēts </w:t>
            </w:r>
            <w:r w:rsidR="003671EA" w:rsidRPr="00F47A3A">
              <w:t xml:space="preserve">pēc </w:t>
            </w:r>
            <w:r w:rsidR="003436CA" w:rsidRPr="00F47A3A">
              <w:t>pēcuzraudzības perioda</w:t>
            </w:r>
            <w:r w:rsidR="003671EA" w:rsidRPr="00F47A3A">
              <w:t xml:space="preserve"> </w:t>
            </w:r>
            <w:r w:rsidR="00B238A9" w:rsidRPr="00F47A3A">
              <w:t>nodot</w:t>
            </w:r>
            <w:r w:rsidRPr="00F47A3A">
              <w:t xml:space="preserve"> attiecīgajā projektā iesaistītajam</w:t>
            </w:r>
            <w:r w:rsidR="00B433A0">
              <w:t xml:space="preserve"> </w:t>
            </w:r>
            <w:r w:rsidR="00B433A0" w:rsidRPr="00FA1E71">
              <w:t>sadarbības</w:t>
            </w:r>
            <w:r w:rsidRPr="00FA1E71">
              <w:t xml:space="preserve"> partnerim</w:t>
            </w:r>
            <w:r w:rsidR="003671EA" w:rsidRPr="00FA1E71">
              <w:t>, kas ir publiska persona vai tās padotības iestāde</w:t>
            </w:r>
            <w:r w:rsidR="00C322F6" w:rsidRPr="00FA1E71">
              <w:t xml:space="preserve">, kā arī valsts kustamo mantu, kas atzīta par nepieciešamu nacionālā krājuma papildināšanai, </w:t>
            </w:r>
            <w:r w:rsidR="00625D32" w:rsidRPr="00FA1E71">
              <w:t>ja to nodo</w:t>
            </w:r>
            <w:r w:rsidR="0084254E" w:rsidRPr="00FA1E71">
              <w:t>d</w:t>
            </w:r>
            <w:r w:rsidR="00625D32" w:rsidRPr="00FA1E71">
              <w:t xml:space="preserve"> publiskam muzeja</w:t>
            </w:r>
            <w:r w:rsidR="00C322F6" w:rsidRPr="00FA1E71">
              <w:t>m</w:t>
            </w:r>
            <w:r w:rsidRPr="00FA1E71">
              <w:t>. Vienlaikus jāņem vērā, ka saskaņā ar Eiropas Savienības struktūrfondus un Kohēzijas fondu regulējošiem normatīvajiem aktiem šādas kustamās mantas atsavināšana ir iespējama tikai pēc pēcuzraudzības perioda.</w:t>
            </w:r>
            <w:r w:rsidR="00B433A0" w:rsidRPr="00FA1E71">
              <w:t xml:space="preserve"> </w:t>
            </w:r>
            <w:r w:rsidR="00FA1E71" w:rsidRPr="00FA1E71">
              <w:t>Ja minēto kustamo mantu plānots nodot citai publiskai personai, kas nav projektā iesaistītais sadarbības partneris, piem</w:t>
            </w:r>
            <w:r w:rsidR="00FA1E71">
              <w:t>ērojama Noteikumu 20.-23.</w:t>
            </w:r>
            <w:r w:rsidR="00FA1E71" w:rsidRPr="00FA1E71">
              <w:t>, 27.un 28.punkt</w:t>
            </w:r>
            <w:r w:rsidR="009D1DF6">
              <w:t>ā</w:t>
            </w:r>
            <w:r w:rsidR="00FA1E71" w:rsidRPr="00FA1E71">
              <w:t xml:space="preserve"> noteiktā kārtība.</w:t>
            </w:r>
          </w:p>
          <w:p w14:paraId="31B58C80" w14:textId="7A65101F" w:rsidR="00E915CD" w:rsidRPr="00F47A3A" w:rsidRDefault="00E915CD" w:rsidP="00501D1D">
            <w:pPr>
              <w:shd w:val="clear" w:color="auto" w:fill="FFFFFF"/>
              <w:spacing w:after="60"/>
              <w:jc w:val="both"/>
            </w:pPr>
            <w:r w:rsidRPr="00F47A3A">
              <w:t xml:space="preserve">Atbilstoši spēkā esošajam Noteikumu 19.punktam papildus šo noteikumu 18.punktā minētajiem nosacījumiem valsts kustamās mantas maiņu vai nodošanu piegādātājam, izdarot ieskaitu, var ierosināt, nenoskaidrojot valsts iestāžu un atvasinātu publisku personu vai to iestāžu vajadzību pēc ministrijas, tās padotībā esošas iestādes vai kapitālsabiedrības valdījumā vai turējumā esošās nevajadzīgās valsts kustamās mantas, ja kustamās mantas vienas vienības vai lietu kopības (ja lietu kopība tiek mainīta vai nodota piegādātājam, izdarot ieskaitu) atlikusī bilances vērtība pēc grāmatvedības uzskaites datiem ir mazāka par 1500 </w:t>
            </w:r>
            <w:r w:rsidRPr="00F47A3A">
              <w:rPr>
                <w:i/>
              </w:rPr>
              <w:t>euro</w:t>
            </w:r>
            <w:r w:rsidRPr="00F47A3A">
              <w:t xml:space="preserve">. Atbilstoši praksē identificētajiem gadījumiem ir secināms, ka valsts kustamās mantas nodošana piegādātājam, izdarot ieskaitu, ir ekonomiski lietderīga, jo tādējādi tiktu nodrošināts attiecīgās publiskās personas budžeta ietaupījums, iegādājoties jaunu, līdzvērtīgu kustamo mantu. Līdz ar to </w:t>
            </w:r>
            <w:r w:rsidR="006E6F2D">
              <w:t>N</w:t>
            </w:r>
            <w:r w:rsidR="00F47A3A">
              <w:t>oteikumi ir papildināti ar 18.5.apakšpunktu, nosakot</w:t>
            </w:r>
            <w:r w:rsidRPr="00F47A3A">
              <w:t xml:space="preserve">, ka valsts kustamās mantas maiņu vai nodošanu piegādātājam, izdarot ieskaitu, var ierosināt, nenoskaidrojot valsts iestāžu un atvasinātu publisku personu vai to </w:t>
            </w:r>
            <w:r w:rsidRPr="00F47A3A">
              <w:lastRenderedPageBreak/>
              <w:t>iestāžu vajadzību pēc ministrijas, tās padotībā esošas iestādes vai kapitālsabiedrības valdījumā vai turējumā esošās nevajadzīgās valsts kustamās mantas</w:t>
            </w:r>
            <w:r w:rsidR="00F16D1C">
              <w:t xml:space="preserve">, vienlaikus </w:t>
            </w:r>
            <w:r w:rsidR="006E6F2D">
              <w:t>svītrojot</w:t>
            </w:r>
            <w:r w:rsidR="00F16D1C">
              <w:t xml:space="preserve"> Noteikumu 19.punktu</w:t>
            </w:r>
            <w:r w:rsidRPr="00F47A3A">
              <w:t>.</w:t>
            </w:r>
          </w:p>
          <w:p w14:paraId="0362F6B7" w14:textId="7C1840A9" w:rsidR="00A22FE8" w:rsidRPr="00F47A3A" w:rsidRDefault="002A3E05" w:rsidP="00501D1D">
            <w:pPr>
              <w:pStyle w:val="ListParagraph"/>
              <w:numPr>
                <w:ilvl w:val="0"/>
                <w:numId w:val="14"/>
              </w:numPr>
              <w:ind w:left="0"/>
              <w:jc w:val="both"/>
            </w:pPr>
            <w:r w:rsidRPr="00F47A3A">
              <w:t>2</w:t>
            </w:r>
            <w:r w:rsidR="00501D1D" w:rsidRPr="00F47A3A">
              <w:t>) Saskaņā ar Atsavināšanas likuma 4.panta ceturtās daļas 9</w:t>
            </w:r>
            <w:r w:rsidR="003D14A5" w:rsidRPr="00F47A3A">
              <w:t>.punktu, atsevišķos gadījumos publiskas personas nekustamā īpašuma atsavināšanu var ierosināt arī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w:t>
            </w:r>
            <w:r w:rsidR="00501D1D" w:rsidRPr="00F47A3A">
              <w:t xml:space="preserve">lānošanu, izmantošanu un apbūvi. </w:t>
            </w:r>
          </w:p>
          <w:p w14:paraId="069F84A1" w14:textId="36D27FAB" w:rsidR="00B238A9" w:rsidRPr="00F47A3A" w:rsidRDefault="00A22FE8" w:rsidP="00B238A9">
            <w:pPr>
              <w:pStyle w:val="ListParagraph"/>
              <w:numPr>
                <w:ilvl w:val="0"/>
                <w:numId w:val="14"/>
              </w:numPr>
              <w:ind w:left="0"/>
              <w:jc w:val="both"/>
            </w:pPr>
            <w:r w:rsidRPr="00F47A3A">
              <w:t xml:space="preserve">Lai saskaņotu Atsavināšanas likumā noteikto ar Noteikumos regulēto publiskas personas mantas atsavināšanas kārtību, </w:t>
            </w:r>
            <w:r w:rsidR="00B12731" w:rsidRPr="00F47A3A">
              <w:t>ir</w:t>
            </w:r>
            <w:r w:rsidR="00625D32" w:rsidRPr="00F47A3A">
              <w:t xml:space="preserve"> izdarīti grozījumi</w:t>
            </w:r>
            <w:r w:rsidRPr="00F47A3A">
              <w:t xml:space="preserve"> Noteikumu </w:t>
            </w:r>
            <w:r w:rsidR="00F33394" w:rsidRPr="00F47A3A">
              <w:t>8.7</w:t>
            </w:r>
            <w:r w:rsidR="00C322F6" w:rsidRPr="00F47A3A">
              <w:t xml:space="preserve">.apakšpunktā, lai Noteikumu normas būtu piemērojamas arī Atsavināšanas likuma 4.panta </w:t>
            </w:r>
            <w:r w:rsidR="002E0257" w:rsidRPr="00F47A3A">
              <w:t>ceturtās daļas 9.punktā</w:t>
            </w:r>
            <w:r w:rsidR="00C322F6" w:rsidRPr="00F47A3A">
              <w:t xml:space="preserve"> noteiktajā gadījumā.</w:t>
            </w:r>
          </w:p>
          <w:p w14:paraId="30AFC62B" w14:textId="6183A28A" w:rsidR="000B0E4D" w:rsidRPr="00F47A3A" w:rsidRDefault="002A3E05" w:rsidP="00B238A9">
            <w:pPr>
              <w:pStyle w:val="ListParagraph"/>
              <w:numPr>
                <w:ilvl w:val="0"/>
                <w:numId w:val="14"/>
              </w:numPr>
              <w:ind w:left="0"/>
              <w:jc w:val="both"/>
            </w:pPr>
            <w:r w:rsidRPr="00F47A3A">
              <w:t>3</w:t>
            </w:r>
            <w:r w:rsidR="000B0E4D" w:rsidRPr="00F47A3A">
              <w:t xml:space="preserve">) Ar Noteikumu projektu </w:t>
            </w:r>
            <w:r w:rsidR="00B12731" w:rsidRPr="00F47A3A">
              <w:t>ir</w:t>
            </w:r>
            <w:r w:rsidR="000B0E4D" w:rsidRPr="00F47A3A">
              <w:t xml:space="preserve"> </w:t>
            </w:r>
            <w:r w:rsidR="00B104E2" w:rsidRPr="00F47A3A">
              <w:t>izdarīti grozījumi Noteikumu 11.punktā</w:t>
            </w:r>
            <w:r w:rsidR="000B0E4D" w:rsidRPr="00F47A3A">
              <w:t>, lai</w:t>
            </w:r>
            <w:r w:rsidR="001A3F43" w:rsidRPr="00F47A3A">
              <w:t xml:space="preserve"> </w:t>
            </w:r>
            <w:r w:rsidR="00B104E2" w:rsidRPr="00F47A3A">
              <w:t xml:space="preserve">redakcionāli </w:t>
            </w:r>
            <w:r w:rsidR="001A3F43" w:rsidRPr="00F47A3A">
              <w:t xml:space="preserve">padarītu pārskatāmāku veicamo darbību kārtību pēc atsavināšanas ierosinājuma saņemšanas valsts akciju sabiedrībā </w:t>
            </w:r>
            <w:r w:rsidR="002B5511" w:rsidRPr="00F47A3A">
              <w:t>“Valsts nekustamie īpašumi” vai</w:t>
            </w:r>
            <w:r w:rsidR="001A3F43" w:rsidRPr="00F47A3A">
              <w:t xml:space="preserve"> valsts akciju sabiedrībā “Privatizācijas aģentūra”</w:t>
            </w:r>
            <w:r w:rsidR="00BD3C38" w:rsidRPr="00F47A3A">
              <w:t>, proti, redakcionāli precizēts, kuros gadījumos tiek pieņemts lēmums par attiecīgā nekustamā īpašuma nodošanu atsavināšanai un kuros gadījumos tiek atteikts izskatīt atsavināšanas ierosinājumu atbilstoši noteikumu 8.punkta nosacījumiem.</w:t>
            </w:r>
          </w:p>
          <w:p w14:paraId="5B60867A" w14:textId="28F42B6D" w:rsidR="00713E86" w:rsidRPr="00F67C20" w:rsidRDefault="003436CA" w:rsidP="00713E86">
            <w:pPr>
              <w:pStyle w:val="ListParagraph"/>
              <w:numPr>
                <w:ilvl w:val="0"/>
                <w:numId w:val="14"/>
              </w:numPr>
              <w:ind w:left="0"/>
              <w:jc w:val="both"/>
              <w:rPr>
                <w:color w:val="FF0000"/>
                <w:u w:val="single"/>
              </w:rPr>
            </w:pPr>
            <w:r w:rsidRPr="00F47A3A">
              <w:t>No</w:t>
            </w:r>
            <w:r w:rsidR="00B12731" w:rsidRPr="00F47A3A">
              <w:t>teikumi</w:t>
            </w:r>
            <w:r w:rsidR="00CA6107" w:rsidRPr="00F47A3A">
              <w:t xml:space="preserve"> papildināti ar 11.6</w:t>
            </w:r>
            <w:r w:rsidRPr="00F47A3A">
              <w:t xml:space="preserve">.apakšpunktu, nosakot, ka gadījumā, </w:t>
            </w:r>
            <w:r w:rsidRPr="00F47A3A">
              <w:rPr>
                <w:bCs/>
              </w:rPr>
              <w:t xml:space="preserve">ja </w:t>
            </w:r>
            <w:r w:rsidR="00CA6107" w:rsidRPr="00F47A3A">
              <w:rPr>
                <w:bCs/>
              </w:rPr>
              <w:t>valsts</w:t>
            </w:r>
            <w:r w:rsidRPr="00F47A3A">
              <w:rPr>
                <w:bCs/>
              </w:rPr>
              <w:t xml:space="preserve"> </w:t>
            </w:r>
            <w:r w:rsidR="00CA6107" w:rsidRPr="00F47A3A">
              <w:rPr>
                <w:bCs/>
              </w:rPr>
              <w:t>nekustamais īpašums</w:t>
            </w:r>
            <w:r w:rsidRPr="00F47A3A">
              <w:rPr>
                <w:bCs/>
              </w:rPr>
              <w:t xml:space="preserve"> ir nepieciešams ministrijai vai tās padotībā esošai iestādei funkciju nodrošināšanai</w:t>
            </w:r>
            <w:r w:rsidRPr="00F47A3A">
              <w:t xml:space="preserve">, </w:t>
            </w:r>
            <w:r w:rsidRPr="00F47A3A">
              <w:rPr>
                <w:bCs/>
              </w:rPr>
              <w:t xml:space="preserve">ministrija noteiktā kārtībā sagatavo Ministru kabineta rīkojuma projektu par pamatotu atsavināšanas ierosinājuma atteikumu. Minētais apakšpunkts nepieciešams, lai būtu regulēts jautājums </w:t>
            </w:r>
            <w:r w:rsidRPr="00D91496">
              <w:rPr>
                <w:bCs/>
              </w:rPr>
              <w:t>par Ministru kabineta rīkojuma projekta sagatavošanu gadījumos, kad</w:t>
            </w:r>
            <w:r w:rsidR="006B6D29" w:rsidRPr="00D91496">
              <w:rPr>
                <w:bCs/>
              </w:rPr>
              <w:t xml:space="preserve"> </w:t>
            </w:r>
            <w:r w:rsidR="00F67C20" w:rsidRPr="00D91496">
              <w:rPr>
                <w:bCs/>
              </w:rPr>
              <w:t>par valsts nekustamo īpašumu ir saņemts atsavināšanas ierosinājums, taču attiecīgais nekustamais īpašums ir nepieciešams publiskai personai vai tās iestādei valsts pārvaldes funkciju vai uzdevumu veikšanai, kā arī gadījumos, kad par</w:t>
            </w:r>
            <w:r w:rsidRPr="00D91496">
              <w:rPr>
                <w:bCs/>
              </w:rPr>
              <w:t xml:space="preserve"> </w:t>
            </w:r>
            <w:r w:rsidR="006B6D29" w:rsidRPr="00D91496">
              <w:rPr>
                <w:bCs/>
              </w:rPr>
              <w:t xml:space="preserve">apbūvētu zemesgabalu </w:t>
            </w:r>
            <w:r w:rsidR="00CA6107" w:rsidRPr="00D91496">
              <w:rPr>
                <w:bCs/>
              </w:rPr>
              <w:t>atbilstoši Noteikumu 11.1.apakšpunktam valsts akciju sabiedrība “Valsts nekustamie īpašumi” var pieņemt lēmumu to nodot atsavināšanai, taču attiecīgais valsts nekustamais īpašums ir nepieciešams kādai ministrijai valsts pārvaldes funkciju veikšanai un tādējādi nav atsavināms.</w:t>
            </w:r>
            <w:r w:rsidR="00F67C20" w:rsidRPr="00D91496">
              <w:rPr>
                <w:bCs/>
              </w:rPr>
              <w:t xml:space="preserve"> </w:t>
            </w:r>
            <w:r w:rsidR="00713E86" w:rsidRPr="00D91496">
              <w:t>Praksē šādos gadījumos, kad valsts a</w:t>
            </w:r>
            <w:r w:rsidR="00713E86" w:rsidRPr="00F67C20">
              <w:t>kciju sabiedrībā “Valsts nekustamie īpašumi” vai valsts akciju sabiedrībā “Privatizācijas aģentūra” ir reģistrēts attiecīgais atsavināšanas ierosinājums par nekustamo īpašumu, kas atrodas kādas ministrijas valdījumā, attiecīgā kapitālsabiedrība vēršas pie valsts nekustamā īpašuma valdītāja (ministrijas) vai turētāja</w:t>
            </w:r>
            <w:r w:rsidR="00500009" w:rsidRPr="00F67C20">
              <w:t xml:space="preserve"> un pieprasa</w:t>
            </w:r>
            <w:r w:rsidR="00713E86" w:rsidRPr="00F67C20">
              <w:t xml:space="preserve"> nekustamā īpašuma tiesības apliecinošos dokumentus (Noteikumu 6.punkts). Līdz ar to savstarpējas komunikācijas rezultātā tiek noskaidrots, vai attiecīgais nekustamais īpašums ir nepieciešams tā valdītājam vai </w:t>
            </w:r>
            <w:r w:rsidR="00713E86" w:rsidRPr="00F67C20">
              <w:lastRenderedPageBreak/>
              <w:t>turētājam.</w:t>
            </w:r>
          </w:p>
          <w:p w14:paraId="6A825463" w14:textId="77777777" w:rsidR="00713E86" w:rsidRPr="00F47A3A" w:rsidRDefault="00713E86" w:rsidP="00713E86">
            <w:pPr>
              <w:pStyle w:val="NoSpacing"/>
              <w:jc w:val="both"/>
              <w:rPr>
                <w:rFonts w:ascii="Times New Roman" w:hAnsi="Times New Roman"/>
                <w:sz w:val="24"/>
                <w:szCs w:val="24"/>
                <w:lang w:val="lv-LV"/>
              </w:rPr>
            </w:pPr>
            <w:r w:rsidRPr="00F47A3A">
              <w:rPr>
                <w:rFonts w:ascii="Times New Roman" w:hAnsi="Times New Roman"/>
                <w:sz w:val="24"/>
                <w:szCs w:val="24"/>
                <w:lang w:val="lv-LV"/>
              </w:rPr>
              <w:t>Gadījumā, ja atsavināmais nekustamais īpašums ir nepieciešams valsts iestādes, valsts kapitālsabiedrības vai atvasinātas publiskas personas vai to iestādes funkciju nodrošināšanai, Noteikumu 13.punktā ir noteikta kārtība, kādā ieinteresētā ministrija sagatavo Ministru kabineta rīkojuma projektu par atsavināšanas ierosinājuma atteikumu, ja atsavināšanas ierosinājumu ir iesniedzis atsavināšanas ierosinātājs, un Ministru kabineta rīkojuma projektu par attiecīgā valsts nekustamā īpašuma nodošanu tās valdījumā vai turējumā vai atvasinātas publiskas personas īpašumā.</w:t>
            </w:r>
          </w:p>
          <w:p w14:paraId="02062B9F" w14:textId="03CA2FA6" w:rsidR="00A76087" w:rsidRPr="00F47A3A" w:rsidRDefault="002A3E05" w:rsidP="00E65AA6">
            <w:pPr>
              <w:pStyle w:val="ListParagraph"/>
              <w:numPr>
                <w:ilvl w:val="0"/>
                <w:numId w:val="14"/>
              </w:numPr>
              <w:ind w:left="0"/>
              <w:jc w:val="both"/>
            </w:pPr>
            <w:r w:rsidRPr="00F47A3A">
              <w:rPr>
                <w:bCs/>
              </w:rPr>
              <w:t>4</w:t>
            </w:r>
            <w:r w:rsidR="00E65AA6" w:rsidRPr="00F47A3A">
              <w:rPr>
                <w:bCs/>
              </w:rPr>
              <w:t>) Noteikumi papildināti ar 11.</w:t>
            </w:r>
            <w:r w:rsidR="00E65AA6" w:rsidRPr="00F47A3A">
              <w:rPr>
                <w:bCs/>
                <w:vertAlign w:val="superscript"/>
              </w:rPr>
              <w:t>1</w:t>
            </w:r>
            <w:r w:rsidR="00E65AA6" w:rsidRPr="00F47A3A">
              <w:rPr>
                <w:bCs/>
              </w:rPr>
              <w:t xml:space="preserve"> punktu, nosakot, ja saņemts atsavināšanas ierosinājums un ja valsts</w:t>
            </w:r>
            <w:r w:rsidR="00CA6107" w:rsidRPr="00F47A3A">
              <w:rPr>
                <w:bCs/>
              </w:rPr>
              <w:t xml:space="preserve"> pārvaldes</w:t>
            </w:r>
            <w:r w:rsidR="00E65AA6" w:rsidRPr="00F47A3A">
              <w:rPr>
                <w:bCs/>
              </w:rPr>
              <w:t xml:space="preserve"> funkciju veikšanai ir nepieciešama tikai daļa no </w:t>
            </w:r>
            <w:r w:rsidR="00FC5136" w:rsidRPr="00F47A3A">
              <w:rPr>
                <w:bCs/>
              </w:rPr>
              <w:t>publiskas personas</w:t>
            </w:r>
            <w:r w:rsidR="00E65AA6" w:rsidRPr="00F47A3A">
              <w:rPr>
                <w:bCs/>
              </w:rPr>
              <w:t xml:space="preserve"> nekustamā īpašuma, šo noteikumu 11.punktā minētās darbības veic pēc </w:t>
            </w:r>
            <w:r w:rsidR="00FC5136" w:rsidRPr="00F47A3A">
              <w:rPr>
                <w:bCs/>
              </w:rPr>
              <w:t>nekustamā īpašuma</w:t>
            </w:r>
            <w:r w:rsidR="00E65AA6" w:rsidRPr="00F47A3A">
              <w:rPr>
                <w:bCs/>
              </w:rPr>
              <w:t xml:space="preserve"> sadalīšanas.</w:t>
            </w:r>
          </w:p>
          <w:p w14:paraId="60B90F4D" w14:textId="7C6C8B9C" w:rsidR="00D60944" w:rsidRPr="00F47A3A" w:rsidRDefault="002A3E05" w:rsidP="00B47B85">
            <w:pPr>
              <w:pStyle w:val="ListParagraph"/>
              <w:numPr>
                <w:ilvl w:val="0"/>
                <w:numId w:val="14"/>
              </w:numPr>
              <w:ind w:left="0"/>
              <w:jc w:val="both"/>
            </w:pPr>
            <w:r w:rsidRPr="00F47A3A">
              <w:t>5</w:t>
            </w:r>
            <w:r w:rsidR="000B0E4D" w:rsidRPr="00F47A3A">
              <w:t xml:space="preserve">) </w:t>
            </w:r>
            <w:r w:rsidR="00632275" w:rsidRPr="00F47A3A">
              <w:t xml:space="preserve">Ar </w:t>
            </w:r>
            <w:r w:rsidR="000F1AAA" w:rsidRPr="00F47A3A">
              <w:t>Ministru prezidentes 2015.gada 27</w:t>
            </w:r>
            <w:r w:rsidR="00632275" w:rsidRPr="00F47A3A">
              <w:t>.oktobra rezolūciju Nr.</w:t>
            </w:r>
            <w:r w:rsidR="000F1AAA" w:rsidRPr="00F47A3A">
              <w:t>20/R-1265-jur/12164</w:t>
            </w:r>
            <w:r w:rsidR="00632275" w:rsidRPr="00F47A3A">
              <w:t xml:space="preserve"> finanšu ministram sadarbībā ar Vides aizsardzības un reģionālās attīstības ministriju un Satiksmes ministriju</w:t>
            </w:r>
            <w:r w:rsidR="000F1AAA" w:rsidRPr="00F47A3A">
              <w:t>,</w:t>
            </w:r>
            <w:r w:rsidR="00632275" w:rsidRPr="00F47A3A">
              <w:t xml:space="preserve"> tika uzdots </w:t>
            </w:r>
            <w:r w:rsidR="000F1AAA" w:rsidRPr="00F47A3A">
              <w:t>nodrošināt Ministru prezidentes 2015.gada 19.jūnija rezol</w:t>
            </w:r>
            <w:r w:rsidR="00141B8F" w:rsidRPr="00F47A3A">
              <w:t>ūcijā</w:t>
            </w:r>
            <w:r w:rsidR="000F1AAA" w:rsidRPr="00F47A3A">
              <w:t xml:space="preserve"> Nr.20/R-1265-jur </w:t>
            </w:r>
            <w:r w:rsidR="00141B8F" w:rsidRPr="00F47A3A">
              <w:t>uzdoto</w:t>
            </w:r>
            <w:r w:rsidR="000F1AAA" w:rsidRPr="00F47A3A">
              <w:t xml:space="preserve"> un, ja nepieciešams, iesniegt Ministru kabinetā grozījumus normatīvajos aktos, lai noteiktu vienveidīgu pieeju dalīta nekustamā īpašuma nodošanai atvasinātai publiskai personai</w:t>
            </w:r>
            <w:r w:rsidR="00632275" w:rsidRPr="00F47A3A">
              <w:t>. Izpildot minēto uzdevumu,</w:t>
            </w:r>
            <w:r w:rsidR="00625D32" w:rsidRPr="00F47A3A">
              <w:t xml:space="preserve"> ar Valsts kanceleju un Vides aizsardzības un reģionālās attīstības ministriju tika panākta</w:t>
            </w:r>
            <w:r w:rsidR="00632275" w:rsidRPr="00F47A3A">
              <w:t xml:space="preserve"> </w:t>
            </w:r>
            <w:r w:rsidR="000F1AAA" w:rsidRPr="00F47A3A">
              <w:t>vienošanās, ka</w:t>
            </w:r>
            <w:r w:rsidR="00625D32" w:rsidRPr="00F47A3A">
              <w:t>s tika atbalstīta arī 2015.gada 3.decembra Valsts sekretāru sanāksmē (prot. Nr.47 24.</w:t>
            </w:r>
            <w:r w:rsidR="00625D32" w:rsidRPr="00F47A3A">
              <w:rPr>
                <w:bCs/>
                <w:shd w:val="clear" w:color="auto" w:fill="FFFFFF"/>
              </w:rPr>
              <w:t xml:space="preserve">§), proti, </w:t>
            </w:r>
            <w:r w:rsidR="00625D32" w:rsidRPr="00F47A3A">
              <w:t>Ministru kabineta rīkojuma projektu</w:t>
            </w:r>
            <w:r w:rsidR="000F1AAA" w:rsidRPr="00F47A3A">
              <w:t xml:space="preserve"> par valstij piederošo nekustamo īpašumu atsavināšanu – nodošanu pašvaldību īpašumā un atteikumu atsavināt attiecīgo nekustamo īpašumu atsavināšanas ierosinātājam un pirmpirkuma tiesīgajai personai sagatavo un virza tā ministrija, kuras valdījumā</w:t>
            </w:r>
            <w:r w:rsidR="00625D32" w:rsidRPr="00F47A3A">
              <w:t xml:space="preserve"> atrodas</w:t>
            </w:r>
            <w:r w:rsidR="000F1AAA" w:rsidRPr="00F47A3A">
              <w:t xml:space="preserve"> attiecīgais nekustamais īpašums. </w:t>
            </w:r>
            <w:r w:rsidR="00625D32" w:rsidRPr="00F47A3A">
              <w:t>G</w:t>
            </w:r>
            <w:r w:rsidR="000F1AAA" w:rsidRPr="00F47A3A">
              <w:t>adījumos, kad Ministru kabineta rīkojums tiek pārsūdzēts tiesā, ministrija, kuras valdījum</w:t>
            </w:r>
            <w:r w:rsidR="002B5511" w:rsidRPr="00F47A3A">
              <w:t>ā atrodas nekustamais īpašums sadarbībā ar</w:t>
            </w:r>
            <w:r w:rsidR="000F1AAA" w:rsidRPr="00F47A3A">
              <w:t xml:space="preserve"> Vides aizsardzības un reģionālās attīstības ministrij</w:t>
            </w:r>
            <w:r w:rsidR="002B5511" w:rsidRPr="00F47A3A">
              <w:t>u</w:t>
            </w:r>
            <w:r w:rsidR="000F1AAA" w:rsidRPr="00F47A3A">
              <w:t xml:space="preserve"> nodrošina Ministru kabineta paskaidrojumu projektu sagatavošanu un nodrošina Ministru kabineta pārstāvniecību tiesā.</w:t>
            </w:r>
            <w:r w:rsidR="00141B8F" w:rsidRPr="00F47A3A">
              <w:t xml:space="preserve"> </w:t>
            </w:r>
            <w:r w:rsidR="00632275" w:rsidRPr="00F47A3A">
              <w:t xml:space="preserve">Ņemot vērā </w:t>
            </w:r>
            <w:r w:rsidR="00625D32" w:rsidRPr="00F47A3A">
              <w:t xml:space="preserve">minēto, Noteikumi ir papildināti </w:t>
            </w:r>
            <w:r w:rsidR="00CD6216" w:rsidRPr="00F47A3A">
              <w:t>ar 13.</w:t>
            </w:r>
            <w:r w:rsidR="00CD6216" w:rsidRPr="00F47A3A">
              <w:rPr>
                <w:vertAlign w:val="superscript"/>
              </w:rPr>
              <w:t>1</w:t>
            </w:r>
            <w:r w:rsidR="00CD6216" w:rsidRPr="00F47A3A">
              <w:t xml:space="preserve"> punktu</w:t>
            </w:r>
            <w:r w:rsidR="001D18A2" w:rsidRPr="00F47A3A">
              <w:t>.</w:t>
            </w:r>
            <w:r w:rsidR="00D60944" w:rsidRPr="00F47A3A">
              <w:t xml:space="preserve"> </w:t>
            </w:r>
            <w:r w:rsidR="00713E86" w:rsidRPr="00F47A3A">
              <w:t>A</w:t>
            </w:r>
            <w:r w:rsidR="00D60944" w:rsidRPr="00F47A3A">
              <w:t>ttiecīgā Ministru kabineta rīkojuma projekta sagatavotājs un virzītājs ir ministrija kā valsts nekustamā īpašuma tiesiskais valdītājs</w:t>
            </w:r>
            <w:r w:rsidR="00713E86" w:rsidRPr="00F47A3A">
              <w:t>.</w:t>
            </w:r>
            <w:r w:rsidR="00D60944" w:rsidRPr="00F47A3A">
              <w:t xml:space="preserve">   </w:t>
            </w:r>
          </w:p>
          <w:p w14:paraId="6AA62172" w14:textId="07D5EBB3" w:rsidR="00404EC7" w:rsidRPr="00F47A3A" w:rsidRDefault="00E915CD" w:rsidP="00E915CD">
            <w:pPr>
              <w:pStyle w:val="ListParagraph"/>
              <w:numPr>
                <w:ilvl w:val="0"/>
                <w:numId w:val="14"/>
              </w:numPr>
              <w:ind w:left="0"/>
              <w:jc w:val="both"/>
            </w:pPr>
            <w:r w:rsidRPr="00F47A3A">
              <w:t>6</w:t>
            </w:r>
            <w:r w:rsidR="00F95945" w:rsidRPr="00F47A3A">
              <w:t xml:space="preserve">)  Saskaņā ar Valsts pārvaldes iekārtas likuma 7. panta trešo daļu valsts iestāžu padotību īsteno pakļautības vai pārraudzības formā, līdz ar to atbilstoši spēkā esošajam normatīvajam regulējumam ir </w:t>
            </w:r>
            <w:r w:rsidR="00F47A3A">
              <w:t>precizēta Noteikumu 17.punkta ievaddaļa.</w:t>
            </w:r>
          </w:p>
          <w:p w14:paraId="319DC424" w14:textId="563207C0" w:rsidR="006D767A" w:rsidRPr="00F47A3A" w:rsidRDefault="00E915CD" w:rsidP="006D767A">
            <w:pPr>
              <w:contextualSpacing/>
              <w:jc w:val="both"/>
            </w:pPr>
            <w:r w:rsidRPr="00F47A3A">
              <w:t>7</w:t>
            </w:r>
            <w:r w:rsidR="006D767A" w:rsidRPr="00F47A3A">
              <w:t xml:space="preserve">) Lai nepieciešamības gadījumā nodrošinātu elastīgāku procesu, kādā tiek noskaidrota ministrijas padotībā esošo iestāžu vajadzība pēc ministrijas, tās padotībā esošas iestādes vai kapitālsabiedrības valdījumā esošās nevajadzīgās valsts kustamās mantas, izdarīti grozījumi Noteikumu 20.punktā, nosakot, ka ministrija organizē tās padotībā esošo iestāžu vajadzības noskaidrošanu pēc ministrijas, </w:t>
            </w:r>
            <w:r w:rsidR="006D767A" w:rsidRPr="00F47A3A">
              <w:lastRenderedPageBreak/>
              <w:t>tās padotībā esošas iestādes vai kapitālsabiedrības valdījumā esošās nevaj</w:t>
            </w:r>
            <w:r w:rsidR="00493F29" w:rsidRPr="00F47A3A">
              <w:t xml:space="preserve">adzīgās valsts kustamās mantas. Līdz ar to ministrija, organizējot tās padotībā esošo iestāžu vajadzības noskaidrošanu, var, piemēram, noteikt procesu, kādā attiecīgā padotības iestāde pati var </w:t>
            </w:r>
            <w:r w:rsidR="00C445DD" w:rsidRPr="00F47A3A">
              <w:t xml:space="preserve">noskaidrot </w:t>
            </w:r>
            <w:r w:rsidR="00493F29" w:rsidRPr="00F47A3A">
              <w:t>citu ministrijas padotības iestāžu vajadzības</w:t>
            </w:r>
            <w:r w:rsidR="00C445DD" w:rsidRPr="00F47A3A">
              <w:t>,</w:t>
            </w:r>
            <w:r w:rsidR="00493F29" w:rsidRPr="00F47A3A">
              <w:t xml:space="preserve"> par to informējot ministriju. </w:t>
            </w:r>
            <w:r w:rsidR="006D767A" w:rsidRPr="00F47A3A">
              <w:t>Vienlaikus ņemot vērā apstākli, ka no Ministru kabineta 2009.gada 15.decembra noteikumiem Nr.1486 “Kārtība, kādā budžeta iestādes kārto grāmatvedības uzskaiti” izriet, ka valsts kustamo mantu var nodot citai iestādei tā iestāde, kuras bilancē ir attiecīgā valsts kustamā manta, noteikumu projektā ir atbilstoši pielāgota Noteikumu 20.punkta redakcija.</w:t>
            </w:r>
          </w:p>
          <w:p w14:paraId="1DCEFEF0" w14:textId="7E4B7DA2" w:rsidR="007A3A77" w:rsidRPr="00F47A3A" w:rsidRDefault="00E915CD" w:rsidP="006D767A">
            <w:pPr>
              <w:jc w:val="both"/>
            </w:pPr>
            <w:r w:rsidRPr="00F47A3A">
              <w:t>8</w:t>
            </w:r>
            <w:r w:rsidR="00315A96" w:rsidRPr="00F47A3A">
              <w:t xml:space="preserve">) </w:t>
            </w:r>
            <w:r w:rsidR="006908EA" w:rsidRPr="00F47A3A">
              <w:t>Valsts</w:t>
            </w:r>
            <w:r w:rsidR="007A3A77" w:rsidRPr="00F47A3A">
              <w:t xml:space="preserve"> kustamās mantas nodošana īpašumā bez atlīdzības (sniedzot kustamās mantas vērtības atlaidi) citai publiskai personai vai organizācijai (saimnieciskās darbības veicējam), var kvalificēties kā komercdarbības atbalsts konkrētai publiskai personai vai organizācijai, ja tā veic saimniecisko darbību, līdz ar to šāda nodošana jāveic saskaņā ar komercdarbības atbalsta regulējumu. Noteikumi ir papildināti ar 23.</w:t>
            </w:r>
            <w:r w:rsidR="007A3A77" w:rsidRPr="00F47A3A">
              <w:rPr>
                <w:vertAlign w:val="superscript"/>
              </w:rPr>
              <w:t>3</w:t>
            </w:r>
            <w:r w:rsidR="007A3A77" w:rsidRPr="00F47A3A">
              <w:t xml:space="preserve"> punktu, nosakot, </w:t>
            </w:r>
            <w:r w:rsidR="006908EA" w:rsidRPr="00F47A3A">
              <w:t>j</w:t>
            </w:r>
            <w:r w:rsidR="006908EA" w:rsidRPr="00F47A3A">
              <w:rPr>
                <w:bCs/>
              </w:rPr>
              <w:t xml:space="preserve">a </w:t>
            </w:r>
            <w:r w:rsidR="006908EA" w:rsidRPr="00F47A3A">
              <w:t>valsts kustamā manta, kas nodota bez atlīdzības, tiek izmantota saimniecisku darbību veikšanai, piemērojot kustamās mantas vērtības atlaidi, kas kvalificējas kā valsts atbalsts, jāievēro komercdarbības atbalsta nosacījumi</w:t>
            </w:r>
            <w:r w:rsidR="006908EA" w:rsidRPr="00F47A3A">
              <w:rPr>
                <w:bCs/>
              </w:rPr>
              <w:t>.</w:t>
            </w:r>
            <w:r w:rsidR="006908EA" w:rsidRPr="00F47A3A">
              <w:t xml:space="preserve"> </w:t>
            </w:r>
            <w:r w:rsidR="007A3A77" w:rsidRPr="00F47A3A">
              <w:t xml:space="preserve">Noteikumos ietvertais nosacījums nozīmē, ka </w:t>
            </w:r>
            <w:r w:rsidR="006908EA" w:rsidRPr="00F47A3A">
              <w:t xml:space="preserve">valsts </w:t>
            </w:r>
            <w:r w:rsidR="007A3A77" w:rsidRPr="00F47A3A">
              <w:t>mantisko vērtību (kustamu mantu), par kuru ir saņemts komercdarbības atbalsts, atsavināšanas gadījumā citai publiskai personai vai organizācijai, kas veic saimniecisko darbību (piedāvā preces vai pakalpojumus tirgū), tiks uzskatīts kā komercdarbības atbalsts iepriekšējā īpašnieka saistību pārņēmējam, ja vien par konkrētās mantiskās vērtības nodošanu netiks samaksāta tirgus cena.</w:t>
            </w:r>
          </w:p>
          <w:p w14:paraId="0EAF032C" w14:textId="7BAFA875" w:rsidR="003B178C" w:rsidRPr="00F47A3A" w:rsidRDefault="00E915CD" w:rsidP="003B178C">
            <w:pPr>
              <w:pStyle w:val="ListParagraph"/>
              <w:numPr>
                <w:ilvl w:val="0"/>
                <w:numId w:val="14"/>
              </w:numPr>
              <w:ind w:left="0"/>
              <w:jc w:val="both"/>
            </w:pPr>
            <w:r w:rsidRPr="00F47A3A">
              <w:t>9</w:t>
            </w:r>
            <w:r w:rsidR="00B238A9" w:rsidRPr="00F47A3A">
              <w:t xml:space="preserve">) </w:t>
            </w:r>
            <w:r w:rsidR="00B310F0" w:rsidRPr="00F47A3A">
              <w:t>Ņemot vērā pieņemtos grozījumus Atsavināšanas likuma 42.panta trešajā daļā un 43.</w:t>
            </w:r>
            <w:r w:rsidR="00B310F0" w:rsidRPr="00F47A3A">
              <w:rPr>
                <w:vertAlign w:val="superscript"/>
              </w:rPr>
              <w:t>1</w:t>
            </w:r>
            <w:r w:rsidR="00B310F0" w:rsidRPr="00F47A3A">
              <w:t xml:space="preserve"> panta pirmajā daļā attiecībā uz kustamās mantas nodošanu sabiedriskā labuma organi</w:t>
            </w:r>
            <w:r w:rsidR="009D5011" w:rsidRPr="00F47A3A">
              <w:t>zācijām, ar Noteikumu projektu (Noteikumu proje</w:t>
            </w:r>
            <w:r w:rsidR="002E0257" w:rsidRPr="00F47A3A">
              <w:t>kta</w:t>
            </w:r>
            <w:r w:rsidR="00B14EF4" w:rsidRPr="00F47A3A">
              <w:t xml:space="preserve"> </w:t>
            </w:r>
            <w:r w:rsidR="00F47A3A">
              <w:t>15</w:t>
            </w:r>
            <w:r w:rsidR="00536130">
              <w:t>.</w:t>
            </w:r>
            <w:bookmarkStart w:id="7" w:name="_GoBack"/>
            <w:bookmarkEnd w:id="7"/>
            <w:r w:rsidR="00F47A3A">
              <w:t>-20</w:t>
            </w:r>
            <w:r w:rsidR="00B14EF4" w:rsidRPr="00F47A3A">
              <w:t>.</w:t>
            </w:r>
            <w:r w:rsidR="009D5011" w:rsidRPr="00F47A3A">
              <w:t xml:space="preserve">punkts) </w:t>
            </w:r>
            <w:r w:rsidR="00B310F0" w:rsidRPr="00F47A3A">
              <w:t>valsts kustamās mantas nodošanas bez atlīdzības sabiedriskā labuma organizāciju īpašumā procedūras kārtīb</w:t>
            </w:r>
            <w:r w:rsidR="00937416" w:rsidRPr="00F47A3A">
              <w:t>a</w:t>
            </w:r>
            <w:r w:rsidR="00B310F0" w:rsidRPr="00F47A3A">
              <w:t xml:space="preserve"> </w:t>
            </w:r>
            <w:r w:rsidR="00937416" w:rsidRPr="00F47A3A">
              <w:t xml:space="preserve">tiek </w:t>
            </w:r>
            <w:r w:rsidR="00B310F0" w:rsidRPr="00F47A3A">
              <w:t>pielīdzināt</w:t>
            </w:r>
            <w:r w:rsidR="00937416" w:rsidRPr="00F47A3A">
              <w:t>a</w:t>
            </w:r>
            <w:r w:rsidR="00B310F0" w:rsidRPr="00F47A3A">
              <w:t xml:space="preserve"> kārtībai, kādā publiskas personas kustamā manta tiek nodota bez atlīdzības valsts, atvasinātu publisku personu, kā arī citu publisko tiesību subjektu īpašumā, paredzot pirms kustamās mantas nodošanas sabiedriskā labuma organizācijai noskaidrot, vai attiecīgā valsts kustamā manta nav nepieciešama citai valsts iestādei, valsts kapitālsabiedrībai vai atvasinātas publiskas personas vai to iestādes funkciju nodrošināšanai. Attiecīgi gadījum</w:t>
            </w:r>
            <w:r w:rsidR="006314C1" w:rsidRPr="00F47A3A">
              <w:t>ā, ja valsts kustamā manta, kas</w:t>
            </w:r>
            <w:r w:rsidR="00C1526D" w:rsidRPr="00F47A3A">
              <w:t xml:space="preserve"> ir ministrijas, tās pakļautībā vai</w:t>
            </w:r>
            <w:r w:rsidR="006314C1" w:rsidRPr="00F47A3A">
              <w:t xml:space="preserve"> pārraudzībā esošas iestādes vai kapitālsabiedrības valdījumā vai turējumā, nav nepieciešama ne tās padotībā esošajām iestādēm, ne citām valsts iestādēm un atvasinātām publiskām personām vai to iestādēm, un uz attiecīgo kustamo mantu ir pieteikusies sabiedriskā labuma organizācija, tad, izvērtējot lietderības apsvērumus</w:t>
            </w:r>
            <w:r w:rsidR="006D21A5" w:rsidRPr="00F47A3A">
              <w:t xml:space="preserve"> un nosakot nosacīto cenu</w:t>
            </w:r>
            <w:r w:rsidR="006314C1" w:rsidRPr="00F47A3A">
              <w:t>, attiecīgo kustamo mantu var nodot sabiedri</w:t>
            </w:r>
            <w:r w:rsidR="003B178C" w:rsidRPr="00F47A3A">
              <w:t>skā labuma organizāci</w:t>
            </w:r>
            <w:r w:rsidR="00D91496">
              <w:t>jai</w:t>
            </w:r>
            <w:r w:rsidR="003B178C" w:rsidRPr="00F47A3A">
              <w:t>.</w:t>
            </w:r>
            <w:r w:rsidR="003B178C" w:rsidRPr="00F47A3A">
              <w:rPr>
                <w:bCs/>
              </w:rPr>
              <w:t xml:space="preserve"> Gadījumā, ja</w:t>
            </w:r>
            <w:r w:rsidR="003B178C" w:rsidRPr="00F47A3A">
              <w:t xml:space="preserve"> vienlaicīgi pieteikušās vairākas </w:t>
            </w:r>
            <w:r w:rsidR="003B178C" w:rsidRPr="00F47A3A">
              <w:lastRenderedPageBreak/>
              <w:t xml:space="preserve">sabiedriskā labuma organizācijas un tiek lemts par valsts kustamās mantas nodošanu sabiedriskā labuma organizācijai, tad </w:t>
            </w:r>
            <w:r w:rsidR="003B178C" w:rsidRPr="00F47A3A">
              <w:rPr>
                <w:bCs/>
              </w:rPr>
              <w:t>jautājumu par mantas nodošanu atrisina pēc izlozes principa.</w:t>
            </w:r>
          </w:p>
          <w:p w14:paraId="1C96BF7F" w14:textId="028D5D06" w:rsidR="00ED7AF2" w:rsidRPr="00F47A3A" w:rsidRDefault="00E915CD" w:rsidP="003B178C">
            <w:pPr>
              <w:pStyle w:val="ListParagraph"/>
              <w:numPr>
                <w:ilvl w:val="0"/>
                <w:numId w:val="15"/>
              </w:numPr>
              <w:ind w:left="0"/>
              <w:jc w:val="both"/>
            </w:pPr>
            <w:r w:rsidRPr="00F47A3A">
              <w:t>10</w:t>
            </w:r>
            <w:r w:rsidR="00ED7AF2" w:rsidRPr="00F47A3A">
              <w:t>)</w:t>
            </w:r>
            <w:r w:rsidR="006706E1" w:rsidRPr="00F47A3A">
              <w:t xml:space="preserve"> </w:t>
            </w:r>
            <w:r w:rsidR="00ED7AF2" w:rsidRPr="00F47A3A">
              <w:t xml:space="preserve">Publiskas personas finanšu līdzekļu un mantas izšķērdēšanas novēršanas likuma (turpmāk – Izšķērdēšanas novēršanas likums) 12.panta pirmajā daļā noteikts, ja atsevišķa dāvinājuma (ziedojuma) summa pārsniedz 1500 </w:t>
            </w:r>
            <w:r w:rsidR="00ED7AF2" w:rsidRPr="00F47A3A">
              <w:rPr>
                <w:i/>
              </w:rPr>
              <w:t>euro</w:t>
            </w:r>
            <w:r w:rsidR="00ED7AF2" w:rsidRPr="00F47A3A">
              <w:t>, dāvināt (ziedot) drīkst, tikai noslēdzot ar dāvinājuma (ziedojuma) saņēmēju rakstveida līgumu. Līgumā paredz dāvinājuma (ziedojuma) mērķi, kā arī kārtību, kādā dāvinātājs  (ziedotājs) pārbauda, vai saņemtie finanšu līdzekļi un manta ir izlietota likumīgi un lietderīgi.</w:t>
            </w:r>
          </w:p>
          <w:p w14:paraId="3E7C414F" w14:textId="1521A088" w:rsidR="00655F99" w:rsidRPr="00F47A3A" w:rsidRDefault="00951671" w:rsidP="00655F99">
            <w:pPr>
              <w:pStyle w:val="ListParagraph"/>
              <w:numPr>
                <w:ilvl w:val="0"/>
                <w:numId w:val="15"/>
              </w:numPr>
              <w:ind w:left="0"/>
              <w:jc w:val="both"/>
            </w:pPr>
            <w:r w:rsidRPr="00F47A3A">
              <w:rPr>
                <w:bCs/>
              </w:rPr>
              <w:t>Noteikumi papildināti ar 22.</w:t>
            </w:r>
            <w:r w:rsidRPr="00F47A3A">
              <w:rPr>
                <w:bCs/>
                <w:vertAlign w:val="superscript"/>
              </w:rPr>
              <w:t>1</w:t>
            </w:r>
            <w:r w:rsidRPr="00F47A3A">
              <w:rPr>
                <w:bCs/>
              </w:rPr>
              <w:t xml:space="preserve"> punktu, nosakot, ka sabiedriskā labuma organizācija, piesakoties uz</w:t>
            </w:r>
            <w:r w:rsidR="00047E99" w:rsidRPr="00F47A3A">
              <w:rPr>
                <w:bCs/>
              </w:rPr>
              <w:t xml:space="preserve"> ministrijai, tās padotības iestādei vai kapitālsabiedrībai nevajadzīgo valsts kustamo mantu papildus</w:t>
            </w:r>
            <w:r w:rsidRPr="00F47A3A">
              <w:rPr>
                <w:bCs/>
              </w:rPr>
              <w:t xml:space="preserve"> </w:t>
            </w:r>
            <w:r w:rsidR="00E82FD6" w:rsidRPr="00F47A3A">
              <w:rPr>
                <w:bCs/>
              </w:rPr>
              <w:t xml:space="preserve">norāda attiecīgajā kalendārajā gadā no publiskas personas saņemtā dāvinājuma (ziedojuma) apmēru. </w:t>
            </w:r>
            <w:r w:rsidRPr="00F47A3A">
              <w:rPr>
                <w:bCs/>
              </w:rPr>
              <w:t>Minētais punkts ir nepieciešams, l</w:t>
            </w:r>
            <w:r w:rsidRPr="00F47A3A">
              <w:t>ai nodrošinātu publiskas personas informētību par to, vai nepieciešams slēgt rakstveida līgumu.</w:t>
            </w:r>
          </w:p>
          <w:p w14:paraId="1D19F278" w14:textId="349082EC" w:rsidR="001C29BE" w:rsidRPr="00F47A3A" w:rsidRDefault="00E915CD" w:rsidP="003148A0">
            <w:pPr>
              <w:pStyle w:val="ListParagraph"/>
              <w:numPr>
                <w:ilvl w:val="0"/>
                <w:numId w:val="15"/>
              </w:numPr>
              <w:ind w:left="0"/>
              <w:jc w:val="both"/>
            </w:pPr>
            <w:r w:rsidRPr="00F47A3A">
              <w:t>11</w:t>
            </w:r>
            <w:r w:rsidR="00655F99" w:rsidRPr="00F47A3A">
              <w:t xml:space="preserve">) </w:t>
            </w:r>
            <w:r w:rsidR="006706E1" w:rsidRPr="00F47A3A">
              <w:rPr>
                <w:bCs/>
              </w:rPr>
              <w:t>Vienlaikus Noteikumi ir papildināti ar 23.</w:t>
            </w:r>
            <w:r w:rsidR="006706E1" w:rsidRPr="00F47A3A">
              <w:rPr>
                <w:bCs/>
                <w:vertAlign w:val="superscript"/>
              </w:rPr>
              <w:t>1</w:t>
            </w:r>
            <w:r w:rsidR="006706E1" w:rsidRPr="00F47A3A">
              <w:rPr>
                <w:bCs/>
              </w:rPr>
              <w:t xml:space="preserve"> punktu, nosakot,</w:t>
            </w:r>
            <w:r w:rsidR="00C1526D" w:rsidRPr="00F47A3A">
              <w:rPr>
                <w:bCs/>
              </w:rPr>
              <w:t xml:space="preserve"> ka ministrijai, tās pakļautībā vai</w:t>
            </w:r>
            <w:r w:rsidR="006706E1" w:rsidRPr="00F47A3A">
              <w:rPr>
                <w:bCs/>
              </w:rPr>
              <w:t xml:space="preserve"> pārraudzībā esošā iestādei vai kapitālsabiedrībai, kuras valdījumā vai turējumā ir attiecīgā valsts kustamā manta, kas tiek nodota sabiedriskā labuma organizācijai saskaņā ar Noteikumu 23.3.apakšpunktu, ir pienākums 10 darbdienu laikā pēc tai nevajadzīgās valsts kustamās mantas atsavināšanas publicēt valsts akciju sabiedrības “Valsts nekustamie īpašumi” mājaslapā informāciju par sabiedriskā labuma organizāciju un tai nodotās kustamās mantas veidu</w:t>
            </w:r>
            <w:r w:rsidR="00C32647" w:rsidRPr="00F47A3A">
              <w:rPr>
                <w:bCs/>
              </w:rPr>
              <w:t>, nodošanas mērķi</w:t>
            </w:r>
            <w:r w:rsidR="002D030B" w:rsidRPr="00F47A3A">
              <w:rPr>
                <w:bCs/>
              </w:rPr>
              <w:t xml:space="preserve"> un nosacīto cenu</w:t>
            </w:r>
            <w:r w:rsidR="00B114D1" w:rsidRPr="00F47A3A">
              <w:rPr>
                <w:bCs/>
              </w:rPr>
              <w:t>, tādējādi nodrošinot gan publisku personu, gan sabiedrības informētību kopumā par sabiedriskā labuma organizācijām nodoto valsts kustamo mantu</w:t>
            </w:r>
            <w:r w:rsidR="006706E1" w:rsidRPr="00F47A3A">
              <w:rPr>
                <w:bCs/>
              </w:rPr>
              <w:t>.</w:t>
            </w:r>
            <w:r w:rsidR="003671EA" w:rsidRPr="00F47A3A">
              <w:rPr>
                <w:bCs/>
              </w:rPr>
              <w:t xml:space="preserve"> </w:t>
            </w:r>
            <w:r w:rsidR="001C29BE" w:rsidRPr="00F47A3A">
              <w:rPr>
                <w:bCs/>
              </w:rPr>
              <w:t>Nosacīto cenu nosaka Atsavināšanas likumā noteiktajā kārtībā.</w:t>
            </w:r>
          </w:p>
          <w:p w14:paraId="15A69F1B" w14:textId="799953B0" w:rsidR="00B21D37" w:rsidRPr="00F47A3A" w:rsidRDefault="003671EA" w:rsidP="00655F99">
            <w:pPr>
              <w:pStyle w:val="ListParagraph"/>
              <w:numPr>
                <w:ilvl w:val="0"/>
                <w:numId w:val="15"/>
              </w:numPr>
              <w:ind w:left="0"/>
              <w:jc w:val="both"/>
            </w:pPr>
            <w:r w:rsidRPr="00F47A3A">
              <w:rPr>
                <w:bCs/>
              </w:rPr>
              <w:t>Ņemot vērā, ka valsts akciju sabiedrībai “Valsts nekustamie īpašumi” pēc Not</w:t>
            </w:r>
            <w:r w:rsidR="00B01917" w:rsidRPr="00F47A3A">
              <w:rPr>
                <w:bCs/>
              </w:rPr>
              <w:t>eikumu projekta spēkā stāšanās</w:t>
            </w:r>
            <w:r w:rsidRPr="00F47A3A">
              <w:rPr>
                <w:bCs/>
              </w:rPr>
              <w:t xml:space="preserve"> n</w:t>
            </w:r>
            <w:r w:rsidR="00F65E20" w:rsidRPr="00F47A3A">
              <w:rPr>
                <w:bCs/>
              </w:rPr>
              <w:t>epieciešami četri mēneši, lai papildinātu mājaslapu ar attiecīgo</w:t>
            </w:r>
            <w:r w:rsidRPr="00F47A3A">
              <w:rPr>
                <w:bCs/>
              </w:rPr>
              <w:t xml:space="preserve"> </w:t>
            </w:r>
            <w:r w:rsidR="007B457D" w:rsidRPr="00F47A3A">
              <w:rPr>
                <w:bCs/>
              </w:rPr>
              <w:t>sadaļu, ar Noteikumu p</w:t>
            </w:r>
            <w:r w:rsidR="00DB585B">
              <w:rPr>
                <w:bCs/>
              </w:rPr>
              <w:t>rojekta 27</w:t>
            </w:r>
            <w:r w:rsidRPr="00F47A3A">
              <w:rPr>
                <w:bCs/>
              </w:rPr>
              <w:t>.punkt</w:t>
            </w:r>
            <w:r w:rsidR="001D18A2" w:rsidRPr="00F47A3A">
              <w:rPr>
                <w:bCs/>
              </w:rPr>
              <w:t>u</w:t>
            </w:r>
            <w:r w:rsidRPr="00F47A3A">
              <w:rPr>
                <w:bCs/>
              </w:rPr>
              <w:t xml:space="preserve"> noteikts, </w:t>
            </w:r>
            <w:r w:rsidR="00A81A05" w:rsidRPr="00F47A3A">
              <w:rPr>
                <w:bCs/>
              </w:rPr>
              <w:t xml:space="preserve"> </w:t>
            </w:r>
            <w:r w:rsidR="00B21D37" w:rsidRPr="00F47A3A">
              <w:rPr>
                <w:bCs/>
              </w:rPr>
              <w:t xml:space="preserve">ka </w:t>
            </w:r>
            <w:r w:rsidR="00B21D37" w:rsidRPr="00F47A3A">
              <w:rPr>
                <w:iCs/>
              </w:rPr>
              <w:t>23.</w:t>
            </w:r>
            <w:r w:rsidR="00B21D37" w:rsidRPr="00F47A3A">
              <w:rPr>
                <w:iCs/>
                <w:vertAlign w:val="superscript"/>
              </w:rPr>
              <w:t>1</w:t>
            </w:r>
            <w:r w:rsidR="00261561" w:rsidRPr="00F47A3A">
              <w:rPr>
                <w:iCs/>
              </w:rPr>
              <w:t> </w:t>
            </w:r>
            <w:r w:rsidR="00A1349E" w:rsidRPr="00F47A3A">
              <w:rPr>
                <w:iCs/>
              </w:rPr>
              <w:t>punkts stājas spēkā 2016.</w:t>
            </w:r>
            <w:r w:rsidR="00007551">
              <w:rPr>
                <w:iCs/>
              </w:rPr>
              <w:t>gada 1.decembrī</w:t>
            </w:r>
            <w:r w:rsidR="00335AFB" w:rsidRPr="00F47A3A">
              <w:rPr>
                <w:iCs/>
              </w:rPr>
              <w:t>, attiecīgi valsts akciju sabiedrībai “Valsts nekustamie īpašumi”</w:t>
            </w:r>
            <w:r w:rsidR="00B53DAD" w:rsidRPr="00F47A3A">
              <w:rPr>
                <w:iCs/>
              </w:rPr>
              <w:t xml:space="preserve"> līdz </w:t>
            </w:r>
            <w:r w:rsidR="00007551">
              <w:rPr>
                <w:iCs/>
              </w:rPr>
              <w:t>2016.gada 30.novembrim</w:t>
            </w:r>
            <w:r w:rsidR="00335AFB" w:rsidRPr="00F47A3A">
              <w:rPr>
                <w:iCs/>
              </w:rPr>
              <w:t xml:space="preserve"> jāizstrādā un jāievieš programmnodroši</w:t>
            </w:r>
            <w:r w:rsidR="00745296" w:rsidRPr="00F47A3A">
              <w:rPr>
                <w:iCs/>
              </w:rPr>
              <w:t xml:space="preserve">nājums, lai </w:t>
            </w:r>
            <w:r w:rsidR="00745296" w:rsidRPr="00F47A3A">
              <w:t xml:space="preserve"> ministrija, tās padotības iestāde vai kapitālsabiedrība, kura ir nodevusi valsts kustamo mantu sabiedriskā labuma organizācijai, varētu</w:t>
            </w:r>
            <w:r w:rsidR="00745296" w:rsidRPr="00F47A3A">
              <w:rPr>
                <w:iCs/>
              </w:rPr>
              <w:t xml:space="preserve"> valsts akciju sabiedrības “Valsts nekustamie īpašumi”</w:t>
            </w:r>
            <w:r w:rsidR="00E4088E" w:rsidRPr="00F47A3A">
              <w:rPr>
                <w:iCs/>
              </w:rPr>
              <w:t xml:space="preserve"> </w:t>
            </w:r>
            <w:r w:rsidR="00745296" w:rsidRPr="00F47A3A">
              <w:rPr>
                <w:iCs/>
              </w:rPr>
              <w:t>mājaslapā</w:t>
            </w:r>
            <w:r w:rsidR="00745296" w:rsidRPr="00F47A3A">
              <w:t xml:space="preserve"> publicēt </w:t>
            </w:r>
            <w:r w:rsidR="00E4088E" w:rsidRPr="00F47A3A">
              <w:t>Noteikumu 23.</w:t>
            </w:r>
            <w:r w:rsidR="00E4088E" w:rsidRPr="00F47A3A">
              <w:rPr>
                <w:vertAlign w:val="superscript"/>
              </w:rPr>
              <w:t>1</w:t>
            </w:r>
            <w:r w:rsidR="00E4088E" w:rsidRPr="00F47A3A">
              <w:t xml:space="preserve"> </w:t>
            </w:r>
            <w:r w:rsidR="00745296" w:rsidRPr="00F47A3A">
              <w:t>punktā noteikto informāciju.</w:t>
            </w:r>
            <w:r w:rsidR="00F577B3" w:rsidRPr="00F47A3A">
              <w:t xml:space="preserve"> N</w:t>
            </w:r>
            <w:r w:rsidR="00B53DAD" w:rsidRPr="00F47A3A">
              <w:t>oteikts, ka m</w:t>
            </w:r>
            <w:r w:rsidR="00B21D37" w:rsidRPr="00F47A3A">
              <w:rPr>
                <w:iCs/>
              </w:rPr>
              <w:t xml:space="preserve">inistrija, tās padotībā esošā iestāde vai kapitālsabiedrība līdz 2016.gada </w:t>
            </w:r>
            <w:r w:rsidR="00007551">
              <w:rPr>
                <w:iCs/>
              </w:rPr>
              <w:t>31.decembrim</w:t>
            </w:r>
            <w:r w:rsidR="00B21D37" w:rsidRPr="00F47A3A">
              <w:rPr>
                <w:iCs/>
              </w:rPr>
              <w:t xml:space="preserve"> publicē sabiedrības mājaslapā informāciju par valsts kustamo mantu, kuru tā līdz 2016.gada </w:t>
            </w:r>
            <w:r w:rsidR="00007551">
              <w:rPr>
                <w:iCs/>
              </w:rPr>
              <w:t>30.novembrim</w:t>
            </w:r>
            <w:r w:rsidR="00B21D37" w:rsidRPr="00F47A3A">
              <w:rPr>
                <w:iCs/>
              </w:rPr>
              <w:t xml:space="preserve"> nodevusi sabiedriskā labuma organizācijai atbilstoši šo noteikumu 23.3.apakšpunktam.</w:t>
            </w:r>
          </w:p>
          <w:p w14:paraId="42C064A8" w14:textId="6882EAD2" w:rsidR="0004080F" w:rsidRPr="00F47A3A" w:rsidRDefault="0003474A" w:rsidP="001B0BB4">
            <w:pPr>
              <w:pStyle w:val="ListParagraph"/>
              <w:numPr>
                <w:ilvl w:val="0"/>
                <w:numId w:val="15"/>
              </w:numPr>
              <w:ind w:left="0"/>
              <w:jc w:val="both"/>
            </w:pPr>
            <w:r w:rsidRPr="00F47A3A">
              <w:rPr>
                <w:iCs/>
              </w:rPr>
              <w:t>1</w:t>
            </w:r>
            <w:r w:rsidR="00E915CD" w:rsidRPr="00F47A3A">
              <w:rPr>
                <w:iCs/>
              </w:rPr>
              <w:t>2</w:t>
            </w:r>
            <w:r w:rsidRPr="00F47A3A">
              <w:rPr>
                <w:iCs/>
              </w:rPr>
              <w:t xml:space="preserve">) </w:t>
            </w:r>
            <w:r w:rsidR="0004080F" w:rsidRPr="00F47A3A">
              <w:t>Izvērtējot Noteikumos noteikto publiskas personas kustamās mantas atsavināšanas kārtību, secināms, ka publiskas personas mantu nodod tā iestāde, kuras valdījumā atrodas attiecīgā kustamā manta, līdz ar to publiskas personas amatpersonas</w:t>
            </w:r>
            <w:r w:rsidR="005D2396">
              <w:t xml:space="preserve"> apstiprinājums </w:t>
            </w:r>
            <w:r w:rsidR="005D2396">
              <w:lastRenderedPageBreak/>
              <w:t xml:space="preserve">gadījumos, kad </w:t>
            </w:r>
            <w:r w:rsidR="0004080F" w:rsidRPr="00F47A3A">
              <w:t>plašā apmērā kustamā manta tiek atsavināta, rada administratīvo slogu un laika patēriņu. Ņemot vērā, ka Noteikumu 29.punkts pēc būtības nodrošina tikai attiecīgās amatpersonas informētību par notikušo darījumu, tam nav jur</w:t>
            </w:r>
            <w:r w:rsidR="00007551">
              <w:t>idiskas slodzes, līdz ar to ar N</w:t>
            </w:r>
            <w:r w:rsidR="0004080F" w:rsidRPr="00F47A3A">
              <w:t>oteikumu projektu tiek svītrots Noteikumu 29.punkts.</w:t>
            </w:r>
          </w:p>
          <w:p w14:paraId="18189784" w14:textId="7CE7732F" w:rsidR="00B238A9" w:rsidRPr="00E915CD" w:rsidRDefault="002A3E05" w:rsidP="00007551">
            <w:pPr>
              <w:jc w:val="both"/>
              <w:rPr>
                <w:bCs/>
              </w:rPr>
            </w:pPr>
            <w:r w:rsidRPr="00F47A3A">
              <w:t>1</w:t>
            </w:r>
            <w:r w:rsidR="00E915CD" w:rsidRPr="00F47A3A">
              <w:t>3</w:t>
            </w:r>
            <w:r w:rsidR="00B238A9" w:rsidRPr="00F47A3A">
              <w:t>)</w:t>
            </w:r>
            <w:r w:rsidR="00B238A9" w:rsidRPr="00F47A3A">
              <w:rPr>
                <w:bCs/>
              </w:rPr>
              <w:t xml:space="preserve"> Ņemot vērā</w:t>
            </w:r>
            <w:r w:rsidR="00937416" w:rsidRPr="00F47A3A">
              <w:rPr>
                <w:bCs/>
              </w:rPr>
              <w:t>,</w:t>
            </w:r>
            <w:r w:rsidR="00B238A9" w:rsidRPr="00F47A3A">
              <w:rPr>
                <w:bCs/>
              </w:rPr>
              <w:t xml:space="preserve"> ka Publisko iepirkumu likums neregulē iepirkumus ar paredzamo līgumcenu līdz 4000 </w:t>
            </w:r>
            <w:r w:rsidR="00B238A9" w:rsidRPr="00F47A3A">
              <w:rPr>
                <w:bCs/>
                <w:i/>
              </w:rPr>
              <w:t>euro</w:t>
            </w:r>
            <w:r w:rsidR="00937416" w:rsidRPr="00F47A3A">
              <w:rPr>
                <w:bCs/>
              </w:rPr>
              <w:t xml:space="preserve"> un Noteikumu IV.nodaļas mērķi,</w:t>
            </w:r>
            <w:r w:rsidR="00B238A9" w:rsidRPr="00F47A3A">
              <w:rPr>
                <w:bCs/>
              </w:rPr>
              <w:t xml:space="preserve"> attiecībā uz maiņas līgumiem, kuros paredzamā līgumcena ir </w:t>
            </w:r>
            <w:r w:rsidR="00007551">
              <w:rPr>
                <w:bCs/>
              </w:rPr>
              <w:t>vienāda vai lielāka par Publisko iepirkumu likumā paredzamo līgumcenu robežvērtību</w:t>
            </w:r>
            <w:r w:rsidR="00B238A9" w:rsidRPr="00F47A3A">
              <w:rPr>
                <w:bCs/>
              </w:rPr>
              <w:t>, ar grozījumiem noteikumu 3</w:t>
            </w:r>
            <w:r w:rsidR="00F2782A" w:rsidRPr="00F47A3A">
              <w:rPr>
                <w:bCs/>
              </w:rPr>
              <w:t>2</w:t>
            </w:r>
            <w:r w:rsidR="00B238A9" w:rsidRPr="00F47A3A">
              <w:rPr>
                <w:bCs/>
              </w:rPr>
              <w:t xml:space="preserve">.punktā </w:t>
            </w:r>
            <w:r w:rsidR="00937416" w:rsidRPr="00F47A3A">
              <w:rPr>
                <w:bCs/>
              </w:rPr>
              <w:t>tiek</w:t>
            </w:r>
            <w:r w:rsidR="00B238A9" w:rsidRPr="00F47A3A">
              <w:rPr>
                <w:bCs/>
              </w:rPr>
              <w:t xml:space="preserve"> vienkāršota kārtība attiecībā uz šādu piedāvājumu izvēl</w:t>
            </w:r>
            <w:r w:rsidR="00E32F81" w:rsidRPr="00F47A3A">
              <w:rPr>
                <w:bCs/>
              </w:rPr>
              <w:t xml:space="preserve">i. </w:t>
            </w:r>
            <w:r w:rsidR="00937416" w:rsidRPr="00F47A3A">
              <w:rPr>
                <w:bCs/>
              </w:rPr>
              <w:t>L</w:t>
            </w:r>
            <w:r w:rsidR="00B238A9" w:rsidRPr="00F47A3A">
              <w:rPr>
                <w:bCs/>
              </w:rPr>
              <w:t xml:space="preserve">ai nodrošinātu procedūras atklātumu un </w:t>
            </w:r>
            <w:r w:rsidR="00E32F81" w:rsidRPr="00F47A3A">
              <w:rPr>
                <w:bCs/>
              </w:rPr>
              <w:t xml:space="preserve">pretendentu </w:t>
            </w:r>
            <w:r w:rsidR="00B238A9" w:rsidRPr="00F47A3A">
              <w:rPr>
                <w:bCs/>
              </w:rPr>
              <w:t xml:space="preserve">vienlīdzīgumu,  </w:t>
            </w:r>
            <w:r w:rsidR="00E32F81" w:rsidRPr="00F47A3A">
              <w:rPr>
                <w:bCs/>
              </w:rPr>
              <w:t>N</w:t>
            </w:r>
            <w:r w:rsidR="00B238A9" w:rsidRPr="00F47A3A">
              <w:rPr>
                <w:bCs/>
              </w:rPr>
              <w:t xml:space="preserve">oteikumu projekts paredz  </w:t>
            </w:r>
            <w:r w:rsidR="00E32F81" w:rsidRPr="00F47A3A">
              <w:rPr>
                <w:bCs/>
              </w:rPr>
              <w:t>N</w:t>
            </w:r>
            <w:r w:rsidR="00B238A9" w:rsidRPr="00F47A3A">
              <w:rPr>
                <w:bCs/>
              </w:rPr>
              <w:t>oteikumu 3</w:t>
            </w:r>
            <w:r w:rsidR="00F2782A" w:rsidRPr="00F47A3A">
              <w:rPr>
                <w:bCs/>
              </w:rPr>
              <w:t>2</w:t>
            </w:r>
            <w:r w:rsidR="00B238A9" w:rsidRPr="00F47A3A">
              <w:rPr>
                <w:bCs/>
              </w:rPr>
              <w:t>.punktu izteikt jaunā redakcijā, saglabājot piedāvājumu publicēšanas nepieciešamību un kārtību.</w:t>
            </w:r>
          </w:p>
        </w:tc>
      </w:tr>
      <w:tr w:rsidR="00E915CD" w:rsidRPr="00E915CD" w14:paraId="5DF04DBB" w14:textId="77777777" w:rsidTr="003E3E30">
        <w:trPr>
          <w:trHeight w:val="992"/>
        </w:trPr>
        <w:tc>
          <w:tcPr>
            <w:tcW w:w="430" w:type="dxa"/>
          </w:tcPr>
          <w:p w14:paraId="05EF74E0" w14:textId="69E261D6" w:rsidR="00585B7B" w:rsidRPr="00E915CD" w:rsidRDefault="008120F5" w:rsidP="008430A7">
            <w:pPr>
              <w:pStyle w:val="naiskr"/>
              <w:spacing w:before="0" w:after="0"/>
              <w:jc w:val="center"/>
            </w:pPr>
            <w:r w:rsidRPr="00E915CD">
              <w:lastRenderedPageBreak/>
              <w:t>3</w:t>
            </w:r>
            <w:r w:rsidR="00585B7B" w:rsidRPr="00E915CD">
              <w:t>.</w:t>
            </w:r>
          </w:p>
        </w:tc>
        <w:tc>
          <w:tcPr>
            <w:tcW w:w="2693" w:type="dxa"/>
          </w:tcPr>
          <w:p w14:paraId="4E636C00" w14:textId="77777777" w:rsidR="00585B7B" w:rsidRPr="00E915CD" w:rsidRDefault="00585B7B" w:rsidP="00EF5C77">
            <w:pPr>
              <w:pStyle w:val="naiskr"/>
              <w:spacing w:before="0" w:after="0"/>
              <w:ind w:left="131"/>
            </w:pPr>
            <w:r w:rsidRPr="00E915CD">
              <w:t>Projekta izstrādē iesaistītās institūcijas</w:t>
            </w:r>
          </w:p>
        </w:tc>
        <w:tc>
          <w:tcPr>
            <w:tcW w:w="6511" w:type="dxa"/>
          </w:tcPr>
          <w:p w14:paraId="5733166E" w14:textId="77777777" w:rsidR="00585B7B" w:rsidRPr="00E915CD" w:rsidRDefault="003E3E30" w:rsidP="000012EF">
            <w:pPr>
              <w:spacing w:before="75" w:after="75"/>
              <w:ind w:left="82" w:right="141"/>
              <w:jc w:val="both"/>
            </w:pPr>
            <w:r w:rsidRPr="00E915CD">
              <w:t>Finanšu ministrija</w:t>
            </w:r>
          </w:p>
        </w:tc>
      </w:tr>
      <w:tr w:rsidR="00E915CD" w:rsidRPr="00E915CD" w14:paraId="027C0F2D" w14:textId="77777777" w:rsidTr="003E3E30">
        <w:tc>
          <w:tcPr>
            <w:tcW w:w="430" w:type="dxa"/>
          </w:tcPr>
          <w:p w14:paraId="66E2DB9E" w14:textId="77777777" w:rsidR="00585B7B" w:rsidRPr="00E915CD" w:rsidRDefault="008120F5" w:rsidP="008430A7">
            <w:pPr>
              <w:pStyle w:val="naiskr"/>
              <w:spacing w:before="0" w:after="0"/>
              <w:jc w:val="center"/>
            </w:pPr>
            <w:r w:rsidRPr="00E915CD">
              <w:t>4</w:t>
            </w:r>
            <w:r w:rsidR="00585B7B" w:rsidRPr="00E915CD">
              <w:t>.</w:t>
            </w:r>
          </w:p>
        </w:tc>
        <w:tc>
          <w:tcPr>
            <w:tcW w:w="2693" w:type="dxa"/>
          </w:tcPr>
          <w:p w14:paraId="281030B0" w14:textId="77777777" w:rsidR="00585B7B" w:rsidRPr="00E915CD" w:rsidRDefault="00585B7B" w:rsidP="00EF5C77">
            <w:pPr>
              <w:pStyle w:val="naiskr"/>
              <w:spacing w:before="0" w:after="0"/>
              <w:ind w:left="131"/>
            </w:pPr>
            <w:r w:rsidRPr="00E915CD">
              <w:t>Cita informācija</w:t>
            </w:r>
          </w:p>
        </w:tc>
        <w:tc>
          <w:tcPr>
            <w:tcW w:w="6511" w:type="dxa"/>
          </w:tcPr>
          <w:p w14:paraId="1028A62F" w14:textId="01FF5603" w:rsidR="00585B7B" w:rsidRPr="00E915CD" w:rsidRDefault="00261561" w:rsidP="002B5511">
            <w:pPr>
              <w:pStyle w:val="naiskr"/>
              <w:spacing w:before="0" w:after="0"/>
              <w:ind w:left="82" w:right="141"/>
              <w:jc w:val="both"/>
            </w:pPr>
            <w:r w:rsidRPr="00E915CD">
              <w:t>Nav.</w:t>
            </w:r>
          </w:p>
        </w:tc>
      </w:tr>
    </w:tbl>
    <w:p w14:paraId="6C5EEA5E" w14:textId="77777777" w:rsidR="003E3E30" w:rsidRPr="00E915CD" w:rsidRDefault="003E3E30" w:rsidP="003E3E30">
      <w:pPr>
        <w:shd w:val="clear" w:color="auto" w:fill="FFFFFF"/>
        <w:spacing w:before="60" w:after="60"/>
        <w:rPr>
          <w:rFonts w:eastAsia="Times New Roman"/>
        </w:rPr>
      </w:pPr>
    </w:p>
    <w:tbl>
      <w:tblPr>
        <w:tblW w:w="5324"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8"/>
        <w:gridCol w:w="2708"/>
        <w:gridCol w:w="6562"/>
      </w:tblGrid>
      <w:tr w:rsidR="00E915CD" w:rsidRPr="00E915CD" w14:paraId="340DB088" w14:textId="77777777" w:rsidTr="003E3E3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1FAC2" w14:textId="77777777" w:rsidR="003E3E30" w:rsidRPr="00E915CD" w:rsidRDefault="003E3E30" w:rsidP="003E3E30">
            <w:pPr>
              <w:spacing w:before="100" w:beforeAutospacing="1" w:after="100" w:afterAutospacing="1" w:line="293" w:lineRule="atLeast"/>
              <w:jc w:val="center"/>
              <w:rPr>
                <w:rFonts w:eastAsia="Times New Roman"/>
                <w:b/>
                <w:bCs/>
              </w:rPr>
            </w:pPr>
            <w:r w:rsidRPr="00E915CD">
              <w:rPr>
                <w:rFonts w:eastAsia="Times New Roman"/>
                <w:b/>
                <w:bCs/>
              </w:rPr>
              <w:t>II. Tiesību akta projekta ietekme uz sabiedrību, tautsaimniecības attīstību un administratīvo slogu</w:t>
            </w:r>
          </w:p>
        </w:tc>
      </w:tr>
      <w:tr w:rsidR="00E915CD" w:rsidRPr="00E915CD" w14:paraId="08668B36" w14:textId="77777777" w:rsidTr="00164CA3">
        <w:trPr>
          <w:trHeight w:val="465"/>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0C3A12E6" w14:textId="77777777" w:rsidR="003E3E30" w:rsidRPr="00E915CD" w:rsidRDefault="003E3E30" w:rsidP="003E3E30">
            <w:pPr>
              <w:rPr>
                <w:rFonts w:eastAsia="Times New Roman"/>
              </w:rPr>
            </w:pPr>
            <w:r w:rsidRPr="00E915CD">
              <w:rPr>
                <w:rFonts w:eastAsia="Times New Roman"/>
              </w:rPr>
              <w:t>1.</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AF3AB97" w14:textId="77777777" w:rsidR="003E3E30" w:rsidRPr="00E915CD" w:rsidRDefault="003E3E30" w:rsidP="003E3E30">
            <w:pPr>
              <w:rPr>
                <w:rFonts w:eastAsia="Times New Roman"/>
              </w:rPr>
            </w:pPr>
            <w:r w:rsidRPr="00E915CD">
              <w:rPr>
                <w:rFonts w:eastAsia="Times New Roman"/>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6E2479EE" w14:textId="0FB7CA0C" w:rsidR="003E3E30" w:rsidRPr="00E915CD" w:rsidRDefault="00703ED9" w:rsidP="00B12731">
            <w:pPr>
              <w:shd w:val="clear" w:color="auto" w:fill="FFFFFF"/>
              <w:spacing w:after="60"/>
              <w:jc w:val="both"/>
              <w:rPr>
                <w:rFonts w:eastAsia="Times New Roman"/>
              </w:rPr>
            </w:pPr>
            <w:r w:rsidRPr="00E915CD">
              <w:rPr>
                <w:rFonts w:eastAsia="Times New Roman"/>
              </w:rPr>
              <w:t>Visas publiskas personas, atvasinātas publiskas personas.</w:t>
            </w:r>
            <w:r w:rsidR="00B12731" w:rsidRPr="00E915CD">
              <w:rPr>
                <w:rFonts w:eastAsia="Times New Roman"/>
              </w:rPr>
              <w:t xml:space="preserve"> B</w:t>
            </w:r>
            <w:r w:rsidRPr="00E915CD">
              <w:rPr>
                <w:rFonts w:eastAsia="Times New Roman"/>
              </w:rPr>
              <w:t xml:space="preserve">iedrības un nodibinājumi, kas ieguvušas sabiedriskā labuma organizācijas statusu atbilstoši Sabiedriskā labuma organizāciju likumā noteiktajai kārtībai. </w:t>
            </w:r>
            <w:r w:rsidR="00A63048" w:rsidRPr="00E915CD">
              <w:rPr>
                <w:rFonts w:eastAsia="Times New Roman"/>
              </w:rPr>
              <w:t>Atbilstoši</w:t>
            </w:r>
            <w:r w:rsidRPr="00E915CD">
              <w:rPr>
                <w:rFonts w:eastAsia="Times New Roman"/>
              </w:rPr>
              <w:t xml:space="preserve"> Sabiedriskā labuma or</w:t>
            </w:r>
            <w:r w:rsidR="00A63048" w:rsidRPr="00E915CD">
              <w:rPr>
                <w:rFonts w:eastAsia="Times New Roman"/>
              </w:rPr>
              <w:t>ganizāciju reģistra informācijai</w:t>
            </w:r>
            <w:r w:rsidRPr="00E915CD">
              <w:rPr>
                <w:rFonts w:eastAsia="Times New Roman"/>
              </w:rPr>
              <w:t xml:space="preserve"> </w:t>
            </w:r>
            <w:r w:rsidR="00303DB3" w:rsidRPr="00E915CD">
              <w:rPr>
                <w:rFonts w:eastAsia="Times New Roman"/>
              </w:rPr>
              <w:t xml:space="preserve">2016.gada 1.janvārī </w:t>
            </w:r>
            <w:r w:rsidRPr="00E915CD">
              <w:rPr>
                <w:rFonts w:eastAsia="Times New Roman"/>
              </w:rPr>
              <w:t xml:space="preserve">spēkā esošs statuss ir </w:t>
            </w:r>
            <w:r w:rsidR="00303DB3" w:rsidRPr="00E915CD">
              <w:rPr>
                <w:rFonts w:eastAsia="Times New Roman"/>
              </w:rPr>
              <w:t>2467</w:t>
            </w:r>
            <w:r w:rsidRPr="00E915CD">
              <w:rPr>
                <w:rFonts w:eastAsia="Times New Roman"/>
              </w:rPr>
              <w:t xml:space="preserve"> sabiedriskā labuma organizācijām.</w:t>
            </w:r>
          </w:p>
        </w:tc>
      </w:tr>
      <w:tr w:rsidR="00E915CD" w:rsidRPr="00E915CD" w14:paraId="2F15B486" w14:textId="77777777" w:rsidTr="00164CA3">
        <w:trPr>
          <w:trHeight w:val="510"/>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0F751E2" w14:textId="77777777" w:rsidR="003E3E30" w:rsidRPr="00E915CD" w:rsidRDefault="003E3E30" w:rsidP="003E3E30">
            <w:pPr>
              <w:rPr>
                <w:rFonts w:eastAsia="Times New Roman"/>
              </w:rPr>
            </w:pPr>
            <w:r w:rsidRPr="00E915CD">
              <w:rPr>
                <w:rFonts w:eastAsia="Times New Roman"/>
              </w:rPr>
              <w:t>2.</w:t>
            </w:r>
          </w:p>
          <w:p w14:paraId="0B0D3EF2" w14:textId="77777777" w:rsidR="003E3E30" w:rsidRPr="00E915CD" w:rsidRDefault="003E3E30" w:rsidP="003E3E30">
            <w:pPr>
              <w:rPr>
                <w:rFonts w:eastAsia="Times New Roman"/>
              </w:rPr>
            </w:pPr>
          </w:p>
          <w:p w14:paraId="16347659" w14:textId="77777777" w:rsidR="003E3E30" w:rsidRPr="00E915CD" w:rsidRDefault="003E3E30" w:rsidP="003E3E30">
            <w:pPr>
              <w:rPr>
                <w:rFonts w:eastAsia="Times New Roman"/>
              </w:rPr>
            </w:pPr>
          </w:p>
          <w:p w14:paraId="75AD0327" w14:textId="77777777" w:rsidR="003E3E30" w:rsidRPr="00E915CD" w:rsidRDefault="003E3E30" w:rsidP="003E3E30">
            <w:pPr>
              <w:rPr>
                <w:rFonts w:eastAsia="Times New Roman"/>
              </w:rPr>
            </w:pP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095EF2AC" w14:textId="77777777" w:rsidR="003E3E30" w:rsidRPr="00E915CD" w:rsidRDefault="003E3E30" w:rsidP="003E3E30">
            <w:pPr>
              <w:rPr>
                <w:rFonts w:eastAsia="Times New Roman"/>
              </w:rPr>
            </w:pPr>
            <w:r w:rsidRPr="00E915CD">
              <w:rPr>
                <w:rFonts w:eastAsia="Times New Roman"/>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1A905B92" w14:textId="77777777" w:rsidR="003E3E30" w:rsidRPr="00E915CD" w:rsidRDefault="00942AB2" w:rsidP="003E3E30">
            <w:pPr>
              <w:rPr>
                <w:rFonts w:eastAsia="Times New Roman"/>
              </w:rPr>
            </w:pPr>
            <w:r w:rsidRPr="00E915CD">
              <w:t>Projekts šo jomu neskar.</w:t>
            </w:r>
          </w:p>
        </w:tc>
      </w:tr>
      <w:tr w:rsidR="00E915CD" w:rsidRPr="00E915CD" w14:paraId="38E7E23A" w14:textId="77777777" w:rsidTr="00164CA3">
        <w:trPr>
          <w:trHeight w:val="510"/>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EBB5344" w14:textId="77777777" w:rsidR="003E3E30" w:rsidRPr="00E915CD" w:rsidRDefault="003E3E30" w:rsidP="003E3E30">
            <w:pPr>
              <w:rPr>
                <w:rFonts w:eastAsia="Times New Roman"/>
              </w:rPr>
            </w:pPr>
            <w:r w:rsidRPr="00E915CD">
              <w:rPr>
                <w:rFonts w:eastAsia="Times New Roman"/>
              </w:rPr>
              <w:t>3.</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37648B2" w14:textId="77777777" w:rsidR="003E3E30" w:rsidRPr="00E915CD" w:rsidRDefault="003E3E30" w:rsidP="003E3E30">
            <w:pPr>
              <w:rPr>
                <w:rFonts w:eastAsia="Times New Roman"/>
              </w:rPr>
            </w:pPr>
            <w:r w:rsidRPr="00E915CD">
              <w:rPr>
                <w:rFonts w:eastAsia="Times New Roman"/>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0BCFAB36" w14:textId="77777777" w:rsidR="003E3E30" w:rsidRPr="00E915CD" w:rsidRDefault="00942AB2" w:rsidP="003E3E30">
            <w:pPr>
              <w:rPr>
                <w:rFonts w:eastAsia="Times New Roman"/>
              </w:rPr>
            </w:pPr>
            <w:r w:rsidRPr="00E915CD">
              <w:t>Projekts šo jomu neskar.</w:t>
            </w:r>
          </w:p>
        </w:tc>
      </w:tr>
      <w:tr w:rsidR="00E915CD" w:rsidRPr="00E915CD" w14:paraId="3BE1BE8C" w14:textId="77777777" w:rsidTr="00164CA3">
        <w:trPr>
          <w:trHeight w:val="345"/>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32DE99F9" w14:textId="77777777" w:rsidR="003E3E30" w:rsidRPr="00E915CD" w:rsidRDefault="003E3E30" w:rsidP="003E3E30">
            <w:pPr>
              <w:rPr>
                <w:rFonts w:eastAsia="Times New Roman"/>
              </w:rPr>
            </w:pPr>
            <w:r w:rsidRPr="00E915CD">
              <w:rPr>
                <w:rFonts w:eastAsia="Times New Roman"/>
              </w:rPr>
              <w:t>4.</w:t>
            </w:r>
          </w:p>
        </w:tc>
        <w:tc>
          <w:tcPr>
            <w:tcW w:w="1396" w:type="pct"/>
            <w:tcBorders>
              <w:top w:val="outset" w:sz="6" w:space="0" w:color="414142"/>
              <w:left w:val="outset" w:sz="6" w:space="0" w:color="414142"/>
              <w:bottom w:val="outset" w:sz="6" w:space="0" w:color="414142"/>
              <w:right w:val="outset" w:sz="6" w:space="0" w:color="414142"/>
            </w:tcBorders>
            <w:shd w:val="clear" w:color="auto" w:fill="FFFFFF"/>
            <w:hideMark/>
          </w:tcPr>
          <w:p w14:paraId="20C5A333" w14:textId="77777777" w:rsidR="003E3E30" w:rsidRPr="00E915CD" w:rsidRDefault="003E3E30" w:rsidP="003E3E30">
            <w:pPr>
              <w:rPr>
                <w:rFonts w:eastAsia="Times New Roman"/>
              </w:rPr>
            </w:pPr>
            <w:r w:rsidRPr="00E915CD">
              <w:rPr>
                <w:rFonts w:eastAsia="Times New Roman"/>
              </w:rPr>
              <w:t>Cita informācija</w:t>
            </w:r>
          </w:p>
        </w:tc>
        <w:tc>
          <w:tcPr>
            <w:tcW w:w="3383" w:type="pct"/>
            <w:tcBorders>
              <w:top w:val="outset" w:sz="6" w:space="0" w:color="414142"/>
              <w:left w:val="outset" w:sz="6" w:space="0" w:color="414142"/>
              <w:bottom w:val="outset" w:sz="6" w:space="0" w:color="414142"/>
              <w:right w:val="outset" w:sz="6" w:space="0" w:color="414142"/>
            </w:tcBorders>
            <w:shd w:val="clear" w:color="auto" w:fill="FFFFFF"/>
            <w:hideMark/>
          </w:tcPr>
          <w:p w14:paraId="5912A8C7" w14:textId="77777777" w:rsidR="003E3E30" w:rsidRPr="00E915CD" w:rsidRDefault="00942AB2" w:rsidP="003E3E30">
            <w:pPr>
              <w:spacing w:before="100" w:beforeAutospacing="1" w:after="100" w:afterAutospacing="1" w:line="293" w:lineRule="atLeast"/>
              <w:rPr>
                <w:rFonts w:eastAsia="Times New Roman"/>
              </w:rPr>
            </w:pPr>
            <w:r w:rsidRPr="00E915CD">
              <w:rPr>
                <w:rFonts w:eastAsia="Times New Roman"/>
              </w:rPr>
              <w:t>Nav.</w:t>
            </w:r>
          </w:p>
        </w:tc>
      </w:tr>
    </w:tbl>
    <w:p w14:paraId="5E57DC0C" w14:textId="77777777" w:rsidR="00CE4B53" w:rsidRPr="00E915CD" w:rsidRDefault="00CE4B53"/>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5"/>
        <w:gridCol w:w="6537"/>
      </w:tblGrid>
      <w:tr w:rsidR="00E915CD" w:rsidRPr="00E915CD" w14:paraId="30C5DC73" w14:textId="77777777" w:rsidTr="00A9363A">
        <w:trPr>
          <w:jc w:val="center"/>
        </w:trPr>
        <w:tc>
          <w:tcPr>
            <w:tcW w:w="9654" w:type="dxa"/>
            <w:gridSpan w:val="3"/>
          </w:tcPr>
          <w:p w14:paraId="6BA1945E" w14:textId="77777777" w:rsidR="00E608C5" w:rsidRPr="00E915CD" w:rsidRDefault="00502D8F" w:rsidP="00EE676B">
            <w:pPr>
              <w:pStyle w:val="naisnod"/>
              <w:spacing w:before="0" w:after="0"/>
              <w:ind w:left="57" w:right="57"/>
            </w:pPr>
            <w:r w:rsidRPr="00E915CD">
              <w:br w:type="page"/>
            </w:r>
            <w:r w:rsidR="00E608C5" w:rsidRPr="00E915CD">
              <w:t>VI. Sabiedrības līdzdalība un šīs līdzdalības rezultāti</w:t>
            </w:r>
          </w:p>
        </w:tc>
      </w:tr>
      <w:tr w:rsidR="00E915CD" w:rsidRPr="00E915CD" w14:paraId="31D9A6C9" w14:textId="77777777" w:rsidTr="00A9363A">
        <w:trPr>
          <w:trHeight w:val="553"/>
          <w:jc w:val="center"/>
        </w:trPr>
        <w:tc>
          <w:tcPr>
            <w:tcW w:w="562" w:type="dxa"/>
          </w:tcPr>
          <w:p w14:paraId="31A6FCD2" w14:textId="77777777" w:rsidR="00E608C5" w:rsidRPr="00E915CD" w:rsidRDefault="00E608C5" w:rsidP="008430A7">
            <w:pPr>
              <w:pStyle w:val="naiskr"/>
              <w:spacing w:before="0" w:after="0"/>
              <w:ind w:left="57" w:right="57"/>
              <w:jc w:val="center"/>
              <w:rPr>
                <w:bCs/>
              </w:rPr>
            </w:pPr>
            <w:r w:rsidRPr="00E915CD">
              <w:rPr>
                <w:bCs/>
              </w:rPr>
              <w:t>1.</w:t>
            </w:r>
          </w:p>
        </w:tc>
        <w:tc>
          <w:tcPr>
            <w:tcW w:w="2555" w:type="dxa"/>
          </w:tcPr>
          <w:p w14:paraId="6E3DE458" w14:textId="77777777" w:rsidR="00F62CB4" w:rsidRPr="00E915CD" w:rsidRDefault="00F62CB4" w:rsidP="00EE676B">
            <w:pPr>
              <w:pStyle w:val="naiskr"/>
              <w:tabs>
                <w:tab w:val="left" w:pos="170"/>
              </w:tabs>
              <w:spacing w:before="0" w:after="0"/>
              <w:ind w:left="57" w:right="57"/>
            </w:pPr>
            <w:r w:rsidRPr="00E915CD">
              <w:t>Plānotās sabiedrības līdzdalības un komunikācijas aktivitātes saistībā ar projektu</w:t>
            </w:r>
          </w:p>
        </w:tc>
        <w:tc>
          <w:tcPr>
            <w:tcW w:w="6537" w:type="dxa"/>
          </w:tcPr>
          <w:p w14:paraId="2663AA20" w14:textId="47F7BF2B" w:rsidR="0086060D" w:rsidRPr="00E915CD" w:rsidRDefault="0086060D" w:rsidP="00937416">
            <w:pPr>
              <w:jc w:val="both"/>
              <w:rPr>
                <w:rFonts w:eastAsia="Times New Roman"/>
              </w:rPr>
            </w:pPr>
            <w:r w:rsidRPr="00E915CD">
              <w:rPr>
                <w:rFonts w:eastAsia="Times New Roman"/>
              </w:rPr>
              <w:t>Saskaņā ar Ministru kabineta 2009.gada 25.augusta noteikumu Nr.970 „Sabiedrības līdzdalības kārtība attīstības plānošanas procesā” 7.4.</w:t>
            </w:r>
            <w:r w:rsidRPr="00E915CD">
              <w:rPr>
                <w:rFonts w:eastAsia="Times New Roman"/>
                <w:vertAlign w:val="superscript"/>
              </w:rPr>
              <w:t>1</w:t>
            </w:r>
            <w:r w:rsidRPr="00E915CD">
              <w:rPr>
                <w:rFonts w:eastAsia="Times New Roman"/>
              </w:rPr>
              <w:t xml:space="preserve"> apakšpunktu sabiedrības pārstāvji ir aicināti līdzdarboties, rakstiski sniedzot viedokli par noteikumu projektu tā izstrādes stadijā. </w:t>
            </w:r>
            <w:r w:rsidR="0088098A" w:rsidRPr="00E915CD">
              <w:rPr>
                <w:rFonts w:eastAsia="Times New Roman"/>
              </w:rPr>
              <w:t xml:space="preserve">2015.gada 20.novembrī Finanšu ministrijas mājaslapas sadaļā “Sabiedrības līdzdalība” ir publicēta </w:t>
            </w:r>
            <w:r w:rsidR="00442FD6" w:rsidRPr="00E915CD">
              <w:rPr>
                <w:rFonts w:eastAsia="Times New Roman"/>
              </w:rPr>
              <w:t>Noteikumu</w:t>
            </w:r>
            <w:r w:rsidR="0088098A" w:rsidRPr="00E915CD">
              <w:rPr>
                <w:rFonts w:eastAsia="Times New Roman"/>
              </w:rPr>
              <w:t xml:space="preserve"> projekta uzziņa, līdz ar to s</w:t>
            </w:r>
            <w:r w:rsidRPr="00E915CD">
              <w:rPr>
                <w:rFonts w:eastAsia="Times New Roman"/>
              </w:rPr>
              <w:t>abiedrības pārstāvji ir informēti par iespēju līdzdarboties</w:t>
            </w:r>
            <w:r w:rsidR="0088098A" w:rsidRPr="00E915CD">
              <w:rPr>
                <w:rFonts w:eastAsia="Times New Roman"/>
              </w:rPr>
              <w:t>, iesniedzot priekšlikumus, atzinumu par tiesību akta projektu jebkurā tā izstrādes posmā.</w:t>
            </w:r>
          </w:p>
          <w:p w14:paraId="576DFEED" w14:textId="30F21C6D" w:rsidR="00345C22" w:rsidRPr="00E915CD" w:rsidRDefault="0086060D" w:rsidP="00A9363A">
            <w:pPr>
              <w:jc w:val="both"/>
            </w:pPr>
            <w:r w:rsidRPr="00E915CD">
              <w:rPr>
                <w:szCs w:val="28"/>
              </w:rPr>
              <w:t>Noteikumu</w:t>
            </w:r>
            <w:r w:rsidR="00345C22" w:rsidRPr="00E915CD">
              <w:rPr>
                <w:szCs w:val="28"/>
              </w:rPr>
              <w:t xml:space="preserve"> projekts un tā </w:t>
            </w:r>
            <w:r w:rsidRPr="00E915CD">
              <w:rPr>
                <w:szCs w:val="28"/>
              </w:rPr>
              <w:t xml:space="preserve">sākotnējās ietekmes novērtējuma </w:t>
            </w:r>
            <w:r w:rsidRPr="00E915CD">
              <w:rPr>
                <w:szCs w:val="28"/>
              </w:rPr>
              <w:lastRenderedPageBreak/>
              <w:t>ziņojums (</w:t>
            </w:r>
            <w:r w:rsidR="00345C22" w:rsidRPr="00E915CD">
              <w:rPr>
                <w:szCs w:val="28"/>
              </w:rPr>
              <w:t>anotācija</w:t>
            </w:r>
            <w:r w:rsidRPr="00E915CD">
              <w:rPr>
                <w:szCs w:val="28"/>
              </w:rPr>
              <w:t>)</w:t>
            </w:r>
            <w:r w:rsidR="00345C22" w:rsidRPr="00E915CD">
              <w:rPr>
                <w:szCs w:val="28"/>
              </w:rPr>
              <w:t xml:space="preserve"> pēc tā izsludināšana</w:t>
            </w:r>
            <w:r w:rsidR="000D0B18">
              <w:rPr>
                <w:szCs w:val="28"/>
              </w:rPr>
              <w:t xml:space="preserve">s Valsts sekretāru sanāksmē </w:t>
            </w:r>
            <w:r w:rsidR="00345C22" w:rsidRPr="00E915CD">
              <w:rPr>
                <w:szCs w:val="28"/>
              </w:rPr>
              <w:t>publiski p</w:t>
            </w:r>
            <w:r w:rsidR="000D0B18">
              <w:rPr>
                <w:szCs w:val="28"/>
              </w:rPr>
              <w:t>ieejami</w:t>
            </w:r>
            <w:r w:rsidR="00A9363A" w:rsidRPr="00E915CD">
              <w:rPr>
                <w:szCs w:val="28"/>
              </w:rPr>
              <w:t xml:space="preserve"> Ministru kabineta mājaslapas</w:t>
            </w:r>
            <w:r w:rsidR="00345C22" w:rsidRPr="00E915CD">
              <w:rPr>
                <w:szCs w:val="28"/>
              </w:rPr>
              <w:t xml:space="preserve"> sadaļā</w:t>
            </w:r>
            <w:r w:rsidR="00A9363A" w:rsidRPr="00E915CD">
              <w:rPr>
                <w:szCs w:val="28"/>
              </w:rPr>
              <w:t xml:space="preserve"> </w:t>
            </w:r>
            <w:r w:rsidR="00345C22" w:rsidRPr="00E915CD">
              <w:rPr>
                <w:i/>
                <w:szCs w:val="28"/>
              </w:rPr>
              <w:t>Tiesību aktu projekti</w:t>
            </w:r>
            <w:r w:rsidR="00345C22" w:rsidRPr="00E915CD">
              <w:rPr>
                <w:szCs w:val="28"/>
              </w:rPr>
              <w:t>.</w:t>
            </w:r>
          </w:p>
        </w:tc>
      </w:tr>
      <w:tr w:rsidR="00E915CD" w:rsidRPr="00E915CD" w14:paraId="55D8ADA8" w14:textId="77777777" w:rsidTr="00A9363A">
        <w:trPr>
          <w:trHeight w:val="339"/>
          <w:jc w:val="center"/>
        </w:trPr>
        <w:tc>
          <w:tcPr>
            <w:tcW w:w="562" w:type="dxa"/>
          </w:tcPr>
          <w:p w14:paraId="05E03AF3" w14:textId="77777777" w:rsidR="00E608C5" w:rsidRPr="00E915CD" w:rsidRDefault="00E608C5" w:rsidP="008430A7">
            <w:pPr>
              <w:pStyle w:val="naiskr"/>
              <w:spacing w:before="0" w:after="0"/>
              <w:ind w:left="57" w:right="57"/>
              <w:jc w:val="center"/>
              <w:rPr>
                <w:bCs/>
              </w:rPr>
            </w:pPr>
            <w:r w:rsidRPr="00E915CD">
              <w:rPr>
                <w:bCs/>
              </w:rPr>
              <w:lastRenderedPageBreak/>
              <w:t>2.</w:t>
            </w:r>
          </w:p>
        </w:tc>
        <w:tc>
          <w:tcPr>
            <w:tcW w:w="2555" w:type="dxa"/>
          </w:tcPr>
          <w:p w14:paraId="06422C29" w14:textId="77777777" w:rsidR="00E608C5" w:rsidRPr="00E915CD" w:rsidRDefault="00E608C5" w:rsidP="00EE676B">
            <w:pPr>
              <w:pStyle w:val="naiskr"/>
              <w:spacing w:before="0" w:after="0"/>
              <w:ind w:left="57" w:right="57"/>
            </w:pPr>
            <w:r w:rsidRPr="00E915CD">
              <w:t xml:space="preserve">Sabiedrības līdzdalība projekta izstrādē </w:t>
            </w:r>
          </w:p>
        </w:tc>
        <w:tc>
          <w:tcPr>
            <w:tcW w:w="6537" w:type="dxa"/>
          </w:tcPr>
          <w:p w14:paraId="33A4D6FE" w14:textId="4A04A10C" w:rsidR="008D77CD" w:rsidRPr="00E915CD" w:rsidRDefault="0086060D" w:rsidP="008430A7">
            <w:pPr>
              <w:tabs>
                <w:tab w:val="left" w:pos="5520"/>
              </w:tabs>
              <w:ind w:left="72" w:right="150"/>
              <w:jc w:val="both"/>
            </w:pPr>
            <w:r w:rsidRPr="00E915CD">
              <w:t>Sabiedrības priekšlikumi vai iebildumi nav saņemti.</w:t>
            </w:r>
          </w:p>
        </w:tc>
      </w:tr>
      <w:tr w:rsidR="00E915CD" w:rsidRPr="00E915CD" w14:paraId="167A5A8E" w14:textId="77777777" w:rsidTr="00A9363A">
        <w:trPr>
          <w:trHeight w:val="375"/>
          <w:jc w:val="center"/>
        </w:trPr>
        <w:tc>
          <w:tcPr>
            <w:tcW w:w="562" w:type="dxa"/>
          </w:tcPr>
          <w:p w14:paraId="748AE8A2" w14:textId="77777777" w:rsidR="00E608C5" w:rsidRPr="00E915CD" w:rsidRDefault="00E608C5" w:rsidP="008430A7">
            <w:pPr>
              <w:pStyle w:val="naiskr"/>
              <w:spacing w:before="0" w:after="0"/>
              <w:ind w:left="57" w:right="57"/>
              <w:jc w:val="center"/>
              <w:rPr>
                <w:bCs/>
              </w:rPr>
            </w:pPr>
            <w:r w:rsidRPr="00E915CD">
              <w:rPr>
                <w:bCs/>
              </w:rPr>
              <w:t>3.</w:t>
            </w:r>
          </w:p>
        </w:tc>
        <w:tc>
          <w:tcPr>
            <w:tcW w:w="2555" w:type="dxa"/>
          </w:tcPr>
          <w:p w14:paraId="100B908E" w14:textId="77777777" w:rsidR="00E608C5" w:rsidRPr="00E915CD" w:rsidRDefault="00E608C5" w:rsidP="00EE676B">
            <w:pPr>
              <w:pStyle w:val="naiskr"/>
              <w:spacing w:before="0" w:after="0"/>
              <w:ind w:left="57" w:right="57"/>
            </w:pPr>
            <w:r w:rsidRPr="00E915CD">
              <w:t xml:space="preserve">Sabiedrības līdzdalības rezultāti </w:t>
            </w:r>
          </w:p>
        </w:tc>
        <w:tc>
          <w:tcPr>
            <w:tcW w:w="6537" w:type="dxa"/>
          </w:tcPr>
          <w:p w14:paraId="26B55B40" w14:textId="77777777" w:rsidR="008D77CD" w:rsidRPr="00E915CD" w:rsidRDefault="003E3E30" w:rsidP="00750A21">
            <w:pPr>
              <w:pStyle w:val="naiskr"/>
              <w:spacing w:before="0" w:after="0"/>
              <w:ind w:left="57" w:right="150"/>
              <w:jc w:val="both"/>
            </w:pPr>
            <w:r w:rsidRPr="00E915CD">
              <w:t>Projekts šo jomu neskar.</w:t>
            </w:r>
          </w:p>
        </w:tc>
      </w:tr>
      <w:tr w:rsidR="008430A7" w:rsidRPr="00E915CD" w14:paraId="017AA69D" w14:textId="77777777" w:rsidTr="00A9363A">
        <w:trPr>
          <w:trHeight w:val="280"/>
          <w:jc w:val="center"/>
        </w:trPr>
        <w:tc>
          <w:tcPr>
            <w:tcW w:w="562" w:type="dxa"/>
          </w:tcPr>
          <w:p w14:paraId="6EF0A4D1" w14:textId="77777777" w:rsidR="00E608C5" w:rsidRPr="00E915CD" w:rsidRDefault="00F62CB4" w:rsidP="008430A7">
            <w:pPr>
              <w:pStyle w:val="naiskr"/>
              <w:spacing w:before="0" w:after="0"/>
              <w:ind w:left="57" w:right="57"/>
              <w:jc w:val="center"/>
              <w:rPr>
                <w:bCs/>
              </w:rPr>
            </w:pPr>
            <w:r w:rsidRPr="00E915CD">
              <w:rPr>
                <w:bCs/>
              </w:rPr>
              <w:t>4</w:t>
            </w:r>
            <w:r w:rsidR="00E608C5" w:rsidRPr="00E915CD">
              <w:rPr>
                <w:bCs/>
              </w:rPr>
              <w:t>.</w:t>
            </w:r>
          </w:p>
        </w:tc>
        <w:tc>
          <w:tcPr>
            <w:tcW w:w="2555" w:type="dxa"/>
          </w:tcPr>
          <w:p w14:paraId="20EFDEB6" w14:textId="77777777" w:rsidR="00E608C5" w:rsidRPr="00E915CD" w:rsidRDefault="00E608C5" w:rsidP="008120F5">
            <w:pPr>
              <w:pStyle w:val="naiskr"/>
              <w:spacing w:before="0" w:after="0"/>
              <w:ind w:left="57" w:right="57"/>
            </w:pPr>
            <w:r w:rsidRPr="00E915CD">
              <w:t>Cita informācija</w:t>
            </w:r>
          </w:p>
        </w:tc>
        <w:tc>
          <w:tcPr>
            <w:tcW w:w="6537" w:type="dxa"/>
          </w:tcPr>
          <w:p w14:paraId="2D3FBE77" w14:textId="77777777" w:rsidR="00E608C5" w:rsidRPr="00E915CD" w:rsidRDefault="00E673BF" w:rsidP="00EE676B">
            <w:pPr>
              <w:pStyle w:val="naiskr"/>
              <w:spacing w:before="0" w:after="0"/>
              <w:ind w:left="57" w:right="57"/>
              <w:jc w:val="both"/>
            </w:pPr>
            <w:r w:rsidRPr="00E915CD">
              <w:t>Saskaņā ar Oficiālo publikāciju un tiesiskās informācijas likuma 2.panta pirmo daļu un 3. panta pirmo daļu tiesību aktus publicē oficiālajā izdevumā „Latvijas Vēstnesis”, tos publicējot elektroniski tīmekļa vietnē www.vestnesis.lv.</w:t>
            </w:r>
          </w:p>
        </w:tc>
      </w:tr>
    </w:tbl>
    <w:p w14:paraId="59567E2B" w14:textId="77777777" w:rsidR="00E608C5" w:rsidRPr="00E915CD" w:rsidRDefault="00E608C5" w:rsidP="00D96FCD">
      <w:pPr>
        <w:pStyle w:val="naisf"/>
        <w:spacing w:before="0" w:after="0"/>
      </w:pPr>
    </w:p>
    <w:p w14:paraId="7B10868A" w14:textId="77777777" w:rsidR="00366FA9" w:rsidRPr="00E915CD" w:rsidRDefault="00366FA9" w:rsidP="00D96FCD">
      <w:pPr>
        <w:pStyle w:val="naisf"/>
        <w:spacing w:before="0" w:after="0"/>
      </w:pPr>
    </w:p>
    <w:p w14:paraId="44064675" w14:textId="77777777" w:rsidR="00366FA9" w:rsidRPr="00E915CD" w:rsidRDefault="00366FA9" w:rsidP="00D96FCD">
      <w:pPr>
        <w:pStyle w:val="naisf"/>
        <w:spacing w:before="0" w:after="0"/>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97"/>
        <w:gridCol w:w="2320"/>
        <w:gridCol w:w="6517"/>
      </w:tblGrid>
      <w:tr w:rsidR="00E915CD" w:rsidRPr="00E915CD" w14:paraId="54566948" w14:textId="77777777" w:rsidTr="00B00462">
        <w:trPr>
          <w:jc w:val="center"/>
        </w:trPr>
        <w:tc>
          <w:tcPr>
            <w:tcW w:w="9634" w:type="dxa"/>
            <w:gridSpan w:val="3"/>
          </w:tcPr>
          <w:p w14:paraId="66332D1C" w14:textId="77777777" w:rsidR="00585B7B" w:rsidRPr="00E915CD" w:rsidRDefault="00585B7B" w:rsidP="00194A0F">
            <w:pPr>
              <w:pStyle w:val="naisnod"/>
              <w:spacing w:before="0" w:after="0"/>
              <w:ind w:left="57" w:right="57"/>
            </w:pPr>
            <w:r w:rsidRPr="00E915CD">
              <w:t>VII. Tiesību akta projekta izpildes nodrošināšana un tās ietekme uz institūcijām</w:t>
            </w:r>
          </w:p>
        </w:tc>
      </w:tr>
      <w:tr w:rsidR="00E915CD" w:rsidRPr="00E915CD" w14:paraId="2130EF2F" w14:textId="77777777" w:rsidTr="00B11DE0">
        <w:trPr>
          <w:trHeight w:val="427"/>
          <w:jc w:val="center"/>
        </w:trPr>
        <w:tc>
          <w:tcPr>
            <w:tcW w:w="797" w:type="dxa"/>
          </w:tcPr>
          <w:p w14:paraId="1211CE65" w14:textId="77777777" w:rsidR="00585B7B" w:rsidRPr="00E915CD" w:rsidRDefault="00585B7B" w:rsidP="008430A7">
            <w:pPr>
              <w:pStyle w:val="naisnod"/>
              <w:spacing w:before="0" w:after="0"/>
              <w:ind w:left="57" w:right="57"/>
              <w:rPr>
                <w:b w:val="0"/>
              </w:rPr>
            </w:pPr>
            <w:r w:rsidRPr="00E915CD">
              <w:rPr>
                <w:b w:val="0"/>
              </w:rPr>
              <w:t>1.</w:t>
            </w:r>
          </w:p>
        </w:tc>
        <w:tc>
          <w:tcPr>
            <w:tcW w:w="2320" w:type="dxa"/>
          </w:tcPr>
          <w:p w14:paraId="5027A6FF" w14:textId="77777777" w:rsidR="00585B7B" w:rsidRPr="00E915CD" w:rsidRDefault="00585B7B" w:rsidP="00194A0F">
            <w:pPr>
              <w:pStyle w:val="naisf"/>
              <w:spacing w:before="0" w:after="0"/>
              <w:ind w:left="57" w:right="57" w:firstLine="0"/>
              <w:jc w:val="left"/>
            </w:pPr>
            <w:r w:rsidRPr="00E915CD">
              <w:t xml:space="preserve">Projekta izpildē iesaistītās institūcijas </w:t>
            </w:r>
          </w:p>
        </w:tc>
        <w:tc>
          <w:tcPr>
            <w:tcW w:w="6517" w:type="dxa"/>
          </w:tcPr>
          <w:p w14:paraId="1C3E6838" w14:textId="22578B67" w:rsidR="00585B7B" w:rsidRPr="00E915CD" w:rsidRDefault="00937416" w:rsidP="00261561">
            <w:pPr>
              <w:pStyle w:val="naisnod"/>
              <w:spacing w:before="0" w:after="0"/>
              <w:ind w:left="57" w:right="57"/>
              <w:jc w:val="both"/>
              <w:rPr>
                <w:b w:val="0"/>
              </w:rPr>
            </w:pPr>
            <w:r w:rsidRPr="00E915CD">
              <w:rPr>
                <w:rFonts w:eastAsia="Times New Roman"/>
                <w:b w:val="0"/>
              </w:rPr>
              <w:t>Publiskas personas un atvasinātas publiskas personas,</w:t>
            </w:r>
            <w:r w:rsidR="00E673BF" w:rsidRPr="00E915CD">
              <w:rPr>
                <w:rFonts w:eastAsia="Times New Roman"/>
                <w:b w:val="0"/>
              </w:rPr>
              <w:t xml:space="preserve"> valsts akciju sabiedrība “Valsts nekustamie īpašumi”</w:t>
            </w:r>
            <w:r w:rsidR="003671EA" w:rsidRPr="00E915CD">
              <w:rPr>
                <w:rFonts w:eastAsia="Times New Roman"/>
                <w:b w:val="0"/>
              </w:rPr>
              <w:t>,</w:t>
            </w:r>
            <w:r w:rsidRPr="00E915CD">
              <w:rPr>
                <w:rFonts w:eastAsia="Times New Roman"/>
                <w:b w:val="0"/>
              </w:rPr>
              <w:t xml:space="preserve"> </w:t>
            </w:r>
            <w:r w:rsidR="00261561" w:rsidRPr="00E915CD">
              <w:rPr>
                <w:rFonts w:eastAsia="Times New Roman"/>
                <w:b w:val="0"/>
              </w:rPr>
              <w:t>b</w:t>
            </w:r>
            <w:r w:rsidR="00E673BF" w:rsidRPr="00E915CD">
              <w:rPr>
                <w:rFonts w:eastAsia="Times New Roman"/>
                <w:b w:val="0"/>
              </w:rPr>
              <w:t>iedrības un nodibinājumi, kas ieguvušas sabiedriskā labuma organizācijas statusu atbilstoši Sabiedriskā labuma organizāciju likumā noteiktajai kārtībai.</w:t>
            </w:r>
          </w:p>
        </w:tc>
      </w:tr>
      <w:tr w:rsidR="00E915CD" w:rsidRPr="00E915CD" w14:paraId="4525CA05" w14:textId="77777777" w:rsidTr="00B11DE0">
        <w:trPr>
          <w:trHeight w:val="463"/>
          <w:jc w:val="center"/>
        </w:trPr>
        <w:tc>
          <w:tcPr>
            <w:tcW w:w="797" w:type="dxa"/>
          </w:tcPr>
          <w:p w14:paraId="6D549272" w14:textId="77777777" w:rsidR="00585B7B" w:rsidRPr="00E915CD" w:rsidRDefault="00585B7B" w:rsidP="008430A7">
            <w:pPr>
              <w:pStyle w:val="naisnod"/>
              <w:spacing w:before="0" w:after="0"/>
              <w:ind w:left="57" w:right="57"/>
              <w:rPr>
                <w:b w:val="0"/>
              </w:rPr>
            </w:pPr>
            <w:r w:rsidRPr="00E915CD">
              <w:rPr>
                <w:b w:val="0"/>
              </w:rPr>
              <w:t>2.</w:t>
            </w:r>
          </w:p>
        </w:tc>
        <w:tc>
          <w:tcPr>
            <w:tcW w:w="2320" w:type="dxa"/>
          </w:tcPr>
          <w:p w14:paraId="60831E57" w14:textId="77777777" w:rsidR="00505CA3" w:rsidRPr="00E915CD" w:rsidRDefault="00505CA3" w:rsidP="00505CA3">
            <w:pPr>
              <w:spacing w:before="100" w:beforeAutospacing="1" w:after="100" w:afterAutospacing="1"/>
            </w:pPr>
            <w:r w:rsidRPr="00E915CD">
              <w:t xml:space="preserve">Projekta izpildes ietekme uz pārvaldes funkcijām un institucionālo struktūru. </w:t>
            </w:r>
          </w:p>
          <w:p w14:paraId="212FE46C" w14:textId="77777777" w:rsidR="00F54FEF" w:rsidRPr="00E915CD" w:rsidRDefault="00505CA3" w:rsidP="00505CA3">
            <w:pPr>
              <w:pStyle w:val="naisf"/>
              <w:spacing w:before="0" w:after="0"/>
              <w:ind w:left="57" w:right="57" w:firstLine="0"/>
              <w:jc w:val="left"/>
            </w:pPr>
            <w:r w:rsidRPr="00E915CD">
              <w:t>Jaunu institūciju izveide, esošu institūciju likvidācija vai reorganizācija, to ietekme uz institūcijas cilvēkresursiem</w:t>
            </w:r>
          </w:p>
        </w:tc>
        <w:tc>
          <w:tcPr>
            <w:tcW w:w="6517" w:type="dxa"/>
          </w:tcPr>
          <w:p w14:paraId="455ABD87" w14:textId="77777777" w:rsidR="00585B7B" w:rsidRPr="00E915CD" w:rsidRDefault="003E3E30" w:rsidP="00F62CB4">
            <w:pPr>
              <w:pStyle w:val="BodyTextIndent2"/>
              <w:spacing w:after="0" w:line="240" w:lineRule="auto"/>
              <w:ind w:left="114" w:right="108"/>
              <w:jc w:val="both"/>
              <w:rPr>
                <w:b/>
              </w:rPr>
            </w:pPr>
            <w:r w:rsidRPr="00E915CD">
              <w:t>Projekts šo jomu neskar.</w:t>
            </w:r>
          </w:p>
        </w:tc>
      </w:tr>
      <w:tr w:rsidR="008430A7" w:rsidRPr="00E915CD" w14:paraId="52928BFB" w14:textId="77777777" w:rsidTr="00B11DE0">
        <w:trPr>
          <w:trHeight w:val="476"/>
          <w:jc w:val="center"/>
        </w:trPr>
        <w:tc>
          <w:tcPr>
            <w:tcW w:w="797" w:type="dxa"/>
          </w:tcPr>
          <w:p w14:paraId="55C403D2" w14:textId="77777777" w:rsidR="00585B7B" w:rsidRPr="00E915CD" w:rsidRDefault="00F54FEF" w:rsidP="008430A7">
            <w:pPr>
              <w:pStyle w:val="naiskr"/>
              <w:spacing w:before="0" w:after="0"/>
              <w:ind w:left="57" w:right="57"/>
              <w:jc w:val="center"/>
            </w:pPr>
            <w:r w:rsidRPr="00E915CD">
              <w:t>3</w:t>
            </w:r>
            <w:r w:rsidR="00585B7B" w:rsidRPr="00E915CD">
              <w:t>.</w:t>
            </w:r>
          </w:p>
        </w:tc>
        <w:tc>
          <w:tcPr>
            <w:tcW w:w="2320" w:type="dxa"/>
          </w:tcPr>
          <w:p w14:paraId="5BD37F9B" w14:textId="77777777" w:rsidR="00585B7B" w:rsidRPr="00E915CD" w:rsidRDefault="00585B7B" w:rsidP="00194A0F">
            <w:pPr>
              <w:pStyle w:val="naiskr"/>
              <w:spacing w:before="0" w:after="0"/>
              <w:ind w:left="57" w:right="57"/>
            </w:pPr>
            <w:r w:rsidRPr="00E915CD">
              <w:t>Cita informācija</w:t>
            </w:r>
          </w:p>
        </w:tc>
        <w:tc>
          <w:tcPr>
            <w:tcW w:w="6517" w:type="dxa"/>
          </w:tcPr>
          <w:p w14:paraId="5BD341DC" w14:textId="77777777" w:rsidR="00585B7B" w:rsidRPr="00E915CD" w:rsidRDefault="00937416" w:rsidP="00750A21">
            <w:pPr>
              <w:pStyle w:val="naiskr"/>
              <w:spacing w:before="0" w:after="0"/>
              <w:ind w:left="57" w:right="57"/>
              <w:jc w:val="both"/>
            </w:pPr>
            <w:r w:rsidRPr="00E915CD">
              <w:t>Nav.</w:t>
            </w:r>
          </w:p>
        </w:tc>
      </w:tr>
    </w:tbl>
    <w:p w14:paraId="5B110E13" w14:textId="77777777" w:rsidR="00AD09C4" w:rsidRPr="00E915CD" w:rsidRDefault="00AD09C4" w:rsidP="00AD09C4">
      <w:pPr>
        <w:pStyle w:val="BodyText2"/>
        <w:spacing w:after="0" w:line="240" w:lineRule="auto"/>
        <w:ind w:firstLine="720"/>
        <w:jc w:val="both"/>
      </w:pPr>
    </w:p>
    <w:p w14:paraId="3855CC57" w14:textId="448BB7E6" w:rsidR="003E3E30" w:rsidRPr="00E915CD" w:rsidRDefault="003E3E30" w:rsidP="003E3E30">
      <w:pPr>
        <w:tabs>
          <w:tab w:val="left" w:pos="6710"/>
        </w:tabs>
      </w:pPr>
      <w:r w:rsidRPr="00E915CD">
        <w:t>Anotācijas III, IV</w:t>
      </w:r>
      <w:r w:rsidR="00813AC8">
        <w:t xml:space="preserve"> un V sadaļa – projekts šīs jomas </w:t>
      </w:r>
      <w:r w:rsidRPr="00E915CD">
        <w:t>neskar.</w:t>
      </w:r>
    </w:p>
    <w:p w14:paraId="4E8CEC7D" w14:textId="77777777" w:rsidR="003E3E30" w:rsidRPr="00E915CD" w:rsidRDefault="003E3E30" w:rsidP="00AD09C4">
      <w:pPr>
        <w:pStyle w:val="BodyText2"/>
        <w:spacing w:after="0" w:line="240" w:lineRule="auto"/>
        <w:ind w:firstLine="720"/>
        <w:jc w:val="both"/>
      </w:pPr>
    </w:p>
    <w:p w14:paraId="7F8AA742" w14:textId="5B40C1AC" w:rsidR="006D71D2" w:rsidRPr="00E915CD" w:rsidRDefault="006D71D2" w:rsidP="00CA6107">
      <w:pPr>
        <w:tabs>
          <w:tab w:val="left" w:pos="6804"/>
        </w:tabs>
        <w:spacing w:after="60"/>
        <w:ind w:right="140"/>
        <w:jc w:val="both"/>
      </w:pPr>
      <w:r w:rsidRPr="00E915CD">
        <w:t>Finanšu ministre</w:t>
      </w:r>
      <w:r w:rsidRPr="00E915CD">
        <w:tab/>
        <w:t>D.Reizniece-Ozola</w:t>
      </w:r>
    </w:p>
    <w:p w14:paraId="053F93FA" w14:textId="77777777" w:rsidR="006D71D2" w:rsidRPr="00E915CD" w:rsidRDefault="006D71D2" w:rsidP="006D71D2">
      <w:pPr>
        <w:pStyle w:val="BodyText2"/>
        <w:spacing w:after="0" w:line="240" w:lineRule="auto"/>
        <w:jc w:val="both"/>
        <w:rPr>
          <w:sz w:val="25"/>
          <w:szCs w:val="25"/>
        </w:rPr>
      </w:pPr>
    </w:p>
    <w:p w14:paraId="731CA12E" w14:textId="77777777" w:rsidR="006D71D2" w:rsidRPr="00E915CD" w:rsidRDefault="006D71D2" w:rsidP="006D71D2">
      <w:pPr>
        <w:pStyle w:val="BodyText2"/>
        <w:spacing w:after="0" w:line="240" w:lineRule="auto"/>
        <w:jc w:val="both"/>
        <w:rPr>
          <w:sz w:val="25"/>
          <w:szCs w:val="25"/>
        </w:rPr>
      </w:pPr>
    </w:p>
    <w:p w14:paraId="34DA7154" w14:textId="6D708784" w:rsidR="00F047B5" w:rsidRPr="00E915CD" w:rsidRDefault="006A55B9" w:rsidP="006D71D2">
      <w:pPr>
        <w:pStyle w:val="BodyText2"/>
        <w:spacing w:after="0" w:line="240" w:lineRule="auto"/>
        <w:jc w:val="both"/>
        <w:rPr>
          <w:sz w:val="20"/>
          <w:szCs w:val="20"/>
        </w:rPr>
      </w:pPr>
      <w:r>
        <w:rPr>
          <w:sz w:val="20"/>
          <w:szCs w:val="20"/>
        </w:rPr>
        <w:t>30</w:t>
      </w:r>
      <w:r w:rsidR="000E3BF0">
        <w:rPr>
          <w:sz w:val="20"/>
          <w:szCs w:val="20"/>
        </w:rPr>
        <w:t>.05</w:t>
      </w:r>
      <w:r w:rsidR="00AA7EC0" w:rsidRPr="00E915CD">
        <w:rPr>
          <w:sz w:val="20"/>
          <w:szCs w:val="20"/>
        </w:rPr>
        <w:t>.2016</w:t>
      </w:r>
      <w:r w:rsidR="00F047B5" w:rsidRPr="00E915CD">
        <w:rPr>
          <w:sz w:val="20"/>
          <w:szCs w:val="20"/>
        </w:rPr>
        <w:t xml:space="preserve">. </w:t>
      </w:r>
      <w:r w:rsidR="00DB585B">
        <w:rPr>
          <w:sz w:val="20"/>
          <w:szCs w:val="20"/>
        </w:rPr>
        <w:t>11:08</w:t>
      </w:r>
    </w:p>
    <w:p w14:paraId="048B6E85" w14:textId="277418A1" w:rsidR="006D71D2" w:rsidRPr="00E915CD" w:rsidRDefault="00007551" w:rsidP="006D71D2">
      <w:pPr>
        <w:pStyle w:val="BodyText2"/>
        <w:spacing w:after="0" w:line="240" w:lineRule="auto"/>
        <w:jc w:val="both"/>
        <w:rPr>
          <w:sz w:val="20"/>
          <w:szCs w:val="20"/>
        </w:rPr>
      </w:pPr>
      <w:r>
        <w:rPr>
          <w:sz w:val="20"/>
          <w:szCs w:val="20"/>
        </w:rPr>
        <w:t>2679</w:t>
      </w:r>
    </w:p>
    <w:p w14:paraId="4D46E4F9" w14:textId="741B9CCF" w:rsidR="00585B7B" w:rsidRPr="00E915CD" w:rsidRDefault="003E3E30" w:rsidP="006D71D2">
      <w:pPr>
        <w:pStyle w:val="BodyText2"/>
        <w:spacing w:after="0" w:line="240" w:lineRule="auto"/>
        <w:jc w:val="both"/>
        <w:rPr>
          <w:sz w:val="20"/>
          <w:szCs w:val="20"/>
        </w:rPr>
      </w:pPr>
      <w:r w:rsidRPr="00E915CD">
        <w:rPr>
          <w:sz w:val="20"/>
          <w:szCs w:val="20"/>
        </w:rPr>
        <w:t>S.Ālmane, 67095597</w:t>
      </w:r>
    </w:p>
    <w:p w14:paraId="33CAFE72" w14:textId="77777777" w:rsidR="003E3E30" w:rsidRPr="00E915CD" w:rsidRDefault="003E3E30" w:rsidP="006D71D2">
      <w:pPr>
        <w:pStyle w:val="BodyText2"/>
        <w:spacing w:after="0" w:line="240" w:lineRule="auto"/>
        <w:jc w:val="both"/>
        <w:rPr>
          <w:sz w:val="20"/>
          <w:szCs w:val="20"/>
        </w:rPr>
      </w:pPr>
      <w:r w:rsidRPr="00E915CD">
        <w:rPr>
          <w:sz w:val="20"/>
          <w:szCs w:val="20"/>
        </w:rPr>
        <w:t>Sabine.Almane@fm.gov.lv</w:t>
      </w:r>
    </w:p>
    <w:sectPr w:rsidR="003E3E30" w:rsidRPr="00E915CD" w:rsidSect="006D71D2">
      <w:headerReference w:type="default" r:id="rId8"/>
      <w:footerReference w:type="default" r:id="rId9"/>
      <w:footerReference w:type="first" r:id="rId10"/>
      <w:pgSz w:w="11906" w:h="16838" w:code="9"/>
      <w:pgMar w:top="1440" w:right="1440" w:bottom="1440" w:left="1418" w:header="36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8CD5" w14:textId="77777777" w:rsidR="00A93B71" w:rsidRDefault="00A93B71" w:rsidP="00123E9B">
      <w:r>
        <w:separator/>
      </w:r>
    </w:p>
  </w:endnote>
  <w:endnote w:type="continuationSeparator" w:id="0">
    <w:p w14:paraId="0C011454" w14:textId="77777777" w:rsidR="00A93B71" w:rsidRDefault="00A93B7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CA1" w14:textId="5B7919D6" w:rsidR="003E3E30" w:rsidRPr="00A70C59" w:rsidRDefault="003E3E30" w:rsidP="003E3E30">
    <w:pPr>
      <w:ind w:left="-360" w:right="-262"/>
      <w:jc w:val="both"/>
      <w:rPr>
        <w:sz w:val="22"/>
        <w:szCs w:val="22"/>
      </w:rPr>
    </w:pPr>
    <w:r>
      <w:rPr>
        <w:sz w:val="22"/>
        <w:szCs w:val="22"/>
      </w:rPr>
      <w:t>FMAnot</w:t>
    </w:r>
    <w:r w:rsidRPr="00C15E8D">
      <w:rPr>
        <w:sz w:val="22"/>
        <w:szCs w:val="22"/>
      </w:rPr>
      <w:t>_</w:t>
    </w:r>
    <w:r w:rsidR="006A55B9">
      <w:rPr>
        <w:sz w:val="22"/>
        <w:szCs w:val="22"/>
      </w:rPr>
      <w:t>30</w:t>
    </w:r>
    <w:r w:rsidR="00F67C20">
      <w:rPr>
        <w:sz w:val="22"/>
        <w:szCs w:val="22"/>
      </w:rPr>
      <w:t>05</w:t>
    </w:r>
    <w:r w:rsidR="00B958C5">
      <w:rPr>
        <w:sz w:val="22"/>
        <w:szCs w:val="22"/>
      </w:rPr>
      <w:t>20</w:t>
    </w:r>
    <w:r w:rsidR="000A7A25">
      <w:rPr>
        <w:sz w:val="22"/>
        <w:szCs w:val="22"/>
      </w:rPr>
      <w:t>16</w:t>
    </w:r>
    <w:r w:rsidRPr="00C15E8D">
      <w:rPr>
        <w:sz w:val="22"/>
        <w:szCs w:val="22"/>
      </w:rPr>
      <w:t>_</w:t>
    </w:r>
    <w:r w:rsidR="008217E0">
      <w:rPr>
        <w:sz w:val="22"/>
        <w:szCs w:val="22"/>
      </w:rPr>
      <w:t xml:space="preserve">Groz_MK109; </w:t>
    </w:r>
    <w:r>
      <w:rPr>
        <w:sz w:val="22"/>
        <w:szCs w:val="22"/>
      </w:rPr>
      <w:t xml:space="preserve">Ministru kabineta noteikumu projekta “Grozījumi Ministru kabineta 2011.gada 1.februāra noteikumos Nr.109 “Kārtība, kādā atsavināma publiskas personas manta”” </w:t>
    </w:r>
    <w:r w:rsidRPr="00223472">
      <w:rPr>
        <w:sz w:val="22"/>
        <w:szCs w:val="22"/>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BA7A" w14:textId="401D6ACB" w:rsidR="00CB218D" w:rsidRPr="00A70C59" w:rsidRDefault="003E3E30" w:rsidP="00A70C59">
    <w:pPr>
      <w:ind w:left="-360" w:right="-262"/>
      <w:jc w:val="both"/>
      <w:rPr>
        <w:sz w:val="22"/>
        <w:szCs w:val="22"/>
      </w:rPr>
    </w:pPr>
    <w:r>
      <w:rPr>
        <w:sz w:val="22"/>
        <w:szCs w:val="22"/>
      </w:rPr>
      <w:t>FM</w:t>
    </w:r>
    <w:r w:rsidR="00CB218D">
      <w:rPr>
        <w:sz w:val="22"/>
        <w:szCs w:val="22"/>
      </w:rPr>
      <w:t>Anot</w:t>
    </w:r>
    <w:r w:rsidR="00CB218D" w:rsidRPr="00C15E8D">
      <w:rPr>
        <w:sz w:val="22"/>
        <w:szCs w:val="22"/>
      </w:rPr>
      <w:t>_</w:t>
    </w:r>
    <w:r w:rsidR="006A55B9">
      <w:rPr>
        <w:sz w:val="22"/>
        <w:szCs w:val="22"/>
      </w:rPr>
      <w:t>30</w:t>
    </w:r>
    <w:r w:rsidR="00B433A0">
      <w:rPr>
        <w:sz w:val="22"/>
        <w:szCs w:val="22"/>
      </w:rPr>
      <w:t>05</w:t>
    </w:r>
    <w:r w:rsidR="00B958C5">
      <w:rPr>
        <w:sz w:val="22"/>
        <w:szCs w:val="22"/>
      </w:rPr>
      <w:t>20</w:t>
    </w:r>
    <w:r w:rsidR="000A7A25">
      <w:rPr>
        <w:sz w:val="22"/>
        <w:szCs w:val="22"/>
      </w:rPr>
      <w:t>16</w:t>
    </w:r>
    <w:r w:rsidR="00CB218D" w:rsidRPr="00C15E8D">
      <w:rPr>
        <w:sz w:val="22"/>
        <w:szCs w:val="22"/>
      </w:rPr>
      <w:t>_</w:t>
    </w:r>
    <w:r w:rsidR="008217E0">
      <w:rPr>
        <w:sz w:val="22"/>
        <w:szCs w:val="22"/>
      </w:rPr>
      <w:t xml:space="preserve">Groz_MK109; </w:t>
    </w:r>
    <w:r w:rsidR="00CB218D">
      <w:rPr>
        <w:sz w:val="22"/>
        <w:szCs w:val="22"/>
      </w:rPr>
      <w:t xml:space="preserve">Ministru kabineta </w:t>
    </w:r>
    <w:r>
      <w:rPr>
        <w:sz w:val="22"/>
        <w:szCs w:val="22"/>
      </w:rPr>
      <w:t>noteikumu</w:t>
    </w:r>
    <w:r w:rsidR="00CB218D">
      <w:rPr>
        <w:sz w:val="22"/>
        <w:szCs w:val="22"/>
      </w:rPr>
      <w:t xml:space="preserve"> projekt</w:t>
    </w:r>
    <w:r>
      <w:rPr>
        <w:sz w:val="22"/>
        <w:szCs w:val="22"/>
      </w:rPr>
      <w:t>a</w:t>
    </w:r>
    <w:r w:rsidR="00CB218D">
      <w:rPr>
        <w:sz w:val="22"/>
        <w:szCs w:val="22"/>
      </w:rPr>
      <w:t xml:space="preserve"> “</w:t>
    </w:r>
    <w:r>
      <w:rPr>
        <w:sz w:val="22"/>
        <w:szCs w:val="22"/>
      </w:rPr>
      <w:t>Grozījumi Ministru kabineta 2011.gada 1.februāra noteikumos Nr.109 “Kārtība, kādā atsavināma publiskas personas manta”</w:t>
    </w:r>
    <w:r w:rsidR="00CB218D">
      <w:rPr>
        <w:sz w:val="22"/>
        <w:szCs w:val="22"/>
      </w:rPr>
      <w:t xml:space="preserve">” </w:t>
    </w:r>
    <w:r w:rsidR="00CB218D" w:rsidRPr="00223472">
      <w:rPr>
        <w:sz w:val="22"/>
        <w:szCs w:val="22"/>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93C4" w14:textId="77777777" w:rsidR="00A93B71" w:rsidRDefault="00A93B71" w:rsidP="00123E9B">
      <w:r>
        <w:separator/>
      </w:r>
    </w:p>
  </w:footnote>
  <w:footnote w:type="continuationSeparator" w:id="0">
    <w:p w14:paraId="69146F26" w14:textId="77777777" w:rsidR="00A93B71" w:rsidRDefault="00A93B7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6576" w14:textId="77777777" w:rsidR="00CB218D" w:rsidRDefault="007907BF">
    <w:pPr>
      <w:pStyle w:val="Header"/>
      <w:jc w:val="center"/>
    </w:pPr>
    <w:r>
      <w:fldChar w:fldCharType="begin"/>
    </w:r>
    <w:r w:rsidR="00CB218D">
      <w:instrText xml:space="preserve"> PAGE   \* MERGEFORMAT </w:instrText>
    </w:r>
    <w:r>
      <w:fldChar w:fldCharType="separate"/>
    </w:r>
    <w:r w:rsidR="00536130">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86D"/>
    <w:multiLevelType w:val="hybridMultilevel"/>
    <w:tmpl w:val="D5D6F832"/>
    <w:lvl w:ilvl="0" w:tplc="B9E61E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F6548F6"/>
    <w:multiLevelType w:val="hybridMultilevel"/>
    <w:tmpl w:val="C3D41656"/>
    <w:lvl w:ilvl="0" w:tplc="0302C4D6">
      <w:start w:val="1"/>
      <w:numFmt w:val="decimal"/>
      <w:lvlText w:val="%1)"/>
      <w:lvlJc w:val="left"/>
      <w:pPr>
        <w:ind w:left="502" w:hanging="360"/>
      </w:pPr>
      <w:rPr>
        <w:rFonts w:eastAsia="Times New Roman" w:hint="default"/>
        <w:color w:val="00000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11D0009F"/>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2405715"/>
    <w:multiLevelType w:val="hybridMultilevel"/>
    <w:tmpl w:val="DF2093B4"/>
    <w:lvl w:ilvl="0" w:tplc="82BA809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FEF41AB"/>
    <w:multiLevelType w:val="hybridMultilevel"/>
    <w:tmpl w:val="893C3462"/>
    <w:lvl w:ilvl="0" w:tplc="113A634A">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53B0051"/>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5F23DA"/>
    <w:multiLevelType w:val="hybridMultilevel"/>
    <w:tmpl w:val="29DC2DD4"/>
    <w:lvl w:ilvl="0" w:tplc="A18AB0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33E46938"/>
    <w:multiLevelType w:val="hybridMultilevel"/>
    <w:tmpl w:val="ABF67B1C"/>
    <w:lvl w:ilvl="0" w:tplc="C36C81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0" w15:restartNumberingAfterBreak="0">
    <w:nsid w:val="39A9521F"/>
    <w:multiLevelType w:val="hybridMultilevel"/>
    <w:tmpl w:val="0B423A92"/>
    <w:lvl w:ilvl="0" w:tplc="4D286B3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94D661D"/>
    <w:multiLevelType w:val="hybridMultilevel"/>
    <w:tmpl w:val="6E180F5C"/>
    <w:lvl w:ilvl="0" w:tplc="04260019">
      <w:start w:val="1"/>
      <w:numFmt w:val="lowerLetter"/>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2" w15:restartNumberingAfterBreak="0">
    <w:nsid w:val="5A313FED"/>
    <w:multiLevelType w:val="hybridMultilevel"/>
    <w:tmpl w:val="743A43C8"/>
    <w:lvl w:ilvl="0" w:tplc="CEBEC6D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93068"/>
    <w:multiLevelType w:val="hybridMultilevel"/>
    <w:tmpl w:val="91E69B98"/>
    <w:lvl w:ilvl="0" w:tplc="2D24255C">
      <w:start w:val="1"/>
      <w:numFmt w:val="decimal"/>
      <w:lvlText w:val="%1)"/>
      <w:lvlJc w:val="left"/>
      <w:pPr>
        <w:ind w:left="592" w:hanging="45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7E6E2172"/>
    <w:multiLevelType w:val="hybridMultilevel"/>
    <w:tmpl w:val="C464EB48"/>
    <w:lvl w:ilvl="0" w:tplc="8B3AD2D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0"/>
  </w:num>
  <w:num w:numId="5">
    <w:abstractNumId w:val="7"/>
  </w:num>
  <w:num w:numId="6">
    <w:abstractNumId w:val="12"/>
  </w:num>
  <w:num w:numId="7">
    <w:abstractNumId w:val="10"/>
  </w:num>
  <w:num w:numId="8">
    <w:abstractNumId w:val="2"/>
  </w:num>
  <w:num w:numId="9">
    <w:abstractNumId w:val="11"/>
  </w:num>
  <w:num w:numId="10">
    <w:abstractNumId w:val="8"/>
  </w:num>
  <w:num w:numId="11">
    <w:abstractNumId w:val="4"/>
  </w:num>
  <w:num w:numId="12">
    <w:abstractNumId w:val="3"/>
  </w:num>
  <w:num w:numId="13">
    <w:abstractNumId w:val="5"/>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CD"/>
    <w:rsid w:val="00000DEA"/>
    <w:rsid w:val="000012EF"/>
    <w:rsid w:val="0000524B"/>
    <w:rsid w:val="00007551"/>
    <w:rsid w:val="00010590"/>
    <w:rsid w:val="00012EAE"/>
    <w:rsid w:val="00014550"/>
    <w:rsid w:val="00023882"/>
    <w:rsid w:val="00024635"/>
    <w:rsid w:val="0002601E"/>
    <w:rsid w:val="00026EC6"/>
    <w:rsid w:val="00033013"/>
    <w:rsid w:val="0003474A"/>
    <w:rsid w:val="0003640B"/>
    <w:rsid w:val="00037B73"/>
    <w:rsid w:val="0004080F"/>
    <w:rsid w:val="00040D4E"/>
    <w:rsid w:val="0004297E"/>
    <w:rsid w:val="000443DE"/>
    <w:rsid w:val="000463EE"/>
    <w:rsid w:val="00046CDE"/>
    <w:rsid w:val="00047E99"/>
    <w:rsid w:val="00047FE8"/>
    <w:rsid w:val="00054EAA"/>
    <w:rsid w:val="00055608"/>
    <w:rsid w:val="00056EA8"/>
    <w:rsid w:val="0006651A"/>
    <w:rsid w:val="00072B98"/>
    <w:rsid w:val="000735A6"/>
    <w:rsid w:val="00074B8C"/>
    <w:rsid w:val="00076F56"/>
    <w:rsid w:val="0007794B"/>
    <w:rsid w:val="00080CC1"/>
    <w:rsid w:val="00081032"/>
    <w:rsid w:val="0008253A"/>
    <w:rsid w:val="000849C2"/>
    <w:rsid w:val="00087B54"/>
    <w:rsid w:val="00091357"/>
    <w:rsid w:val="000934D5"/>
    <w:rsid w:val="000A0692"/>
    <w:rsid w:val="000A2C34"/>
    <w:rsid w:val="000A4403"/>
    <w:rsid w:val="000A4EE2"/>
    <w:rsid w:val="000A7A25"/>
    <w:rsid w:val="000B0E4D"/>
    <w:rsid w:val="000B3B3C"/>
    <w:rsid w:val="000B5DF5"/>
    <w:rsid w:val="000C0BAF"/>
    <w:rsid w:val="000C1A07"/>
    <w:rsid w:val="000C299C"/>
    <w:rsid w:val="000C7BC5"/>
    <w:rsid w:val="000C7EEF"/>
    <w:rsid w:val="000D0B18"/>
    <w:rsid w:val="000D5920"/>
    <w:rsid w:val="000D5A9B"/>
    <w:rsid w:val="000E3B94"/>
    <w:rsid w:val="000E3BF0"/>
    <w:rsid w:val="000E4A2A"/>
    <w:rsid w:val="000E5FDF"/>
    <w:rsid w:val="000E65B3"/>
    <w:rsid w:val="000F16CF"/>
    <w:rsid w:val="000F1AAA"/>
    <w:rsid w:val="000F58F6"/>
    <w:rsid w:val="0010198A"/>
    <w:rsid w:val="00111709"/>
    <w:rsid w:val="001127C4"/>
    <w:rsid w:val="00116669"/>
    <w:rsid w:val="00122924"/>
    <w:rsid w:val="00123E9B"/>
    <w:rsid w:val="00126A87"/>
    <w:rsid w:val="0012791B"/>
    <w:rsid w:val="00131A15"/>
    <w:rsid w:val="00132D10"/>
    <w:rsid w:val="00135276"/>
    <w:rsid w:val="00137CF4"/>
    <w:rsid w:val="001413A9"/>
    <w:rsid w:val="00141B8F"/>
    <w:rsid w:val="00145CB2"/>
    <w:rsid w:val="00147135"/>
    <w:rsid w:val="00147D9A"/>
    <w:rsid w:val="00152C44"/>
    <w:rsid w:val="00154DE1"/>
    <w:rsid w:val="00163C68"/>
    <w:rsid w:val="00163E87"/>
    <w:rsid w:val="00164CA3"/>
    <w:rsid w:val="0017235E"/>
    <w:rsid w:val="00172A25"/>
    <w:rsid w:val="0017709C"/>
    <w:rsid w:val="001817E9"/>
    <w:rsid w:val="00181D00"/>
    <w:rsid w:val="001824F8"/>
    <w:rsid w:val="0018329D"/>
    <w:rsid w:val="00186DF5"/>
    <w:rsid w:val="001875EC"/>
    <w:rsid w:val="00187619"/>
    <w:rsid w:val="001904B3"/>
    <w:rsid w:val="00190FBE"/>
    <w:rsid w:val="00191E2A"/>
    <w:rsid w:val="00193934"/>
    <w:rsid w:val="00194A0F"/>
    <w:rsid w:val="00195879"/>
    <w:rsid w:val="001A11AE"/>
    <w:rsid w:val="001A3F43"/>
    <w:rsid w:val="001A6207"/>
    <w:rsid w:val="001A6E9C"/>
    <w:rsid w:val="001B1189"/>
    <w:rsid w:val="001B32BB"/>
    <w:rsid w:val="001C15CD"/>
    <w:rsid w:val="001C29BE"/>
    <w:rsid w:val="001C4BA3"/>
    <w:rsid w:val="001C4CAB"/>
    <w:rsid w:val="001C60B1"/>
    <w:rsid w:val="001D02FD"/>
    <w:rsid w:val="001D18A2"/>
    <w:rsid w:val="001D4492"/>
    <w:rsid w:val="001D6F8B"/>
    <w:rsid w:val="001D7C74"/>
    <w:rsid w:val="001D7D3E"/>
    <w:rsid w:val="001E1DA8"/>
    <w:rsid w:val="001E2677"/>
    <w:rsid w:val="001E37CF"/>
    <w:rsid w:val="002005CA"/>
    <w:rsid w:val="0020083C"/>
    <w:rsid w:val="00201F25"/>
    <w:rsid w:val="00203471"/>
    <w:rsid w:val="002054CB"/>
    <w:rsid w:val="002100DB"/>
    <w:rsid w:val="0021458D"/>
    <w:rsid w:val="00215758"/>
    <w:rsid w:val="00222FEF"/>
    <w:rsid w:val="00223472"/>
    <w:rsid w:val="00224972"/>
    <w:rsid w:val="00224F0F"/>
    <w:rsid w:val="0022537F"/>
    <w:rsid w:val="002331BA"/>
    <w:rsid w:val="00237739"/>
    <w:rsid w:val="00237FF6"/>
    <w:rsid w:val="002418A6"/>
    <w:rsid w:val="00244807"/>
    <w:rsid w:val="00251E07"/>
    <w:rsid w:val="0026076A"/>
    <w:rsid w:val="00261561"/>
    <w:rsid w:val="00262D36"/>
    <w:rsid w:val="002637C0"/>
    <w:rsid w:val="002642CF"/>
    <w:rsid w:val="00270E39"/>
    <w:rsid w:val="00272248"/>
    <w:rsid w:val="0027236C"/>
    <w:rsid w:val="00274BC6"/>
    <w:rsid w:val="0027535C"/>
    <w:rsid w:val="002764F1"/>
    <w:rsid w:val="00281DE1"/>
    <w:rsid w:val="002837F8"/>
    <w:rsid w:val="00283CCD"/>
    <w:rsid w:val="00286D40"/>
    <w:rsid w:val="002873CC"/>
    <w:rsid w:val="0028791A"/>
    <w:rsid w:val="00291E76"/>
    <w:rsid w:val="00295345"/>
    <w:rsid w:val="00295A3B"/>
    <w:rsid w:val="002A1A6B"/>
    <w:rsid w:val="002A1E5B"/>
    <w:rsid w:val="002A3E05"/>
    <w:rsid w:val="002A41DA"/>
    <w:rsid w:val="002A7391"/>
    <w:rsid w:val="002B09D9"/>
    <w:rsid w:val="002B5511"/>
    <w:rsid w:val="002C0862"/>
    <w:rsid w:val="002C0946"/>
    <w:rsid w:val="002C1576"/>
    <w:rsid w:val="002C16DA"/>
    <w:rsid w:val="002C2590"/>
    <w:rsid w:val="002D030B"/>
    <w:rsid w:val="002E011D"/>
    <w:rsid w:val="002E0257"/>
    <w:rsid w:val="002E0B47"/>
    <w:rsid w:val="002E0CE1"/>
    <w:rsid w:val="002E2AD5"/>
    <w:rsid w:val="002E4689"/>
    <w:rsid w:val="002E55D8"/>
    <w:rsid w:val="002F05E7"/>
    <w:rsid w:val="002F141B"/>
    <w:rsid w:val="002F38D9"/>
    <w:rsid w:val="002F5EAC"/>
    <w:rsid w:val="00300383"/>
    <w:rsid w:val="00301895"/>
    <w:rsid w:val="003035BC"/>
    <w:rsid w:val="00303DB3"/>
    <w:rsid w:val="003070DB"/>
    <w:rsid w:val="003130E6"/>
    <w:rsid w:val="003148A0"/>
    <w:rsid w:val="00315A96"/>
    <w:rsid w:val="00317957"/>
    <w:rsid w:val="003252F9"/>
    <w:rsid w:val="00326649"/>
    <w:rsid w:val="00326FFD"/>
    <w:rsid w:val="0033269D"/>
    <w:rsid w:val="003347E2"/>
    <w:rsid w:val="00335AFB"/>
    <w:rsid w:val="00340BCB"/>
    <w:rsid w:val="003436CA"/>
    <w:rsid w:val="00345C22"/>
    <w:rsid w:val="00351AA0"/>
    <w:rsid w:val="00353DE3"/>
    <w:rsid w:val="0035568D"/>
    <w:rsid w:val="00357A2C"/>
    <w:rsid w:val="003609E1"/>
    <w:rsid w:val="00362F31"/>
    <w:rsid w:val="00363871"/>
    <w:rsid w:val="003644FE"/>
    <w:rsid w:val="003659A3"/>
    <w:rsid w:val="00366FA9"/>
    <w:rsid w:val="003671EA"/>
    <w:rsid w:val="0037441F"/>
    <w:rsid w:val="00375886"/>
    <w:rsid w:val="0037614B"/>
    <w:rsid w:val="003818CD"/>
    <w:rsid w:val="00382685"/>
    <w:rsid w:val="00386F10"/>
    <w:rsid w:val="003906FF"/>
    <w:rsid w:val="00396C50"/>
    <w:rsid w:val="003A193D"/>
    <w:rsid w:val="003A1E64"/>
    <w:rsid w:val="003A3552"/>
    <w:rsid w:val="003A6F5B"/>
    <w:rsid w:val="003B178C"/>
    <w:rsid w:val="003B2242"/>
    <w:rsid w:val="003B2B5A"/>
    <w:rsid w:val="003B2F2E"/>
    <w:rsid w:val="003B465C"/>
    <w:rsid w:val="003C0286"/>
    <w:rsid w:val="003C691E"/>
    <w:rsid w:val="003D14A5"/>
    <w:rsid w:val="003E18A9"/>
    <w:rsid w:val="003E3E30"/>
    <w:rsid w:val="003F43C8"/>
    <w:rsid w:val="003F75A6"/>
    <w:rsid w:val="003F7859"/>
    <w:rsid w:val="003F786B"/>
    <w:rsid w:val="00404EC7"/>
    <w:rsid w:val="00407349"/>
    <w:rsid w:val="004109BD"/>
    <w:rsid w:val="00411CF0"/>
    <w:rsid w:val="00416FC9"/>
    <w:rsid w:val="0041793F"/>
    <w:rsid w:val="00420CC0"/>
    <w:rsid w:val="0042361B"/>
    <w:rsid w:val="00424E6F"/>
    <w:rsid w:val="00424F1F"/>
    <w:rsid w:val="00432A57"/>
    <w:rsid w:val="00432FA4"/>
    <w:rsid w:val="004350E0"/>
    <w:rsid w:val="004402B8"/>
    <w:rsid w:val="00440BD0"/>
    <w:rsid w:val="00442FD6"/>
    <w:rsid w:val="00446F3B"/>
    <w:rsid w:val="00452550"/>
    <w:rsid w:val="00453435"/>
    <w:rsid w:val="004560F5"/>
    <w:rsid w:val="0046208D"/>
    <w:rsid w:val="0046217C"/>
    <w:rsid w:val="00465C14"/>
    <w:rsid w:val="004745CA"/>
    <w:rsid w:val="00476508"/>
    <w:rsid w:val="004804CE"/>
    <w:rsid w:val="00480AC6"/>
    <w:rsid w:val="00480BA8"/>
    <w:rsid w:val="00481E4A"/>
    <w:rsid w:val="00485C00"/>
    <w:rsid w:val="00490918"/>
    <w:rsid w:val="00493F29"/>
    <w:rsid w:val="004940B7"/>
    <w:rsid w:val="0049673D"/>
    <w:rsid w:val="004A4366"/>
    <w:rsid w:val="004B3861"/>
    <w:rsid w:val="004B52FE"/>
    <w:rsid w:val="004B617C"/>
    <w:rsid w:val="004B6F27"/>
    <w:rsid w:val="004C6E14"/>
    <w:rsid w:val="004C727A"/>
    <w:rsid w:val="004C7F79"/>
    <w:rsid w:val="004D3AD6"/>
    <w:rsid w:val="004E0059"/>
    <w:rsid w:val="004F4C90"/>
    <w:rsid w:val="004F6635"/>
    <w:rsid w:val="00500009"/>
    <w:rsid w:val="00500671"/>
    <w:rsid w:val="00501D1D"/>
    <w:rsid w:val="00502D8F"/>
    <w:rsid w:val="00505CA3"/>
    <w:rsid w:val="00505DB2"/>
    <w:rsid w:val="005138FC"/>
    <w:rsid w:val="00515377"/>
    <w:rsid w:val="005154F4"/>
    <w:rsid w:val="005211A6"/>
    <w:rsid w:val="0052372C"/>
    <w:rsid w:val="0052503E"/>
    <w:rsid w:val="005259B3"/>
    <w:rsid w:val="00527AF7"/>
    <w:rsid w:val="00532D5D"/>
    <w:rsid w:val="00536130"/>
    <w:rsid w:val="00542065"/>
    <w:rsid w:val="00545CBA"/>
    <w:rsid w:val="00561521"/>
    <w:rsid w:val="00565777"/>
    <w:rsid w:val="005722D7"/>
    <w:rsid w:val="00572879"/>
    <w:rsid w:val="00572E6C"/>
    <w:rsid w:val="0058295D"/>
    <w:rsid w:val="00585B7B"/>
    <w:rsid w:val="00587C74"/>
    <w:rsid w:val="00590DD0"/>
    <w:rsid w:val="00591801"/>
    <w:rsid w:val="0059354C"/>
    <w:rsid w:val="00594B84"/>
    <w:rsid w:val="00594ED7"/>
    <w:rsid w:val="005959C0"/>
    <w:rsid w:val="00597884"/>
    <w:rsid w:val="005A02DC"/>
    <w:rsid w:val="005A0EAC"/>
    <w:rsid w:val="005A6337"/>
    <w:rsid w:val="005A72FD"/>
    <w:rsid w:val="005A7416"/>
    <w:rsid w:val="005A7608"/>
    <w:rsid w:val="005A7DC3"/>
    <w:rsid w:val="005B0EC7"/>
    <w:rsid w:val="005B1E9C"/>
    <w:rsid w:val="005B5C5C"/>
    <w:rsid w:val="005C06CF"/>
    <w:rsid w:val="005C1641"/>
    <w:rsid w:val="005C278A"/>
    <w:rsid w:val="005C3448"/>
    <w:rsid w:val="005C6D02"/>
    <w:rsid w:val="005D2396"/>
    <w:rsid w:val="005D4A0C"/>
    <w:rsid w:val="005D64D6"/>
    <w:rsid w:val="005D6B8A"/>
    <w:rsid w:val="005E1D1B"/>
    <w:rsid w:val="005F22A7"/>
    <w:rsid w:val="005F2DA7"/>
    <w:rsid w:val="005F3AA1"/>
    <w:rsid w:val="005F4CE4"/>
    <w:rsid w:val="00605578"/>
    <w:rsid w:val="00615FD8"/>
    <w:rsid w:val="00616477"/>
    <w:rsid w:val="00616E0E"/>
    <w:rsid w:val="0061737B"/>
    <w:rsid w:val="00617914"/>
    <w:rsid w:val="00620CAE"/>
    <w:rsid w:val="0062334B"/>
    <w:rsid w:val="00625D32"/>
    <w:rsid w:val="006314C1"/>
    <w:rsid w:val="00632275"/>
    <w:rsid w:val="006337E8"/>
    <w:rsid w:val="00642ABF"/>
    <w:rsid w:val="0064591A"/>
    <w:rsid w:val="00654274"/>
    <w:rsid w:val="00655F99"/>
    <w:rsid w:val="0065692E"/>
    <w:rsid w:val="006632F7"/>
    <w:rsid w:val="0066504D"/>
    <w:rsid w:val="006706E1"/>
    <w:rsid w:val="006741ED"/>
    <w:rsid w:val="00675614"/>
    <w:rsid w:val="00676573"/>
    <w:rsid w:val="00683D4D"/>
    <w:rsid w:val="00685380"/>
    <w:rsid w:val="00685F38"/>
    <w:rsid w:val="006908EA"/>
    <w:rsid w:val="00693E2C"/>
    <w:rsid w:val="00694337"/>
    <w:rsid w:val="00695563"/>
    <w:rsid w:val="006A0133"/>
    <w:rsid w:val="006A0772"/>
    <w:rsid w:val="006A20B2"/>
    <w:rsid w:val="006A27FC"/>
    <w:rsid w:val="006A55B9"/>
    <w:rsid w:val="006A59FF"/>
    <w:rsid w:val="006A5B29"/>
    <w:rsid w:val="006A7A10"/>
    <w:rsid w:val="006B149E"/>
    <w:rsid w:val="006B2095"/>
    <w:rsid w:val="006B232C"/>
    <w:rsid w:val="006B3402"/>
    <w:rsid w:val="006B6D29"/>
    <w:rsid w:val="006C259F"/>
    <w:rsid w:val="006C4B07"/>
    <w:rsid w:val="006C5606"/>
    <w:rsid w:val="006C7B92"/>
    <w:rsid w:val="006D21A5"/>
    <w:rsid w:val="006D5A81"/>
    <w:rsid w:val="006D6BB4"/>
    <w:rsid w:val="006D71D2"/>
    <w:rsid w:val="006D736F"/>
    <w:rsid w:val="006D759A"/>
    <w:rsid w:val="006D767A"/>
    <w:rsid w:val="006D77CB"/>
    <w:rsid w:val="006E05EA"/>
    <w:rsid w:val="006E06C4"/>
    <w:rsid w:val="006E6160"/>
    <w:rsid w:val="006E6F2D"/>
    <w:rsid w:val="006E768C"/>
    <w:rsid w:val="006F2E86"/>
    <w:rsid w:val="006F3DD2"/>
    <w:rsid w:val="00703ED9"/>
    <w:rsid w:val="007052C3"/>
    <w:rsid w:val="00713E86"/>
    <w:rsid w:val="00714715"/>
    <w:rsid w:val="007213F1"/>
    <w:rsid w:val="00722B72"/>
    <w:rsid w:val="0072480C"/>
    <w:rsid w:val="00733C0B"/>
    <w:rsid w:val="007351BE"/>
    <w:rsid w:val="00736818"/>
    <w:rsid w:val="00737785"/>
    <w:rsid w:val="007430A2"/>
    <w:rsid w:val="00745296"/>
    <w:rsid w:val="0075045D"/>
    <w:rsid w:val="00750510"/>
    <w:rsid w:val="00750A21"/>
    <w:rsid w:val="00754101"/>
    <w:rsid w:val="00755280"/>
    <w:rsid w:val="00770C74"/>
    <w:rsid w:val="00775647"/>
    <w:rsid w:val="00776B8D"/>
    <w:rsid w:val="00776EE1"/>
    <w:rsid w:val="00777D5E"/>
    <w:rsid w:val="00784483"/>
    <w:rsid w:val="007861FB"/>
    <w:rsid w:val="007907BF"/>
    <w:rsid w:val="0079317A"/>
    <w:rsid w:val="007A07EB"/>
    <w:rsid w:val="007A085A"/>
    <w:rsid w:val="007A3A77"/>
    <w:rsid w:val="007A7D3A"/>
    <w:rsid w:val="007A7E67"/>
    <w:rsid w:val="007B0C61"/>
    <w:rsid w:val="007B457D"/>
    <w:rsid w:val="007B5614"/>
    <w:rsid w:val="007B5D0C"/>
    <w:rsid w:val="007B72C7"/>
    <w:rsid w:val="007C0A4E"/>
    <w:rsid w:val="007C0F05"/>
    <w:rsid w:val="007C0F2C"/>
    <w:rsid w:val="007C231C"/>
    <w:rsid w:val="007C2EC0"/>
    <w:rsid w:val="007C34AD"/>
    <w:rsid w:val="007C5877"/>
    <w:rsid w:val="007D5B02"/>
    <w:rsid w:val="007D5ED1"/>
    <w:rsid w:val="007D7B17"/>
    <w:rsid w:val="007E2464"/>
    <w:rsid w:val="007F1F1C"/>
    <w:rsid w:val="00804B8C"/>
    <w:rsid w:val="0081055B"/>
    <w:rsid w:val="00810E7C"/>
    <w:rsid w:val="008120F5"/>
    <w:rsid w:val="00813AC8"/>
    <w:rsid w:val="00814CBB"/>
    <w:rsid w:val="008170D1"/>
    <w:rsid w:val="008212A7"/>
    <w:rsid w:val="008217E0"/>
    <w:rsid w:val="0082231A"/>
    <w:rsid w:val="00831A72"/>
    <w:rsid w:val="00832B28"/>
    <w:rsid w:val="00833411"/>
    <w:rsid w:val="00833C2D"/>
    <w:rsid w:val="00833D7A"/>
    <w:rsid w:val="0084066D"/>
    <w:rsid w:val="00841B95"/>
    <w:rsid w:val="00842218"/>
    <w:rsid w:val="00842544"/>
    <w:rsid w:val="0084254E"/>
    <w:rsid w:val="008430A7"/>
    <w:rsid w:val="00844660"/>
    <w:rsid w:val="008522F2"/>
    <w:rsid w:val="0085744F"/>
    <w:rsid w:val="008600F9"/>
    <w:rsid w:val="0086060D"/>
    <w:rsid w:val="0086173C"/>
    <w:rsid w:val="008623C6"/>
    <w:rsid w:val="008626DE"/>
    <w:rsid w:val="008634F5"/>
    <w:rsid w:val="00865D06"/>
    <w:rsid w:val="00866AE2"/>
    <w:rsid w:val="0087138F"/>
    <w:rsid w:val="00874867"/>
    <w:rsid w:val="0088098A"/>
    <w:rsid w:val="0088168B"/>
    <w:rsid w:val="00887353"/>
    <w:rsid w:val="008921CB"/>
    <w:rsid w:val="00892CEB"/>
    <w:rsid w:val="00892DC2"/>
    <w:rsid w:val="00893C1C"/>
    <w:rsid w:val="008A04DA"/>
    <w:rsid w:val="008A206D"/>
    <w:rsid w:val="008A60A4"/>
    <w:rsid w:val="008B0240"/>
    <w:rsid w:val="008B53EA"/>
    <w:rsid w:val="008B70F2"/>
    <w:rsid w:val="008C2139"/>
    <w:rsid w:val="008C28CD"/>
    <w:rsid w:val="008D28DE"/>
    <w:rsid w:val="008D2C97"/>
    <w:rsid w:val="008D42EE"/>
    <w:rsid w:val="008D510A"/>
    <w:rsid w:val="008D77CD"/>
    <w:rsid w:val="008D7D52"/>
    <w:rsid w:val="008E4B96"/>
    <w:rsid w:val="008E783D"/>
    <w:rsid w:val="008F00A0"/>
    <w:rsid w:val="008F245F"/>
    <w:rsid w:val="008F62C6"/>
    <w:rsid w:val="008F62DB"/>
    <w:rsid w:val="008F7ACF"/>
    <w:rsid w:val="00901B63"/>
    <w:rsid w:val="00907E6F"/>
    <w:rsid w:val="00910FB5"/>
    <w:rsid w:val="009122A7"/>
    <w:rsid w:val="009132BB"/>
    <w:rsid w:val="00913388"/>
    <w:rsid w:val="009179FA"/>
    <w:rsid w:val="00920AFE"/>
    <w:rsid w:val="009212E2"/>
    <w:rsid w:val="009254BE"/>
    <w:rsid w:val="00930905"/>
    <w:rsid w:val="00930B90"/>
    <w:rsid w:val="009343C2"/>
    <w:rsid w:val="00937416"/>
    <w:rsid w:val="00942AB2"/>
    <w:rsid w:val="00943700"/>
    <w:rsid w:val="00944333"/>
    <w:rsid w:val="00951671"/>
    <w:rsid w:val="0095432B"/>
    <w:rsid w:val="00961687"/>
    <w:rsid w:val="009629C7"/>
    <w:rsid w:val="009631D8"/>
    <w:rsid w:val="009660CC"/>
    <w:rsid w:val="009667F8"/>
    <w:rsid w:val="00970B44"/>
    <w:rsid w:val="00986359"/>
    <w:rsid w:val="00994D7E"/>
    <w:rsid w:val="00995878"/>
    <w:rsid w:val="00995D97"/>
    <w:rsid w:val="009970E0"/>
    <w:rsid w:val="0099724D"/>
    <w:rsid w:val="009B04D8"/>
    <w:rsid w:val="009B35F7"/>
    <w:rsid w:val="009B49A0"/>
    <w:rsid w:val="009B5DD9"/>
    <w:rsid w:val="009B722C"/>
    <w:rsid w:val="009C0551"/>
    <w:rsid w:val="009C69D5"/>
    <w:rsid w:val="009D1DF6"/>
    <w:rsid w:val="009D5011"/>
    <w:rsid w:val="009E2150"/>
    <w:rsid w:val="009E4529"/>
    <w:rsid w:val="009E57CE"/>
    <w:rsid w:val="009E675D"/>
    <w:rsid w:val="009E780B"/>
    <w:rsid w:val="009F41FE"/>
    <w:rsid w:val="009F5885"/>
    <w:rsid w:val="009F5B27"/>
    <w:rsid w:val="00A07C92"/>
    <w:rsid w:val="00A11A32"/>
    <w:rsid w:val="00A124F5"/>
    <w:rsid w:val="00A1349E"/>
    <w:rsid w:val="00A163CF"/>
    <w:rsid w:val="00A208FB"/>
    <w:rsid w:val="00A22FE8"/>
    <w:rsid w:val="00A315D3"/>
    <w:rsid w:val="00A414EE"/>
    <w:rsid w:val="00A43A10"/>
    <w:rsid w:val="00A50F39"/>
    <w:rsid w:val="00A6082B"/>
    <w:rsid w:val="00A63048"/>
    <w:rsid w:val="00A70C59"/>
    <w:rsid w:val="00A739AB"/>
    <w:rsid w:val="00A73F7E"/>
    <w:rsid w:val="00A75D68"/>
    <w:rsid w:val="00A76087"/>
    <w:rsid w:val="00A77699"/>
    <w:rsid w:val="00A81A05"/>
    <w:rsid w:val="00A81CAC"/>
    <w:rsid w:val="00A8312C"/>
    <w:rsid w:val="00A90197"/>
    <w:rsid w:val="00A91473"/>
    <w:rsid w:val="00A9363A"/>
    <w:rsid w:val="00A9391C"/>
    <w:rsid w:val="00A93B71"/>
    <w:rsid w:val="00AA0527"/>
    <w:rsid w:val="00AA25C8"/>
    <w:rsid w:val="00AA2EF5"/>
    <w:rsid w:val="00AA3C68"/>
    <w:rsid w:val="00AA71C9"/>
    <w:rsid w:val="00AA7EC0"/>
    <w:rsid w:val="00AB22E8"/>
    <w:rsid w:val="00AB3978"/>
    <w:rsid w:val="00AC0CEF"/>
    <w:rsid w:val="00AC1244"/>
    <w:rsid w:val="00AC77A3"/>
    <w:rsid w:val="00AD09C4"/>
    <w:rsid w:val="00AD1E01"/>
    <w:rsid w:val="00AD4674"/>
    <w:rsid w:val="00AE38F5"/>
    <w:rsid w:val="00AE5461"/>
    <w:rsid w:val="00AF0ED0"/>
    <w:rsid w:val="00AF11EA"/>
    <w:rsid w:val="00AF39FA"/>
    <w:rsid w:val="00B00462"/>
    <w:rsid w:val="00B01917"/>
    <w:rsid w:val="00B01FC5"/>
    <w:rsid w:val="00B03EB9"/>
    <w:rsid w:val="00B04DF6"/>
    <w:rsid w:val="00B101E6"/>
    <w:rsid w:val="00B10248"/>
    <w:rsid w:val="00B104E2"/>
    <w:rsid w:val="00B10B0B"/>
    <w:rsid w:val="00B11177"/>
    <w:rsid w:val="00B114D1"/>
    <w:rsid w:val="00B11DE0"/>
    <w:rsid w:val="00B12731"/>
    <w:rsid w:val="00B14EF4"/>
    <w:rsid w:val="00B20944"/>
    <w:rsid w:val="00B21D37"/>
    <w:rsid w:val="00B238A9"/>
    <w:rsid w:val="00B24B12"/>
    <w:rsid w:val="00B310F0"/>
    <w:rsid w:val="00B336D8"/>
    <w:rsid w:val="00B33966"/>
    <w:rsid w:val="00B3511A"/>
    <w:rsid w:val="00B36656"/>
    <w:rsid w:val="00B37867"/>
    <w:rsid w:val="00B40D9F"/>
    <w:rsid w:val="00B411EC"/>
    <w:rsid w:val="00B41DCB"/>
    <w:rsid w:val="00B433A0"/>
    <w:rsid w:val="00B53DAD"/>
    <w:rsid w:val="00B80F6C"/>
    <w:rsid w:val="00B8364E"/>
    <w:rsid w:val="00B9031B"/>
    <w:rsid w:val="00B909F7"/>
    <w:rsid w:val="00B958C5"/>
    <w:rsid w:val="00B96ADF"/>
    <w:rsid w:val="00B97591"/>
    <w:rsid w:val="00BA006C"/>
    <w:rsid w:val="00BA11FF"/>
    <w:rsid w:val="00BA2F1E"/>
    <w:rsid w:val="00BB083E"/>
    <w:rsid w:val="00BB20BB"/>
    <w:rsid w:val="00BB2ABD"/>
    <w:rsid w:val="00BB302C"/>
    <w:rsid w:val="00BB4744"/>
    <w:rsid w:val="00BB77DD"/>
    <w:rsid w:val="00BC3992"/>
    <w:rsid w:val="00BD399A"/>
    <w:rsid w:val="00BD3C38"/>
    <w:rsid w:val="00BD403C"/>
    <w:rsid w:val="00BE072E"/>
    <w:rsid w:val="00BE13F2"/>
    <w:rsid w:val="00BE192B"/>
    <w:rsid w:val="00BE551A"/>
    <w:rsid w:val="00BE59CE"/>
    <w:rsid w:val="00BF0C10"/>
    <w:rsid w:val="00BF13F2"/>
    <w:rsid w:val="00BF4049"/>
    <w:rsid w:val="00BF7C57"/>
    <w:rsid w:val="00C0163E"/>
    <w:rsid w:val="00C05528"/>
    <w:rsid w:val="00C1526D"/>
    <w:rsid w:val="00C15E8D"/>
    <w:rsid w:val="00C17C39"/>
    <w:rsid w:val="00C21D67"/>
    <w:rsid w:val="00C307CF"/>
    <w:rsid w:val="00C31C0D"/>
    <w:rsid w:val="00C322F6"/>
    <w:rsid w:val="00C32647"/>
    <w:rsid w:val="00C34652"/>
    <w:rsid w:val="00C3553E"/>
    <w:rsid w:val="00C377B8"/>
    <w:rsid w:val="00C445DD"/>
    <w:rsid w:val="00C475B5"/>
    <w:rsid w:val="00C50F8A"/>
    <w:rsid w:val="00C54FEB"/>
    <w:rsid w:val="00C55762"/>
    <w:rsid w:val="00C6019E"/>
    <w:rsid w:val="00C62E37"/>
    <w:rsid w:val="00C6652E"/>
    <w:rsid w:val="00C67716"/>
    <w:rsid w:val="00C71BA8"/>
    <w:rsid w:val="00C7220E"/>
    <w:rsid w:val="00C7310F"/>
    <w:rsid w:val="00C73FCD"/>
    <w:rsid w:val="00C750C8"/>
    <w:rsid w:val="00C76A26"/>
    <w:rsid w:val="00C84C2B"/>
    <w:rsid w:val="00C8594D"/>
    <w:rsid w:val="00C92FD7"/>
    <w:rsid w:val="00C93C66"/>
    <w:rsid w:val="00C94CAC"/>
    <w:rsid w:val="00C9721C"/>
    <w:rsid w:val="00CA2AC1"/>
    <w:rsid w:val="00CA504A"/>
    <w:rsid w:val="00CA6107"/>
    <w:rsid w:val="00CA6985"/>
    <w:rsid w:val="00CA7619"/>
    <w:rsid w:val="00CB218D"/>
    <w:rsid w:val="00CB483C"/>
    <w:rsid w:val="00CB5545"/>
    <w:rsid w:val="00CB7A72"/>
    <w:rsid w:val="00CC49D6"/>
    <w:rsid w:val="00CC5E06"/>
    <w:rsid w:val="00CC7E4B"/>
    <w:rsid w:val="00CD514E"/>
    <w:rsid w:val="00CD6216"/>
    <w:rsid w:val="00CD668B"/>
    <w:rsid w:val="00CD7A21"/>
    <w:rsid w:val="00CD7C93"/>
    <w:rsid w:val="00CE0B01"/>
    <w:rsid w:val="00CE2B81"/>
    <w:rsid w:val="00CE4B53"/>
    <w:rsid w:val="00CF04D1"/>
    <w:rsid w:val="00CF2C68"/>
    <w:rsid w:val="00CF4589"/>
    <w:rsid w:val="00CF465D"/>
    <w:rsid w:val="00CF4B1F"/>
    <w:rsid w:val="00CF691C"/>
    <w:rsid w:val="00D107F7"/>
    <w:rsid w:val="00D13485"/>
    <w:rsid w:val="00D24A0C"/>
    <w:rsid w:val="00D323CD"/>
    <w:rsid w:val="00D34B5C"/>
    <w:rsid w:val="00D34CD2"/>
    <w:rsid w:val="00D374E7"/>
    <w:rsid w:val="00D37655"/>
    <w:rsid w:val="00D4036D"/>
    <w:rsid w:val="00D41BE2"/>
    <w:rsid w:val="00D47FD6"/>
    <w:rsid w:val="00D51380"/>
    <w:rsid w:val="00D5280F"/>
    <w:rsid w:val="00D54129"/>
    <w:rsid w:val="00D551F2"/>
    <w:rsid w:val="00D60944"/>
    <w:rsid w:val="00D72906"/>
    <w:rsid w:val="00D74B05"/>
    <w:rsid w:val="00D75019"/>
    <w:rsid w:val="00D75260"/>
    <w:rsid w:val="00D8153B"/>
    <w:rsid w:val="00D82AE2"/>
    <w:rsid w:val="00D85715"/>
    <w:rsid w:val="00D861DF"/>
    <w:rsid w:val="00D91496"/>
    <w:rsid w:val="00D96FCD"/>
    <w:rsid w:val="00DA0516"/>
    <w:rsid w:val="00DA140B"/>
    <w:rsid w:val="00DA20D6"/>
    <w:rsid w:val="00DA30DA"/>
    <w:rsid w:val="00DA433E"/>
    <w:rsid w:val="00DA6ABC"/>
    <w:rsid w:val="00DB0A83"/>
    <w:rsid w:val="00DB585B"/>
    <w:rsid w:val="00DB6BB3"/>
    <w:rsid w:val="00DC11F3"/>
    <w:rsid w:val="00DC13EA"/>
    <w:rsid w:val="00DC3289"/>
    <w:rsid w:val="00DC4DFE"/>
    <w:rsid w:val="00DC5E40"/>
    <w:rsid w:val="00DC7BFF"/>
    <w:rsid w:val="00DD78B7"/>
    <w:rsid w:val="00DE1B77"/>
    <w:rsid w:val="00DF44D5"/>
    <w:rsid w:val="00DF6156"/>
    <w:rsid w:val="00DF7B2F"/>
    <w:rsid w:val="00E043AC"/>
    <w:rsid w:val="00E05693"/>
    <w:rsid w:val="00E10CC9"/>
    <w:rsid w:val="00E1182B"/>
    <w:rsid w:val="00E167E0"/>
    <w:rsid w:val="00E16A35"/>
    <w:rsid w:val="00E17459"/>
    <w:rsid w:val="00E21B4B"/>
    <w:rsid w:val="00E24FC8"/>
    <w:rsid w:val="00E263E0"/>
    <w:rsid w:val="00E32F81"/>
    <w:rsid w:val="00E34642"/>
    <w:rsid w:val="00E34BFA"/>
    <w:rsid w:val="00E4088E"/>
    <w:rsid w:val="00E42247"/>
    <w:rsid w:val="00E4760B"/>
    <w:rsid w:val="00E51425"/>
    <w:rsid w:val="00E52B3A"/>
    <w:rsid w:val="00E608C5"/>
    <w:rsid w:val="00E623A7"/>
    <w:rsid w:val="00E64BB6"/>
    <w:rsid w:val="00E65AA6"/>
    <w:rsid w:val="00E673BF"/>
    <w:rsid w:val="00E677E7"/>
    <w:rsid w:val="00E73B9F"/>
    <w:rsid w:val="00E77A8E"/>
    <w:rsid w:val="00E8071D"/>
    <w:rsid w:val="00E82FD6"/>
    <w:rsid w:val="00E911CC"/>
    <w:rsid w:val="00E915CD"/>
    <w:rsid w:val="00E91DF4"/>
    <w:rsid w:val="00E9227E"/>
    <w:rsid w:val="00E93687"/>
    <w:rsid w:val="00E95C96"/>
    <w:rsid w:val="00EB3612"/>
    <w:rsid w:val="00EB7658"/>
    <w:rsid w:val="00EB7D72"/>
    <w:rsid w:val="00EC0598"/>
    <w:rsid w:val="00EC05CC"/>
    <w:rsid w:val="00EC0869"/>
    <w:rsid w:val="00EC47B4"/>
    <w:rsid w:val="00EC5D4E"/>
    <w:rsid w:val="00EC6941"/>
    <w:rsid w:val="00EC7BBC"/>
    <w:rsid w:val="00ED6681"/>
    <w:rsid w:val="00ED7AB8"/>
    <w:rsid w:val="00ED7AF2"/>
    <w:rsid w:val="00EE09F5"/>
    <w:rsid w:val="00EE0A6C"/>
    <w:rsid w:val="00EE3292"/>
    <w:rsid w:val="00EE3BD9"/>
    <w:rsid w:val="00EE558B"/>
    <w:rsid w:val="00EE5846"/>
    <w:rsid w:val="00EE676B"/>
    <w:rsid w:val="00EE7D3E"/>
    <w:rsid w:val="00EF03C6"/>
    <w:rsid w:val="00EF5C77"/>
    <w:rsid w:val="00EF666F"/>
    <w:rsid w:val="00EF7422"/>
    <w:rsid w:val="00F01660"/>
    <w:rsid w:val="00F01FC8"/>
    <w:rsid w:val="00F0272E"/>
    <w:rsid w:val="00F047B5"/>
    <w:rsid w:val="00F05010"/>
    <w:rsid w:val="00F06077"/>
    <w:rsid w:val="00F1205C"/>
    <w:rsid w:val="00F14A25"/>
    <w:rsid w:val="00F1626F"/>
    <w:rsid w:val="00F16858"/>
    <w:rsid w:val="00F16D1C"/>
    <w:rsid w:val="00F179F3"/>
    <w:rsid w:val="00F22009"/>
    <w:rsid w:val="00F2782A"/>
    <w:rsid w:val="00F3166E"/>
    <w:rsid w:val="00F33394"/>
    <w:rsid w:val="00F432AB"/>
    <w:rsid w:val="00F43A06"/>
    <w:rsid w:val="00F442B5"/>
    <w:rsid w:val="00F45F52"/>
    <w:rsid w:val="00F462F2"/>
    <w:rsid w:val="00F463E3"/>
    <w:rsid w:val="00F47A3A"/>
    <w:rsid w:val="00F47AD8"/>
    <w:rsid w:val="00F535A5"/>
    <w:rsid w:val="00F54FEF"/>
    <w:rsid w:val="00F577B3"/>
    <w:rsid w:val="00F57B67"/>
    <w:rsid w:val="00F62CB4"/>
    <w:rsid w:val="00F63024"/>
    <w:rsid w:val="00F65E20"/>
    <w:rsid w:val="00F65FDD"/>
    <w:rsid w:val="00F66339"/>
    <w:rsid w:val="00F66649"/>
    <w:rsid w:val="00F67C20"/>
    <w:rsid w:val="00F70A4C"/>
    <w:rsid w:val="00F71637"/>
    <w:rsid w:val="00F754B6"/>
    <w:rsid w:val="00F779B0"/>
    <w:rsid w:val="00F77D1A"/>
    <w:rsid w:val="00F826B9"/>
    <w:rsid w:val="00F82E1F"/>
    <w:rsid w:val="00F8410E"/>
    <w:rsid w:val="00F86CE7"/>
    <w:rsid w:val="00F922AC"/>
    <w:rsid w:val="00F95945"/>
    <w:rsid w:val="00FA146C"/>
    <w:rsid w:val="00FA1E71"/>
    <w:rsid w:val="00FA2F5A"/>
    <w:rsid w:val="00FA6E3B"/>
    <w:rsid w:val="00FB31CB"/>
    <w:rsid w:val="00FC19A3"/>
    <w:rsid w:val="00FC2C12"/>
    <w:rsid w:val="00FC2DE0"/>
    <w:rsid w:val="00FC5136"/>
    <w:rsid w:val="00FC5669"/>
    <w:rsid w:val="00FC6855"/>
    <w:rsid w:val="00FD055B"/>
    <w:rsid w:val="00FD7331"/>
    <w:rsid w:val="00FE3414"/>
    <w:rsid w:val="00FF2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F2F77"/>
  <w15:docId w15:val="{6DA9D476-0BB0-4528-B164-FD553EBB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link w:val="BodyText"/>
    <w:semiHidden/>
    <w:locked/>
    <w:rsid w:val="00D96FCD"/>
    <w:rPr>
      <w:rFonts w:ascii="Times New Roman" w:hAnsi="Times New Roman" w:cs="Times New Roman"/>
      <w:sz w:val="24"/>
      <w:szCs w:val="24"/>
      <w:lang w:eastAsia="lv-LV"/>
    </w:rPr>
  </w:style>
  <w:style w:type="character" w:styleId="Hyperlink">
    <w:name w:val="Hyperlink"/>
    <w:rsid w:val="00844660"/>
    <w:rPr>
      <w:color w:val="0000FF"/>
      <w:u w:val="single"/>
    </w:rPr>
  </w:style>
  <w:style w:type="character" w:styleId="Emphasis">
    <w:name w:val="Emphasis"/>
    <w:uiPriority w:val="20"/>
    <w:qFormat/>
    <w:locked/>
    <w:rsid w:val="003A193D"/>
    <w:rPr>
      <w:b/>
      <w:bCs/>
      <w:i w:val="0"/>
      <w:iCs w:val="0"/>
    </w:rPr>
  </w:style>
  <w:style w:type="character" w:customStyle="1" w:styleId="std1">
    <w:name w:val="std1"/>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BalloonText">
    <w:name w:val="Balloon Text"/>
    <w:basedOn w:val="Normal"/>
    <w:link w:val="BalloonTextChar"/>
    <w:rsid w:val="00C62E37"/>
    <w:rPr>
      <w:rFonts w:ascii="Segoe UI" w:hAnsi="Segoe UI" w:cs="Segoe UI"/>
      <w:sz w:val="18"/>
      <w:szCs w:val="18"/>
    </w:rPr>
  </w:style>
  <w:style w:type="character" w:customStyle="1" w:styleId="BalloonTextChar">
    <w:name w:val="Balloon Text Char"/>
    <w:link w:val="BalloonText"/>
    <w:rsid w:val="00C62E37"/>
    <w:rPr>
      <w:rFonts w:ascii="Segoe UI" w:hAnsi="Segoe UI" w:cs="Segoe UI"/>
      <w:sz w:val="18"/>
      <w:szCs w:val="18"/>
    </w:rPr>
  </w:style>
  <w:style w:type="paragraph" w:styleId="ListParagraph">
    <w:name w:val="List Paragraph"/>
    <w:basedOn w:val="Normal"/>
    <w:uiPriority w:val="34"/>
    <w:qFormat/>
    <w:rsid w:val="001E1DA8"/>
    <w:pPr>
      <w:ind w:left="720"/>
      <w:contextualSpacing/>
    </w:pPr>
  </w:style>
  <w:style w:type="paragraph" w:customStyle="1" w:styleId="tvhtml">
    <w:name w:val="tv_html"/>
    <w:basedOn w:val="Normal"/>
    <w:rsid w:val="003E3E30"/>
    <w:pPr>
      <w:spacing w:before="100" w:beforeAutospacing="1" w:after="100" w:afterAutospacing="1"/>
    </w:pPr>
    <w:rPr>
      <w:rFonts w:eastAsia="Times New Roman"/>
    </w:rPr>
  </w:style>
  <w:style w:type="character" w:customStyle="1" w:styleId="apple-converted-space">
    <w:name w:val="apple-converted-space"/>
    <w:basedOn w:val="DefaultParagraphFont"/>
    <w:rsid w:val="003E3E30"/>
  </w:style>
  <w:style w:type="paragraph" w:customStyle="1" w:styleId="tv213">
    <w:name w:val="tv213"/>
    <w:basedOn w:val="Normal"/>
    <w:rsid w:val="00ED7AF2"/>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0443DE"/>
    <w:rPr>
      <w:sz w:val="16"/>
      <w:szCs w:val="16"/>
    </w:rPr>
  </w:style>
  <w:style w:type="paragraph" w:styleId="CommentText">
    <w:name w:val="annotation text"/>
    <w:basedOn w:val="Normal"/>
    <w:link w:val="CommentTextChar"/>
    <w:semiHidden/>
    <w:unhideWhenUsed/>
    <w:rsid w:val="000443DE"/>
    <w:rPr>
      <w:sz w:val="20"/>
      <w:szCs w:val="20"/>
    </w:rPr>
  </w:style>
  <w:style w:type="character" w:customStyle="1" w:styleId="CommentTextChar">
    <w:name w:val="Comment Text Char"/>
    <w:basedOn w:val="DefaultParagraphFont"/>
    <w:link w:val="CommentText"/>
    <w:semiHidden/>
    <w:rsid w:val="000443DE"/>
    <w:rPr>
      <w:rFonts w:ascii="Times New Roman" w:hAnsi="Times New Roman"/>
    </w:rPr>
  </w:style>
  <w:style w:type="paragraph" w:styleId="CommentSubject">
    <w:name w:val="annotation subject"/>
    <w:basedOn w:val="CommentText"/>
    <w:next w:val="CommentText"/>
    <w:link w:val="CommentSubjectChar"/>
    <w:semiHidden/>
    <w:unhideWhenUsed/>
    <w:rsid w:val="000443DE"/>
    <w:rPr>
      <w:b/>
      <w:bCs/>
    </w:rPr>
  </w:style>
  <w:style w:type="character" w:customStyle="1" w:styleId="CommentSubjectChar">
    <w:name w:val="Comment Subject Char"/>
    <w:basedOn w:val="CommentTextChar"/>
    <w:link w:val="CommentSubject"/>
    <w:semiHidden/>
    <w:rsid w:val="000443DE"/>
    <w:rPr>
      <w:rFonts w:ascii="Times New Roman" w:hAnsi="Times New Roman"/>
      <w:b/>
      <w:bCs/>
    </w:rPr>
  </w:style>
  <w:style w:type="character" w:styleId="Strong">
    <w:name w:val="Strong"/>
    <w:basedOn w:val="DefaultParagraphFont"/>
    <w:uiPriority w:val="22"/>
    <w:qFormat/>
    <w:locked/>
    <w:rsid w:val="0088098A"/>
    <w:rPr>
      <w:b/>
      <w:bCs/>
    </w:rPr>
  </w:style>
  <w:style w:type="paragraph" w:styleId="z-TopofForm">
    <w:name w:val="HTML Top of Form"/>
    <w:basedOn w:val="Normal"/>
    <w:next w:val="Normal"/>
    <w:link w:val="z-TopofFormChar"/>
    <w:hidden/>
    <w:uiPriority w:val="99"/>
    <w:semiHidden/>
    <w:rsid w:val="008623C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23C6"/>
    <w:rPr>
      <w:rFonts w:ascii="Arial" w:eastAsia="Times New Roman" w:hAnsi="Arial" w:cs="Arial"/>
      <w:vanish/>
      <w:sz w:val="16"/>
      <w:szCs w:val="16"/>
    </w:rPr>
  </w:style>
  <w:style w:type="numbering" w:customStyle="1" w:styleId="WW8Num17">
    <w:name w:val="WW8Num17"/>
    <w:basedOn w:val="NoList"/>
    <w:rsid w:val="008623C6"/>
    <w:pPr>
      <w:numPr>
        <w:numId w:val="16"/>
      </w:numPr>
    </w:pPr>
  </w:style>
  <w:style w:type="paragraph" w:styleId="NoSpacing">
    <w:name w:val="No Spacing"/>
    <w:uiPriority w:val="1"/>
    <w:qFormat/>
    <w:rsid w:val="008623C6"/>
    <w:pPr>
      <w:widowControl w:val="0"/>
    </w:pPr>
    <w:rPr>
      <w:sz w:val="22"/>
      <w:szCs w:val="22"/>
      <w:lang w:val="en-US" w:eastAsia="en-US"/>
    </w:rPr>
  </w:style>
  <w:style w:type="paragraph" w:customStyle="1" w:styleId="naisc">
    <w:name w:val="naisc"/>
    <w:basedOn w:val="Normal"/>
    <w:rsid w:val="0004080F"/>
    <w:pPr>
      <w:spacing w:before="75" w:after="75"/>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4085">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1481">
      <w:bodyDiv w:val="1"/>
      <w:marLeft w:val="0"/>
      <w:marRight w:val="0"/>
      <w:marTop w:val="0"/>
      <w:marBottom w:val="0"/>
      <w:divBdr>
        <w:top w:val="none" w:sz="0" w:space="0" w:color="auto"/>
        <w:left w:val="none" w:sz="0" w:space="0" w:color="auto"/>
        <w:bottom w:val="none" w:sz="0" w:space="0" w:color="auto"/>
        <w:right w:val="none" w:sz="0" w:space="0" w:color="auto"/>
      </w:divBdr>
    </w:div>
    <w:div w:id="813327190">
      <w:bodyDiv w:val="1"/>
      <w:marLeft w:val="0"/>
      <w:marRight w:val="0"/>
      <w:marTop w:val="0"/>
      <w:marBottom w:val="0"/>
      <w:divBdr>
        <w:top w:val="none" w:sz="0" w:space="0" w:color="auto"/>
        <w:left w:val="none" w:sz="0" w:space="0" w:color="auto"/>
        <w:bottom w:val="none" w:sz="0" w:space="0" w:color="auto"/>
        <w:right w:val="none" w:sz="0" w:space="0" w:color="auto"/>
      </w:divBdr>
    </w:div>
    <w:div w:id="839075989">
      <w:bodyDiv w:val="1"/>
      <w:marLeft w:val="0"/>
      <w:marRight w:val="0"/>
      <w:marTop w:val="0"/>
      <w:marBottom w:val="0"/>
      <w:divBdr>
        <w:top w:val="none" w:sz="0" w:space="0" w:color="auto"/>
        <w:left w:val="none" w:sz="0" w:space="0" w:color="auto"/>
        <w:bottom w:val="none" w:sz="0" w:space="0" w:color="auto"/>
        <w:right w:val="none" w:sz="0" w:space="0" w:color="auto"/>
      </w:divBdr>
    </w:div>
    <w:div w:id="912079798">
      <w:bodyDiv w:val="1"/>
      <w:marLeft w:val="0"/>
      <w:marRight w:val="0"/>
      <w:marTop w:val="0"/>
      <w:marBottom w:val="0"/>
      <w:divBdr>
        <w:top w:val="none" w:sz="0" w:space="0" w:color="auto"/>
        <w:left w:val="none" w:sz="0" w:space="0" w:color="auto"/>
        <w:bottom w:val="none" w:sz="0" w:space="0" w:color="auto"/>
        <w:right w:val="none" w:sz="0" w:space="0" w:color="auto"/>
      </w:divBdr>
      <w:divsChild>
        <w:div w:id="9919192">
          <w:marLeft w:val="0"/>
          <w:marRight w:val="0"/>
          <w:marTop w:val="0"/>
          <w:marBottom w:val="0"/>
          <w:divBdr>
            <w:top w:val="none" w:sz="0" w:space="0" w:color="auto"/>
            <w:left w:val="none" w:sz="0" w:space="0" w:color="auto"/>
            <w:bottom w:val="none" w:sz="0" w:space="0" w:color="auto"/>
            <w:right w:val="none" w:sz="0" w:space="0" w:color="auto"/>
          </w:divBdr>
          <w:divsChild>
            <w:div w:id="1516190194">
              <w:marLeft w:val="0"/>
              <w:marRight w:val="0"/>
              <w:marTop w:val="0"/>
              <w:marBottom w:val="0"/>
              <w:divBdr>
                <w:top w:val="none" w:sz="0" w:space="0" w:color="auto"/>
                <w:left w:val="none" w:sz="0" w:space="0" w:color="auto"/>
                <w:bottom w:val="none" w:sz="0" w:space="0" w:color="auto"/>
                <w:right w:val="none" w:sz="0" w:space="0" w:color="auto"/>
              </w:divBdr>
              <w:divsChild>
                <w:div w:id="635915602">
                  <w:marLeft w:val="-165"/>
                  <w:marRight w:val="0"/>
                  <w:marTop w:val="0"/>
                  <w:marBottom w:val="0"/>
                  <w:divBdr>
                    <w:top w:val="none" w:sz="0" w:space="0" w:color="auto"/>
                    <w:left w:val="none" w:sz="0" w:space="0" w:color="auto"/>
                    <w:bottom w:val="none" w:sz="0" w:space="0" w:color="auto"/>
                    <w:right w:val="none" w:sz="0" w:space="0" w:color="auto"/>
                  </w:divBdr>
                  <w:divsChild>
                    <w:div w:id="517621969">
                      <w:marLeft w:val="0"/>
                      <w:marRight w:val="0"/>
                      <w:marTop w:val="0"/>
                      <w:marBottom w:val="0"/>
                      <w:divBdr>
                        <w:top w:val="none" w:sz="0" w:space="0" w:color="auto"/>
                        <w:left w:val="none" w:sz="0" w:space="0" w:color="auto"/>
                        <w:bottom w:val="none" w:sz="0" w:space="0" w:color="auto"/>
                        <w:right w:val="none" w:sz="0" w:space="0" w:color="auto"/>
                      </w:divBdr>
                      <w:divsChild>
                        <w:div w:id="1274166530">
                          <w:marLeft w:val="0"/>
                          <w:marRight w:val="0"/>
                          <w:marTop w:val="330"/>
                          <w:marBottom w:val="0"/>
                          <w:divBdr>
                            <w:top w:val="none" w:sz="0" w:space="0" w:color="auto"/>
                            <w:left w:val="none" w:sz="0" w:space="0" w:color="auto"/>
                            <w:bottom w:val="none" w:sz="0" w:space="0" w:color="auto"/>
                            <w:right w:val="none" w:sz="0" w:space="0" w:color="auto"/>
                          </w:divBdr>
                          <w:divsChild>
                            <w:div w:id="7638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3779">
      <w:bodyDiv w:val="1"/>
      <w:marLeft w:val="0"/>
      <w:marRight w:val="0"/>
      <w:marTop w:val="0"/>
      <w:marBottom w:val="0"/>
      <w:divBdr>
        <w:top w:val="none" w:sz="0" w:space="0" w:color="auto"/>
        <w:left w:val="none" w:sz="0" w:space="0" w:color="auto"/>
        <w:bottom w:val="none" w:sz="0" w:space="0" w:color="auto"/>
        <w:right w:val="none" w:sz="0" w:space="0" w:color="auto"/>
      </w:divBdr>
    </w:div>
    <w:div w:id="1429498786">
      <w:bodyDiv w:val="1"/>
      <w:marLeft w:val="0"/>
      <w:marRight w:val="0"/>
      <w:marTop w:val="0"/>
      <w:marBottom w:val="0"/>
      <w:divBdr>
        <w:top w:val="none" w:sz="0" w:space="0" w:color="auto"/>
        <w:left w:val="none" w:sz="0" w:space="0" w:color="auto"/>
        <w:bottom w:val="none" w:sz="0" w:space="0" w:color="auto"/>
        <w:right w:val="none" w:sz="0" w:space="0" w:color="auto"/>
      </w:divBdr>
    </w:div>
    <w:div w:id="1766875520">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2025933059">
      <w:bodyDiv w:val="1"/>
      <w:marLeft w:val="0"/>
      <w:marRight w:val="0"/>
      <w:marTop w:val="0"/>
      <w:marBottom w:val="0"/>
      <w:divBdr>
        <w:top w:val="none" w:sz="0" w:space="0" w:color="auto"/>
        <w:left w:val="none" w:sz="0" w:space="0" w:color="auto"/>
        <w:bottom w:val="none" w:sz="0" w:space="0" w:color="auto"/>
        <w:right w:val="none" w:sz="0" w:space="0" w:color="auto"/>
      </w:divBdr>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7AAC-41BE-485A-9204-C9B0467B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14264</Words>
  <Characters>8131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2011.gada 1.februāra noteikumos Nr.109 "Kārtība, kādā atsavināma publiskas personas manta""</vt:lpstr>
    </vt:vector>
  </TitlesOfParts>
  <Company>FM</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1.februāra noteikumos Nr.109 "Kārtība, kādā atsavināma publiskas personas manta""</dc:title>
  <dc:subject>Sākotnējās ietekmes novērtējuma ziņojums (anotācija)</dc:subject>
  <dc:creator>Sabīne Ālmane</dc:creator>
  <dc:description>Finanšu ministrijas Juridiskā departamenta Iepirkumu politikas un valsts nekustamo īpašumu pārvaldīšanas politikas nodaļas juriskonsulte Sabīne Ālmane, sabine.almane@fm.gov.lv, tālr.67095597</dc:description>
  <cp:lastModifiedBy>Sabīne Ālmane</cp:lastModifiedBy>
  <cp:revision>45</cp:revision>
  <cp:lastPrinted>2016-03-11T08:13:00Z</cp:lastPrinted>
  <dcterms:created xsi:type="dcterms:W3CDTF">2016-04-18T09:11:00Z</dcterms:created>
  <dcterms:modified xsi:type="dcterms:W3CDTF">2016-05-30T11:37:00Z</dcterms:modified>
</cp:coreProperties>
</file>