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F2C9E" w14:textId="2BE438B2" w:rsidR="00616AA6" w:rsidRPr="00E803D6" w:rsidRDefault="00132DF0" w:rsidP="00E803D6">
      <w:pPr>
        <w:pStyle w:val="naisnod"/>
        <w:spacing w:before="0" w:after="0"/>
        <w:rPr>
          <w:b w:val="0"/>
          <w:sz w:val="28"/>
          <w:szCs w:val="28"/>
        </w:rPr>
      </w:pPr>
      <w:r>
        <w:rPr>
          <w:sz w:val="28"/>
          <w:szCs w:val="28"/>
        </w:rPr>
        <w:t xml:space="preserve">Ministru kabineta </w:t>
      </w:r>
      <w:r w:rsidR="00E803D6">
        <w:rPr>
          <w:sz w:val="28"/>
          <w:szCs w:val="28"/>
        </w:rPr>
        <w:t>noteikumu</w:t>
      </w:r>
      <w:r>
        <w:rPr>
          <w:sz w:val="28"/>
          <w:szCs w:val="28"/>
        </w:rPr>
        <w:t xml:space="preserve"> </w:t>
      </w:r>
      <w:r w:rsidRPr="00E803D6">
        <w:rPr>
          <w:sz w:val="28"/>
          <w:szCs w:val="28"/>
        </w:rPr>
        <w:t xml:space="preserve">projekta </w:t>
      </w:r>
      <w:r w:rsidR="00E803D6" w:rsidRPr="00E803D6">
        <w:rPr>
          <w:sz w:val="28"/>
          <w:szCs w:val="28"/>
        </w:rPr>
        <w:t>“Administratīvā pārkāpuma protokola veidlapu izgatavošanas un izmantošanas kārtība”</w:t>
      </w:r>
      <w:r w:rsidRPr="00E803D6">
        <w:rPr>
          <w:sz w:val="28"/>
          <w:szCs w:val="28"/>
        </w:rPr>
        <w:t xml:space="preserve"> </w:t>
      </w:r>
      <w:r w:rsidR="00616AA6" w:rsidRPr="00E803D6">
        <w:rPr>
          <w:sz w:val="28"/>
          <w:szCs w:val="28"/>
        </w:rPr>
        <w:t>sākotnējās ietekmes novērtējuma ziņojums</w:t>
      </w:r>
      <w:r w:rsidR="00CC496E" w:rsidRPr="00E803D6">
        <w:rPr>
          <w:sz w:val="28"/>
          <w:szCs w:val="28"/>
        </w:rPr>
        <w:t xml:space="preserve"> </w:t>
      </w:r>
      <w:r w:rsidR="00616AA6" w:rsidRPr="00E803D6">
        <w:rPr>
          <w:sz w:val="28"/>
          <w:szCs w:val="28"/>
        </w:rPr>
        <w:t>(anotācija)</w:t>
      </w:r>
    </w:p>
    <w:p w14:paraId="4E9F9811" w14:textId="77777777" w:rsidR="00616AA6" w:rsidRPr="00D65D1A" w:rsidRDefault="00616AA6" w:rsidP="00616AA6">
      <w:pPr>
        <w:pStyle w:val="BodyText"/>
        <w:rPr>
          <w:szCs w:val="28"/>
        </w:rPr>
      </w:pPr>
    </w:p>
    <w:tbl>
      <w:tblPr>
        <w:tblStyle w:val="TableGrid"/>
        <w:tblW w:w="8820" w:type="dxa"/>
        <w:tblLook w:val="04A0" w:firstRow="1" w:lastRow="0" w:firstColumn="1" w:lastColumn="0" w:noHBand="0" w:noVBand="1"/>
      </w:tblPr>
      <w:tblGrid>
        <w:gridCol w:w="426"/>
        <w:gridCol w:w="2601"/>
        <w:gridCol w:w="5793"/>
      </w:tblGrid>
      <w:tr w:rsidR="00616AA6" w:rsidRPr="00D65D1A" w14:paraId="30F37E3F" w14:textId="77777777" w:rsidTr="006C1397">
        <w:tc>
          <w:tcPr>
            <w:tcW w:w="8820" w:type="dxa"/>
            <w:gridSpan w:val="3"/>
          </w:tcPr>
          <w:p w14:paraId="5B99A8F4" w14:textId="77777777" w:rsidR="00616AA6" w:rsidRPr="00D65D1A" w:rsidRDefault="00616AA6" w:rsidP="00710EAA">
            <w:pPr>
              <w:pStyle w:val="BodyText"/>
              <w:spacing w:before="60" w:after="60"/>
              <w:rPr>
                <w:szCs w:val="28"/>
              </w:rPr>
            </w:pPr>
            <w:r w:rsidRPr="00D65D1A">
              <w:rPr>
                <w:szCs w:val="28"/>
              </w:rPr>
              <w:t>I. Tiesību akta projekta izstrādes nepieciešamība</w:t>
            </w:r>
          </w:p>
        </w:tc>
      </w:tr>
      <w:tr w:rsidR="00616AA6" w:rsidRPr="00D65D1A" w14:paraId="2FA85720" w14:textId="77777777" w:rsidTr="006C1397">
        <w:tc>
          <w:tcPr>
            <w:tcW w:w="426" w:type="dxa"/>
          </w:tcPr>
          <w:p w14:paraId="083EF60E" w14:textId="77777777" w:rsidR="00616AA6" w:rsidRPr="00D65D1A" w:rsidRDefault="00616AA6" w:rsidP="00710EAA">
            <w:pPr>
              <w:spacing w:before="60"/>
              <w:rPr>
                <w:sz w:val="28"/>
                <w:szCs w:val="28"/>
              </w:rPr>
            </w:pPr>
            <w:r w:rsidRPr="00D65D1A">
              <w:rPr>
                <w:sz w:val="28"/>
                <w:szCs w:val="28"/>
              </w:rPr>
              <w:t>1.</w:t>
            </w:r>
          </w:p>
        </w:tc>
        <w:tc>
          <w:tcPr>
            <w:tcW w:w="2601" w:type="dxa"/>
          </w:tcPr>
          <w:p w14:paraId="72722F48" w14:textId="77777777" w:rsidR="00616AA6" w:rsidRPr="00D65D1A" w:rsidRDefault="00616AA6" w:rsidP="00710EAA">
            <w:pPr>
              <w:spacing w:before="60"/>
              <w:rPr>
                <w:sz w:val="28"/>
                <w:szCs w:val="28"/>
              </w:rPr>
            </w:pPr>
            <w:r w:rsidRPr="00D65D1A">
              <w:rPr>
                <w:sz w:val="28"/>
                <w:szCs w:val="28"/>
              </w:rPr>
              <w:t>Pamatojums</w:t>
            </w:r>
          </w:p>
        </w:tc>
        <w:tc>
          <w:tcPr>
            <w:tcW w:w="5793" w:type="dxa"/>
          </w:tcPr>
          <w:p w14:paraId="0BB814FB" w14:textId="77777777" w:rsidR="004A5D9B" w:rsidRDefault="00057968" w:rsidP="008B0B29">
            <w:pPr>
              <w:jc w:val="both"/>
            </w:pPr>
            <w:r w:rsidRPr="00D65D1A">
              <w:rPr>
                <w:sz w:val="28"/>
                <w:szCs w:val="28"/>
              </w:rPr>
              <w:t xml:space="preserve">Ministru kabineta </w:t>
            </w:r>
            <w:r w:rsidR="00AB5B45">
              <w:rPr>
                <w:sz w:val="28"/>
                <w:szCs w:val="28"/>
              </w:rPr>
              <w:t>noteikumu</w:t>
            </w:r>
            <w:r w:rsidR="00132DF0">
              <w:rPr>
                <w:sz w:val="28"/>
                <w:szCs w:val="28"/>
              </w:rPr>
              <w:t xml:space="preserve"> </w:t>
            </w:r>
            <w:r w:rsidR="00736938" w:rsidRPr="00D65D1A">
              <w:rPr>
                <w:sz w:val="28"/>
                <w:szCs w:val="28"/>
              </w:rPr>
              <w:t xml:space="preserve">projekts </w:t>
            </w:r>
            <w:r w:rsidR="00871B81" w:rsidRPr="00871B81">
              <w:rPr>
                <w:sz w:val="28"/>
                <w:szCs w:val="28"/>
              </w:rPr>
              <w:t>“</w:t>
            </w:r>
            <w:r w:rsidR="00AB5B45">
              <w:rPr>
                <w:sz w:val="28"/>
                <w:szCs w:val="28"/>
              </w:rPr>
              <w:t>Administratīvā pārkāpuma protokola veidlapu izgatavošanas un izmantošanas kārtība”</w:t>
            </w:r>
            <w:r w:rsidR="00871B81" w:rsidRPr="00D65D1A">
              <w:rPr>
                <w:sz w:val="28"/>
                <w:szCs w:val="28"/>
              </w:rPr>
              <w:t xml:space="preserve"> </w:t>
            </w:r>
            <w:r w:rsidR="00736938" w:rsidRPr="00D65D1A">
              <w:rPr>
                <w:sz w:val="28"/>
                <w:szCs w:val="28"/>
              </w:rPr>
              <w:t>(turpmāk –</w:t>
            </w:r>
            <w:r w:rsidR="004B7687">
              <w:rPr>
                <w:sz w:val="28"/>
                <w:szCs w:val="28"/>
              </w:rPr>
              <w:t xml:space="preserve"> </w:t>
            </w:r>
            <w:r w:rsidRPr="00D65D1A">
              <w:rPr>
                <w:sz w:val="28"/>
                <w:szCs w:val="28"/>
              </w:rPr>
              <w:t>projekts</w:t>
            </w:r>
            <w:r w:rsidR="00736938" w:rsidRPr="00D65D1A">
              <w:rPr>
                <w:sz w:val="28"/>
                <w:szCs w:val="28"/>
              </w:rPr>
              <w:t>)</w:t>
            </w:r>
            <w:r w:rsidR="0070343E" w:rsidRPr="00D65D1A">
              <w:rPr>
                <w:sz w:val="28"/>
                <w:szCs w:val="28"/>
                <w:lang w:eastAsia="lv-LV"/>
              </w:rPr>
              <w:t xml:space="preserve"> izstrādāt</w:t>
            </w:r>
            <w:r w:rsidR="0070343E" w:rsidRPr="00D65D1A">
              <w:rPr>
                <w:sz w:val="28"/>
                <w:szCs w:val="28"/>
              </w:rPr>
              <w:t>s</w:t>
            </w:r>
            <w:r w:rsidR="008C2B20">
              <w:rPr>
                <w:sz w:val="28"/>
                <w:szCs w:val="28"/>
              </w:rPr>
              <w:t xml:space="preserve">, ievērojot </w:t>
            </w:r>
            <w:r w:rsidR="008C2B20" w:rsidRPr="008C2B20">
              <w:rPr>
                <w:sz w:val="28"/>
                <w:szCs w:val="28"/>
              </w:rPr>
              <w:t>Ministru kabineta 2015.gada 27.</w:t>
            </w:r>
            <w:r w:rsidR="0073199E">
              <w:rPr>
                <w:sz w:val="28"/>
                <w:szCs w:val="28"/>
              </w:rPr>
              <w:t>janvāra</w:t>
            </w:r>
            <w:r w:rsidR="008C2B20" w:rsidRPr="008C2B20">
              <w:rPr>
                <w:sz w:val="28"/>
                <w:szCs w:val="28"/>
              </w:rPr>
              <w:t xml:space="preserve"> sēdē</w:t>
            </w:r>
            <w:r w:rsidR="0073199E">
              <w:rPr>
                <w:sz w:val="28"/>
                <w:szCs w:val="28"/>
              </w:rPr>
              <w:t xml:space="preserve"> (prot. Nr.5, 75</w:t>
            </w:r>
            <w:r w:rsidR="008C2B20" w:rsidRPr="008C2B20">
              <w:rPr>
                <w:sz w:val="28"/>
                <w:szCs w:val="28"/>
              </w:rPr>
              <w:t xml:space="preserve">.§ “Informatīvais ziņojums “Par </w:t>
            </w:r>
            <w:r w:rsidR="0073199E">
              <w:rPr>
                <w:sz w:val="28"/>
                <w:szCs w:val="28"/>
              </w:rPr>
              <w:t>naudas sodu un alkohola koncentrācijas, narkoti</w:t>
            </w:r>
            <w:r w:rsidR="003A013D">
              <w:rPr>
                <w:sz w:val="28"/>
                <w:szCs w:val="28"/>
              </w:rPr>
              <w:t>s</w:t>
            </w:r>
            <w:r w:rsidR="0073199E">
              <w:rPr>
                <w:sz w:val="28"/>
                <w:szCs w:val="28"/>
              </w:rPr>
              <w:t>ko vai citu apreibinošo vielu ietekmes pārbaužu izdevumu maksājumu identifikācijas pilnveidošana</w:t>
            </w:r>
            <w:r w:rsidR="008C2B20" w:rsidRPr="008C2B20">
              <w:rPr>
                <w:sz w:val="28"/>
                <w:szCs w:val="28"/>
              </w:rPr>
              <w:t>”,</w:t>
            </w:r>
            <w:r w:rsidR="00263764">
              <w:rPr>
                <w:sz w:val="28"/>
                <w:szCs w:val="28"/>
              </w:rPr>
              <w:t xml:space="preserve"> </w:t>
            </w:r>
            <w:r w:rsidR="0073199E">
              <w:rPr>
                <w:sz w:val="28"/>
                <w:szCs w:val="28"/>
              </w:rPr>
              <w:t>2</w:t>
            </w:r>
            <w:r w:rsidR="008C2B20" w:rsidRPr="008C2B20">
              <w:rPr>
                <w:sz w:val="28"/>
                <w:szCs w:val="28"/>
              </w:rPr>
              <w:t>.</w:t>
            </w:r>
            <w:r w:rsidR="00092B05">
              <w:rPr>
                <w:sz w:val="28"/>
                <w:szCs w:val="28"/>
              </w:rPr>
              <w:t>1. un 2.2.apakš</w:t>
            </w:r>
            <w:r w:rsidR="008C2B20" w:rsidRPr="008C2B20">
              <w:rPr>
                <w:sz w:val="28"/>
                <w:szCs w:val="28"/>
              </w:rPr>
              <w:t>punkts) pieņemtos lēmumu</w:t>
            </w:r>
            <w:r w:rsidR="008C2B20">
              <w:rPr>
                <w:sz w:val="28"/>
                <w:szCs w:val="28"/>
              </w:rPr>
              <w:t>s</w:t>
            </w:r>
            <w:r w:rsidR="008C2B20" w:rsidRPr="008C2B20">
              <w:rPr>
                <w:sz w:val="28"/>
                <w:szCs w:val="28"/>
              </w:rPr>
              <w:t xml:space="preserve"> par </w:t>
            </w:r>
            <w:r w:rsidR="0073199E">
              <w:rPr>
                <w:sz w:val="28"/>
                <w:szCs w:val="28"/>
              </w:rPr>
              <w:t>grozījumu normatīvajos aktos izstrādi, nosakot vienotu un standartizētu administratīvo pārkāpumu protokolu numuru piešķiršanas kārtību</w:t>
            </w:r>
            <w:r w:rsidR="00617913">
              <w:rPr>
                <w:sz w:val="28"/>
                <w:szCs w:val="28"/>
              </w:rPr>
              <w:t xml:space="preserve"> un administratīvo pārkāpumu lietās izmantojamo dokumentu veidlapās obligāti iekļaujamos naudas soda un pienākuma atlīdzināt alkohola koncentrācijas, narkotisko vai citu apreibinošo vielu ietekmes pārbaužu izdevumu maksājuma rekvizītus, tajos obligāti norādāmo informāciju un samaksas veidus</w:t>
            </w:r>
            <w:r w:rsidR="008C2B20" w:rsidRPr="008C2B20">
              <w:rPr>
                <w:sz w:val="28"/>
                <w:szCs w:val="28"/>
              </w:rPr>
              <w:t>.</w:t>
            </w:r>
            <w:r w:rsidR="008C2B20" w:rsidRPr="00A41F6C">
              <w:t xml:space="preserve"> </w:t>
            </w:r>
          </w:p>
          <w:p w14:paraId="7A28AC3C" w14:textId="77777777" w:rsidR="004A5D9B" w:rsidRDefault="006E0523" w:rsidP="008B0B29">
            <w:pPr>
              <w:jc w:val="both"/>
              <w:rPr>
                <w:color w:val="000000"/>
                <w:sz w:val="28"/>
                <w:szCs w:val="28"/>
              </w:rPr>
            </w:pPr>
            <w:r>
              <w:rPr>
                <w:color w:val="000000"/>
                <w:sz w:val="28"/>
                <w:szCs w:val="28"/>
              </w:rPr>
              <w:t xml:space="preserve">Saeimā 2016.gada 18.februārī tika pieņemti grozījumi Latvijas Administratīvo pārkāpumu kodeksā, kuri stājās spēkā 2016.gada 23.martā. Saskaņā ar Latvijas Administratīvo pārkāpumu kodeksa Pārejas noteikumu 30.punktu ar 2016.gada 1.septembri no Latvijas Administratīvo pārkāpumu kodeksa ir izslēgts administratīvo pārkāpumu naudas soda </w:t>
            </w:r>
            <w:proofErr w:type="spellStart"/>
            <w:r>
              <w:rPr>
                <w:color w:val="000000"/>
                <w:sz w:val="28"/>
                <w:szCs w:val="28"/>
              </w:rPr>
              <w:t>kvīšu</w:t>
            </w:r>
            <w:proofErr w:type="spellEnd"/>
            <w:r>
              <w:rPr>
                <w:color w:val="000000"/>
                <w:sz w:val="28"/>
                <w:szCs w:val="28"/>
              </w:rPr>
              <w:t xml:space="preserve"> institūts.</w:t>
            </w:r>
          </w:p>
          <w:p w14:paraId="218CBFD7" w14:textId="2E137740" w:rsidR="00493B47" w:rsidRPr="004A5D9B" w:rsidRDefault="00493B47" w:rsidP="008B0B29">
            <w:pPr>
              <w:jc w:val="both"/>
            </w:pPr>
            <w:r>
              <w:rPr>
                <w:color w:val="000000"/>
                <w:sz w:val="28"/>
                <w:szCs w:val="28"/>
              </w:rPr>
              <w:t>Saskaņā ar Latvijas Administratīvo pārkāpumu kodeksa 276.</w:t>
            </w:r>
            <w:r w:rsidRPr="00493B47">
              <w:rPr>
                <w:color w:val="000000"/>
                <w:sz w:val="28"/>
                <w:szCs w:val="28"/>
                <w:vertAlign w:val="superscript"/>
              </w:rPr>
              <w:t>1</w:t>
            </w:r>
            <w:r>
              <w:rPr>
                <w:color w:val="000000"/>
                <w:sz w:val="28"/>
                <w:szCs w:val="28"/>
              </w:rPr>
              <w:t>pantu ar 2016.gada 1.septembri, administratīvā pārkāpuma protokola lēmuma daļā norādāma informācija arī par nosacītu daļēju atbrīvošanu no naudas soda samaksas.</w:t>
            </w:r>
          </w:p>
        </w:tc>
      </w:tr>
      <w:tr w:rsidR="00616AA6" w:rsidRPr="00D108AA" w14:paraId="5FCB99D7" w14:textId="77777777" w:rsidTr="006C1397">
        <w:tc>
          <w:tcPr>
            <w:tcW w:w="426" w:type="dxa"/>
          </w:tcPr>
          <w:p w14:paraId="68232D0E" w14:textId="70037335" w:rsidR="00616AA6" w:rsidRPr="00D65D1A" w:rsidRDefault="00616AA6" w:rsidP="00710EAA">
            <w:pPr>
              <w:spacing w:before="60" w:line="720" w:lineRule="auto"/>
              <w:rPr>
                <w:sz w:val="28"/>
                <w:szCs w:val="28"/>
              </w:rPr>
            </w:pPr>
            <w:r w:rsidRPr="00D65D1A">
              <w:rPr>
                <w:sz w:val="28"/>
                <w:szCs w:val="28"/>
              </w:rPr>
              <w:t>2.</w:t>
            </w:r>
          </w:p>
        </w:tc>
        <w:tc>
          <w:tcPr>
            <w:tcW w:w="2601" w:type="dxa"/>
          </w:tcPr>
          <w:p w14:paraId="28846866" w14:textId="2871626F" w:rsidR="00B45BD7" w:rsidRDefault="00616AA6" w:rsidP="00710EAA">
            <w:pPr>
              <w:spacing w:before="60"/>
              <w:rPr>
                <w:sz w:val="28"/>
                <w:szCs w:val="28"/>
              </w:rPr>
            </w:pPr>
            <w:r w:rsidRPr="00D65D1A">
              <w:rPr>
                <w:sz w:val="28"/>
                <w:szCs w:val="28"/>
              </w:rPr>
              <w:t>Pašreizējā situācija un problēmas</w:t>
            </w:r>
            <w:r w:rsidR="000F2F91" w:rsidRPr="00D65D1A">
              <w:rPr>
                <w:sz w:val="28"/>
                <w:szCs w:val="28"/>
              </w:rPr>
              <w:t xml:space="preserve">, kuru risināšanai tiesību </w:t>
            </w:r>
            <w:r w:rsidR="000F2F91" w:rsidRPr="00D65D1A">
              <w:rPr>
                <w:sz w:val="28"/>
                <w:szCs w:val="28"/>
              </w:rPr>
              <w:lastRenderedPageBreak/>
              <w:t>akta projekts izstrādāts, tiesiskā regulējuma mērķis un būtība</w:t>
            </w:r>
          </w:p>
          <w:p w14:paraId="4BBB51CD" w14:textId="77777777" w:rsidR="00B45BD7" w:rsidRPr="00B45BD7" w:rsidRDefault="00B45BD7" w:rsidP="00B45BD7">
            <w:pPr>
              <w:rPr>
                <w:sz w:val="28"/>
                <w:szCs w:val="28"/>
              </w:rPr>
            </w:pPr>
          </w:p>
          <w:p w14:paraId="205EBE69" w14:textId="77777777" w:rsidR="00B45BD7" w:rsidRPr="00B45BD7" w:rsidRDefault="00B45BD7" w:rsidP="00B45BD7">
            <w:pPr>
              <w:rPr>
                <w:sz w:val="28"/>
                <w:szCs w:val="28"/>
              </w:rPr>
            </w:pPr>
          </w:p>
          <w:p w14:paraId="4E93044A" w14:textId="77777777" w:rsidR="00B45BD7" w:rsidRPr="00B45BD7" w:rsidRDefault="00B45BD7" w:rsidP="00B45BD7">
            <w:pPr>
              <w:rPr>
                <w:sz w:val="28"/>
                <w:szCs w:val="28"/>
              </w:rPr>
            </w:pPr>
          </w:p>
          <w:p w14:paraId="3B8034FA" w14:textId="77777777" w:rsidR="00B45BD7" w:rsidRPr="00B45BD7" w:rsidRDefault="00B45BD7" w:rsidP="00B45BD7">
            <w:pPr>
              <w:rPr>
                <w:sz w:val="28"/>
                <w:szCs w:val="28"/>
              </w:rPr>
            </w:pPr>
          </w:p>
          <w:p w14:paraId="1F6DFCA7" w14:textId="77777777" w:rsidR="00B45BD7" w:rsidRPr="00B45BD7" w:rsidRDefault="00B45BD7" w:rsidP="00B45BD7">
            <w:pPr>
              <w:rPr>
                <w:sz w:val="28"/>
                <w:szCs w:val="28"/>
              </w:rPr>
            </w:pPr>
          </w:p>
          <w:p w14:paraId="79AC5E5D" w14:textId="77777777" w:rsidR="00B45BD7" w:rsidRPr="00B45BD7" w:rsidRDefault="00B45BD7" w:rsidP="00B45BD7">
            <w:pPr>
              <w:rPr>
                <w:sz w:val="28"/>
                <w:szCs w:val="28"/>
              </w:rPr>
            </w:pPr>
          </w:p>
          <w:p w14:paraId="5E28E88E" w14:textId="77777777" w:rsidR="00B45BD7" w:rsidRPr="00B45BD7" w:rsidRDefault="00B45BD7" w:rsidP="00B45BD7">
            <w:pPr>
              <w:rPr>
                <w:sz w:val="28"/>
                <w:szCs w:val="28"/>
              </w:rPr>
            </w:pPr>
          </w:p>
          <w:p w14:paraId="20DA0F59" w14:textId="64AD0F18" w:rsidR="00616AA6" w:rsidRPr="00B45BD7" w:rsidRDefault="00616AA6" w:rsidP="00B45BD7">
            <w:pPr>
              <w:rPr>
                <w:sz w:val="28"/>
                <w:szCs w:val="28"/>
              </w:rPr>
            </w:pPr>
          </w:p>
        </w:tc>
        <w:tc>
          <w:tcPr>
            <w:tcW w:w="5793" w:type="dxa"/>
          </w:tcPr>
          <w:p w14:paraId="7E5D724F" w14:textId="59CFD04F" w:rsidR="00D10854" w:rsidRPr="00E85DA0" w:rsidRDefault="00D10854" w:rsidP="007A4953">
            <w:pPr>
              <w:jc w:val="both"/>
              <w:rPr>
                <w:sz w:val="28"/>
                <w:szCs w:val="28"/>
              </w:rPr>
            </w:pPr>
            <w:r w:rsidRPr="00471DF8">
              <w:rPr>
                <w:sz w:val="28"/>
                <w:szCs w:val="28"/>
              </w:rPr>
              <w:lastRenderedPageBreak/>
              <w:t xml:space="preserve">Saskaņā ar Sodu reģistra likumu, ziņas par personām piemērotajiem naudas sodiem, alkohola koncentrācijas, narkotisko vai citu apreibinošo vielu ietekmes pārbaužu izdevumiem (turpmāk – </w:t>
            </w:r>
            <w:r w:rsidRPr="00471DF8">
              <w:rPr>
                <w:sz w:val="28"/>
                <w:szCs w:val="28"/>
              </w:rPr>
              <w:lastRenderedPageBreak/>
              <w:t xml:space="preserve">ekspertīžu izdevumi), kā arī par šo izdevumu apmaksu tiek iekļautas vienotajā uzskaitē </w:t>
            </w:r>
            <w:r w:rsidR="00A740F4">
              <w:rPr>
                <w:sz w:val="28"/>
                <w:szCs w:val="28"/>
              </w:rPr>
              <w:t>valsts informācijas sistēmā “</w:t>
            </w:r>
            <w:r w:rsidRPr="00471DF8">
              <w:rPr>
                <w:sz w:val="28"/>
                <w:szCs w:val="28"/>
              </w:rPr>
              <w:t>Sodu reģistr</w:t>
            </w:r>
            <w:r w:rsidR="00A740F4">
              <w:rPr>
                <w:sz w:val="28"/>
                <w:szCs w:val="28"/>
              </w:rPr>
              <w:t>s” (turpmāk – Sodu reģistrs)</w:t>
            </w:r>
            <w:r w:rsidRPr="00471DF8">
              <w:rPr>
                <w:sz w:val="28"/>
                <w:szCs w:val="28"/>
              </w:rPr>
              <w:t xml:space="preserve">, kura pārzinis un turētājs ir </w:t>
            </w:r>
            <w:proofErr w:type="spellStart"/>
            <w:r w:rsidRPr="00471DF8">
              <w:rPr>
                <w:sz w:val="28"/>
                <w:szCs w:val="28"/>
              </w:rPr>
              <w:t>Iekšlietu</w:t>
            </w:r>
            <w:proofErr w:type="spellEnd"/>
            <w:r w:rsidRPr="00471DF8">
              <w:rPr>
                <w:sz w:val="28"/>
                <w:szCs w:val="28"/>
              </w:rPr>
              <w:t xml:space="preserve"> ministrijas Informācijas centrs.</w:t>
            </w:r>
            <w:r>
              <w:rPr>
                <w:sz w:val="28"/>
                <w:szCs w:val="28"/>
              </w:rPr>
              <w:t xml:space="preserve"> </w:t>
            </w:r>
            <w:r w:rsidRPr="00E85DA0">
              <w:rPr>
                <w:sz w:val="28"/>
                <w:szCs w:val="28"/>
              </w:rPr>
              <w:t>Ziņas par naudas sodu, ko uzliek Valsts policija par pārkāpumu ceļu satiksmē, kas fiksēts ar tehniskajiem līdzekļiem (</w:t>
            </w:r>
            <w:proofErr w:type="spellStart"/>
            <w:r w:rsidRPr="00E85DA0">
              <w:rPr>
                <w:sz w:val="28"/>
                <w:szCs w:val="28"/>
              </w:rPr>
              <w:t>fotoradariem</w:t>
            </w:r>
            <w:proofErr w:type="spellEnd"/>
            <w:r w:rsidRPr="00E85DA0">
              <w:rPr>
                <w:sz w:val="28"/>
                <w:szCs w:val="28"/>
              </w:rPr>
              <w:t>), netiek iekļautas Sodu reģistrā. Šīs ziņas administrē valsts akciju sabiedrība „Ceļu satiksmes drošības direkcija” (turpmāk – Ceļu satiksmes drošības direkcija).</w:t>
            </w:r>
          </w:p>
          <w:p w14:paraId="61F7476B" w14:textId="66D78D9D" w:rsidR="00D10854" w:rsidRPr="00471DF8" w:rsidRDefault="00D10854" w:rsidP="00D10854">
            <w:pPr>
              <w:ind w:firstLine="720"/>
              <w:jc w:val="both"/>
              <w:rPr>
                <w:i/>
                <w:sz w:val="28"/>
                <w:szCs w:val="28"/>
              </w:rPr>
            </w:pPr>
            <w:r w:rsidRPr="00471DF8">
              <w:rPr>
                <w:sz w:val="28"/>
                <w:szCs w:val="28"/>
              </w:rPr>
              <w:t>Saskaņā ar Latvijas Administratīvo pārkāpumu kodeksa</w:t>
            </w:r>
            <w:r>
              <w:rPr>
                <w:sz w:val="28"/>
                <w:szCs w:val="28"/>
              </w:rPr>
              <w:t xml:space="preserve">  (turpmāk – kodekss) </w:t>
            </w:r>
            <w:r w:rsidRPr="00471DF8">
              <w:rPr>
                <w:sz w:val="28"/>
                <w:szCs w:val="28"/>
              </w:rPr>
              <w:t>297.panta otr</w:t>
            </w:r>
            <w:r>
              <w:rPr>
                <w:sz w:val="28"/>
                <w:szCs w:val="28"/>
              </w:rPr>
              <w:t>o</w:t>
            </w:r>
            <w:r w:rsidRPr="00471DF8">
              <w:rPr>
                <w:sz w:val="28"/>
                <w:szCs w:val="28"/>
              </w:rPr>
              <w:t xml:space="preserve"> daļu, lēmuma par administratīvā soda uzlikšanu pareizu un savlaicīgu izpildi kontrolē iestāde, kura pieņēmusi sākotnējo lēmumu. </w:t>
            </w:r>
            <w:r>
              <w:rPr>
                <w:sz w:val="28"/>
                <w:szCs w:val="28"/>
              </w:rPr>
              <w:t>Viens no veidiem</w:t>
            </w:r>
            <w:r w:rsidRPr="00471DF8">
              <w:rPr>
                <w:sz w:val="28"/>
                <w:szCs w:val="28"/>
              </w:rPr>
              <w:t xml:space="preserve"> kā </w:t>
            </w:r>
            <w:r>
              <w:rPr>
                <w:sz w:val="28"/>
                <w:szCs w:val="28"/>
              </w:rPr>
              <w:t xml:space="preserve">valsts budžeta </w:t>
            </w:r>
            <w:r w:rsidRPr="00471DF8">
              <w:rPr>
                <w:sz w:val="28"/>
                <w:szCs w:val="28"/>
              </w:rPr>
              <w:t xml:space="preserve">iestāde var kontrolēt naudas sodu nomaksu, ir pārbaudīt ienākošos maksājumus </w:t>
            </w:r>
            <w:r w:rsidRPr="00E85DA0">
              <w:rPr>
                <w:sz w:val="28"/>
                <w:szCs w:val="28"/>
              </w:rPr>
              <w:t>naudas sodu</w:t>
            </w:r>
            <w:r w:rsidRPr="00471DF8">
              <w:rPr>
                <w:sz w:val="28"/>
                <w:szCs w:val="28"/>
              </w:rPr>
              <w:t xml:space="preserve"> kontā izmantojot budžeta</w:t>
            </w:r>
            <w:r w:rsidR="00F00610">
              <w:rPr>
                <w:sz w:val="28"/>
                <w:szCs w:val="28"/>
              </w:rPr>
              <w:t xml:space="preserve"> elektronisko norēķinu sistēmu “</w:t>
            </w:r>
            <w:proofErr w:type="spellStart"/>
            <w:r w:rsidR="00F00610">
              <w:rPr>
                <w:sz w:val="28"/>
                <w:szCs w:val="28"/>
              </w:rPr>
              <w:t>eKase</w:t>
            </w:r>
            <w:proofErr w:type="spellEnd"/>
            <w:r w:rsidR="00F00610">
              <w:rPr>
                <w:sz w:val="28"/>
                <w:szCs w:val="28"/>
              </w:rPr>
              <w:t>”</w:t>
            </w:r>
            <w:r w:rsidRPr="00471DF8">
              <w:rPr>
                <w:sz w:val="28"/>
                <w:szCs w:val="28"/>
              </w:rPr>
              <w:t xml:space="preserve"> (turpmāk – </w:t>
            </w:r>
            <w:proofErr w:type="spellStart"/>
            <w:r w:rsidRPr="00471DF8">
              <w:rPr>
                <w:sz w:val="28"/>
                <w:szCs w:val="28"/>
              </w:rPr>
              <w:t>eKase</w:t>
            </w:r>
            <w:proofErr w:type="spellEnd"/>
            <w:r w:rsidRPr="00471DF8">
              <w:rPr>
                <w:sz w:val="28"/>
                <w:szCs w:val="28"/>
              </w:rPr>
              <w:t xml:space="preserve">), kuras darbību organizē un </w:t>
            </w:r>
            <w:r w:rsidRPr="00E85DA0">
              <w:rPr>
                <w:sz w:val="28"/>
                <w:szCs w:val="28"/>
              </w:rPr>
              <w:t xml:space="preserve">nodrošina </w:t>
            </w:r>
            <w:r w:rsidRPr="00471DF8">
              <w:rPr>
                <w:sz w:val="28"/>
                <w:szCs w:val="28"/>
              </w:rPr>
              <w:t xml:space="preserve">Valsts kase. </w:t>
            </w:r>
            <w:r>
              <w:rPr>
                <w:sz w:val="28"/>
                <w:szCs w:val="28"/>
              </w:rPr>
              <w:t xml:space="preserve">Otra iespēja ir izmantot šim mērķim Sodu reģistru. Abos iepriekš minētajos </w:t>
            </w:r>
            <w:r w:rsidRPr="00471DF8">
              <w:rPr>
                <w:sz w:val="28"/>
                <w:szCs w:val="28"/>
              </w:rPr>
              <w:t xml:space="preserve">gadījumos </w:t>
            </w:r>
            <w:r>
              <w:rPr>
                <w:sz w:val="28"/>
                <w:szCs w:val="28"/>
              </w:rPr>
              <w:t xml:space="preserve">gan </w:t>
            </w:r>
            <w:r w:rsidRPr="00471DF8">
              <w:rPr>
                <w:sz w:val="28"/>
                <w:szCs w:val="28"/>
              </w:rPr>
              <w:t>iestādei</w:t>
            </w:r>
            <w:r>
              <w:rPr>
                <w:sz w:val="28"/>
                <w:szCs w:val="28"/>
              </w:rPr>
              <w:t xml:space="preserve">, gan </w:t>
            </w:r>
            <w:proofErr w:type="spellStart"/>
            <w:r w:rsidR="00300948">
              <w:rPr>
                <w:sz w:val="28"/>
                <w:szCs w:val="28"/>
              </w:rPr>
              <w:t>Iekšlietu</w:t>
            </w:r>
            <w:proofErr w:type="spellEnd"/>
            <w:r w:rsidR="00300948">
              <w:rPr>
                <w:sz w:val="28"/>
                <w:szCs w:val="28"/>
              </w:rPr>
              <w:t xml:space="preserve"> ministrijas Informācijas centram</w:t>
            </w:r>
            <w:r w:rsidRPr="00471DF8">
              <w:rPr>
                <w:sz w:val="28"/>
                <w:szCs w:val="28"/>
              </w:rPr>
              <w:t>, lai pilnvērtīgi īstenotu lēmumu izpildes kontroli un identificētu maksājumus, nepieciešam</w:t>
            </w:r>
            <w:r>
              <w:rPr>
                <w:sz w:val="28"/>
                <w:szCs w:val="28"/>
              </w:rPr>
              <w:t xml:space="preserve">a tieša </w:t>
            </w:r>
            <w:r w:rsidRPr="00471DF8">
              <w:rPr>
                <w:sz w:val="28"/>
                <w:szCs w:val="28"/>
              </w:rPr>
              <w:t>cilvēkresursu</w:t>
            </w:r>
            <w:r>
              <w:rPr>
                <w:sz w:val="28"/>
                <w:szCs w:val="28"/>
              </w:rPr>
              <w:t xml:space="preserve"> iesaiste, jo ne visus maksājumus ir iespējams automātiski atpazīt un sasaistīt ar atbilstošo administratīvo </w:t>
            </w:r>
            <w:r w:rsidRPr="00471DF8">
              <w:rPr>
                <w:sz w:val="28"/>
                <w:szCs w:val="28"/>
              </w:rPr>
              <w:t>pārkāpuma</w:t>
            </w:r>
            <w:r>
              <w:rPr>
                <w:sz w:val="28"/>
                <w:szCs w:val="28"/>
              </w:rPr>
              <w:t xml:space="preserve"> protokolu (turpmāk – protokols)</w:t>
            </w:r>
            <w:r w:rsidRPr="00471DF8">
              <w:rPr>
                <w:sz w:val="28"/>
                <w:szCs w:val="28"/>
              </w:rPr>
              <w:t xml:space="preserve">. </w:t>
            </w:r>
          </w:p>
          <w:p w14:paraId="667BC47C" w14:textId="76884F2D" w:rsidR="00D10854" w:rsidRDefault="00D10854" w:rsidP="00D10854">
            <w:pPr>
              <w:ind w:firstLine="720"/>
              <w:jc w:val="both"/>
              <w:rPr>
                <w:sz w:val="28"/>
                <w:szCs w:val="28"/>
              </w:rPr>
            </w:pPr>
            <w:r w:rsidRPr="00471DF8">
              <w:rPr>
                <w:sz w:val="28"/>
                <w:szCs w:val="28"/>
              </w:rPr>
              <w:t>Lai atvieglotu naudas sodu un alkohola koncentrācijas, narkotisko vai citu apreibinošo vielu ietekmes pārbaužu maksājumu (turpmāk – maksājumi</w:t>
            </w:r>
            <w:r>
              <w:rPr>
                <w:sz w:val="28"/>
                <w:szCs w:val="28"/>
              </w:rPr>
              <w:t>)</w:t>
            </w:r>
            <w:r w:rsidRPr="00350413">
              <w:rPr>
                <w:sz w:val="28"/>
                <w:szCs w:val="28"/>
              </w:rPr>
              <w:t xml:space="preserve"> </w:t>
            </w:r>
            <w:r w:rsidRPr="00471DF8">
              <w:rPr>
                <w:sz w:val="28"/>
                <w:szCs w:val="28"/>
              </w:rPr>
              <w:t xml:space="preserve">kontroli, un saskaņā ar Ministru kabineta 2012.gada 5.jūnija noteikumiem Nr.386 „Kārtība, kādā Valsts kase nodrošina elektronisko informācijas apmaiņu”, </w:t>
            </w:r>
            <w:proofErr w:type="spellStart"/>
            <w:r w:rsidR="00300948">
              <w:rPr>
                <w:sz w:val="28"/>
                <w:szCs w:val="28"/>
              </w:rPr>
              <w:t>Iekšlietu</w:t>
            </w:r>
            <w:proofErr w:type="spellEnd"/>
            <w:r w:rsidR="00300948">
              <w:rPr>
                <w:sz w:val="28"/>
                <w:szCs w:val="28"/>
              </w:rPr>
              <w:t xml:space="preserve"> ministrijas Informācijas centrs</w:t>
            </w:r>
            <w:r w:rsidR="00300948" w:rsidRPr="00471DF8">
              <w:rPr>
                <w:sz w:val="28"/>
                <w:szCs w:val="28"/>
              </w:rPr>
              <w:t xml:space="preserve"> </w:t>
            </w:r>
            <w:r w:rsidRPr="00471DF8">
              <w:rPr>
                <w:sz w:val="28"/>
                <w:szCs w:val="28"/>
              </w:rPr>
              <w:t xml:space="preserve">no Valsts kases saņem informāciju par </w:t>
            </w:r>
            <w:r>
              <w:rPr>
                <w:sz w:val="28"/>
                <w:szCs w:val="28"/>
              </w:rPr>
              <w:t xml:space="preserve">valsts budžeta kontos ienākošajiem </w:t>
            </w:r>
            <w:r w:rsidRPr="00471DF8">
              <w:rPr>
                <w:sz w:val="28"/>
                <w:szCs w:val="28"/>
              </w:rPr>
              <w:t>maksājumiem</w:t>
            </w:r>
            <w:r>
              <w:rPr>
                <w:sz w:val="28"/>
                <w:szCs w:val="28"/>
              </w:rPr>
              <w:t xml:space="preserve"> un iekļauj to Sodu reģistrā</w:t>
            </w:r>
            <w:r w:rsidRPr="00471DF8">
              <w:rPr>
                <w:sz w:val="28"/>
                <w:szCs w:val="28"/>
              </w:rPr>
              <w:t xml:space="preserve">, izmantojot </w:t>
            </w:r>
            <w:proofErr w:type="spellStart"/>
            <w:r w:rsidRPr="00471DF8">
              <w:rPr>
                <w:sz w:val="28"/>
                <w:szCs w:val="28"/>
              </w:rPr>
              <w:t>eKases</w:t>
            </w:r>
            <w:proofErr w:type="spellEnd"/>
            <w:r w:rsidRPr="00471DF8">
              <w:rPr>
                <w:sz w:val="28"/>
                <w:szCs w:val="28"/>
              </w:rPr>
              <w:t xml:space="preserve"> tiešsaistes datu </w:t>
            </w:r>
            <w:r w:rsidRPr="00471DF8">
              <w:rPr>
                <w:sz w:val="28"/>
                <w:szCs w:val="28"/>
              </w:rPr>
              <w:lastRenderedPageBreak/>
              <w:t xml:space="preserve">apmaiņas moduli. Ikdienā apstrādājot no Valsts kases saņemtos maksājumus, </w:t>
            </w:r>
            <w:proofErr w:type="spellStart"/>
            <w:r w:rsidR="00300948">
              <w:rPr>
                <w:sz w:val="28"/>
                <w:szCs w:val="28"/>
              </w:rPr>
              <w:t>Iekšlietu</w:t>
            </w:r>
            <w:proofErr w:type="spellEnd"/>
            <w:r w:rsidR="00300948">
              <w:rPr>
                <w:sz w:val="28"/>
                <w:szCs w:val="28"/>
              </w:rPr>
              <w:t xml:space="preserve"> ministrijas Informācijas </w:t>
            </w:r>
            <w:r w:rsidRPr="00471DF8">
              <w:rPr>
                <w:sz w:val="28"/>
                <w:szCs w:val="28"/>
              </w:rPr>
              <w:t>centrs saskaras ar šo maksājumu identifikācijas problēmām. No Valsts kases tiek saņemta informācija par 28 dažādiem kontiem, kuros tiek ieskaitīti maksājumi. Maksātāji bieži maksājuma mērķ</w:t>
            </w:r>
            <w:r>
              <w:rPr>
                <w:sz w:val="28"/>
                <w:szCs w:val="28"/>
              </w:rPr>
              <w:t xml:space="preserve">ī nenorāda </w:t>
            </w:r>
            <w:r w:rsidRPr="005B6FC5">
              <w:rPr>
                <w:sz w:val="28"/>
                <w:szCs w:val="28"/>
              </w:rPr>
              <w:t>pilnīgu informāciju</w:t>
            </w:r>
            <w:r>
              <w:rPr>
                <w:sz w:val="28"/>
                <w:szCs w:val="28"/>
              </w:rPr>
              <w:t xml:space="preserve"> vai to norāda kļūdaini</w:t>
            </w:r>
            <w:r w:rsidRPr="00471DF8">
              <w:rPr>
                <w:sz w:val="28"/>
                <w:szCs w:val="28"/>
              </w:rPr>
              <w:t xml:space="preserve">, </w:t>
            </w:r>
            <w:r>
              <w:rPr>
                <w:sz w:val="28"/>
                <w:szCs w:val="28"/>
              </w:rPr>
              <w:t>kā rezultāt</w:t>
            </w:r>
            <w:r w:rsidR="00857B39">
              <w:rPr>
                <w:sz w:val="28"/>
                <w:szCs w:val="28"/>
              </w:rPr>
              <w:t>ā</w:t>
            </w:r>
            <w:r>
              <w:rPr>
                <w:sz w:val="28"/>
                <w:szCs w:val="28"/>
              </w:rPr>
              <w:t xml:space="preserve"> maksājums nav identificējams atbilstoši tā mērķim</w:t>
            </w:r>
            <w:r w:rsidRPr="00471DF8">
              <w:rPr>
                <w:sz w:val="28"/>
                <w:szCs w:val="28"/>
              </w:rPr>
              <w:t xml:space="preserve">. </w:t>
            </w:r>
            <w:r>
              <w:rPr>
                <w:sz w:val="28"/>
                <w:szCs w:val="28"/>
              </w:rPr>
              <w:t>Kodekss pieļauj p</w:t>
            </w:r>
            <w:r w:rsidRPr="00471DF8">
              <w:rPr>
                <w:sz w:val="28"/>
                <w:szCs w:val="28"/>
              </w:rPr>
              <w:t>ersonai piemēroto naudas sodu maksāt arī treš</w:t>
            </w:r>
            <w:r>
              <w:rPr>
                <w:sz w:val="28"/>
                <w:szCs w:val="28"/>
              </w:rPr>
              <w:t>ajai</w:t>
            </w:r>
            <w:r w:rsidRPr="00471DF8">
              <w:rPr>
                <w:sz w:val="28"/>
                <w:szCs w:val="28"/>
              </w:rPr>
              <w:t xml:space="preserve"> persona</w:t>
            </w:r>
            <w:r>
              <w:rPr>
                <w:sz w:val="28"/>
                <w:szCs w:val="28"/>
              </w:rPr>
              <w:t>i</w:t>
            </w:r>
            <w:r w:rsidRPr="00471DF8">
              <w:rPr>
                <w:sz w:val="28"/>
                <w:szCs w:val="28"/>
              </w:rPr>
              <w:t xml:space="preserve">, kura arī bieži vien nenorāda </w:t>
            </w:r>
            <w:r w:rsidRPr="005B6FC5">
              <w:rPr>
                <w:sz w:val="28"/>
                <w:szCs w:val="28"/>
              </w:rPr>
              <w:t>pilnīgu maksājuma mērķi</w:t>
            </w:r>
            <w:r w:rsidRPr="00D91DC9">
              <w:rPr>
                <w:sz w:val="28"/>
                <w:szCs w:val="28"/>
              </w:rPr>
              <w:t>.</w:t>
            </w:r>
            <w:r w:rsidRPr="00471DF8">
              <w:rPr>
                <w:sz w:val="28"/>
                <w:szCs w:val="28"/>
              </w:rPr>
              <w:t xml:space="preserve"> Līdz ar </w:t>
            </w:r>
            <w:r>
              <w:rPr>
                <w:sz w:val="28"/>
                <w:szCs w:val="28"/>
              </w:rPr>
              <w:t>t</w:t>
            </w:r>
            <w:r w:rsidRPr="00471DF8">
              <w:rPr>
                <w:sz w:val="28"/>
                <w:szCs w:val="28"/>
              </w:rPr>
              <w:t xml:space="preserve">o maksājumu nevar identificēt </w:t>
            </w:r>
            <w:r>
              <w:rPr>
                <w:sz w:val="28"/>
                <w:szCs w:val="28"/>
              </w:rPr>
              <w:t xml:space="preserve">ne pēc maksātāja datiem, ne pēc maksājuma mērķa datiem, ne arī sasaistīt </w:t>
            </w:r>
            <w:r w:rsidRPr="00471DF8">
              <w:rPr>
                <w:sz w:val="28"/>
                <w:szCs w:val="28"/>
              </w:rPr>
              <w:t xml:space="preserve">ar konkrētu protokolu. </w:t>
            </w:r>
            <w:r>
              <w:rPr>
                <w:sz w:val="28"/>
                <w:szCs w:val="28"/>
              </w:rPr>
              <w:t>Bieži vien n</w:t>
            </w:r>
            <w:r w:rsidRPr="00471DF8">
              <w:rPr>
                <w:sz w:val="28"/>
                <w:szCs w:val="28"/>
              </w:rPr>
              <w:t>av iespējams identificēt arī zvērinātu tiesu izpildītāju veikt</w:t>
            </w:r>
            <w:r>
              <w:rPr>
                <w:sz w:val="28"/>
                <w:szCs w:val="28"/>
              </w:rPr>
              <w:t>os</w:t>
            </w:r>
            <w:r w:rsidRPr="00471DF8">
              <w:rPr>
                <w:sz w:val="28"/>
                <w:szCs w:val="28"/>
              </w:rPr>
              <w:t xml:space="preserve"> maksājum</w:t>
            </w:r>
            <w:r>
              <w:rPr>
                <w:sz w:val="28"/>
                <w:szCs w:val="28"/>
              </w:rPr>
              <w:t>us</w:t>
            </w:r>
            <w:r w:rsidRPr="00471DF8">
              <w:rPr>
                <w:sz w:val="28"/>
                <w:szCs w:val="28"/>
              </w:rPr>
              <w:t xml:space="preserve"> par </w:t>
            </w:r>
            <w:r>
              <w:rPr>
                <w:sz w:val="28"/>
                <w:szCs w:val="28"/>
              </w:rPr>
              <w:t xml:space="preserve">no </w:t>
            </w:r>
            <w:r w:rsidRPr="00471DF8">
              <w:rPr>
                <w:sz w:val="28"/>
                <w:szCs w:val="28"/>
              </w:rPr>
              <w:t>persona</w:t>
            </w:r>
            <w:r>
              <w:rPr>
                <w:sz w:val="28"/>
                <w:szCs w:val="28"/>
              </w:rPr>
              <w:t>s</w:t>
            </w:r>
            <w:r w:rsidRPr="00471DF8">
              <w:rPr>
                <w:sz w:val="28"/>
                <w:szCs w:val="28"/>
              </w:rPr>
              <w:t xml:space="preserve"> piedzītajiem naudas sodiem. Piemēram, </w:t>
            </w:r>
            <w:r>
              <w:rPr>
                <w:sz w:val="28"/>
                <w:szCs w:val="28"/>
              </w:rPr>
              <w:t xml:space="preserve">zvērināts tiesu izpildītājs veiktā maksājumā mērķī </w:t>
            </w:r>
            <w:r w:rsidRPr="00471DF8">
              <w:rPr>
                <w:sz w:val="28"/>
                <w:szCs w:val="28"/>
              </w:rPr>
              <w:t>norād</w:t>
            </w:r>
            <w:r>
              <w:rPr>
                <w:sz w:val="28"/>
                <w:szCs w:val="28"/>
              </w:rPr>
              <w:t>a</w:t>
            </w:r>
            <w:r w:rsidRPr="00471DF8">
              <w:rPr>
                <w:sz w:val="28"/>
                <w:szCs w:val="28"/>
              </w:rPr>
              <w:t xml:space="preserve"> parādnieka personas kod</w:t>
            </w:r>
            <w:r>
              <w:rPr>
                <w:sz w:val="28"/>
                <w:szCs w:val="28"/>
              </w:rPr>
              <w:t>u</w:t>
            </w:r>
            <w:r w:rsidRPr="00471DF8">
              <w:rPr>
                <w:sz w:val="28"/>
                <w:szCs w:val="28"/>
              </w:rPr>
              <w:t>, vārd</w:t>
            </w:r>
            <w:r>
              <w:rPr>
                <w:sz w:val="28"/>
                <w:szCs w:val="28"/>
              </w:rPr>
              <w:t>u</w:t>
            </w:r>
            <w:r w:rsidRPr="00471DF8">
              <w:rPr>
                <w:sz w:val="28"/>
                <w:szCs w:val="28"/>
              </w:rPr>
              <w:t>, uzvārd</w:t>
            </w:r>
            <w:r>
              <w:rPr>
                <w:sz w:val="28"/>
                <w:szCs w:val="28"/>
              </w:rPr>
              <w:t>u</w:t>
            </w:r>
            <w:r w:rsidRPr="00471DF8">
              <w:rPr>
                <w:sz w:val="28"/>
                <w:szCs w:val="28"/>
              </w:rPr>
              <w:t xml:space="preserve">, samaksātā </w:t>
            </w:r>
            <w:r>
              <w:rPr>
                <w:sz w:val="28"/>
                <w:szCs w:val="28"/>
              </w:rPr>
              <w:t xml:space="preserve">naudas soda </w:t>
            </w:r>
            <w:r w:rsidRPr="00471DF8">
              <w:rPr>
                <w:sz w:val="28"/>
                <w:szCs w:val="28"/>
              </w:rPr>
              <w:t>summ</w:t>
            </w:r>
            <w:r>
              <w:rPr>
                <w:sz w:val="28"/>
                <w:szCs w:val="28"/>
              </w:rPr>
              <w:t>u</w:t>
            </w:r>
            <w:r w:rsidRPr="00471DF8">
              <w:rPr>
                <w:sz w:val="28"/>
                <w:szCs w:val="28"/>
              </w:rPr>
              <w:t xml:space="preserve"> un datum</w:t>
            </w:r>
            <w:r>
              <w:rPr>
                <w:sz w:val="28"/>
                <w:szCs w:val="28"/>
              </w:rPr>
              <w:t>u</w:t>
            </w:r>
            <w:r w:rsidRPr="00471DF8">
              <w:rPr>
                <w:sz w:val="28"/>
                <w:szCs w:val="28"/>
              </w:rPr>
              <w:t>, kad tas veikts</w:t>
            </w:r>
            <w:r>
              <w:rPr>
                <w:sz w:val="28"/>
                <w:szCs w:val="28"/>
              </w:rPr>
              <w:t xml:space="preserve"> un</w:t>
            </w:r>
            <w:r w:rsidRPr="00471DF8">
              <w:rPr>
                <w:sz w:val="28"/>
                <w:szCs w:val="28"/>
              </w:rPr>
              <w:t xml:space="preserve"> izpildu lietas numur</w:t>
            </w:r>
            <w:r>
              <w:rPr>
                <w:sz w:val="28"/>
                <w:szCs w:val="28"/>
              </w:rPr>
              <w:t>u</w:t>
            </w:r>
            <w:r w:rsidRPr="00471DF8">
              <w:rPr>
                <w:sz w:val="28"/>
                <w:szCs w:val="28"/>
              </w:rPr>
              <w:t xml:space="preserve">, bet </w:t>
            </w:r>
            <w:r>
              <w:rPr>
                <w:sz w:val="28"/>
                <w:szCs w:val="28"/>
              </w:rPr>
              <w:t>ne</w:t>
            </w:r>
            <w:r w:rsidRPr="00471DF8">
              <w:rPr>
                <w:sz w:val="28"/>
                <w:szCs w:val="28"/>
              </w:rPr>
              <w:t>norād</w:t>
            </w:r>
            <w:r>
              <w:rPr>
                <w:sz w:val="28"/>
                <w:szCs w:val="28"/>
              </w:rPr>
              <w:t>a</w:t>
            </w:r>
            <w:r w:rsidRPr="00471DF8">
              <w:rPr>
                <w:sz w:val="28"/>
                <w:szCs w:val="28"/>
              </w:rPr>
              <w:t xml:space="preserve"> protokola numur</w:t>
            </w:r>
            <w:r>
              <w:rPr>
                <w:sz w:val="28"/>
                <w:szCs w:val="28"/>
              </w:rPr>
              <w:t>u</w:t>
            </w:r>
            <w:r w:rsidRPr="00471DF8">
              <w:rPr>
                <w:sz w:val="28"/>
                <w:szCs w:val="28"/>
              </w:rPr>
              <w:t xml:space="preserve">. Šādos gadījumos informāciju par </w:t>
            </w:r>
            <w:r>
              <w:rPr>
                <w:sz w:val="28"/>
                <w:szCs w:val="28"/>
              </w:rPr>
              <w:t>naudas sodu izpildi</w:t>
            </w:r>
            <w:r w:rsidRPr="00471DF8">
              <w:rPr>
                <w:sz w:val="28"/>
                <w:szCs w:val="28"/>
              </w:rPr>
              <w:t xml:space="preserve"> nav iespējams </w:t>
            </w:r>
            <w:r>
              <w:rPr>
                <w:sz w:val="28"/>
                <w:szCs w:val="28"/>
              </w:rPr>
              <w:t xml:space="preserve">automātiski </w:t>
            </w:r>
            <w:r w:rsidRPr="00471DF8">
              <w:rPr>
                <w:sz w:val="28"/>
                <w:szCs w:val="28"/>
              </w:rPr>
              <w:t>iekļaut Sodu reģistrā</w:t>
            </w:r>
            <w:r>
              <w:rPr>
                <w:sz w:val="28"/>
                <w:szCs w:val="28"/>
              </w:rPr>
              <w:t xml:space="preserve"> un šie dati ir jāapstrādā manuāli. </w:t>
            </w:r>
          </w:p>
          <w:p w14:paraId="352DC97A" w14:textId="66527359" w:rsidR="00D10854" w:rsidRDefault="00D10854" w:rsidP="00D10854">
            <w:pPr>
              <w:ind w:firstLine="720"/>
              <w:jc w:val="both"/>
              <w:rPr>
                <w:sz w:val="28"/>
                <w:szCs w:val="28"/>
              </w:rPr>
            </w:pPr>
            <w:r>
              <w:rPr>
                <w:sz w:val="28"/>
                <w:szCs w:val="28"/>
              </w:rPr>
              <w:t xml:space="preserve">Lai izslēgtu kļūdas, kad maksājums tiek pievienots citai personai, citam protokolam, jo pārkāpējs ir kļūdījies un maksājuma mērķī norādījis nepareizu protokola numuru, ir izvēlēts identifikācijas risinājums atbilstoši šādam maksājuma identifikācija </w:t>
            </w:r>
            <w:r w:rsidRPr="005F09B5">
              <w:rPr>
                <w:sz w:val="28"/>
                <w:szCs w:val="28"/>
              </w:rPr>
              <w:t>algoritma</w:t>
            </w:r>
            <w:r>
              <w:rPr>
                <w:sz w:val="28"/>
                <w:szCs w:val="28"/>
              </w:rPr>
              <w:t>m:</w:t>
            </w:r>
            <w:r w:rsidRPr="005F09B5">
              <w:rPr>
                <w:sz w:val="28"/>
                <w:szCs w:val="28"/>
              </w:rPr>
              <w:t xml:space="preserve"> </w:t>
            </w:r>
            <w:r>
              <w:rPr>
                <w:sz w:val="28"/>
                <w:szCs w:val="28"/>
              </w:rPr>
              <w:t>t</w:t>
            </w:r>
            <w:r w:rsidRPr="005F09B5">
              <w:rPr>
                <w:sz w:val="28"/>
                <w:szCs w:val="28"/>
              </w:rPr>
              <w:t xml:space="preserve">iek salīdzināti </w:t>
            </w:r>
            <w:r>
              <w:rPr>
                <w:sz w:val="28"/>
                <w:szCs w:val="28"/>
              </w:rPr>
              <w:t>maksātāja</w:t>
            </w:r>
            <w:r w:rsidRPr="005F09B5">
              <w:rPr>
                <w:sz w:val="28"/>
                <w:szCs w:val="28"/>
              </w:rPr>
              <w:t xml:space="preserve"> dati un protokola numurs. </w:t>
            </w:r>
            <w:r w:rsidRPr="00544096">
              <w:rPr>
                <w:sz w:val="28"/>
                <w:szCs w:val="28"/>
              </w:rPr>
              <w:t>Ja abas š</w:t>
            </w:r>
            <w:r>
              <w:rPr>
                <w:sz w:val="28"/>
                <w:szCs w:val="28"/>
              </w:rPr>
              <w:t>ī</w:t>
            </w:r>
            <w:r w:rsidRPr="00544096">
              <w:rPr>
                <w:sz w:val="28"/>
                <w:szCs w:val="28"/>
              </w:rPr>
              <w:t>s komponentes sakrīt</w:t>
            </w:r>
            <w:r w:rsidRPr="005F09B5">
              <w:rPr>
                <w:sz w:val="28"/>
                <w:szCs w:val="28"/>
              </w:rPr>
              <w:t>, tad maksājums tiek pievienots Sodu reģistrā pie</w:t>
            </w:r>
            <w:r>
              <w:rPr>
                <w:sz w:val="28"/>
                <w:szCs w:val="28"/>
              </w:rPr>
              <w:t xml:space="preserve"> konkrētā pārkāpēja noteiktā protokola. Ja nesakrīt, tad </w:t>
            </w:r>
            <w:r w:rsidRPr="00AF527D">
              <w:rPr>
                <w:sz w:val="28"/>
                <w:szCs w:val="28"/>
              </w:rPr>
              <w:t>maksājums tiek apstrādāts manuāli un veiksmīgas identifikācijas gadījumā pievienots Sodu reģistrā, bet, ja identifikācija nav iespējama, tad atzīme Sodu reģistrā netiek izdarīta un nei</w:t>
            </w:r>
            <w:r>
              <w:rPr>
                <w:sz w:val="28"/>
                <w:szCs w:val="28"/>
              </w:rPr>
              <w:t>denti</w:t>
            </w:r>
            <w:r w:rsidRPr="00AF527D">
              <w:rPr>
                <w:sz w:val="28"/>
                <w:szCs w:val="28"/>
              </w:rPr>
              <w:t>ficētais maksājums paliek kā neapstrādāts un tiek saglabāts nei</w:t>
            </w:r>
            <w:r>
              <w:rPr>
                <w:sz w:val="28"/>
                <w:szCs w:val="28"/>
              </w:rPr>
              <w:t>denti</w:t>
            </w:r>
            <w:r w:rsidRPr="00AF527D">
              <w:rPr>
                <w:sz w:val="28"/>
                <w:szCs w:val="28"/>
              </w:rPr>
              <w:t xml:space="preserve">ficēto maksājumu nomaksas modulī. </w:t>
            </w:r>
          </w:p>
          <w:p w14:paraId="38970D89" w14:textId="29AA7B45" w:rsidR="00D10854" w:rsidRDefault="00D10854" w:rsidP="00D10854">
            <w:pPr>
              <w:ind w:firstLine="720"/>
              <w:jc w:val="both"/>
              <w:rPr>
                <w:sz w:val="28"/>
                <w:szCs w:val="28"/>
              </w:rPr>
            </w:pPr>
            <w:r w:rsidRPr="00701092">
              <w:rPr>
                <w:sz w:val="28"/>
                <w:szCs w:val="28"/>
              </w:rPr>
              <w:lastRenderedPageBreak/>
              <w:t>Maksātājs nereti arī nokļūdā</w:t>
            </w:r>
            <w:r w:rsidRPr="00471DF8">
              <w:rPr>
                <w:sz w:val="28"/>
                <w:szCs w:val="28"/>
              </w:rPr>
              <w:t xml:space="preserve">s </w:t>
            </w:r>
            <w:r>
              <w:rPr>
                <w:sz w:val="28"/>
                <w:szCs w:val="28"/>
              </w:rPr>
              <w:t xml:space="preserve">norādot </w:t>
            </w:r>
            <w:r w:rsidRPr="00471DF8">
              <w:rPr>
                <w:sz w:val="28"/>
                <w:szCs w:val="28"/>
              </w:rPr>
              <w:t>nepareiz</w:t>
            </w:r>
            <w:r>
              <w:rPr>
                <w:sz w:val="28"/>
                <w:szCs w:val="28"/>
              </w:rPr>
              <w:t>u</w:t>
            </w:r>
            <w:r w:rsidRPr="00471DF8">
              <w:rPr>
                <w:sz w:val="28"/>
                <w:szCs w:val="28"/>
              </w:rPr>
              <w:t xml:space="preserve"> kont</w:t>
            </w:r>
            <w:r>
              <w:rPr>
                <w:sz w:val="28"/>
                <w:szCs w:val="28"/>
              </w:rPr>
              <w:t>u</w:t>
            </w:r>
            <w:r w:rsidRPr="00471DF8">
              <w:rPr>
                <w:sz w:val="28"/>
                <w:szCs w:val="28"/>
              </w:rPr>
              <w:t xml:space="preserve"> vai </w:t>
            </w:r>
            <w:r>
              <w:rPr>
                <w:sz w:val="28"/>
                <w:szCs w:val="28"/>
              </w:rPr>
              <w:t>samaksā</w:t>
            </w:r>
            <w:r w:rsidRPr="00471DF8">
              <w:rPr>
                <w:sz w:val="28"/>
                <w:szCs w:val="28"/>
              </w:rPr>
              <w:t xml:space="preserve"> vienu un to pašu naudas sodu</w:t>
            </w:r>
            <w:r>
              <w:rPr>
                <w:sz w:val="28"/>
                <w:szCs w:val="28"/>
              </w:rPr>
              <w:t xml:space="preserve"> vairākas reizes</w:t>
            </w:r>
            <w:r w:rsidRPr="00471DF8">
              <w:rPr>
                <w:sz w:val="28"/>
                <w:szCs w:val="28"/>
              </w:rPr>
              <w:t xml:space="preserve">. Līdz ar </w:t>
            </w:r>
            <w:r>
              <w:rPr>
                <w:sz w:val="28"/>
                <w:szCs w:val="28"/>
              </w:rPr>
              <w:t>t</w:t>
            </w:r>
            <w:r w:rsidRPr="00471DF8">
              <w:rPr>
                <w:sz w:val="28"/>
                <w:szCs w:val="28"/>
              </w:rPr>
              <w:t>o atkal tiek patērēt</w:t>
            </w:r>
            <w:r>
              <w:rPr>
                <w:sz w:val="28"/>
                <w:szCs w:val="28"/>
              </w:rPr>
              <w:t>i</w:t>
            </w:r>
            <w:r w:rsidRPr="00471DF8">
              <w:rPr>
                <w:sz w:val="28"/>
                <w:szCs w:val="28"/>
              </w:rPr>
              <w:t xml:space="preserve"> </w:t>
            </w:r>
            <w:r>
              <w:rPr>
                <w:sz w:val="28"/>
                <w:szCs w:val="28"/>
              </w:rPr>
              <w:t xml:space="preserve">administratīvie </w:t>
            </w:r>
            <w:r w:rsidRPr="00471DF8">
              <w:rPr>
                <w:sz w:val="28"/>
                <w:szCs w:val="28"/>
              </w:rPr>
              <w:t>resurs</w:t>
            </w:r>
            <w:r>
              <w:rPr>
                <w:sz w:val="28"/>
                <w:szCs w:val="28"/>
              </w:rPr>
              <w:t>i</w:t>
            </w:r>
            <w:r w:rsidRPr="00471DF8">
              <w:rPr>
                <w:sz w:val="28"/>
                <w:szCs w:val="28"/>
              </w:rPr>
              <w:t xml:space="preserve">, lai noskaidrotu pareizo kontu, kā arī </w:t>
            </w:r>
            <w:r>
              <w:rPr>
                <w:sz w:val="28"/>
                <w:szCs w:val="28"/>
              </w:rPr>
              <w:t xml:space="preserve">maksājuma saņēmēja iestādei </w:t>
            </w:r>
            <w:r w:rsidRPr="00471DF8">
              <w:rPr>
                <w:sz w:val="28"/>
                <w:szCs w:val="28"/>
              </w:rPr>
              <w:t>nepieciešams veikt maksājuma pārskaitīšanu no viena konta uz citu. Privātpersona, lai atgūtu pārmaksāto naudas sodu</w:t>
            </w:r>
            <w:r>
              <w:rPr>
                <w:sz w:val="28"/>
                <w:szCs w:val="28"/>
              </w:rPr>
              <w:t>, kas iemaksāts valsts pamatbudžeta ieņēmumu kontā</w:t>
            </w:r>
            <w:r w:rsidRPr="00471DF8">
              <w:rPr>
                <w:sz w:val="28"/>
                <w:szCs w:val="28"/>
              </w:rPr>
              <w:t xml:space="preserve">, vēršas Valsts ieņēmumu dienestā ar iesniegumu un lūdz atmaksāt pārmaksātos naudas līdzekļus. Savukārt Valsts ieņēmumu dienests vēršas pie konkrētas iestādes, </w:t>
            </w:r>
            <w:r w:rsidRPr="00E85DA0">
              <w:rPr>
                <w:sz w:val="28"/>
                <w:szCs w:val="28"/>
              </w:rPr>
              <w:t>kura administrē naudas sodu</w:t>
            </w:r>
            <w:r w:rsidRPr="00471DF8">
              <w:rPr>
                <w:sz w:val="28"/>
                <w:szCs w:val="28"/>
              </w:rPr>
              <w:t xml:space="preserve"> vai </w:t>
            </w:r>
            <w:proofErr w:type="spellStart"/>
            <w:r w:rsidR="00300948">
              <w:rPr>
                <w:sz w:val="28"/>
                <w:szCs w:val="28"/>
              </w:rPr>
              <w:t>Iekšlietu</w:t>
            </w:r>
            <w:proofErr w:type="spellEnd"/>
            <w:r w:rsidR="00300948">
              <w:rPr>
                <w:sz w:val="28"/>
                <w:szCs w:val="28"/>
              </w:rPr>
              <w:t xml:space="preserve"> ministrijas Informācijas </w:t>
            </w:r>
            <w:r w:rsidRPr="00471DF8">
              <w:rPr>
                <w:sz w:val="28"/>
                <w:szCs w:val="28"/>
              </w:rPr>
              <w:t>centrā, lai t</w:t>
            </w:r>
            <w:r>
              <w:rPr>
                <w:sz w:val="28"/>
                <w:szCs w:val="28"/>
              </w:rPr>
              <w:t>as</w:t>
            </w:r>
            <w:r w:rsidRPr="00471DF8">
              <w:rPr>
                <w:sz w:val="28"/>
                <w:szCs w:val="28"/>
              </w:rPr>
              <w:t xml:space="preserve"> </w:t>
            </w:r>
            <w:r>
              <w:rPr>
                <w:sz w:val="28"/>
                <w:szCs w:val="28"/>
              </w:rPr>
              <w:t>apstiprinātu</w:t>
            </w:r>
            <w:r w:rsidRPr="00471DF8">
              <w:rPr>
                <w:sz w:val="28"/>
                <w:szCs w:val="28"/>
              </w:rPr>
              <w:t xml:space="preserve"> konkrēt</w:t>
            </w:r>
            <w:r>
              <w:rPr>
                <w:sz w:val="28"/>
                <w:szCs w:val="28"/>
              </w:rPr>
              <w:t>ā</w:t>
            </w:r>
            <w:r w:rsidRPr="00471DF8">
              <w:rPr>
                <w:sz w:val="28"/>
                <w:szCs w:val="28"/>
              </w:rPr>
              <w:t xml:space="preserve"> naudas sod</w:t>
            </w:r>
            <w:r>
              <w:rPr>
                <w:sz w:val="28"/>
                <w:szCs w:val="28"/>
              </w:rPr>
              <w:t>a</w:t>
            </w:r>
            <w:r w:rsidRPr="00471DF8">
              <w:rPr>
                <w:sz w:val="28"/>
                <w:szCs w:val="28"/>
              </w:rPr>
              <w:t xml:space="preserve"> pārmaks</w:t>
            </w:r>
            <w:r>
              <w:rPr>
                <w:sz w:val="28"/>
                <w:szCs w:val="28"/>
              </w:rPr>
              <w:t>as faktu</w:t>
            </w:r>
            <w:r w:rsidRPr="00471DF8">
              <w:rPr>
                <w:sz w:val="28"/>
                <w:szCs w:val="28"/>
              </w:rPr>
              <w:t>.</w:t>
            </w:r>
          </w:p>
          <w:p w14:paraId="15EF0DCC" w14:textId="0C3E18B9" w:rsidR="00D10854" w:rsidRDefault="00D10854" w:rsidP="00D10854">
            <w:pPr>
              <w:ind w:firstLine="720"/>
              <w:jc w:val="both"/>
              <w:rPr>
                <w:sz w:val="28"/>
                <w:szCs w:val="28"/>
              </w:rPr>
            </w:pPr>
            <w:r w:rsidDel="00122C67">
              <w:rPr>
                <w:sz w:val="28"/>
                <w:szCs w:val="28"/>
              </w:rPr>
              <w:t xml:space="preserve"> </w:t>
            </w:r>
            <w:r w:rsidRPr="00471DF8">
              <w:rPr>
                <w:sz w:val="28"/>
                <w:szCs w:val="28"/>
              </w:rPr>
              <w:t xml:space="preserve">Problēma pastāv arī ar pašvaldību iestāžu piemērotajiem administratīvajiem naudas sodiem. Tie tiek ieskaitīti </w:t>
            </w:r>
            <w:r w:rsidRPr="00E85DA0">
              <w:rPr>
                <w:sz w:val="28"/>
                <w:szCs w:val="28"/>
              </w:rPr>
              <w:t>kontos kredītiestādēs, ko šim mērķim ir atvērušas pašvaldības. Atšķirībā no Valsts kasē atvērtajiem kontiem, Sodu reģistram nav piekļuves pie pašvaldību kontiem kredītiestādēs, kas, savukārt, apgrūtina operatīvu un pilnīgu ziņu saņemšanu par pašvaldību iestāžu</w:t>
            </w:r>
            <w:r w:rsidRPr="00471DF8">
              <w:rPr>
                <w:sz w:val="28"/>
                <w:szCs w:val="28"/>
              </w:rPr>
              <w:t xml:space="preserve"> </w:t>
            </w:r>
            <w:r>
              <w:rPr>
                <w:sz w:val="28"/>
                <w:szCs w:val="28"/>
              </w:rPr>
              <w:t>iekasētajiem</w:t>
            </w:r>
            <w:r w:rsidRPr="00471DF8">
              <w:rPr>
                <w:sz w:val="28"/>
                <w:szCs w:val="28"/>
              </w:rPr>
              <w:t xml:space="preserve"> </w:t>
            </w:r>
            <w:r>
              <w:rPr>
                <w:sz w:val="28"/>
                <w:szCs w:val="28"/>
              </w:rPr>
              <w:t>naudas sodu maksājumiem</w:t>
            </w:r>
            <w:r w:rsidRPr="00471DF8">
              <w:rPr>
                <w:sz w:val="28"/>
                <w:szCs w:val="28"/>
              </w:rPr>
              <w:t xml:space="preserve">. Šis process nav centralizēts un </w:t>
            </w:r>
            <w:proofErr w:type="spellStart"/>
            <w:r w:rsidR="005138FB">
              <w:rPr>
                <w:sz w:val="28"/>
                <w:szCs w:val="28"/>
              </w:rPr>
              <w:t>Iekšlietu</w:t>
            </w:r>
            <w:proofErr w:type="spellEnd"/>
            <w:r w:rsidR="005138FB">
              <w:rPr>
                <w:sz w:val="28"/>
                <w:szCs w:val="28"/>
              </w:rPr>
              <w:t xml:space="preserve"> ministrijas Informācijas c</w:t>
            </w:r>
            <w:r>
              <w:rPr>
                <w:sz w:val="28"/>
                <w:szCs w:val="28"/>
              </w:rPr>
              <w:t xml:space="preserve">entram </w:t>
            </w:r>
            <w:r w:rsidRPr="00471DF8">
              <w:rPr>
                <w:sz w:val="28"/>
                <w:szCs w:val="28"/>
              </w:rPr>
              <w:t xml:space="preserve">ir jāpaļaujas </w:t>
            </w:r>
            <w:r>
              <w:rPr>
                <w:sz w:val="28"/>
                <w:szCs w:val="28"/>
              </w:rPr>
              <w:t>vienīgi uz to, ka</w:t>
            </w:r>
            <w:r w:rsidRPr="00471DF8">
              <w:rPr>
                <w:sz w:val="28"/>
                <w:szCs w:val="28"/>
              </w:rPr>
              <w:t xml:space="preserve"> pašvaldību iestāžu darbiniek</w:t>
            </w:r>
            <w:r>
              <w:rPr>
                <w:sz w:val="28"/>
                <w:szCs w:val="28"/>
              </w:rPr>
              <w:t>i</w:t>
            </w:r>
            <w:r w:rsidRPr="00471DF8">
              <w:rPr>
                <w:sz w:val="28"/>
                <w:szCs w:val="28"/>
              </w:rPr>
              <w:t xml:space="preserve"> ziņ</w:t>
            </w:r>
            <w:r>
              <w:rPr>
                <w:sz w:val="28"/>
                <w:szCs w:val="28"/>
              </w:rPr>
              <w:t>as</w:t>
            </w:r>
            <w:r w:rsidRPr="00471DF8">
              <w:rPr>
                <w:sz w:val="28"/>
                <w:szCs w:val="28"/>
              </w:rPr>
              <w:t xml:space="preserve"> </w:t>
            </w:r>
            <w:r>
              <w:rPr>
                <w:sz w:val="28"/>
                <w:szCs w:val="28"/>
              </w:rPr>
              <w:t>Sodu reģistrā</w:t>
            </w:r>
            <w:r w:rsidRPr="00471DF8">
              <w:rPr>
                <w:sz w:val="28"/>
                <w:szCs w:val="28"/>
              </w:rPr>
              <w:t xml:space="preserve"> </w:t>
            </w:r>
            <w:r>
              <w:rPr>
                <w:sz w:val="28"/>
                <w:szCs w:val="28"/>
              </w:rPr>
              <w:t>ievadīs manuāli</w:t>
            </w:r>
            <w:r w:rsidRPr="00471DF8">
              <w:rPr>
                <w:sz w:val="28"/>
                <w:szCs w:val="28"/>
              </w:rPr>
              <w:t xml:space="preserve">. </w:t>
            </w:r>
            <w:proofErr w:type="spellStart"/>
            <w:r w:rsidR="00300948">
              <w:rPr>
                <w:sz w:val="28"/>
                <w:szCs w:val="28"/>
              </w:rPr>
              <w:t>Iekšlietu</w:t>
            </w:r>
            <w:proofErr w:type="spellEnd"/>
            <w:r w:rsidR="00300948">
              <w:rPr>
                <w:sz w:val="28"/>
                <w:szCs w:val="28"/>
              </w:rPr>
              <w:t xml:space="preserve"> ministrijas Informācijas c</w:t>
            </w:r>
            <w:r>
              <w:rPr>
                <w:sz w:val="28"/>
                <w:szCs w:val="28"/>
              </w:rPr>
              <w:t>entrs katru gadu veic Sodu reģistrā ietverto datu aktualizāciju par iestāžu</w:t>
            </w:r>
            <w:r w:rsidRPr="00471DF8">
              <w:rPr>
                <w:sz w:val="28"/>
                <w:szCs w:val="28"/>
              </w:rPr>
              <w:t xml:space="preserve"> piemērot</w:t>
            </w:r>
            <w:r>
              <w:rPr>
                <w:sz w:val="28"/>
                <w:szCs w:val="28"/>
              </w:rPr>
              <w:t>ajiem</w:t>
            </w:r>
            <w:r w:rsidRPr="00471DF8">
              <w:rPr>
                <w:sz w:val="28"/>
                <w:szCs w:val="28"/>
              </w:rPr>
              <w:t xml:space="preserve"> naudas sod</w:t>
            </w:r>
            <w:r>
              <w:rPr>
                <w:sz w:val="28"/>
                <w:szCs w:val="28"/>
              </w:rPr>
              <w:t xml:space="preserve">iem. Tās rezultātā ir konstatēts, </w:t>
            </w:r>
            <w:r w:rsidRPr="00471DF8">
              <w:rPr>
                <w:sz w:val="28"/>
                <w:szCs w:val="28"/>
              </w:rPr>
              <w:t xml:space="preserve">ka </w:t>
            </w:r>
            <w:r>
              <w:rPr>
                <w:sz w:val="28"/>
                <w:szCs w:val="28"/>
              </w:rPr>
              <w:t>bieži</w:t>
            </w:r>
            <w:r w:rsidRPr="00471DF8">
              <w:rPr>
                <w:sz w:val="28"/>
                <w:szCs w:val="28"/>
              </w:rPr>
              <w:t xml:space="preserve"> pašvaldības ziņas Sodu reģistram sniedz (ievada) </w:t>
            </w:r>
            <w:r>
              <w:rPr>
                <w:sz w:val="28"/>
                <w:szCs w:val="28"/>
              </w:rPr>
              <w:t xml:space="preserve">novēloti </w:t>
            </w:r>
            <w:r w:rsidRPr="00471DF8">
              <w:rPr>
                <w:sz w:val="28"/>
                <w:szCs w:val="28"/>
              </w:rPr>
              <w:t xml:space="preserve">vai sniedz tikai pēc </w:t>
            </w:r>
            <w:proofErr w:type="spellStart"/>
            <w:r w:rsidR="005138FB">
              <w:rPr>
                <w:sz w:val="28"/>
                <w:szCs w:val="28"/>
              </w:rPr>
              <w:t>Iekšlietu</w:t>
            </w:r>
            <w:proofErr w:type="spellEnd"/>
            <w:r w:rsidR="005138FB">
              <w:rPr>
                <w:sz w:val="28"/>
                <w:szCs w:val="28"/>
              </w:rPr>
              <w:t xml:space="preserve"> ministrijas Informācijas c</w:t>
            </w:r>
            <w:r w:rsidR="005138FB" w:rsidRPr="00471DF8">
              <w:rPr>
                <w:sz w:val="28"/>
                <w:szCs w:val="28"/>
              </w:rPr>
              <w:t xml:space="preserve">entra </w:t>
            </w:r>
            <w:r w:rsidRPr="00471DF8">
              <w:rPr>
                <w:sz w:val="28"/>
                <w:szCs w:val="28"/>
              </w:rPr>
              <w:t xml:space="preserve">pieprasījuma. Šis process savukārt no </w:t>
            </w:r>
            <w:proofErr w:type="spellStart"/>
            <w:r w:rsidR="006E0523">
              <w:rPr>
                <w:sz w:val="28"/>
                <w:szCs w:val="28"/>
              </w:rPr>
              <w:t>Iekšlietu</w:t>
            </w:r>
            <w:proofErr w:type="spellEnd"/>
            <w:r w:rsidR="006E0523">
              <w:rPr>
                <w:sz w:val="28"/>
                <w:szCs w:val="28"/>
              </w:rPr>
              <w:t xml:space="preserve"> ministrijas Informācijas c</w:t>
            </w:r>
            <w:r w:rsidRPr="00471DF8">
              <w:rPr>
                <w:sz w:val="28"/>
                <w:szCs w:val="28"/>
              </w:rPr>
              <w:t xml:space="preserve">entra prasa ļoti lielu laika un cilvēkresursu patēriņu, kā arī ne vienmēr dod vēlamo rezultātu. </w:t>
            </w:r>
          </w:p>
          <w:p w14:paraId="0EF11A76" w14:textId="4F98639C" w:rsidR="00D10854" w:rsidRPr="00A401C7" w:rsidRDefault="00D10854" w:rsidP="00D10854">
            <w:pPr>
              <w:ind w:firstLine="720"/>
              <w:jc w:val="both"/>
              <w:rPr>
                <w:sz w:val="28"/>
                <w:szCs w:val="28"/>
              </w:rPr>
            </w:pPr>
            <w:r>
              <w:rPr>
                <w:sz w:val="28"/>
                <w:szCs w:val="28"/>
              </w:rPr>
              <w:t xml:space="preserve">Vienlaicīgi kā pozitīvu izņēmumu nepieciešams atzīmēt Rīgas pašvaldības policiju, kas pašlaik ir vienīgā pašvaldības iestāde, kura savos naudas sodu maksājumos </w:t>
            </w:r>
            <w:r w:rsidR="00333E8B">
              <w:rPr>
                <w:sz w:val="28"/>
                <w:szCs w:val="28"/>
              </w:rPr>
              <w:t xml:space="preserve">savulaik </w:t>
            </w:r>
            <w:r>
              <w:rPr>
                <w:sz w:val="28"/>
                <w:szCs w:val="28"/>
              </w:rPr>
              <w:lastRenderedPageBreak/>
              <w:t>izmanto</w:t>
            </w:r>
            <w:r w:rsidR="00333E8B">
              <w:rPr>
                <w:sz w:val="28"/>
                <w:szCs w:val="28"/>
              </w:rPr>
              <w:t>ja</w:t>
            </w:r>
            <w:r>
              <w:rPr>
                <w:sz w:val="28"/>
                <w:szCs w:val="28"/>
              </w:rPr>
              <w:t xml:space="preserve"> t.s. </w:t>
            </w:r>
            <w:r w:rsidRPr="00DB1B74">
              <w:rPr>
                <w:color w:val="000000"/>
                <w:sz w:val="28"/>
                <w:szCs w:val="28"/>
              </w:rPr>
              <w:t>„ŽIRO” numuru</w:t>
            </w:r>
            <w:r>
              <w:rPr>
                <w:color w:val="000000"/>
                <w:sz w:val="28"/>
                <w:szCs w:val="28"/>
              </w:rPr>
              <w:t xml:space="preserve"> – unikālu</w:t>
            </w:r>
            <w:r w:rsidRPr="000E6B36">
              <w:rPr>
                <w:color w:val="000000"/>
                <w:sz w:val="28"/>
                <w:szCs w:val="28"/>
              </w:rPr>
              <w:t xml:space="preserve"> </w:t>
            </w:r>
            <w:proofErr w:type="spellStart"/>
            <w:r>
              <w:rPr>
                <w:color w:val="000000"/>
                <w:sz w:val="28"/>
                <w:szCs w:val="28"/>
              </w:rPr>
              <w:t>pieczīmju</w:t>
            </w:r>
            <w:proofErr w:type="spellEnd"/>
            <w:r>
              <w:rPr>
                <w:color w:val="000000"/>
                <w:sz w:val="28"/>
                <w:szCs w:val="28"/>
              </w:rPr>
              <w:t xml:space="preserve"> skaitli, kas</w:t>
            </w:r>
            <w:r w:rsidRPr="00DB1B74">
              <w:rPr>
                <w:color w:val="000000"/>
                <w:sz w:val="28"/>
                <w:szCs w:val="28"/>
              </w:rPr>
              <w:t xml:space="preserve"> </w:t>
            </w:r>
            <w:r w:rsidR="00333E8B">
              <w:rPr>
                <w:color w:val="000000"/>
                <w:sz w:val="28"/>
                <w:szCs w:val="28"/>
              </w:rPr>
              <w:t xml:space="preserve">tika </w:t>
            </w:r>
            <w:r w:rsidRPr="00DB1B74">
              <w:rPr>
                <w:color w:val="000000"/>
                <w:sz w:val="28"/>
                <w:szCs w:val="28"/>
              </w:rPr>
              <w:t xml:space="preserve">piešķirts uzņēmumam vai iestādei </w:t>
            </w:r>
            <w:r>
              <w:rPr>
                <w:color w:val="000000"/>
                <w:sz w:val="28"/>
                <w:szCs w:val="28"/>
              </w:rPr>
              <w:t xml:space="preserve">un </w:t>
            </w:r>
            <w:r w:rsidRPr="00DB1B74">
              <w:rPr>
                <w:color w:val="000000"/>
                <w:sz w:val="28"/>
                <w:szCs w:val="28"/>
              </w:rPr>
              <w:t>aizstāj</w:t>
            </w:r>
            <w:r w:rsidR="00333E8B">
              <w:rPr>
                <w:color w:val="000000"/>
                <w:sz w:val="28"/>
                <w:szCs w:val="28"/>
              </w:rPr>
              <w:t>a</w:t>
            </w:r>
            <w:r w:rsidRPr="00DB1B74">
              <w:rPr>
                <w:color w:val="000000"/>
                <w:sz w:val="28"/>
                <w:szCs w:val="28"/>
              </w:rPr>
              <w:t xml:space="preserve"> tā nosaukumu, bankas kodu un konta numuru. Tas ti</w:t>
            </w:r>
            <w:r w:rsidR="00333E8B">
              <w:rPr>
                <w:color w:val="000000"/>
                <w:sz w:val="28"/>
                <w:szCs w:val="28"/>
              </w:rPr>
              <w:t>ka</w:t>
            </w:r>
            <w:r w:rsidRPr="00DB1B74">
              <w:rPr>
                <w:color w:val="000000"/>
                <w:sz w:val="28"/>
                <w:szCs w:val="28"/>
              </w:rPr>
              <w:t xml:space="preserve"> norādīts uz administratīvā pārkāpuma protokola veidlapas. Šajā gadījumā </w:t>
            </w:r>
            <w:r w:rsidRPr="000F271E">
              <w:rPr>
                <w:sz w:val="28"/>
                <w:szCs w:val="28"/>
              </w:rPr>
              <w:t>maksājumu identifik</w:t>
            </w:r>
            <w:r>
              <w:rPr>
                <w:sz w:val="28"/>
                <w:szCs w:val="28"/>
              </w:rPr>
              <w:t>ācija sasniedz</w:t>
            </w:r>
            <w:r w:rsidR="00333E8B">
              <w:rPr>
                <w:sz w:val="28"/>
                <w:szCs w:val="28"/>
              </w:rPr>
              <w:t>a</w:t>
            </w:r>
            <w:r>
              <w:rPr>
                <w:sz w:val="28"/>
                <w:szCs w:val="28"/>
              </w:rPr>
              <w:t xml:space="preserve"> 99,5</w:t>
            </w:r>
            <w:r w:rsidRPr="006336FC">
              <w:rPr>
                <w:sz w:val="28"/>
                <w:szCs w:val="28"/>
              </w:rPr>
              <w:t>%.</w:t>
            </w:r>
          </w:p>
          <w:p w14:paraId="5290E20E" w14:textId="1B3D0DFA" w:rsidR="00D10854" w:rsidRDefault="00D10854" w:rsidP="00D10854">
            <w:pPr>
              <w:ind w:firstLine="720"/>
              <w:jc w:val="both"/>
              <w:rPr>
                <w:sz w:val="28"/>
                <w:szCs w:val="28"/>
              </w:rPr>
            </w:pPr>
            <w:r>
              <w:rPr>
                <w:sz w:val="28"/>
                <w:szCs w:val="28"/>
              </w:rPr>
              <w:t xml:space="preserve">Analizējot informāciju par pēdējo četru gadu laikā saņemtajiem maksājumiem, konstatēts, ka neidentificēto maksājumu skaits no kopējā maksājumu skaita sasniedz </w:t>
            </w:r>
            <w:r w:rsidRPr="00E85DA0">
              <w:rPr>
                <w:sz w:val="28"/>
                <w:szCs w:val="28"/>
              </w:rPr>
              <w:t>vidēji 9% un vairāk kopsummā sastādot vidēji EUR 4,8 milj. gadā.</w:t>
            </w:r>
          </w:p>
          <w:p w14:paraId="57426B14" w14:textId="2F248A1D" w:rsidR="00D10854" w:rsidRPr="00471DF8" w:rsidRDefault="00D10854" w:rsidP="00D10854">
            <w:pPr>
              <w:ind w:firstLine="720"/>
              <w:jc w:val="both"/>
              <w:rPr>
                <w:sz w:val="28"/>
                <w:szCs w:val="28"/>
              </w:rPr>
            </w:pPr>
            <w:r w:rsidRPr="00471DF8">
              <w:rPr>
                <w:sz w:val="28"/>
                <w:szCs w:val="28"/>
              </w:rPr>
              <w:t>Maksājuma identifikācijas iespēju paaugstināšanai un kvalitatīv</w:t>
            </w:r>
            <w:r>
              <w:rPr>
                <w:sz w:val="28"/>
                <w:szCs w:val="28"/>
              </w:rPr>
              <w:t>a</w:t>
            </w:r>
            <w:r w:rsidRPr="00471DF8">
              <w:rPr>
                <w:sz w:val="28"/>
                <w:szCs w:val="28"/>
              </w:rPr>
              <w:t xml:space="preserve">s informācijas apstrādes nodrošināšanai Sodu reģistrā, </w:t>
            </w:r>
            <w:proofErr w:type="spellStart"/>
            <w:r w:rsidR="00300948">
              <w:rPr>
                <w:sz w:val="28"/>
                <w:szCs w:val="28"/>
              </w:rPr>
              <w:t>Iekšlietu</w:t>
            </w:r>
            <w:proofErr w:type="spellEnd"/>
            <w:r w:rsidR="00300948">
              <w:rPr>
                <w:sz w:val="28"/>
                <w:szCs w:val="28"/>
              </w:rPr>
              <w:t xml:space="preserve"> ministrijas Informācijas </w:t>
            </w:r>
            <w:r w:rsidRPr="00471DF8">
              <w:rPr>
                <w:sz w:val="28"/>
                <w:szCs w:val="28"/>
              </w:rPr>
              <w:t>centrs sadarbībā ar Valsts reģionālās attīstības aģentūru ir izstrādājis un 2012.gada 23.novembrī ieviesis ekspluatācijā e-pakalpojumu „</w:t>
            </w:r>
            <w:hyperlink r:id="rId8" w:history="1">
              <w:r w:rsidRPr="001B109A">
                <w:rPr>
                  <w:sz w:val="28"/>
                  <w:szCs w:val="28"/>
                </w:rPr>
                <w:t>Administratīvo sodu pārbaude un nomaksa</w:t>
              </w:r>
            </w:hyperlink>
            <w:r w:rsidRPr="001B109A">
              <w:rPr>
                <w:sz w:val="28"/>
                <w:szCs w:val="28"/>
              </w:rPr>
              <w:t xml:space="preserve">” (turpmāk - e-pakalpojums), kas ir pieejams </w:t>
            </w:r>
            <w:r w:rsidRPr="00E85DA0">
              <w:rPr>
                <w:color w:val="000000"/>
                <w:sz w:val="28"/>
                <w:szCs w:val="28"/>
              </w:rPr>
              <w:t xml:space="preserve">Vienotajā valsts un pašvaldību pakalpojumu portālā </w:t>
            </w:r>
            <w:hyperlink r:id="rId9" w:history="1">
              <w:r w:rsidRPr="00EF7CE0">
                <w:rPr>
                  <w:rStyle w:val="Hyperlink"/>
                  <w:color w:val="auto"/>
                  <w:sz w:val="28"/>
                  <w:szCs w:val="28"/>
                </w:rPr>
                <w:t>www.latvija.lv</w:t>
              </w:r>
            </w:hyperlink>
            <w:r w:rsidRPr="00EF7CE0">
              <w:rPr>
                <w:sz w:val="28"/>
                <w:szCs w:val="28"/>
              </w:rPr>
              <w:t>. E-pakalpojums nodrošina iespēju iedzīvotājiem bez maksas iegūt no Sodu reģistra informāciju par saviem, savu nepilngadīgo bērnu, aizbildnībā un/vai aizgādnībā esošo personu izdarītajiem administratīvajiem pārkāpumiem, piemērotajiem naudas sodiem un to izpildi. Elektroniski iespējams samaksāt gan sev, gan trešajām personām piemērotos naudas sodus un segt ekspertīžu izdevumus. Naudas sodu apmaksa ar šī</w:t>
            </w:r>
            <w:r w:rsidR="002B149F" w:rsidRPr="00EF7CE0">
              <w:rPr>
                <w:sz w:val="28"/>
                <w:szCs w:val="28"/>
              </w:rPr>
              <w:t xml:space="preserve"> e-</w:t>
            </w:r>
            <w:r w:rsidRPr="00EF7CE0">
              <w:rPr>
                <w:sz w:val="28"/>
                <w:szCs w:val="28"/>
              </w:rPr>
              <w:t xml:space="preserve">pakalpojuma starpniecību izslēdz neprecīzas informācijas norādīšanu maksājuma uzdevuma mērķī, tiek nodrošināta maksājuma viennozīmīga identifikācija (atpazīstamība). </w:t>
            </w:r>
            <w:r w:rsidR="002B149F" w:rsidRPr="00EF7CE0">
              <w:rPr>
                <w:sz w:val="28"/>
                <w:szCs w:val="28"/>
              </w:rPr>
              <w:t>E</w:t>
            </w:r>
            <w:r w:rsidRPr="00EF7CE0">
              <w:rPr>
                <w:sz w:val="28"/>
                <w:szCs w:val="28"/>
              </w:rPr>
              <w:t xml:space="preserve">-pakalpojums pieejams ar kādu no Vienotajā valsts un pašvaldību pakalpojumu portālā </w:t>
            </w:r>
            <w:hyperlink r:id="rId10" w:history="1">
              <w:r w:rsidRPr="00EF7CE0">
                <w:rPr>
                  <w:rStyle w:val="Hyperlink"/>
                  <w:color w:val="auto"/>
                  <w:sz w:val="28"/>
                  <w:szCs w:val="28"/>
                </w:rPr>
                <w:t>www.latvija.lv</w:t>
              </w:r>
            </w:hyperlink>
            <w:r w:rsidRPr="00EF7CE0">
              <w:rPr>
                <w:sz w:val="28"/>
                <w:szCs w:val="28"/>
              </w:rPr>
              <w:t xml:space="preserve"> piedāvātajām autentifikācijas iespējām (internetbanku, </w:t>
            </w:r>
            <w:proofErr w:type="spellStart"/>
            <w:r w:rsidRPr="00EF7CE0">
              <w:rPr>
                <w:sz w:val="28"/>
                <w:szCs w:val="28"/>
              </w:rPr>
              <w:t>eID</w:t>
            </w:r>
            <w:proofErr w:type="spellEnd"/>
            <w:r w:rsidRPr="00EF7CE0">
              <w:rPr>
                <w:sz w:val="28"/>
                <w:szCs w:val="28"/>
              </w:rPr>
              <w:t xml:space="preserve"> karti, elektroniskā </w:t>
            </w:r>
            <w:r w:rsidRPr="00E85DA0">
              <w:rPr>
                <w:sz w:val="28"/>
                <w:szCs w:val="28"/>
              </w:rPr>
              <w:t xml:space="preserve">paraksta viedkarti </w:t>
            </w:r>
            <w:proofErr w:type="spellStart"/>
            <w:r w:rsidRPr="00E85DA0">
              <w:rPr>
                <w:sz w:val="28"/>
                <w:szCs w:val="28"/>
              </w:rPr>
              <w:t>eME</w:t>
            </w:r>
            <w:proofErr w:type="spellEnd"/>
            <w:r w:rsidRPr="00E85DA0">
              <w:rPr>
                <w:sz w:val="28"/>
                <w:szCs w:val="28"/>
              </w:rPr>
              <w:t xml:space="preserve">). </w:t>
            </w:r>
            <w:r w:rsidRPr="00471DF8">
              <w:rPr>
                <w:sz w:val="28"/>
                <w:szCs w:val="28"/>
              </w:rPr>
              <w:t>2013.gada 11</w:t>
            </w:r>
            <w:r>
              <w:rPr>
                <w:sz w:val="28"/>
                <w:szCs w:val="28"/>
              </w:rPr>
              <w:t xml:space="preserve"> </w:t>
            </w:r>
            <w:r w:rsidRPr="00471DF8">
              <w:rPr>
                <w:sz w:val="28"/>
                <w:szCs w:val="28"/>
              </w:rPr>
              <w:t xml:space="preserve">mēnešos </w:t>
            </w:r>
            <w:r>
              <w:rPr>
                <w:sz w:val="28"/>
                <w:szCs w:val="28"/>
              </w:rPr>
              <w:t xml:space="preserve">šajā </w:t>
            </w:r>
            <w:r w:rsidRPr="00471DF8">
              <w:rPr>
                <w:sz w:val="28"/>
                <w:szCs w:val="28"/>
              </w:rPr>
              <w:t>e-pakalpojumā veikti 11 133 pieprasījumi.</w:t>
            </w:r>
          </w:p>
          <w:p w14:paraId="7F65EF5E" w14:textId="77777777" w:rsidR="00D10854" w:rsidRDefault="00D10854" w:rsidP="007A4953">
            <w:pPr>
              <w:ind w:firstLine="720"/>
              <w:jc w:val="both"/>
              <w:rPr>
                <w:sz w:val="28"/>
                <w:szCs w:val="28"/>
              </w:rPr>
            </w:pPr>
            <w:r>
              <w:rPr>
                <w:sz w:val="28"/>
                <w:szCs w:val="28"/>
              </w:rPr>
              <w:lastRenderedPageBreak/>
              <w:t xml:space="preserve">2014.gada 1.janvārī stājās spēkā „Sodu reģistra likums”, kurš </w:t>
            </w:r>
            <w:r w:rsidRPr="00471DF8">
              <w:rPr>
                <w:sz w:val="28"/>
                <w:szCs w:val="28"/>
              </w:rPr>
              <w:t>paredz</w:t>
            </w:r>
            <w:r>
              <w:rPr>
                <w:sz w:val="28"/>
                <w:szCs w:val="28"/>
              </w:rPr>
              <w:t>, ka e-p</w:t>
            </w:r>
            <w:r w:rsidRPr="00471DF8">
              <w:rPr>
                <w:sz w:val="28"/>
                <w:szCs w:val="28"/>
              </w:rPr>
              <w:t xml:space="preserve">akalpojuma darbības nodrošināšanai Sodu reģistrā </w:t>
            </w:r>
            <w:r>
              <w:rPr>
                <w:sz w:val="28"/>
                <w:szCs w:val="28"/>
              </w:rPr>
              <w:t xml:space="preserve">tiks uzkrātas </w:t>
            </w:r>
            <w:r w:rsidRPr="00471DF8">
              <w:rPr>
                <w:sz w:val="28"/>
                <w:szCs w:val="28"/>
              </w:rPr>
              <w:t>ziņas arī par piespiedu izpildei nodotām lietām</w:t>
            </w:r>
            <w:r>
              <w:rPr>
                <w:sz w:val="28"/>
                <w:szCs w:val="28"/>
              </w:rPr>
              <w:t xml:space="preserve"> un</w:t>
            </w:r>
            <w:r w:rsidRPr="00471DF8">
              <w:rPr>
                <w:sz w:val="28"/>
                <w:szCs w:val="28"/>
              </w:rPr>
              <w:t xml:space="preserve"> ziņas par konta numuriem, kuros iemaksājams naudas sods. Tomēr, ņemot vērā jau veiktos pasākumus</w:t>
            </w:r>
            <w:r>
              <w:rPr>
                <w:sz w:val="28"/>
                <w:szCs w:val="28"/>
              </w:rPr>
              <w:t>, kā arī</w:t>
            </w:r>
            <w:r w:rsidRPr="00471DF8">
              <w:rPr>
                <w:sz w:val="28"/>
                <w:szCs w:val="28"/>
              </w:rPr>
              <w:t xml:space="preserve"> izanalizējot </w:t>
            </w:r>
            <w:r w:rsidRPr="00AF527D">
              <w:rPr>
                <w:sz w:val="28"/>
                <w:szCs w:val="28"/>
              </w:rPr>
              <w:t>nei</w:t>
            </w:r>
            <w:r>
              <w:rPr>
                <w:sz w:val="28"/>
                <w:szCs w:val="28"/>
              </w:rPr>
              <w:t>denti</w:t>
            </w:r>
            <w:r w:rsidRPr="00AF527D">
              <w:rPr>
                <w:sz w:val="28"/>
                <w:szCs w:val="28"/>
              </w:rPr>
              <w:t>ficēto</w:t>
            </w:r>
            <w:r w:rsidRPr="00471DF8">
              <w:rPr>
                <w:sz w:val="28"/>
                <w:szCs w:val="28"/>
              </w:rPr>
              <w:t xml:space="preserve"> maksājumu </w:t>
            </w:r>
            <w:r>
              <w:rPr>
                <w:sz w:val="28"/>
                <w:szCs w:val="28"/>
              </w:rPr>
              <w:t xml:space="preserve">atsevišķos gadījumus un </w:t>
            </w:r>
            <w:r w:rsidRPr="00471DF8">
              <w:rPr>
                <w:sz w:val="28"/>
                <w:szCs w:val="28"/>
              </w:rPr>
              <w:t>statistiku,</w:t>
            </w:r>
            <w:r>
              <w:rPr>
                <w:sz w:val="28"/>
                <w:szCs w:val="28"/>
              </w:rPr>
              <w:t xml:space="preserve"> </w:t>
            </w:r>
            <w:r w:rsidRPr="00471DF8">
              <w:rPr>
                <w:sz w:val="28"/>
                <w:szCs w:val="28"/>
              </w:rPr>
              <w:t>jāsecina, ka šobrīd veiktie pasākumi</w:t>
            </w:r>
            <w:r>
              <w:rPr>
                <w:sz w:val="28"/>
                <w:szCs w:val="28"/>
              </w:rPr>
              <w:t xml:space="preserve"> nav bijuši</w:t>
            </w:r>
            <w:r w:rsidRPr="00471DF8">
              <w:rPr>
                <w:sz w:val="28"/>
                <w:szCs w:val="28"/>
              </w:rPr>
              <w:t xml:space="preserve"> pietiek</w:t>
            </w:r>
            <w:r>
              <w:rPr>
                <w:sz w:val="28"/>
                <w:szCs w:val="28"/>
              </w:rPr>
              <w:t>ami efektīvi</w:t>
            </w:r>
            <w:r w:rsidRPr="00471DF8">
              <w:rPr>
                <w:sz w:val="28"/>
                <w:szCs w:val="28"/>
              </w:rPr>
              <w:t xml:space="preserve"> un </w:t>
            </w:r>
            <w:r>
              <w:rPr>
                <w:sz w:val="28"/>
                <w:szCs w:val="28"/>
              </w:rPr>
              <w:t xml:space="preserve">ir </w:t>
            </w:r>
            <w:r w:rsidRPr="00471DF8">
              <w:rPr>
                <w:sz w:val="28"/>
                <w:szCs w:val="28"/>
              </w:rPr>
              <w:t>jāmeklē citi alternatīvi risinājum</w:t>
            </w:r>
            <w:r>
              <w:rPr>
                <w:sz w:val="28"/>
                <w:szCs w:val="28"/>
              </w:rPr>
              <w:t xml:space="preserve">i </w:t>
            </w:r>
            <w:r w:rsidRPr="00471DF8">
              <w:rPr>
                <w:sz w:val="28"/>
                <w:szCs w:val="28"/>
              </w:rPr>
              <w:t>maksājum</w:t>
            </w:r>
            <w:r>
              <w:rPr>
                <w:sz w:val="28"/>
                <w:szCs w:val="28"/>
              </w:rPr>
              <w:t>u</w:t>
            </w:r>
            <w:r w:rsidRPr="00471DF8">
              <w:rPr>
                <w:sz w:val="28"/>
                <w:szCs w:val="28"/>
              </w:rPr>
              <w:t xml:space="preserve"> identifikācijas iespēju paaugstināšanai.</w:t>
            </w:r>
          </w:p>
          <w:p w14:paraId="6F4B4484" w14:textId="4B08B789" w:rsidR="00594834" w:rsidRDefault="001D3192" w:rsidP="0032481E">
            <w:pPr>
              <w:jc w:val="both"/>
              <w:rPr>
                <w:sz w:val="28"/>
                <w:szCs w:val="28"/>
              </w:rPr>
            </w:pPr>
            <w:r w:rsidRPr="00B77AB6">
              <w:rPr>
                <w:sz w:val="28"/>
                <w:szCs w:val="28"/>
              </w:rPr>
              <w:t xml:space="preserve">Saskaņā ar Ministru kabineta 2005.gada 28.jūnija noteikumu Nr.484 „Administratīvā pārkāpuma protokola veidlapu un naudas soda kvīts veidlapu izgatavošanas un izmantošanas kārtība” 4.punktu, protokola numuru veido sērijas apzīmējums (divi latīņu alfabēta burti) un </w:t>
            </w:r>
            <w:proofErr w:type="spellStart"/>
            <w:r w:rsidRPr="00B77AB6">
              <w:rPr>
                <w:sz w:val="28"/>
                <w:szCs w:val="28"/>
              </w:rPr>
              <w:t>sešzīmju</w:t>
            </w:r>
            <w:proofErr w:type="spellEnd"/>
            <w:r w:rsidRPr="00B77AB6">
              <w:rPr>
                <w:sz w:val="28"/>
                <w:szCs w:val="28"/>
              </w:rPr>
              <w:t xml:space="preserve"> kārtas numurs, ko attiecīgajai iestādei piešķir </w:t>
            </w:r>
            <w:proofErr w:type="spellStart"/>
            <w:r w:rsidR="00C95A1B">
              <w:rPr>
                <w:sz w:val="28"/>
                <w:szCs w:val="28"/>
              </w:rPr>
              <w:t>Iekšlietu</w:t>
            </w:r>
            <w:proofErr w:type="spellEnd"/>
            <w:r w:rsidR="00C95A1B">
              <w:rPr>
                <w:sz w:val="28"/>
                <w:szCs w:val="28"/>
              </w:rPr>
              <w:t xml:space="preserve"> ministrijas Informācijas c</w:t>
            </w:r>
            <w:r w:rsidRPr="00B77AB6">
              <w:rPr>
                <w:sz w:val="28"/>
                <w:szCs w:val="28"/>
              </w:rPr>
              <w:t xml:space="preserve">entrs. </w:t>
            </w:r>
            <w:r w:rsidR="00B66FCB" w:rsidRPr="00B77AB6">
              <w:rPr>
                <w:sz w:val="28"/>
                <w:szCs w:val="28"/>
              </w:rPr>
              <w:t>Maksājumu datu apstrādes un identifikācijas procesa pilnveidošanai nepieciešams ieviest vienotu un strukturētu maksājuma identifikācijas risinājumu. Tā būtiskākais elements ir maksājuma identifikatora jeb strukturētās references ieviešana. Strukturētās references numurs tiks izveidots, par pamatu ņemot ISO 11649:2009 „</w:t>
            </w:r>
            <w:proofErr w:type="spellStart"/>
            <w:r w:rsidR="00B66FCB" w:rsidRPr="00B77AB6">
              <w:rPr>
                <w:sz w:val="28"/>
                <w:szCs w:val="28"/>
              </w:rPr>
              <w:t>Financial</w:t>
            </w:r>
            <w:proofErr w:type="spellEnd"/>
            <w:r w:rsidR="00B66FCB" w:rsidRPr="00B77AB6">
              <w:rPr>
                <w:sz w:val="28"/>
                <w:szCs w:val="28"/>
              </w:rPr>
              <w:t xml:space="preserve"> </w:t>
            </w:r>
            <w:proofErr w:type="spellStart"/>
            <w:r w:rsidR="00B66FCB" w:rsidRPr="00B77AB6">
              <w:rPr>
                <w:sz w:val="28"/>
                <w:szCs w:val="28"/>
              </w:rPr>
              <w:t>services</w:t>
            </w:r>
            <w:proofErr w:type="spellEnd"/>
            <w:r w:rsidR="00B66FCB" w:rsidRPr="00B77AB6">
              <w:rPr>
                <w:sz w:val="28"/>
                <w:szCs w:val="28"/>
              </w:rPr>
              <w:t xml:space="preserve">. </w:t>
            </w:r>
            <w:proofErr w:type="spellStart"/>
            <w:r w:rsidR="00B66FCB" w:rsidRPr="00B77AB6">
              <w:rPr>
                <w:sz w:val="28"/>
                <w:szCs w:val="28"/>
              </w:rPr>
              <w:t>Core</w:t>
            </w:r>
            <w:proofErr w:type="spellEnd"/>
            <w:r w:rsidR="00B66FCB" w:rsidRPr="00B77AB6">
              <w:rPr>
                <w:sz w:val="28"/>
                <w:szCs w:val="28"/>
              </w:rPr>
              <w:t xml:space="preserve"> </w:t>
            </w:r>
            <w:proofErr w:type="spellStart"/>
            <w:r w:rsidR="00B66FCB" w:rsidRPr="00B77AB6">
              <w:rPr>
                <w:sz w:val="28"/>
                <w:szCs w:val="28"/>
              </w:rPr>
              <w:t>banking</w:t>
            </w:r>
            <w:proofErr w:type="spellEnd"/>
            <w:r w:rsidR="00B66FCB" w:rsidRPr="00B77AB6">
              <w:rPr>
                <w:sz w:val="28"/>
                <w:szCs w:val="28"/>
              </w:rPr>
              <w:t xml:space="preserve">. </w:t>
            </w:r>
            <w:proofErr w:type="spellStart"/>
            <w:r w:rsidR="00B66FCB" w:rsidRPr="00B77AB6">
              <w:rPr>
                <w:sz w:val="28"/>
                <w:szCs w:val="28"/>
              </w:rPr>
              <w:t>Structured</w:t>
            </w:r>
            <w:proofErr w:type="spellEnd"/>
            <w:r w:rsidR="00B66FCB" w:rsidRPr="00B77AB6">
              <w:rPr>
                <w:sz w:val="28"/>
                <w:szCs w:val="28"/>
              </w:rPr>
              <w:t xml:space="preserve"> </w:t>
            </w:r>
            <w:proofErr w:type="spellStart"/>
            <w:r w:rsidR="00B66FCB" w:rsidRPr="00B77AB6">
              <w:rPr>
                <w:sz w:val="28"/>
                <w:szCs w:val="28"/>
              </w:rPr>
              <w:t>creditor</w:t>
            </w:r>
            <w:proofErr w:type="spellEnd"/>
            <w:r w:rsidR="00B66FCB" w:rsidRPr="00B77AB6">
              <w:rPr>
                <w:sz w:val="28"/>
                <w:szCs w:val="28"/>
              </w:rPr>
              <w:t xml:space="preserve"> reference to </w:t>
            </w:r>
            <w:proofErr w:type="spellStart"/>
            <w:r w:rsidR="00B66FCB" w:rsidRPr="00B77AB6">
              <w:rPr>
                <w:sz w:val="28"/>
                <w:szCs w:val="28"/>
              </w:rPr>
              <w:t>remittance</w:t>
            </w:r>
            <w:proofErr w:type="spellEnd"/>
            <w:r w:rsidR="00B66FCB" w:rsidRPr="00B77AB6">
              <w:rPr>
                <w:sz w:val="28"/>
                <w:szCs w:val="28"/>
              </w:rPr>
              <w:t xml:space="preserve"> </w:t>
            </w:r>
            <w:proofErr w:type="spellStart"/>
            <w:r w:rsidR="00B66FCB" w:rsidRPr="00B77AB6">
              <w:rPr>
                <w:sz w:val="28"/>
                <w:szCs w:val="28"/>
              </w:rPr>
              <w:t>information</w:t>
            </w:r>
            <w:proofErr w:type="spellEnd"/>
            <w:r w:rsidR="00B66FCB" w:rsidRPr="00B77AB6">
              <w:rPr>
                <w:sz w:val="28"/>
                <w:szCs w:val="28"/>
              </w:rPr>
              <w:t>” standartu</w:t>
            </w:r>
            <w:r w:rsidR="00C95A1B">
              <w:rPr>
                <w:sz w:val="28"/>
                <w:szCs w:val="28"/>
              </w:rPr>
              <w:t xml:space="preserve"> </w:t>
            </w:r>
            <w:r w:rsidR="00C95A1B" w:rsidRPr="00B77AB6">
              <w:rPr>
                <w:sz w:val="28"/>
                <w:szCs w:val="28"/>
              </w:rPr>
              <w:t>(turpmāk – ISO 11649:2009 standarts)</w:t>
            </w:r>
            <w:r w:rsidR="00B66FCB" w:rsidRPr="00B77AB6">
              <w:rPr>
                <w:sz w:val="28"/>
                <w:szCs w:val="28"/>
              </w:rPr>
              <w:t>, kuru izmanto maksājumu pakalpojumu sniedzēji maksājuma strukturētā mērķa kodificēšanai.</w:t>
            </w:r>
            <w:r w:rsidRPr="00B77AB6">
              <w:rPr>
                <w:sz w:val="28"/>
                <w:szCs w:val="28"/>
              </w:rPr>
              <w:t xml:space="preserve"> </w:t>
            </w:r>
            <w:r w:rsidR="00B66FCB" w:rsidRPr="00B77AB6">
              <w:rPr>
                <w:sz w:val="28"/>
                <w:szCs w:val="28"/>
              </w:rPr>
              <w:t>Strukturētā reference satur kontrolskaitļus, kas nodrošina to, lai nekorekti aizpildīts maksājums netiktu pieņemts izpildei maksājumu pakalpojumu sniedzēja iestādē. Ieviešot strukturēto referenci, esošais protokola numurs tiks papildināts ar diviem burtiem RF pirms protokola numura sērijas apzīmējuma un ar diviem kontrolcipariem. Līdz ar to</w:t>
            </w:r>
            <w:r w:rsidRPr="00B77AB6">
              <w:rPr>
                <w:sz w:val="28"/>
                <w:szCs w:val="28"/>
              </w:rPr>
              <w:t xml:space="preserve"> tiks </w:t>
            </w:r>
            <w:r w:rsidR="00B66FCB" w:rsidRPr="00B77AB6">
              <w:rPr>
                <w:sz w:val="28"/>
                <w:szCs w:val="28"/>
              </w:rPr>
              <w:t>mainīt</w:t>
            </w:r>
            <w:r w:rsidRPr="00B77AB6">
              <w:rPr>
                <w:sz w:val="28"/>
                <w:szCs w:val="28"/>
              </w:rPr>
              <w:t>a</w:t>
            </w:r>
            <w:r w:rsidR="00B66FCB" w:rsidRPr="00B77AB6">
              <w:rPr>
                <w:sz w:val="28"/>
                <w:szCs w:val="28"/>
              </w:rPr>
              <w:t xml:space="preserve"> protokola numura izveidošanas </w:t>
            </w:r>
            <w:r w:rsidRPr="00B77AB6">
              <w:rPr>
                <w:sz w:val="28"/>
                <w:szCs w:val="28"/>
              </w:rPr>
              <w:t xml:space="preserve">kārtība, saglabājot centram tiesības </w:t>
            </w:r>
            <w:r w:rsidR="00B66FCB" w:rsidRPr="00B77AB6">
              <w:rPr>
                <w:sz w:val="28"/>
                <w:szCs w:val="28"/>
              </w:rPr>
              <w:t>piešķirt</w:t>
            </w:r>
            <w:r w:rsidR="00B66FCB" w:rsidRPr="00B77AB6" w:rsidDel="008D2CD7">
              <w:rPr>
                <w:sz w:val="28"/>
                <w:szCs w:val="28"/>
              </w:rPr>
              <w:t xml:space="preserve"> </w:t>
            </w:r>
            <w:r w:rsidR="00B66FCB" w:rsidRPr="00B77AB6">
              <w:rPr>
                <w:sz w:val="28"/>
                <w:szCs w:val="28"/>
              </w:rPr>
              <w:t>jaunās strukturētās references numurus.</w:t>
            </w:r>
          </w:p>
          <w:p w14:paraId="3B7890D3" w14:textId="0666B1C6" w:rsidR="00594834" w:rsidRDefault="00594834" w:rsidP="0032481E">
            <w:pPr>
              <w:jc w:val="both"/>
              <w:rPr>
                <w:sz w:val="28"/>
                <w:szCs w:val="28"/>
              </w:rPr>
            </w:pPr>
            <w:r>
              <w:rPr>
                <w:sz w:val="28"/>
                <w:szCs w:val="28"/>
              </w:rPr>
              <w:lastRenderedPageBreak/>
              <w:t>Vienlaic</w:t>
            </w:r>
            <w:r w:rsidR="00AF6AED">
              <w:rPr>
                <w:sz w:val="28"/>
                <w:szCs w:val="28"/>
              </w:rPr>
              <w:t>īgi administrat</w:t>
            </w:r>
            <w:r w:rsidR="00D80288">
              <w:rPr>
                <w:sz w:val="28"/>
                <w:szCs w:val="28"/>
              </w:rPr>
              <w:t>īvo pārkāpumu lietās izmantojamo</w:t>
            </w:r>
            <w:r w:rsidR="00AF6AED">
              <w:rPr>
                <w:sz w:val="28"/>
                <w:szCs w:val="28"/>
              </w:rPr>
              <w:t xml:space="preserve"> dokumentu veidlapās tiks definēti </w:t>
            </w:r>
            <w:r w:rsidR="001F3F6A">
              <w:rPr>
                <w:sz w:val="28"/>
                <w:szCs w:val="28"/>
              </w:rPr>
              <w:t>maksājumu uzdevuma obligātie rekvizīti</w:t>
            </w:r>
            <w:r w:rsidR="00627CE9">
              <w:rPr>
                <w:sz w:val="28"/>
                <w:szCs w:val="28"/>
              </w:rPr>
              <w:t>.</w:t>
            </w:r>
          </w:p>
          <w:p w14:paraId="0E9BCBF2" w14:textId="77777777" w:rsidR="000E309B" w:rsidRDefault="00594834" w:rsidP="000E309B">
            <w:pPr>
              <w:jc w:val="both"/>
              <w:rPr>
                <w:sz w:val="28"/>
                <w:szCs w:val="28"/>
              </w:rPr>
            </w:pPr>
            <w:r>
              <w:rPr>
                <w:sz w:val="28"/>
                <w:szCs w:val="28"/>
              </w:rPr>
              <w:t>P</w:t>
            </w:r>
            <w:r w:rsidR="00871B81" w:rsidRPr="00104D50">
              <w:rPr>
                <w:sz w:val="28"/>
                <w:szCs w:val="28"/>
              </w:rPr>
              <w:t>rojekt</w:t>
            </w:r>
            <w:r w:rsidR="00361411">
              <w:rPr>
                <w:sz w:val="28"/>
                <w:szCs w:val="28"/>
              </w:rPr>
              <w:t>s</w:t>
            </w:r>
            <w:r w:rsidR="00871B81" w:rsidRPr="00104D50">
              <w:rPr>
                <w:sz w:val="28"/>
                <w:szCs w:val="28"/>
              </w:rPr>
              <w:t xml:space="preserve"> paredz</w:t>
            </w:r>
            <w:r w:rsidR="00361411">
              <w:rPr>
                <w:sz w:val="28"/>
                <w:szCs w:val="28"/>
              </w:rPr>
              <w:t>:</w:t>
            </w:r>
          </w:p>
          <w:p w14:paraId="149EE7C5" w14:textId="345359E5" w:rsidR="000E309B" w:rsidRPr="000E309B" w:rsidRDefault="000E309B" w:rsidP="000E309B">
            <w:pPr>
              <w:jc w:val="both"/>
              <w:rPr>
                <w:sz w:val="28"/>
                <w:szCs w:val="28"/>
              </w:rPr>
            </w:pPr>
            <w:r>
              <w:rPr>
                <w:sz w:val="28"/>
                <w:szCs w:val="28"/>
              </w:rPr>
              <w:t xml:space="preserve">- </w:t>
            </w:r>
            <w:r w:rsidR="0074388A">
              <w:rPr>
                <w:color w:val="000000"/>
                <w:sz w:val="28"/>
                <w:szCs w:val="28"/>
              </w:rPr>
              <w:t xml:space="preserve">svītrot visas normas, kuras saistītas ar administratīvā pārkāpuma naudas soda kvītīm, jo </w:t>
            </w:r>
            <w:r w:rsidR="00B159C8">
              <w:rPr>
                <w:color w:val="000000"/>
                <w:sz w:val="28"/>
                <w:szCs w:val="28"/>
              </w:rPr>
              <w:t>Saeimā 2016.gada 18.februārī tika pieņemti grozījumi kodeksā, kuri stājās spēkā 2016.gada 23.martā. Saskaņā ar kodeksa Pārejas noteikumu 30.punktu ar 2016.gada 1.septembri no kodeksa ir izslēgts administratīvo pārkāpu</w:t>
            </w:r>
            <w:r>
              <w:rPr>
                <w:color w:val="000000"/>
                <w:sz w:val="28"/>
                <w:szCs w:val="28"/>
              </w:rPr>
              <w:t xml:space="preserve">mu naudas soda </w:t>
            </w:r>
            <w:proofErr w:type="spellStart"/>
            <w:r>
              <w:rPr>
                <w:color w:val="000000"/>
                <w:sz w:val="28"/>
                <w:szCs w:val="28"/>
              </w:rPr>
              <w:t>kvīšu</w:t>
            </w:r>
            <w:proofErr w:type="spellEnd"/>
            <w:r>
              <w:rPr>
                <w:color w:val="000000"/>
                <w:sz w:val="28"/>
                <w:szCs w:val="28"/>
              </w:rPr>
              <w:t xml:space="preserve"> institūts.</w:t>
            </w:r>
          </w:p>
          <w:p w14:paraId="6EABB880" w14:textId="3AC9BCBF" w:rsidR="000E309B" w:rsidRDefault="000E309B" w:rsidP="000E309B">
            <w:pPr>
              <w:tabs>
                <w:tab w:val="left" w:pos="190"/>
                <w:tab w:val="left" w:pos="404"/>
              </w:tabs>
              <w:jc w:val="both"/>
              <w:rPr>
                <w:color w:val="000000"/>
                <w:sz w:val="28"/>
                <w:szCs w:val="28"/>
              </w:rPr>
            </w:pPr>
            <w:r>
              <w:rPr>
                <w:color w:val="000000"/>
                <w:sz w:val="28"/>
                <w:szCs w:val="28"/>
              </w:rPr>
              <w:t xml:space="preserve">-  </w:t>
            </w:r>
            <w:bookmarkStart w:id="0" w:name="_GoBack"/>
            <w:bookmarkEnd w:id="0"/>
            <w:r w:rsidR="0032481E">
              <w:rPr>
                <w:sz w:val="28"/>
                <w:szCs w:val="28"/>
              </w:rPr>
              <w:t>precizēt standartizētu administratīvo pārkāpumu protokolu numuru piešķiršanas kārtību</w:t>
            </w:r>
            <w:r w:rsidR="00E34BD0">
              <w:rPr>
                <w:sz w:val="28"/>
                <w:szCs w:val="28"/>
              </w:rPr>
              <w:t>;</w:t>
            </w:r>
          </w:p>
          <w:p w14:paraId="7EDD7913" w14:textId="2C3348EF" w:rsidR="00FB21ED" w:rsidRPr="000E309B" w:rsidRDefault="000E309B" w:rsidP="000E309B">
            <w:pPr>
              <w:tabs>
                <w:tab w:val="left" w:pos="404"/>
              </w:tabs>
              <w:jc w:val="both"/>
              <w:rPr>
                <w:color w:val="000000"/>
                <w:sz w:val="28"/>
                <w:szCs w:val="28"/>
              </w:rPr>
            </w:pPr>
            <w:r>
              <w:rPr>
                <w:color w:val="000000"/>
                <w:sz w:val="28"/>
                <w:szCs w:val="28"/>
              </w:rPr>
              <w:t xml:space="preserve">- </w:t>
            </w:r>
            <w:r w:rsidR="0032481E">
              <w:rPr>
                <w:sz w:val="28"/>
                <w:szCs w:val="28"/>
              </w:rPr>
              <w:t>noteikt administratīvo pārkāpumu lietās izmantojamo dokumentu veidlapās obligāti iekļaujamos naudas soda maksājuma rekvizītus, tajos obligāti norādāmo informāciju un samaksas veidus</w:t>
            </w:r>
            <w:r w:rsidR="0032481E" w:rsidRPr="008C2B20">
              <w:rPr>
                <w:sz w:val="28"/>
                <w:szCs w:val="28"/>
              </w:rPr>
              <w:t>.</w:t>
            </w:r>
            <w:r w:rsidR="00FB21ED">
              <w:rPr>
                <w:sz w:val="28"/>
                <w:szCs w:val="28"/>
              </w:rPr>
              <w:t xml:space="preserve"> </w:t>
            </w:r>
            <w:r w:rsidR="00FB21ED" w:rsidRPr="00FB21ED">
              <w:rPr>
                <w:color w:val="000000"/>
                <w:sz w:val="28"/>
                <w:szCs w:val="28"/>
              </w:rPr>
              <w:t>Saskaņā ar Latvijas Administratīvo pārkāpumu kodeksa 276.</w:t>
            </w:r>
            <w:r w:rsidR="00FB21ED" w:rsidRPr="00FB21ED">
              <w:rPr>
                <w:color w:val="000000"/>
                <w:sz w:val="28"/>
                <w:szCs w:val="28"/>
                <w:vertAlign w:val="superscript"/>
              </w:rPr>
              <w:t>1</w:t>
            </w:r>
            <w:r w:rsidR="00FB21ED" w:rsidRPr="00FB21ED">
              <w:rPr>
                <w:color w:val="000000"/>
                <w:sz w:val="28"/>
                <w:szCs w:val="28"/>
              </w:rPr>
              <w:t>pantu ar 2016.gada 1.septembri, administratīvā pārkāpuma protokola lēmuma daļā norādāma informācija arī par nosacītu daļēju atbrīvošanu no naudas soda samaksas.</w:t>
            </w:r>
          </w:p>
          <w:p w14:paraId="50B34C3C" w14:textId="2045A15D" w:rsidR="00FB21ED" w:rsidRPr="00FB21ED" w:rsidRDefault="00FB21ED" w:rsidP="00FB21ED">
            <w:pPr>
              <w:jc w:val="both"/>
              <w:rPr>
                <w:sz w:val="28"/>
                <w:szCs w:val="28"/>
              </w:rPr>
            </w:pPr>
            <w:r w:rsidRPr="00FB21ED">
              <w:rPr>
                <w:sz w:val="28"/>
                <w:szCs w:val="28"/>
              </w:rPr>
              <w:t>Saskaņā ar Ministru kabineta 2009.gada 9.februāra noteikumu Nr.108 “Normatīvo aktu sagatavošanas noteikumi” 140.punktu, ir nepieciešams izdot jaunu normatīvo aktu, ja grozāmo normu apjoms pārsniedz pusi no spēkā esošo noteikumu normu apjoma.</w:t>
            </w:r>
          </w:p>
          <w:p w14:paraId="44EDEB49" w14:textId="18945F27" w:rsidR="00215C89" w:rsidRDefault="00215C89" w:rsidP="00445635">
            <w:pPr>
              <w:jc w:val="both"/>
              <w:rPr>
                <w:sz w:val="28"/>
                <w:szCs w:val="28"/>
              </w:rPr>
            </w:pPr>
            <w:r>
              <w:rPr>
                <w:sz w:val="28"/>
                <w:szCs w:val="28"/>
              </w:rPr>
              <w:t xml:space="preserve">Projekta spēkā stāšanās datums </w:t>
            </w:r>
            <w:r w:rsidRPr="00215C89">
              <w:rPr>
                <w:sz w:val="28"/>
                <w:szCs w:val="28"/>
              </w:rPr>
              <w:t xml:space="preserve">noteikts </w:t>
            </w:r>
            <w:r w:rsidR="00037783" w:rsidRPr="00037783">
              <w:rPr>
                <w:sz w:val="28"/>
                <w:szCs w:val="28"/>
              </w:rPr>
              <w:t>201</w:t>
            </w:r>
            <w:r w:rsidR="00C95A1B">
              <w:rPr>
                <w:sz w:val="28"/>
                <w:szCs w:val="28"/>
              </w:rPr>
              <w:t>6</w:t>
            </w:r>
            <w:r w:rsidRPr="00037783">
              <w:rPr>
                <w:sz w:val="28"/>
                <w:szCs w:val="28"/>
              </w:rPr>
              <w:t>.gada 1.</w:t>
            </w:r>
            <w:r w:rsidR="00C95A1B">
              <w:rPr>
                <w:sz w:val="28"/>
                <w:szCs w:val="28"/>
              </w:rPr>
              <w:t>septembris</w:t>
            </w:r>
            <w:r w:rsidRPr="00047EDA">
              <w:rPr>
                <w:sz w:val="28"/>
                <w:szCs w:val="28"/>
              </w:rPr>
              <w:t xml:space="preserve">. </w:t>
            </w:r>
            <w:r w:rsidR="00445635">
              <w:rPr>
                <w:sz w:val="28"/>
                <w:szCs w:val="28"/>
              </w:rPr>
              <w:t xml:space="preserve">Pārejas periodā, no projekta spēkā stāšanās dienas 2016.gada 1.septembrī, valsts tiešās pārvaldes iestādes un pašvaldības izmantos atlikušās tipogrāfiski iespiestās administratīvā pārkāpuma protokola veidlapas, bet sākot ar 2018.gada 1.martu administratīvā pārkāpuma protokola veidlapas tikai ar references numuriem. </w:t>
            </w:r>
            <w:r w:rsidR="00C95A1B">
              <w:rPr>
                <w:sz w:val="28"/>
                <w:szCs w:val="28"/>
              </w:rPr>
              <w:t xml:space="preserve"> Ātrāk par 2018.gada 1.martu nav iespējams ieviest references numurus, jo nepieciešams finansējums projekta realizācijai.</w:t>
            </w:r>
          </w:p>
          <w:p w14:paraId="5312E6D1" w14:textId="5554F48D" w:rsidR="009C1E21" w:rsidRPr="009C1E21" w:rsidRDefault="009C1E21" w:rsidP="00333E8B">
            <w:pPr>
              <w:tabs>
                <w:tab w:val="left" w:pos="154"/>
                <w:tab w:val="left" w:pos="296"/>
              </w:tabs>
              <w:jc w:val="both"/>
              <w:rPr>
                <w:sz w:val="28"/>
                <w:szCs w:val="28"/>
              </w:rPr>
            </w:pPr>
            <w:r w:rsidRPr="00FF085C">
              <w:rPr>
                <w:sz w:val="28"/>
                <w:szCs w:val="28"/>
              </w:rPr>
              <w:lastRenderedPageBreak/>
              <w:t>Ātrāka noteikumu spēkā stāšanās nav iespējama arī tādēļ, lai iestādēm būtu iespējams izlietot jau tipogrāfiski pasūtītās vecā parauga administratīvā pārkāpuma protokolu veidlapas un pasūtīt jaunas.</w:t>
            </w:r>
            <w:r w:rsidR="003958A6">
              <w:rPr>
                <w:sz w:val="28"/>
                <w:szCs w:val="28"/>
              </w:rPr>
              <w:t xml:space="preserve"> </w:t>
            </w:r>
            <w:r w:rsidR="003958A6" w:rsidRPr="00C64A38">
              <w:rPr>
                <w:sz w:val="28"/>
                <w:szCs w:val="28"/>
              </w:rPr>
              <w:t xml:space="preserve">Ar 2018.gada 1.martu valsts pārvaldes iestādes un pašvaldības, ja </w:t>
            </w:r>
            <w:proofErr w:type="spellStart"/>
            <w:r w:rsidR="003958A6" w:rsidRPr="00C64A38">
              <w:rPr>
                <w:sz w:val="28"/>
                <w:szCs w:val="28"/>
              </w:rPr>
              <w:t>Iekšlietu</w:t>
            </w:r>
            <w:proofErr w:type="spellEnd"/>
            <w:r w:rsidR="003958A6" w:rsidRPr="00C64A38">
              <w:rPr>
                <w:sz w:val="28"/>
                <w:szCs w:val="28"/>
              </w:rPr>
              <w:t xml:space="preserve"> ministrijai (</w:t>
            </w:r>
            <w:proofErr w:type="spellStart"/>
            <w:r w:rsidR="003958A6" w:rsidRPr="00C64A38">
              <w:rPr>
                <w:sz w:val="28"/>
                <w:szCs w:val="28"/>
              </w:rPr>
              <w:t>Iekšlietu</w:t>
            </w:r>
            <w:proofErr w:type="spellEnd"/>
            <w:r w:rsidR="003958A6" w:rsidRPr="00C64A38">
              <w:rPr>
                <w:sz w:val="28"/>
                <w:szCs w:val="28"/>
              </w:rPr>
              <w:t xml:space="preserve"> ministrijas Informācijas centram) tiks piešķirts nepieciešamais finansējums projekta realizācijai, izmantos protokola veidlapas tikai ar strukturēto administratīvā pārkāpuma  protokola numuru. Pēc projekta spēkā stāšanās valsts pārvaldes iestādes un pašvaldības veic atlikumā esošo administratīvā pārkāpuma protokola tipogrāfiski iespiesto veidlapu iznīcināšanu.</w:t>
            </w:r>
          </w:p>
          <w:p w14:paraId="266BDF34" w14:textId="0BA3EE5A" w:rsidR="00333E8B" w:rsidRPr="008F133E" w:rsidRDefault="00333E8B" w:rsidP="00FF085C">
            <w:pPr>
              <w:tabs>
                <w:tab w:val="left" w:pos="154"/>
                <w:tab w:val="left" w:pos="296"/>
              </w:tabs>
              <w:jc w:val="both"/>
              <w:rPr>
                <w:color w:val="000000"/>
                <w:sz w:val="28"/>
                <w:szCs w:val="28"/>
                <w:shd w:val="clear" w:color="auto" w:fill="FFFFFF"/>
              </w:rPr>
            </w:pPr>
            <w:r w:rsidRPr="000A2ECF">
              <w:rPr>
                <w:sz w:val="28"/>
                <w:szCs w:val="28"/>
              </w:rPr>
              <w:t xml:space="preserve">Lai īstenotu strukturētās references tehnisko risinājumu, nepieciešams veikt izmaiņas </w:t>
            </w:r>
            <w:r w:rsidR="00A740F4">
              <w:rPr>
                <w:sz w:val="28"/>
                <w:szCs w:val="28"/>
              </w:rPr>
              <w:t>Sodu reģistra</w:t>
            </w:r>
            <w:r w:rsidR="00037783">
              <w:rPr>
                <w:sz w:val="28"/>
                <w:szCs w:val="28"/>
              </w:rPr>
              <w:t xml:space="preserve"> </w:t>
            </w:r>
            <w:r w:rsidRPr="000A2ECF">
              <w:rPr>
                <w:sz w:val="28"/>
                <w:szCs w:val="28"/>
              </w:rPr>
              <w:t xml:space="preserve">programmatūrā – </w:t>
            </w:r>
            <w:r w:rsidRPr="000A2ECF">
              <w:rPr>
                <w:color w:val="000000"/>
                <w:sz w:val="28"/>
                <w:szCs w:val="28"/>
                <w:shd w:val="clear" w:color="auto" w:fill="FFFFFF"/>
              </w:rPr>
              <w:t xml:space="preserve">izmaiņas informācijas ievades, meklēšanas, izdruku un atskaišu formās, datu procedūru papildināšanu, lai nodrošinātu ziņu nodošanu uz citām </w:t>
            </w:r>
            <w:r w:rsidR="00A740F4">
              <w:rPr>
                <w:color w:val="000000"/>
                <w:sz w:val="28"/>
                <w:szCs w:val="28"/>
                <w:shd w:val="clear" w:color="auto" w:fill="FFFFFF"/>
              </w:rPr>
              <w:t xml:space="preserve">valsts </w:t>
            </w:r>
            <w:r w:rsidRPr="000A2ECF">
              <w:rPr>
                <w:color w:val="000000"/>
                <w:sz w:val="28"/>
                <w:szCs w:val="28"/>
                <w:shd w:val="clear" w:color="auto" w:fill="FFFFFF"/>
              </w:rPr>
              <w:t xml:space="preserve">informācijas sistēmām, izmaiņas </w:t>
            </w:r>
            <w:r w:rsidR="00A740F4">
              <w:rPr>
                <w:color w:val="000000"/>
                <w:sz w:val="28"/>
                <w:szCs w:val="28"/>
                <w:shd w:val="clear" w:color="auto" w:fill="FFFFFF"/>
              </w:rPr>
              <w:t>datu apmaiņas procedūrās</w:t>
            </w:r>
            <w:r w:rsidR="00037783">
              <w:rPr>
                <w:color w:val="000000"/>
                <w:sz w:val="28"/>
                <w:szCs w:val="28"/>
                <w:shd w:val="clear" w:color="auto" w:fill="FFFFFF"/>
              </w:rPr>
              <w:t>. Izmaiņu veikšanai nepieciešamais finansējums</w:t>
            </w:r>
            <w:r w:rsidRPr="000A2ECF">
              <w:rPr>
                <w:color w:val="000000"/>
                <w:sz w:val="28"/>
                <w:szCs w:val="28"/>
                <w:shd w:val="clear" w:color="auto" w:fill="FFFFFF"/>
              </w:rPr>
              <w:t xml:space="preserve"> </w:t>
            </w:r>
            <w:r w:rsidR="008F133E" w:rsidRPr="008F133E">
              <w:rPr>
                <w:color w:val="000000"/>
                <w:sz w:val="28"/>
                <w:szCs w:val="28"/>
                <w:shd w:val="clear" w:color="auto" w:fill="FFFFFF"/>
              </w:rPr>
              <w:t>199 600</w:t>
            </w:r>
            <w:r w:rsidRPr="008F133E">
              <w:rPr>
                <w:color w:val="000000"/>
                <w:sz w:val="28"/>
                <w:szCs w:val="28"/>
                <w:shd w:val="clear" w:color="auto" w:fill="FFFFFF"/>
              </w:rPr>
              <w:t xml:space="preserve"> </w:t>
            </w:r>
            <w:proofErr w:type="spellStart"/>
            <w:r w:rsidRPr="008F133E">
              <w:rPr>
                <w:i/>
                <w:color w:val="000000"/>
                <w:sz w:val="28"/>
                <w:szCs w:val="28"/>
                <w:shd w:val="clear" w:color="auto" w:fill="FFFFFF"/>
              </w:rPr>
              <w:t>euro</w:t>
            </w:r>
            <w:proofErr w:type="spellEnd"/>
            <w:r w:rsidRPr="008F133E">
              <w:rPr>
                <w:color w:val="000000"/>
                <w:sz w:val="28"/>
                <w:szCs w:val="28"/>
                <w:shd w:val="clear" w:color="auto" w:fill="FFFFFF"/>
              </w:rPr>
              <w:t xml:space="preserve"> (</w:t>
            </w:r>
            <w:r w:rsidR="008F133E" w:rsidRPr="008F133E">
              <w:rPr>
                <w:color w:val="000000"/>
                <w:sz w:val="28"/>
                <w:szCs w:val="28"/>
                <w:shd w:val="clear" w:color="auto" w:fill="FFFFFF"/>
              </w:rPr>
              <w:t>400</w:t>
            </w:r>
            <w:r w:rsidRPr="008F133E">
              <w:rPr>
                <w:color w:val="000000"/>
                <w:sz w:val="28"/>
                <w:szCs w:val="28"/>
                <w:shd w:val="clear" w:color="auto" w:fill="FFFFFF"/>
              </w:rPr>
              <w:t xml:space="preserve"> cilvēkdienas x </w:t>
            </w:r>
            <w:r w:rsidR="008F133E" w:rsidRPr="008F133E">
              <w:rPr>
                <w:color w:val="000000"/>
                <w:sz w:val="28"/>
                <w:szCs w:val="28"/>
                <w:shd w:val="clear" w:color="auto" w:fill="FFFFFF"/>
              </w:rPr>
              <w:t>499</w:t>
            </w:r>
            <w:r w:rsidRPr="008F133E">
              <w:rPr>
                <w:color w:val="000000"/>
                <w:sz w:val="28"/>
                <w:szCs w:val="28"/>
                <w:shd w:val="clear" w:color="auto" w:fill="FFFFFF"/>
              </w:rPr>
              <w:t xml:space="preserve"> </w:t>
            </w:r>
            <w:proofErr w:type="spellStart"/>
            <w:r w:rsidRPr="008F133E">
              <w:rPr>
                <w:i/>
                <w:color w:val="000000"/>
                <w:sz w:val="28"/>
                <w:szCs w:val="28"/>
                <w:shd w:val="clear" w:color="auto" w:fill="FFFFFF"/>
              </w:rPr>
              <w:t>euro</w:t>
            </w:r>
            <w:proofErr w:type="spellEnd"/>
            <w:r w:rsidR="00C17FE2" w:rsidRPr="008F133E">
              <w:rPr>
                <w:color w:val="000000"/>
                <w:sz w:val="28"/>
                <w:szCs w:val="28"/>
                <w:shd w:val="clear" w:color="auto" w:fill="FFFFFF"/>
              </w:rPr>
              <w:t>),</w:t>
            </w:r>
            <w:r w:rsidR="00037783" w:rsidRPr="008F133E">
              <w:rPr>
                <w:color w:val="000000"/>
                <w:sz w:val="28"/>
                <w:szCs w:val="28"/>
                <w:shd w:val="clear" w:color="auto" w:fill="FFFFFF"/>
              </w:rPr>
              <w:t xml:space="preserve"> apmērā</w:t>
            </w:r>
            <w:r w:rsidR="00C17FE2" w:rsidRPr="008F133E">
              <w:rPr>
                <w:color w:val="000000"/>
                <w:sz w:val="28"/>
                <w:szCs w:val="28"/>
                <w:shd w:val="clear" w:color="auto" w:fill="FFFFFF"/>
              </w:rPr>
              <w:t>.</w:t>
            </w:r>
          </w:p>
          <w:p w14:paraId="2CBEB519" w14:textId="196491CB" w:rsidR="00333E8B" w:rsidRDefault="00333E8B" w:rsidP="00333E8B">
            <w:pPr>
              <w:tabs>
                <w:tab w:val="left" w:pos="154"/>
                <w:tab w:val="left" w:pos="296"/>
              </w:tabs>
              <w:jc w:val="both"/>
              <w:rPr>
                <w:color w:val="000000"/>
                <w:sz w:val="28"/>
                <w:szCs w:val="28"/>
              </w:rPr>
            </w:pPr>
            <w:r w:rsidRPr="008F133E">
              <w:rPr>
                <w:color w:val="000000"/>
                <w:sz w:val="28"/>
                <w:szCs w:val="28"/>
                <w:shd w:val="clear" w:color="auto" w:fill="FFFFFF"/>
              </w:rPr>
              <w:t>Lai p</w:t>
            </w:r>
            <w:r w:rsidRPr="008F133E">
              <w:rPr>
                <w:sz w:val="28"/>
                <w:szCs w:val="28"/>
              </w:rPr>
              <w:t>apildinātu Sodu reģistr</w:t>
            </w:r>
            <w:r w:rsidR="00A740F4" w:rsidRPr="008F133E">
              <w:rPr>
                <w:sz w:val="28"/>
                <w:szCs w:val="28"/>
              </w:rPr>
              <w:t>a</w:t>
            </w:r>
            <w:r w:rsidRPr="008F133E">
              <w:rPr>
                <w:sz w:val="28"/>
                <w:szCs w:val="28"/>
              </w:rPr>
              <w:t xml:space="preserve"> un e-pakalpojuma „Administratīvo sodu pārbaude un nomaksa” programmatūras funkcionalitāti, </w:t>
            </w:r>
            <w:r w:rsidRPr="008F133E">
              <w:rPr>
                <w:color w:val="000000"/>
                <w:sz w:val="28"/>
                <w:szCs w:val="28"/>
              </w:rPr>
              <w:t>izmaiņu veikšanai nepieciešams</w:t>
            </w:r>
            <w:r w:rsidR="00A740F4" w:rsidRPr="008F133E">
              <w:rPr>
                <w:color w:val="000000"/>
                <w:sz w:val="28"/>
                <w:szCs w:val="28"/>
              </w:rPr>
              <w:t xml:space="preserve"> </w:t>
            </w:r>
            <w:r w:rsidRPr="008F133E">
              <w:rPr>
                <w:color w:val="000000"/>
                <w:sz w:val="28"/>
                <w:szCs w:val="28"/>
              </w:rPr>
              <w:t xml:space="preserve">finansējums </w:t>
            </w:r>
            <w:r w:rsidR="008F133E" w:rsidRPr="008F133E">
              <w:rPr>
                <w:color w:val="000000"/>
                <w:sz w:val="28"/>
                <w:szCs w:val="28"/>
              </w:rPr>
              <w:t>47 405</w:t>
            </w:r>
            <w:r w:rsidRPr="008F133E">
              <w:rPr>
                <w:color w:val="000000"/>
                <w:sz w:val="28"/>
                <w:szCs w:val="28"/>
              </w:rPr>
              <w:t xml:space="preserve"> </w:t>
            </w:r>
            <w:proofErr w:type="spellStart"/>
            <w:r w:rsidRPr="008F133E">
              <w:rPr>
                <w:i/>
                <w:color w:val="000000"/>
                <w:sz w:val="28"/>
                <w:szCs w:val="28"/>
              </w:rPr>
              <w:t>euro</w:t>
            </w:r>
            <w:proofErr w:type="spellEnd"/>
            <w:r w:rsidRPr="008F133E">
              <w:rPr>
                <w:color w:val="000000"/>
                <w:sz w:val="28"/>
                <w:szCs w:val="28"/>
              </w:rPr>
              <w:t xml:space="preserve"> (</w:t>
            </w:r>
            <w:r w:rsidR="008F133E" w:rsidRPr="008F133E">
              <w:rPr>
                <w:color w:val="000000"/>
                <w:sz w:val="28"/>
                <w:szCs w:val="28"/>
              </w:rPr>
              <w:t>95</w:t>
            </w:r>
            <w:r w:rsidRPr="008F133E">
              <w:rPr>
                <w:color w:val="000000"/>
                <w:sz w:val="28"/>
                <w:szCs w:val="28"/>
              </w:rPr>
              <w:t xml:space="preserve"> cilvēkdienas x </w:t>
            </w:r>
            <w:r w:rsidR="008F133E" w:rsidRPr="008F133E">
              <w:rPr>
                <w:color w:val="000000"/>
                <w:sz w:val="28"/>
                <w:szCs w:val="28"/>
              </w:rPr>
              <w:t>499</w:t>
            </w:r>
            <w:r w:rsidRPr="008F133E">
              <w:rPr>
                <w:color w:val="000000"/>
                <w:sz w:val="28"/>
                <w:szCs w:val="28"/>
              </w:rPr>
              <w:t xml:space="preserve"> </w:t>
            </w:r>
            <w:proofErr w:type="spellStart"/>
            <w:r w:rsidRPr="008F133E">
              <w:rPr>
                <w:i/>
                <w:color w:val="000000"/>
                <w:sz w:val="28"/>
                <w:szCs w:val="28"/>
              </w:rPr>
              <w:t>euro</w:t>
            </w:r>
            <w:proofErr w:type="spellEnd"/>
            <w:r w:rsidR="00037783" w:rsidRPr="008F133E">
              <w:rPr>
                <w:color w:val="000000"/>
                <w:sz w:val="28"/>
                <w:szCs w:val="28"/>
              </w:rPr>
              <w:t>)</w:t>
            </w:r>
            <w:r w:rsidR="00C17FE2" w:rsidRPr="008F133E">
              <w:rPr>
                <w:color w:val="000000"/>
                <w:sz w:val="28"/>
                <w:szCs w:val="28"/>
              </w:rPr>
              <w:t>.</w:t>
            </w:r>
          </w:p>
          <w:p w14:paraId="525346AF" w14:textId="78EC403C" w:rsidR="00F00610" w:rsidRPr="00FB21ED" w:rsidRDefault="00037783" w:rsidP="00FB21ED">
            <w:pPr>
              <w:tabs>
                <w:tab w:val="left" w:pos="154"/>
                <w:tab w:val="left" w:pos="296"/>
              </w:tabs>
              <w:jc w:val="both"/>
              <w:rPr>
                <w:color w:val="000000"/>
                <w:sz w:val="28"/>
                <w:szCs w:val="28"/>
              </w:rPr>
            </w:pPr>
            <w:r>
              <w:rPr>
                <w:color w:val="000000"/>
                <w:sz w:val="28"/>
                <w:szCs w:val="28"/>
              </w:rPr>
              <w:t xml:space="preserve">Saskaņā ar Ministru kabineta 2015.gada 27.janvāra sēdē nolemto (prot. Nr.5 75.§ 4.punkts) – jautājumu par </w:t>
            </w:r>
            <w:proofErr w:type="spellStart"/>
            <w:r>
              <w:rPr>
                <w:color w:val="000000"/>
                <w:sz w:val="28"/>
                <w:szCs w:val="28"/>
              </w:rPr>
              <w:t>Iekšlietu</w:t>
            </w:r>
            <w:proofErr w:type="spellEnd"/>
            <w:r>
              <w:rPr>
                <w:color w:val="000000"/>
                <w:sz w:val="28"/>
                <w:szCs w:val="28"/>
              </w:rPr>
              <w:t xml:space="preserve"> ministrijai papildu nepieciešamo finansējumu izmaiņu veikšanai Sodu reģistra un e-pakalpojuma “Administratīvo sodu pārbaude un nomaksa” programmatūrā 247 000 </w:t>
            </w:r>
            <w:proofErr w:type="spellStart"/>
            <w:r w:rsidRPr="00037783">
              <w:rPr>
                <w:i/>
                <w:color w:val="000000"/>
                <w:sz w:val="28"/>
                <w:szCs w:val="28"/>
              </w:rPr>
              <w:t>euro</w:t>
            </w:r>
            <w:proofErr w:type="spellEnd"/>
            <w:r>
              <w:rPr>
                <w:color w:val="000000"/>
                <w:sz w:val="28"/>
                <w:szCs w:val="28"/>
              </w:rPr>
              <w:t xml:space="preserve"> apmērā jāizskata Ministru kabinetā vienlaikus ar visu ministriju un citu centrālo valsts iestāžu jauno politisko iniciatīvu pieteikumiem likumprojektu par vidēja termiņa budžeta ietvaru un par valsts budžetu kārtējam saimnieciskajam gadam sagatavošanas procesā.</w:t>
            </w:r>
          </w:p>
        </w:tc>
      </w:tr>
      <w:tr w:rsidR="00616AA6" w:rsidRPr="00BA5E65" w14:paraId="799CDE87" w14:textId="77777777" w:rsidTr="006C1397">
        <w:tc>
          <w:tcPr>
            <w:tcW w:w="426" w:type="dxa"/>
          </w:tcPr>
          <w:p w14:paraId="20D9A706" w14:textId="2F2E31E8" w:rsidR="00616AA6" w:rsidRPr="00BA5E65" w:rsidRDefault="002854CE" w:rsidP="00710EAA">
            <w:pPr>
              <w:spacing w:before="60"/>
              <w:rPr>
                <w:sz w:val="28"/>
                <w:szCs w:val="28"/>
              </w:rPr>
            </w:pPr>
            <w:r>
              <w:rPr>
                <w:sz w:val="28"/>
                <w:szCs w:val="28"/>
              </w:rPr>
              <w:lastRenderedPageBreak/>
              <w:t>`</w:t>
            </w:r>
          </w:p>
        </w:tc>
        <w:tc>
          <w:tcPr>
            <w:tcW w:w="2601" w:type="dxa"/>
          </w:tcPr>
          <w:p w14:paraId="58E94375" w14:textId="77777777" w:rsidR="00616AA6" w:rsidRPr="00BA5E65" w:rsidRDefault="008C47BE" w:rsidP="00710EAA">
            <w:pPr>
              <w:spacing w:before="60" w:after="60"/>
              <w:rPr>
                <w:sz w:val="28"/>
                <w:szCs w:val="28"/>
              </w:rPr>
            </w:pPr>
            <w:r w:rsidRPr="00BA5E65">
              <w:rPr>
                <w:sz w:val="28"/>
                <w:szCs w:val="28"/>
              </w:rPr>
              <w:t>Projekta izstrādē iesaistītās institūcijas</w:t>
            </w:r>
          </w:p>
        </w:tc>
        <w:tc>
          <w:tcPr>
            <w:tcW w:w="5793" w:type="dxa"/>
          </w:tcPr>
          <w:p w14:paraId="07CDB4C7" w14:textId="2BCEA7C7" w:rsidR="00616AA6" w:rsidRPr="00BA5E65" w:rsidRDefault="0013129B" w:rsidP="00777C69">
            <w:pPr>
              <w:autoSpaceDE w:val="0"/>
              <w:autoSpaceDN w:val="0"/>
              <w:adjustRightInd w:val="0"/>
              <w:spacing w:before="60" w:after="60"/>
              <w:jc w:val="both"/>
              <w:rPr>
                <w:sz w:val="28"/>
                <w:szCs w:val="28"/>
              </w:rPr>
            </w:pPr>
            <w:proofErr w:type="spellStart"/>
            <w:r>
              <w:rPr>
                <w:sz w:val="28"/>
                <w:szCs w:val="28"/>
              </w:rPr>
              <w:t>Iekšlietu</w:t>
            </w:r>
            <w:proofErr w:type="spellEnd"/>
            <w:r>
              <w:rPr>
                <w:sz w:val="28"/>
                <w:szCs w:val="28"/>
              </w:rPr>
              <w:t xml:space="preserve"> ministrija</w:t>
            </w:r>
            <w:r w:rsidR="0096051F">
              <w:rPr>
                <w:sz w:val="28"/>
                <w:szCs w:val="28"/>
              </w:rPr>
              <w:t>, Tieslietu ministrija</w:t>
            </w:r>
            <w:r>
              <w:rPr>
                <w:sz w:val="28"/>
                <w:szCs w:val="28"/>
              </w:rPr>
              <w:t>.</w:t>
            </w:r>
          </w:p>
        </w:tc>
      </w:tr>
      <w:tr w:rsidR="00616AA6" w:rsidRPr="00BA5E65" w14:paraId="3C5F3A2E" w14:textId="77777777" w:rsidTr="006C1397">
        <w:tc>
          <w:tcPr>
            <w:tcW w:w="426" w:type="dxa"/>
          </w:tcPr>
          <w:p w14:paraId="1211CFA4" w14:textId="77777777" w:rsidR="00616AA6" w:rsidRPr="00BA5E65" w:rsidRDefault="00616AA6" w:rsidP="00710EAA">
            <w:pPr>
              <w:spacing w:before="60"/>
              <w:rPr>
                <w:sz w:val="28"/>
                <w:szCs w:val="28"/>
              </w:rPr>
            </w:pPr>
            <w:r w:rsidRPr="00BA5E65">
              <w:rPr>
                <w:sz w:val="28"/>
                <w:szCs w:val="28"/>
              </w:rPr>
              <w:t>4.</w:t>
            </w:r>
          </w:p>
        </w:tc>
        <w:tc>
          <w:tcPr>
            <w:tcW w:w="2601" w:type="dxa"/>
          </w:tcPr>
          <w:p w14:paraId="50577DF3" w14:textId="77777777" w:rsidR="00616AA6" w:rsidRPr="00BA5E65" w:rsidRDefault="008C47BE" w:rsidP="00710EAA">
            <w:pPr>
              <w:spacing w:before="60" w:after="60"/>
              <w:rPr>
                <w:sz w:val="28"/>
                <w:szCs w:val="28"/>
              </w:rPr>
            </w:pPr>
            <w:r w:rsidRPr="00BA5E65">
              <w:rPr>
                <w:sz w:val="28"/>
                <w:szCs w:val="28"/>
              </w:rPr>
              <w:t xml:space="preserve">Cita informācija </w:t>
            </w:r>
          </w:p>
        </w:tc>
        <w:tc>
          <w:tcPr>
            <w:tcW w:w="5793" w:type="dxa"/>
          </w:tcPr>
          <w:p w14:paraId="4787B608" w14:textId="5A1900B2" w:rsidR="00E06CCE" w:rsidRPr="005651F4" w:rsidRDefault="004371FF" w:rsidP="00710EAA">
            <w:pPr>
              <w:spacing w:before="60" w:after="60"/>
              <w:jc w:val="both"/>
              <w:rPr>
                <w:sz w:val="28"/>
                <w:szCs w:val="28"/>
              </w:rPr>
            </w:pPr>
            <w:r>
              <w:rPr>
                <w:sz w:val="28"/>
                <w:szCs w:val="28"/>
              </w:rPr>
              <w:t>Nav.</w:t>
            </w:r>
          </w:p>
        </w:tc>
      </w:tr>
      <w:tr w:rsidR="00E86D2D" w:rsidRPr="00BA5E65" w14:paraId="5B465550" w14:textId="77777777" w:rsidTr="006C1397">
        <w:tc>
          <w:tcPr>
            <w:tcW w:w="8820" w:type="dxa"/>
            <w:gridSpan w:val="3"/>
          </w:tcPr>
          <w:p w14:paraId="2C47D86B" w14:textId="77777777" w:rsidR="00E86D2D" w:rsidRDefault="00E86D2D" w:rsidP="00710EAA">
            <w:pPr>
              <w:spacing w:before="60" w:after="60"/>
              <w:jc w:val="center"/>
              <w:rPr>
                <w:sz w:val="28"/>
                <w:szCs w:val="28"/>
              </w:rPr>
            </w:pPr>
            <w:r w:rsidRPr="00E86D2D">
              <w:rPr>
                <w:b/>
                <w:sz w:val="28"/>
                <w:szCs w:val="28"/>
              </w:rPr>
              <w:t>II. Tiesību akta projekta ietekme uz sabiedrību, tautsaimniecības attīstību un administratīvo slogu</w:t>
            </w:r>
          </w:p>
        </w:tc>
      </w:tr>
      <w:tr w:rsidR="00E86D2D" w:rsidRPr="00BA5E65" w14:paraId="57C704B7" w14:textId="77777777" w:rsidTr="006C1397">
        <w:tc>
          <w:tcPr>
            <w:tcW w:w="426" w:type="dxa"/>
          </w:tcPr>
          <w:p w14:paraId="3443D31A" w14:textId="77777777" w:rsidR="00E86D2D" w:rsidRPr="00BA5E65" w:rsidRDefault="00E86D2D" w:rsidP="00953A72">
            <w:pPr>
              <w:rPr>
                <w:sz w:val="28"/>
                <w:szCs w:val="28"/>
              </w:rPr>
            </w:pPr>
            <w:r>
              <w:rPr>
                <w:sz w:val="28"/>
                <w:szCs w:val="28"/>
              </w:rPr>
              <w:t xml:space="preserve">1. </w:t>
            </w:r>
          </w:p>
        </w:tc>
        <w:tc>
          <w:tcPr>
            <w:tcW w:w="2601" w:type="dxa"/>
          </w:tcPr>
          <w:p w14:paraId="29065BA5" w14:textId="77777777" w:rsidR="00E86D2D" w:rsidRPr="00BA5E65" w:rsidRDefault="00E86D2D" w:rsidP="00710EAA">
            <w:pPr>
              <w:spacing w:before="60" w:after="60"/>
              <w:rPr>
                <w:sz w:val="28"/>
                <w:szCs w:val="28"/>
              </w:rPr>
            </w:pPr>
            <w:r w:rsidRPr="00F31085">
              <w:rPr>
                <w:sz w:val="28"/>
                <w:szCs w:val="28"/>
              </w:rPr>
              <w:t xml:space="preserve">Sabiedrības </w:t>
            </w:r>
            <w:proofErr w:type="spellStart"/>
            <w:r w:rsidRPr="00F31085">
              <w:rPr>
                <w:sz w:val="28"/>
                <w:szCs w:val="28"/>
              </w:rPr>
              <w:t>mērķgrupas</w:t>
            </w:r>
            <w:proofErr w:type="spellEnd"/>
            <w:r w:rsidRPr="00F31085">
              <w:rPr>
                <w:sz w:val="28"/>
                <w:szCs w:val="28"/>
              </w:rPr>
              <w:t>, kuras tiesiskais regulējums ietekmē vai varētu ietekmēt</w:t>
            </w:r>
          </w:p>
        </w:tc>
        <w:tc>
          <w:tcPr>
            <w:tcW w:w="5793" w:type="dxa"/>
          </w:tcPr>
          <w:p w14:paraId="3D1F41D3" w14:textId="518E3E64" w:rsidR="00AC11F6" w:rsidRPr="00AC11F6" w:rsidRDefault="00AC11F6" w:rsidP="00AC11F6">
            <w:pPr>
              <w:jc w:val="both"/>
              <w:rPr>
                <w:rFonts w:eastAsiaTheme="minorHAnsi" w:cstheme="minorBidi"/>
                <w:sz w:val="28"/>
                <w:szCs w:val="28"/>
                <w:lang w:eastAsia="lv-LV"/>
              </w:rPr>
            </w:pPr>
            <w:r w:rsidRPr="00AC11F6">
              <w:rPr>
                <w:rFonts w:eastAsiaTheme="minorHAnsi" w:cstheme="minorBidi"/>
                <w:sz w:val="28"/>
                <w:szCs w:val="28"/>
                <w:lang w:eastAsia="lv-LV"/>
              </w:rPr>
              <w:t xml:space="preserve">Jebkura fiziska persona, kura ir </w:t>
            </w:r>
            <w:r>
              <w:rPr>
                <w:rFonts w:eastAsiaTheme="minorHAnsi" w:cstheme="minorBidi"/>
                <w:sz w:val="28"/>
                <w:szCs w:val="28"/>
                <w:lang w:eastAsia="lv-LV"/>
              </w:rPr>
              <w:t>vai var tikt sodīta par administratīvā pārkāpuma izdarīšanu</w:t>
            </w:r>
            <w:r w:rsidRPr="00AC11F6">
              <w:rPr>
                <w:rFonts w:eastAsiaTheme="minorHAnsi" w:cstheme="minorBidi"/>
                <w:sz w:val="28"/>
                <w:szCs w:val="28"/>
                <w:lang w:eastAsia="lv-LV"/>
              </w:rPr>
              <w:t xml:space="preserve">. Pēc Pilsonības un migrācijas lietu pārvaldes rīcībā esošajām ziņām valsts informācijas sistēmā </w:t>
            </w:r>
            <w:r w:rsidRPr="00AC11F6">
              <w:rPr>
                <w:sz w:val="28"/>
                <w:szCs w:val="28"/>
                <w:lang w:eastAsia="lv-LV"/>
              </w:rPr>
              <w:t>„</w:t>
            </w:r>
            <w:r>
              <w:rPr>
                <w:rFonts w:eastAsiaTheme="minorHAnsi" w:cstheme="minorBidi"/>
                <w:sz w:val="28"/>
                <w:szCs w:val="28"/>
                <w:lang w:eastAsia="lv-LV"/>
              </w:rPr>
              <w:t>Iedzīvotāju reģistrs” uz 2015</w:t>
            </w:r>
            <w:r w:rsidRPr="00AC11F6">
              <w:rPr>
                <w:rFonts w:eastAsiaTheme="minorHAnsi" w:cstheme="minorBidi"/>
                <w:sz w:val="28"/>
                <w:szCs w:val="28"/>
                <w:lang w:eastAsia="lv-LV"/>
              </w:rPr>
              <w:t>.gada 1.</w:t>
            </w:r>
            <w:r w:rsidR="00ED47F4">
              <w:rPr>
                <w:rFonts w:eastAsiaTheme="minorHAnsi" w:cstheme="minorBidi"/>
                <w:sz w:val="28"/>
                <w:szCs w:val="28"/>
                <w:lang w:eastAsia="lv-LV"/>
              </w:rPr>
              <w:t>jūliju</w:t>
            </w:r>
            <w:r w:rsidRPr="00AC11F6">
              <w:rPr>
                <w:rFonts w:eastAsiaTheme="minorHAnsi" w:cstheme="minorBidi"/>
                <w:sz w:val="28"/>
                <w:szCs w:val="28"/>
                <w:lang w:eastAsia="lv-LV"/>
              </w:rPr>
              <w:t xml:space="preserve"> tie ir 2 1</w:t>
            </w:r>
            <w:r w:rsidR="00ED47F4">
              <w:rPr>
                <w:rFonts w:eastAsiaTheme="minorHAnsi" w:cstheme="minorBidi"/>
                <w:sz w:val="28"/>
                <w:szCs w:val="28"/>
                <w:lang w:eastAsia="lv-LV"/>
              </w:rPr>
              <w:t>51</w:t>
            </w:r>
            <w:r w:rsidRPr="00AC11F6">
              <w:rPr>
                <w:rFonts w:eastAsiaTheme="minorHAnsi" w:cstheme="minorBidi"/>
                <w:sz w:val="28"/>
                <w:szCs w:val="28"/>
                <w:lang w:eastAsia="lv-LV"/>
              </w:rPr>
              <w:t> </w:t>
            </w:r>
            <w:r w:rsidR="00ED47F4">
              <w:rPr>
                <w:rFonts w:eastAsiaTheme="minorHAnsi" w:cstheme="minorBidi"/>
                <w:sz w:val="28"/>
                <w:szCs w:val="28"/>
                <w:lang w:eastAsia="lv-LV"/>
              </w:rPr>
              <w:t>366</w:t>
            </w:r>
            <w:r w:rsidRPr="00AC11F6">
              <w:rPr>
                <w:rFonts w:eastAsiaTheme="minorHAnsi" w:cstheme="minorBidi"/>
                <w:sz w:val="28"/>
                <w:szCs w:val="28"/>
                <w:lang w:eastAsia="lv-LV"/>
              </w:rPr>
              <w:t xml:space="preserve"> fiziskas personas. </w:t>
            </w:r>
          </w:p>
          <w:p w14:paraId="732D1749" w14:textId="1B1FD69E" w:rsidR="00AC11F6" w:rsidRPr="00AC11F6" w:rsidRDefault="00AC11F6" w:rsidP="00AC11F6">
            <w:pPr>
              <w:jc w:val="both"/>
              <w:rPr>
                <w:rFonts w:eastAsiaTheme="minorHAnsi" w:cstheme="minorBidi"/>
                <w:sz w:val="28"/>
                <w:szCs w:val="28"/>
              </w:rPr>
            </w:pPr>
            <w:r w:rsidRPr="00AC11F6">
              <w:rPr>
                <w:rFonts w:eastAsiaTheme="minorHAnsi" w:cstheme="minorBidi"/>
                <w:sz w:val="28"/>
                <w:szCs w:val="28"/>
                <w:lang w:eastAsia="lv-LV"/>
              </w:rPr>
              <w:t xml:space="preserve">Nav iespējams aprēķināt ārvalstu fizisko personu īpatsvaru, kuras </w:t>
            </w:r>
            <w:r>
              <w:rPr>
                <w:rFonts w:eastAsiaTheme="minorHAnsi" w:cstheme="minorBidi"/>
                <w:sz w:val="28"/>
                <w:szCs w:val="28"/>
                <w:lang w:eastAsia="lv-LV"/>
              </w:rPr>
              <w:t>tiks vai var tikt sodītas par administratīvā pārkāpuma izdarīšanu.</w:t>
            </w:r>
          </w:p>
          <w:p w14:paraId="6A4B7F2A" w14:textId="77777777" w:rsidR="00E86D2D" w:rsidRDefault="00F07A1D" w:rsidP="00C2149D">
            <w:pPr>
              <w:spacing w:before="60" w:after="60"/>
              <w:jc w:val="both"/>
              <w:rPr>
                <w:iCs/>
                <w:sz w:val="28"/>
                <w:szCs w:val="28"/>
                <w:lang w:eastAsia="lv-LV"/>
              </w:rPr>
            </w:pPr>
            <w:r>
              <w:rPr>
                <w:iCs/>
                <w:sz w:val="28"/>
                <w:szCs w:val="28"/>
                <w:lang w:eastAsia="lv-LV"/>
              </w:rPr>
              <w:t xml:space="preserve">Juridiskās personas, kuras var tikt sodītas par administratīvā pārkāpuma izdarīšanu. Pēc Latvijas Republikas Uzņēmumu reģistra rīcībā esošajām ziņām </w:t>
            </w:r>
            <w:r w:rsidR="00C2149D">
              <w:rPr>
                <w:iCs/>
                <w:sz w:val="28"/>
                <w:szCs w:val="28"/>
                <w:lang w:eastAsia="lv-LV"/>
              </w:rPr>
              <w:t xml:space="preserve"> Uzņēmumu reģistra vestajos reģistros reģistrētie aktīvie subjekti uz 2015.gada 16.oktobri ir 243 690 juridiskās personas.</w:t>
            </w:r>
          </w:p>
          <w:p w14:paraId="3EADAAAD" w14:textId="77777777" w:rsidR="00881428" w:rsidRDefault="00881428" w:rsidP="00C2149D">
            <w:pPr>
              <w:spacing w:before="60" w:after="60"/>
              <w:jc w:val="both"/>
              <w:rPr>
                <w:iCs/>
                <w:sz w:val="28"/>
                <w:szCs w:val="28"/>
                <w:lang w:eastAsia="lv-LV"/>
              </w:rPr>
            </w:pPr>
            <w:r>
              <w:rPr>
                <w:iCs/>
                <w:sz w:val="28"/>
                <w:szCs w:val="28"/>
                <w:lang w:eastAsia="lv-LV"/>
              </w:rPr>
              <w:t>2014.gadā saņemto maksājumu skaits no Valsts kases sastādīja 144 226 maksājumus.</w:t>
            </w:r>
          </w:p>
          <w:p w14:paraId="739107EE" w14:textId="3683AC3E" w:rsidR="00881428" w:rsidRDefault="00881428" w:rsidP="00C2149D">
            <w:pPr>
              <w:spacing w:before="60" w:after="60"/>
              <w:jc w:val="both"/>
              <w:rPr>
                <w:iCs/>
                <w:sz w:val="28"/>
                <w:szCs w:val="28"/>
                <w:lang w:eastAsia="lv-LV"/>
              </w:rPr>
            </w:pPr>
            <w:r>
              <w:rPr>
                <w:iCs/>
                <w:sz w:val="28"/>
                <w:szCs w:val="28"/>
                <w:lang w:eastAsia="lv-LV"/>
              </w:rPr>
              <w:t>2015.gadā saņemto</w:t>
            </w:r>
            <w:r w:rsidR="00E646C2">
              <w:rPr>
                <w:iCs/>
                <w:sz w:val="28"/>
                <w:szCs w:val="28"/>
                <w:lang w:eastAsia="lv-LV"/>
              </w:rPr>
              <w:t xml:space="preserve"> maksājumu skaists sastādīja 153</w:t>
            </w:r>
            <w:r>
              <w:rPr>
                <w:iCs/>
                <w:sz w:val="28"/>
                <w:szCs w:val="28"/>
                <w:lang w:eastAsia="lv-LV"/>
              </w:rPr>
              <w:t> </w:t>
            </w:r>
            <w:r w:rsidR="00E646C2">
              <w:rPr>
                <w:iCs/>
                <w:sz w:val="28"/>
                <w:szCs w:val="28"/>
                <w:lang w:eastAsia="lv-LV"/>
              </w:rPr>
              <w:t>748</w:t>
            </w:r>
            <w:r>
              <w:rPr>
                <w:iCs/>
                <w:sz w:val="28"/>
                <w:szCs w:val="28"/>
                <w:lang w:eastAsia="lv-LV"/>
              </w:rPr>
              <w:t xml:space="preserve"> </w:t>
            </w:r>
            <w:r w:rsidR="00E646C2">
              <w:rPr>
                <w:iCs/>
                <w:sz w:val="28"/>
                <w:szCs w:val="28"/>
                <w:lang w:eastAsia="lv-LV"/>
              </w:rPr>
              <w:t>maksājumi</w:t>
            </w:r>
            <w:r>
              <w:rPr>
                <w:iCs/>
                <w:sz w:val="28"/>
                <w:szCs w:val="28"/>
                <w:lang w:eastAsia="lv-LV"/>
              </w:rPr>
              <w:t xml:space="preserve">. </w:t>
            </w:r>
          </w:p>
          <w:p w14:paraId="73F6A28E" w14:textId="52CFBB1E" w:rsidR="00881428" w:rsidRDefault="00881428" w:rsidP="00A740F4">
            <w:pPr>
              <w:spacing w:before="60" w:after="60"/>
              <w:jc w:val="both"/>
              <w:rPr>
                <w:sz w:val="28"/>
                <w:szCs w:val="28"/>
              </w:rPr>
            </w:pPr>
            <w:r>
              <w:rPr>
                <w:iCs/>
                <w:sz w:val="28"/>
                <w:szCs w:val="28"/>
                <w:lang w:eastAsia="lv-LV"/>
              </w:rPr>
              <w:t>Jāatzīmē, ka ar vienu maksājumu var veikt vairākas naudas sodu apmaksas</w:t>
            </w:r>
            <w:r w:rsidR="00A740F4">
              <w:rPr>
                <w:iCs/>
                <w:sz w:val="28"/>
                <w:szCs w:val="28"/>
                <w:lang w:eastAsia="lv-LV"/>
              </w:rPr>
              <w:t>, tāpēc</w:t>
            </w:r>
            <w:r w:rsidR="00893BAA">
              <w:rPr>
                <w:iCs/>
                <w:sz w:val="28"/>
                <w:szCs w:val="28"/>
                <w:lang w:eastAsia="lv-LV"/>
              </w:rPr>
              <w:t xml:space="preserve"> </w:t>
            </w:r>
            <w:r>
              <w:rPr>
                <w:iCs/>
                <w:sz w:val="28"/>
                <w:szCs w:val="28"/>
                <w:lang w:eastAsia="lv-LV"/>
              </w:rPr>
              <w:t xml:space="preserve">maksājumu skaits neliecina par apmaksāto nauda sodu skaitu. </w:t>
            </w:r>
          </w:p>
        </w:tc>
      </w:tr>
      <w:tr w:rsidR="00E86D2D" w:rsidRPr="00BA5E65" w14:paraId="6E450FA4" w14:textId="77777777" w:rsidTr="006C1397">
        <w:tc>
          <w:tcPr>
            <w:tcW w:w="426" w:type="dxa"/>
          </w:tcPr>
          <w:p w14:paraId="090CC650" w14:textId="1DEA2794" w:rsidR="00E86D2D" w:rsidRDefault="00E86D2D" w:rsidP="00953A72">
            <w:pPr>
              <w:rPr>
                <w:sz w:val="28"/>
                <w:szCs w:val="28"/>
              </w:rPr>
            </w:pPr>
            <w:r>
              <w:rPr>
                <w:sz w:val="28"/>
                <w:szCs w:val="28"/>
              </w:rPr>
              <w:t>2.</w:t>
            </w:r>
          </w:p>
        </w:tc>
        <w:tc>
          <w:tcPr>
            <w:tcW w:w="2601" w:type="dxa"/>
          </w:tcPr>
          <w:p w14:paraId="4A2098C5" w14:textId="77777777" w:rsidR="00E86D2D" w:rsidRPr="00F31085" w:rsidRDefault="00E86D2D" w:rsidP="00710EAA">
            <w:pPr>
              <w:spacing w:before="60" w:after="60"/>
              <w:rPr>
                <w:sz w:val="28"/>
                <w:szCs w:val="28"/>
              </w:rPr>
            </w:pPr>
            <w:r w:rsidRPr="00D65D1A">
              <w:rPr>
                <w:sz w:val="28"/>
                <w:szCs w:val="28"/>
              </w:rPr>
              <w:t>Tiesiskā regulējuma ietekme uz tautsaimniecību un administratīvo slogu</w:t>
            </w:r>
          </w:p>
        </w:tc>
        <w:tc>
          <w:tcPr>
            <w:tcW w:w="5793" w:type="dxa"/>
          </w:tcPr>
          <w:p w14:paraId="5F918FC3" w14:textId="1EF24583" w:rsidR="00E86D2D" w:rsidRPr="00F31085" w:rsidRDefault="00370BEA" w:rsidP="00FA3806">
            <w:pPr>
              <w:spacing w:before="60" w:after="60"/>
              <w:jc w:val="both"/>
              <w:rPr>
                <w:sz w:val="28"/>
                <w:szCs w:val="28"/>
              </w:rPr>
            </w:pPr>
            <w:r>
              <w:rPr>
                <w:sz w:val="28"/>
                <w:szCs w:val="28"/>
              </w:rPr>
              <w:t>Fiziskajām, juridiskajām personām, kā arī ārvalstu fiziskajām personām administratīvais slogs nemainās un projekta tiesiskais regulējums nemaina to tiesības, pienākumus un veicamās darbības</w:t>
            </w:r>
            <w:r w:rsidR="005B2CAE" w:rsidRPr="00F31085">
              <w:rPr>
                <w:sz w:val="28"/>
                <w:szCs w:val="28"/>
              </w:rPr>
              <w:t>.</w:t>
            </w:r>
          </w:p>
        </w:tc>
      </w:tr>
      <w:tr w:rsidR="00E86D2D" w:rsidRPr="00BA5E65" w14:paraId="288D41B9" w14:textId="77777777" w:rsidTr="006C1397">
        <w:tc>
          <w:tcPr>
            <w:tcW w:w="426" w:type="dxa"/>
          </w:tcPr>
          <w:p w14:paraId="6A7604AE" w14:textId="77777777" w:rsidR="00E86D2D" w:rsidRPr="00BA5E65" w:rsidRDefault="00E86D2D" w:rsidP="00953A72">
            <w:pPr>
              <w:rPr>
                <w:sz w:val="28"/>
                <w:szCs w:val="28"/>
              </w:rPr>
            </w:pPr>
            <w:r>
              <w:rPr>
                <w:sz w:val="28"/>
                <w:szCs w:val="28"/>
              </w:rPr>
              <w:t>3.</w:t>
            </w:r>
          </w:p>
        </w:tc>
        <w:tc>
          <w:tcPr>
            <w:tcW w:w="2601" w:type="dxa"/>
          </w:tcPr>
          <w:p w14:paraId="4C9E7C06" w14:textId="77777777" w:rsidR="00E86D2D" w:rsidRPr="00BA5E65" w:rsidRDefault="00E86D2D" w:rsidP="00710EAA">
            <w:pPr>
              <w:spacing w:before="60" w:after="60"/>
              <w:rPr>
                <w:sz w:val="28"/>
                <w:szCs w:val="28"/>
              </w:rPr>
            </w:pPr>
            <w:r w:rsidRPr="003B10C2">
              <w:rPr>
                <w:sz w:val="28"/>
                <w:szCs w:val="28"/>
              </w:rPr>
              <w:t>Administratīvo izmaksu monetārs novērtējums</w:t>
            </w:r>
          </w:p>
        </w:tc>
        <w:tc>
          <w:tcPr>
            <w:tcW w:w="5793" w:type="dxa"/>
          </w:tcPr>
          <w:p w14:paraId="4F3B7CA1" w14:textId="1A94769B" w:rsidR="001D3192" w:rsidRDefault="001D3192" w:rsidP="001D3192">
            <w:pPr>
              <w:jc w:val="both"/>
              <w:rPr>
                <w:color w:val="000000"/>
                <w:sz w:val="28"/>
                <w:szCs w:val="28"/>
                <w:highlight w:val="yellow"/>
                <w:shd w:val="clear" w:color="auto" w:fill="FFFFFF"/>
              </w:rPr>
            </w:pPr>
            <w:r w:rsidRPr="00AC11F6">
              <w:rPr>
                <w:color w:val="000000"/>
                <w:sz w:val="28"/>
                <w:szCs w:val="28"/>
                <w:shd w:val="clear" w:color="auto" w:fill="FFFFFF"/>
              </w:rPr>
              <w:t>Ieviešot strukturēto referenci kā maksājuma identifikatoru, tas nesadārdzinās pašas protokola veidlapas izgatavošanas izmaksas</w:t>
            </w:r>
            <w:r w:rsidR="007B347A">
              <w:rPr>
                <w:color w:val="000000"/>
                <w:sz w:val="28"/>
                <w:szCs w:val="28"/>
                <w:shd w:val="clear" w:color="auto" w:fill="FFFFFF"/>
              </w:rPr>
              <w:t xml:space="preserve">, un iestādēm jārēķinās ar to pašu veidlapu </w:t>
            </w:r>
            <w:r w:rsidR="00756F22">
              <w:rPr>
                <w:color w:val="000000"/>
                <w:sz w:val="28"/>
                <w:szCs w:val="28"/>
                <w:shd w:val="clear" w:color="auto" w:fill="FFFFFF"/>
              </w:rPr>
              <w:t xml:space="preserve">pasūtīšanas un izgatavošanas kārtību, vien aizstājot </w:t>
            </w:r>
            <w:r w:rsidR="00881428">
              <w:rPr>
                <w:color w:val="000000"/>
                <w:sz w:val="28"/>
                <w:szCs w:val="28"/>
                <w:shd w:val="clear" w:color="auto" w:fill="FFFFFF"/>
              </w:rPr>
              <w:t xml:space="preserve">vecā </w:t>
            </w:r>
            <w:r w:rsidR="00756F22">
              <w:rPr>
                <w:color w:val="000000"/>
                <w:sz w:val="28"/>
                <w:szCs w:val="28"/>
                <w:shd w:val="clear" w:color="auto" w:fill="FFFFFF"/>
              </w:rPr>
              <w:t xml:space="preserve">parauga veidlapas ar </w:t>
            </w:r>
            <w:r w:rsidR="007B347A">
              <w:rPr>
                <w:color w:val="000000"/>
                <w:sz w:val="28"/>
                <w:szCs w:val="28"/>
                <w:shd w:val="clear" w:color="auto" w:fill="FFFFFF"/>
              </w:rPr>
              <w:t>jaunām</w:t>
            </w:r>
            <w:r w:rsidRPr="00AC11F6">
              <w:rPr>
                <w:color w:val="000000"/>
                <w:sz w:val="28"/>
                <w:szCs w:val="28"/>
                <w:shd w:val="clear" w:color="auto" w:fill="FFFFFF"/>
              </w:rPr>
              <w:t xml:space="preserve">. </w:t>
            </w:r>
            <w:r w:rsidR="00F85D52">
              <w:rPr>
                <w:color w:val="000000"/>
                <w:sz w:val="28"/>
                <w:szCs w:val="28"/>
                <w:shd w:val="clear" w:color="auto" w:fill="FFFFFF"/>
              </w:rPr>
              <w:t xml:space="preserve">Ņemot vērā to, ka katrai institūcijai ir atšķirīgs piegādātājs, tad nav </w:t>
            </w:r>
            <w:r w:rsidR="00F85D52">
              <w:rPr>
                <w:color w:val="000000"/>
                <w:sz w:val="28"/>
                <w:szCs w:val="28"/>
                <w:shd w:val="clear" w:color="auto" w:fill="FFFFFF"/>
              </w:rPr>
              <w:lastRenderedPageBreak/>
              <w:t>iespējams precīzi noteikt tiešās izmaksas veidlapu izgatavošanā.</w:t>
            </w:r>
          </w:p>
          <w:p w14:paraId="32A37E31" w14:textId="20D24641" w:rsidR="00E86D2D" w:rsidRPr="00F85D52" w:rsidRDefault="001D3192" w:rsidP="001D3192">
            <w:pPr>
              <w:jc w:val="both"/>
              <w:rPr>
                <w:color w:val="000000"/>
                <w:sz w:val="28"/>
                <w:szCs w:val="28"/>
                <w:shd w:val="clear" w:color="auto" w:fill="FFFFFF"/>
              </w:rPr>
            </w:pPr>
            <w:proofErr w:type="spellStart"/>
            <w:r w:rsidRPr="00F85D52">
              <w:rPr>
                <w:color w:val="000000"/>
                <w:sz w:val="28"/>
                <w:szCs w:val="28"/>
                <w:shd w:val="clear" w:color="auto" w:fill="FFFFFF"/>
              </w:rPr>
              <w:t>Iekšlietu</w:t>
            </w:r>
            <w:proofErr w:type="spellEnd"/>
            <w:r w:rsidRPr="00F85D52">
              <w:rPr>
                <w:color w:val="000000"/>
                <w:sz w:val="28"/>
                <w:szCs w:val="28"/>
                <w:shd w:val="clear" w:color="auto" w:fill="FFFFFF"/>
              </w:rPr>
              <w:t xml:space="preserve"> ministrijas Informācijas centrs plāno arī savlaicīgi brīdināt </w:t>
            </w:r>
            <w:r w:rsidR="00F85D52">
              <w:rPr>
                <w:color w:val="000000"/>
                <w:sz w:val="28"/>
                <w:szCs w:val="28"/>
                <w:shd w:val="clear" w:color="auto" w:fill="FFFFFF"/>
              </w:rPr>
              <w:t>institūcijas</w:t>
            </w:r>
            <w:r w:rsidRPr="00F85D52">
              <w:rPr>
                <w:color w:val="000000"/>
                <w:sz w:val="28"/>
                <w:szCs w:val="28"/>
                <w:shd w:val="clear" w:color="auto" w:fill="FFFFFF"/>
              </w:rPr>
              <w:t xml:space="preserve"> par jauno protokolu numuru piešķiršanas kārtību un izmaiņām, lai tās savlaicīgi varētu pasūtīt jaunas prot</w:t>
            </w:r>
            <w:r w:rsidR="00F85D52" w:rsidRPr="00F85D52">
              <w:rPr>
                <w:color w:val="000000"/>
                <w:sz w:val="28"/>
                <w:szCs w:val="28"/>
                <w:shd w:val="clear" w:color="auto" w:fill="FFFFFF"/>
              </w:rPr>
              <w:t xml:space="preserve">okolu veidlapas, tāpēc </w:t>
            </w:r>
            <w:proofErr w:type="spellStart"/>
            <w:r w:rsidR="00F85D52" w:rsidRPr="00F85D52">
              <w:rPr>
                <w:color w:val="000000"/>
                <w:sz w:val="28"/>
                <w:szCs w:val="28"/>
                <w:shd w:val="clear" w:color="auto" w:fill="FFFFFF"/>
              </w:rPr>
              <w:t>Iekšlietu</w:t>
            </w:r>
            <w:proofErr w:type="spellEnd"/>
            <w:r w:rsidR="00F85D52" w:rsidRPr="00F85D52">
              <w:rPr>
                <w:color w:val="000000"/>
                <w:sz w:val="28"/>
                <w:szCs w:val="28"/>
                <w:shd w:val="clear" w:color="auto" w:fill="FFFFFF"/>
              </w:rPr>
              <w:t xml:space="preserve"> ministrijas Informācijas centram administratīv</w:t>
            </w:r>
            <w:r w:rsidR="00094725">
              <w:rPr>
                <w:color w:val="000000"/>
                <w:sz w:val="28"/>
                <w:szCs w:val="28"/>
                <w:shd w:val="clear" w:color="auto" w:fill="FFFFFF"/>
              </w:rPr>
              <w:t>ās izmaksas sastādīs informatīvas</w:t>
            </w:r>
            <w:r w:rsidR="00F85D52" w:rsidRPr="00F85D52">
              <w:rPr>
                <w:color w:val="000000"/>
                <w:sz w:val="28"/>
                <w:szCs w:val="28"/>
                <w:shd w:val="clear" w:color="auto" w:fill="FFFFFF"/>
              </w:rPr>
              <w:t xml:space="preserve"> vēstu</w:t>
            </w:r>
            <w:r w:rsidR="00094725">
              <w:rPr>
                <w:color w:val="000000"/>
                <w:sz w:val="28"/>
                <w:szCs w:val="28"/>
                <w:shd w:val="clear" w:color="auto" w:fill="FFFFFF"/>
              </w:rPr>
              <w:t>les ar elektronisko parakstu</w:t>
            </w:r>
            <w:r w:rsidR="00F85D52" w:rsidRPr="00F85D52">
              <w:rPr>
                <w:color w:val="000000"/>
                <w:sz w:val="28"/>
                <w:szCs w:val="28"/>
                <w:shd w:val="clear" w:color="auto" w:fill="FFFFFF"/>
              </w:rPr>
              <w:t xml:space="preserve"> izsūtīšana </w:t>
            </w:r>
            <w:r w:rsidR="0039425B">
              <w:rPr>
                <w:color w:val="000000"/>
                <w:sz w:val="28"/>
                <w:szCs w:val="28"/>
                <w:shd w:val="clear" w:color="auto" w:fill="FFFFFF"/>
              </w:rPr>
              <w:t>ins</w:t>
            </w:r>
            <w:r w:rsidR="00F85D52">
              <w:rPr>
                <w:color w:val="000000"/>
                <w:sz w:val="28"/>
                <w:szCs w:val="28"/>
                <w:shd w:val="clear" w:color="auto" w:fill="FFFFFF"/>
              </w:rPr>
              <w:t>titūcijām.</w:t>
            </w:r>
          </w:p>
          <w:p w14:paraId="7708D2D6" w14:textId="272DBDAC" w:rsidR="00F85D52" w:rsidRPr="00EB4E3C" w:rsidRDefault="00F85D52" w:rsidP="009554A1">
            <w:pPr>
              <w:jc w:val="both"/>
              <w:rPr>
                <w:color w:val="000000"/>
                <w:sz w:val="28"/>
                <w:szCs w:val="28"/>
                <w:shd w:val="clear" w:color="auto" w:fill="FFFFFF"/>
              </w:rPr>
            </w:pPr>
            <w:r>
              <w:rPr>
                <w:color w:val="000000"/>
                <w:sz w:val="28"/>
                <w:szCs w:val="28"/>
                <w:shd w:val="clear" w:color="auto" w:fill="FFFFFF"/>
              </w:rPr>
              <w:t xml:space="preserve">Uz 2015.gada 16.oktobri saskaņā ar </w:t>
            </w:r>
            <w:proofErr w:type="spellStart"/>
            <w:r>
              <w:rPr>
                <w:color w:val="000000"/>
                <w:sz w:val="28"/>
                <w:szCs w:val="28"/>
                <w:shd w:val="clear" w:color="auto" w:fill="FFFFFF"/>
              </w:rPr>
              <w:t>Iekšlietu</w:t>
            </w:r>
            <w:proofErr w:type="spellEnd"/>
            <w:r>
              <w:rPr>
                <w:color w:val="000000"/>
                <w:sz w:val="28"/>
                <w:szCs w:val="28"/>
                <w:shd w:val="clear" w:color="auto" w:fill="FFFFFF"/>
              </w:rPr>
              <w:t xml:space="preserve"> ministrijas Informācijas centra rīcībā esošajām ziņām</w:t>
            </w:r>
            <w:r w:rsidRPr="00F85D52">
              <w:rPr>
                <w:color w:val="000000"/>
                <w:sz w:val="28"/>
                <w:szCs w:val="28"/>
                <w:shd w:val="clear" w:color="auto" w:fill="FFFFFF"/>
              </w:rPr>
              <w:t xml:space="preserve"> </w:t>
            </w:r>
            <w:r>
              <w:rPr>
                <w:color w:val="000000"/>
                <w:sz w:val="28"/>
                <w:szCs w:val="28"/>
                <w:shd w:val="clear" w:color="auto" w:fill="FFFFFF"/>
              </w:rPr>
              <w:t>sadarbība tiek nodrošināta ar 1</w:t>
            </w:r>
            <w:r w:rsidR="00EB4E3C">
              <w:rPr>
                <w:color w:val="000000"/>
                <w:sz w:val="28"/>
                <w:szCs w:val="28"/>
                <w:shd w:val="clear" w:color="auto" w:fill="FFFFFF"/>
              </w:rPr>
              <w:t>5</w:t>
            </w:r>
            <w:r>
              <w:rPr>
                <w:color w:val="000000"/>
                <w:sz w:val="28"/>
                <w:szCs w:val="28"/>
                <w:shd w:val="clear" w:color="auto" w:fill="FFFFFF"/>
              </w:rPr>
              <w:t>0 institūcijām.</w:t>
            </w:r>
          </w:p>
        </w:tc>
      </w:tr>
      <w:tr w:rsidR="00E86D2D" w:rsidRPr="00BA5E65" w14:paraId="36609A53" w14:textId="77777777" w:rsidTr="006C1397">
        <w:tc>
          <w:tcPr>
            <w:tcW w:w="426" w:type="dxa"/>
          </w:tcPr>
          <w:p w14:paraId="4E1F11ED" w14:textId="49FAE332" w:rsidR="00E86D2D" w:rsidRPr="00BA5E65" w:rsidRDefault="00E86D2D" w:rsidP="00953A72">
            <w:pPr>
              <w:rPr>
                <w:sz w:val="28"/>
                <w:szCs w:val="28"/>
              </w:rPr>
            </w:pPr>
            <w:r>
              <w:rPr>
                <w:sz w:val="28"/>
                <w:szCs w:val="28"/>
              </w:rPr>
              <w:lastRenderedPageBreak/>
              <w:t>4.</w:t>
            </w:r>
          </w:p>
        </w:tc>
        <w:tc>
          <w:tcPr>
            <w:tcW w:w="2601" w:type="dxa"/>
          </w:tcPr>
          <w:p w14:paraId="18FF8206" w14:textId="77777777" w:rsidR="00E86D2D" w:rsidRPr="00BA5E65" w:rsidRDefault="00E86D2D" w:rsidP="00710EAA">
            <w:pPr>
              <w:spacing w:before="60" w:after="60"/>
              <w:rPr>
                <w:sz w:val="28"/>
                <w:szCs w:val="28"/>
              </w:rPr>
            </w:pPr>
            <w:r w:rsidRPr="00D65D1A">
              <w:rPr>
                <w:sz w:val="28"/>
                <w:szCs w:val="28"/>
              </w:rPr>
              <w:t>Cita informācija</w:t>
            </w:r>
          </w:p>
        </w:tc>
        <w:tc>
          <w:tcPr>
            <w:tcW w:w="5793" w:type="dxa"/>
          </w:tcPr>
          <w:p w14:paraId="1D2BDA40" w14:textId="77777777" w:rsidR="00E86D2D" w:rsidRDefault="00E86D2D" w:rsidP="00710EAA">
            <w:pPr>
              <w:spacing w:before="60" w:after="60"/>
              <w:jc w:val="both"/>
              <w:rPr>
                <w:sz w:val="28"/>
                <w:szCs w:val="28"/>
              </w:rPr>
            </w:pPr>
            <w:r w:rsidRPr="00D65D1A">
              <w:rPr>
                <w:sz w:val="28"/>
                <w:szCs w:val="28"/>
              </w:rPr>
              <w:t>Nav</w:t>
            </w:r>
            <w:r>
              <w:rPr>
                <w:sz w:val="28"/>
                <w:szCs w:val="28"/>
              </w:rPr>
              <w:t>.</w:t>
            </w:r>
          </w:p>
        </w:tc>
      </w:tr>
      <w:tr w:rsidR="00471D72" w:rsidRPr="00BA5E65" w14:paraId="640A4F3D" w14:textId="77777777" w:rsidTr="006C1397">
        <w:tc>
          <w:tcPr>
            <w:tcW w:w="8820" w:type="dxa"/>
            <w:gridSpan w:val="3"/>
          </w:tcPr>
          <w:p w14:paraId="19336730" w14:textId="401B036A" w:rsidR="00471D72" w:rsidRPr="00D65D1A" w:rsidRDefault="00471D72" w:rsidP="00471D72">
            <w:pPr>
              <w:spacing w:before="60" w:after="60"/>
              <w:jc w:val="center"/>
              <w:rPr>
                <w:sz w:val="28"/>
                <w:szCs w:val="28"/>
              </w:rPr>
            </w:pPr>
            <w:r>
              <w:rPr>
                <w:b/>
                <w:sz w:val="28"/>
              </w:rPr>
              <w:t>IV.</w:t>
            </w:r>
            <w:r w:rsidRPr="00F03184">
              <w:rPr>
                <w:b/>
                <w:sz w:val="28"/>
              </w:rPr>
              <w:t xml:space="preserve"> </w:t>
            </w:r>
            <w:r>
              <w:rPr>
                <w:b/>
                <w:sz w:val="28"/>
              </w:rPr>
              <w:t>Tiesību akta projekta ietekme uz spēkā esošo tiesību normu sistēmu</w:t>
            </w:r>
          </w:p>
        </w:tc>
      </w:tr>
      <w:tr w:rsidR="00471D72" w:rsidRPr="00BA5E65" w14:paraId="544830FD" w14:textId="77777777" w:rsidTr="006C1397">
        <w:tc>
          <w:tcPr>
            <w:tcW w:w="426" w:type="dxa"/>
          </w:tcPr>
          <w:p w14:paraId="71D1EDD2" w14:textId="46B6A136" w:rsidR="00471D72" w:rsidRDefault="00471D72" w:rsidP="00471D72">
            <w:pPr>
              <w:rPr>
                <w:sz w:val="28"/>
                <w:szCs w:val="28"/>
              </w:rPr>
            </w:pPr>
            <w:r>
              <w:rPr>
                <w:sz w:val="28"/>
                <w:szCs w:val="28"/>
              </w:rPr>
              <w:t>1.</w:t>
            </w:r>
          </w:p>
        </w:tc>
        <w:tc>
          <w:tcPr>
            <w:tcW w:w="2601" w:type="dxa"/>
          </w:tcPr>
          <w:p w14:paraId="1D9D9564" w14:textId="67537F76" w:rsidR="00471D72" w:rsidRPr="00D65D1A" w:rsidRDefault="00471D72" w:rsidP="00471D72">
            <w:pPr>
              <w:spacing w:before="60" w:after="60"/>
              <w:rPr>
                <w:sz w:val="28"/>
                <w:szCs w:val="28"/>
              </w:rPr>
            </w:pPr>
            <w:r>
              <w:rPr>
                <w:sz w:val="28"/>
                <w:szCs w:val="28"/>
              </w:rPr>
              <w:t>Nepieciešamie saistītie tiesību aktu projekti</w:t>
            </w:r>
          </w:p>
        </w:tc>
        <w:tc>
          <w:tcPr>
            <w:tcW w:w="5793" w:type="dxa"/>
          </w:tcPr>
          <w:p w14:paraId="34AC5CE4" w14:textId="3037C0D4" w:rsidR="00471D72" w:rsidRDefault="006E0523" w:rsidP="001F6B91">
            <w:pPr>
              <w:jc w:val="both"/>
              <w:rPr>
                <w:sz w:val="28"/>
                <w:szCs w:val="28"/>
              </w:rPr>
            </w:pPr>
            <w:r>
              <w:rPr>
                <w:sz w:val="28"/>
                <w:szCs w:val="28"/>
              </w:rPr>
              <w:t>Ir</w:t>
            </w:r>
            <w:r w:rsidR="002854CE">
              <w:rPr>
                <w:sz w:val="28"/>
                <w:szCs w:val="28"/>
              </w:rPr>
              <w:t xml:space="preserve"> </w:t>
            </w:r>
            <w:r w:rsidR="008D29F0">
              <w:rPr>
                <w:sz w:val="28"/>
                <w:szCs w:val="28"/>
              </w:rPr>
              <w:t xml:space="preserve">izstrādāti grozījumi Latvijas Administratīvo pārkāpumu kodeksā, grozot Latvijas Administratīvo pārkāpumu kodeksa </w:t>
            </w:r>
            <w:r>
              <w:rPr>
                <w:sz w:val="28"/>
                <w:szCs w:val="28"/>
              </w:rPr>
              <w:t xml:space="preserve">248.panta sesto daļu, </w:t>
            </w:r>
            <w:r w:rsidR="001F6B91">
              <w:rPr>
                <w:sz w:val="28"/>
                <w:szCs w:val="28"/>
              </w:rPr>
              <w:t xml:space="preserve">274.panta otrās daļas 3.punktu un 299.panta trešo daļu, lai </w:t>
            </w:r>
            <w:r w:rsidR="002854CE">
              <w:rPr>
                <w:sz w:val="28"/>
                <w:szCs w:val="28"/>
              </w:rPr>
              <w:t>nodrošinā</w:t>
            </w:r>
            <w:r>
              <w:rPr>
                <w:sz w:val="28"/>
                <w:szCs w:val="28"/>
              </w:rPr>
              <w:t>tu</w:t>
            </w:r>
            <w:r w:rsidR="002854CE">
              <w:rPr>
                <w:sz w:val="28"/>
                <w:szCs w:val="28"/>
              </w:rPr>
              <w:t xml:space="preserve"> </w:t>
            </w:r>
            <w:r w:rsidR="001F6B91">
              <w:rPr>
                <w:sz w:val="28"/>
                <w:szCs w:val="28"/>
              </w:rPr>
              <w:t>Ministru kabineta 2015.gada 27.janvāra sēdes protokolā Nr.5, 75.</w:t>
            </w:r>
            <w:r w:rsidR="001F6B91">
              <w:rPr>
                <w:sz w:val="28"/>
                <w:szCs w:val="28"/>
                <w:lang w:eastAsia="lv-LV"/>
              </w:rPr>
              <w:t>§</w:t>
            </w:r>
            <w:r w:rsidR="001F6B91">
              <w:rPr>
                <w:sz w:val="28"/>
                <w:szCs w:val="28"/>
              </w:rPr>
              <w:t xml:space="preserve"> 2.3.apakšpunktā doto uzdevumu – izstrādāt grozījumus normatīvajos aktos, nosakot tiesības naudas sodu samaksu veikt ar maksājumu pakalpojumu sniedzēja starpniecību. Grozījumi nodrošinā</w:t>
            </w:r>
            <w:r w:rsidR="00BD6170">
              <w:rPr>
                <w:sz w:val="28"/>
                <w:szCs w:val="28"/>
              </w:rPr>
              <w:t>s</w:t>
            </w:r>
            <w:r w:rsidR="001F6B91">
              <w:rPr>
                <w:sz w:val="28"/>
                <w:szCs w:val="28"/>
              </w:rPr>
              <w:t xml:space="preserve"> privātpersonām ērtāku naudas sodu samaksas veidu – tuvāk dzīvesvietai, piemēram, privātpersonas dzīvesvietai tuvāka esošajos tirdzniecības centros. Kā arī tiks precizēta Latvijas Administratīvo pārkāpumu kodeksa 299.panta trešā daļa</w:t>
            </w:r>
            <w:r w:rsidR="00BD6170">
              <w:rPr>
                <w:sz w:val="28"/>
                <w:szCs w:val="28"/>
              </w:rPr>
              <w:t>,</w:t>
            </w:r>
            <w:r w:rsidR="001F6B91">
              <w:rPr>
                <w:sz w:val="28"/>
                <w:szCs w:val="28"/>
              </w:rPr>
              <w:t xml:space="preserve"> lai definētu to, kā veidojas un no kā sastāv administratīvā pārkāpuma lietā pieņemtā lēmuma numurs.</w:t>
            </w:r>
          </w:p>
          <w:p w14:paraId="4178D9CC" w14:textId="04DD86AE" w:rsidR="00711198" w:rsidRPr="00D65D1A" w:rsidRDefault="00BA449F" w:rsidP="001F6B91">
            <w:pPr>
              <w:jc w:val="both"/>
              <w:rPr>
                <w:sz w:val="28"/>
                <w:szCs w:val="28"/>
              </w:rPr>
            </w:pPr>
            <w:r>
              <w:rPr>
                <w:sz w:val="28"/>
                <w:szCs w:val="28"/>
              </w:rPr>
              <w:t xml:space="preserve">Tāpat ir nepieciešami grozījumi </w:t>
            </w:r>
            <w:r w:rsidR="00A80F19">
              <w:rPr>
                <w:sz w:val="28"/>
                <w:szCs w:val="28"/>
              </w:rPr>
              <w:t>Ministru kabineta 2005.gada 11.janvāra noteikumos Nr.15 “</w:t>
            </w:r>
            <w:r w:rsidR="00711198">
              <w:rPr>
                <w:sz w:val="28"/>
                <w:szCs w:val="28"/>
              </w:rPr>
              <w:t>Kārtība, kādā nosakāma alkohola koncentrācija asinīs un izelpotajā gaisā un konstatējams narkotisko vai citu apreibinošo vielu iespaids</w:t>
            </w:r>
            <w:r w:rsidR="00A80F19">
              <w:rPr>
                <w:sz w:val="28"/>
                <w:szCs w:val="28"/>
              </w:rPr>
              <w:t>”, svītrojot normas, kuras defin</w:t>
            </w:r>
            <w:r w:rsidR="00711198">
              <w:rPr>
                <w:sz w:val="28"/>
                <w:szCs w:val="28"/>
              </w:rPr>
              <w:t xml:space="preserve">ē maksāšanas rekvizītu obligātumu tipogrāfiski iespiestās administratīvā pārkāpuma </w:t>
            </w:r>
            <w:r w:rsidR="00711198">
              <w:rPr>
                <w:sz w:val="28"/>
                <w:szCs w:val="28"/>
              </w:rPr>
              <w:lastRenderedPageBreak/>
              <w:t>protokola veidlapās</w:t>
            </w:r>
            <w:r w:rsidR="006E0523">
              <w:rPr>
                <w:sz w:val="28"/>
                <w:szCs w:val="28"/>
              </w:rPr>
              <w:t xml:space="preserve"> un Ministru kabineta 2008.gada 2.jūnija noteikumos Nr.394 “Alkohola, narkotisko, psihotropo vai toksisko vielu ietekmes pārbaudes kārtība”.</w:t>
            </w:r>
          </w:p>
        </w:tc>
      </w:tr>
      <w:tr w:rsidR="00471D72" w:rsidRPr="00BA5E65" w14:paraId="7A093674" w14:textId="77777777" w:rsidTr="006C1397">
        <w:tc>
          <w:tcPr>
            <w:tcW w:w="426" w:type="dxa"/>
          </w:tcPr>
          <w:p w14:paraId="0AE46C7D" w14:textId="6FA1C268" w:rsidR="00471D72" w:rsidRDefault="00471D72" w:rsidP="00471D72">
            <w:pPr>
              <w:rPr>
                <w:sz w:val="28"/>
                <w:szCs w:val="28"/>
              </w:rPr>
            </w:pPr>
            <w:r>
              <w:rPr>
                <w:sz w:val="28"/>
                <w:szCs w:val="28"/>
              </w:rPr>
              <w:lastRenderedPageBreak/>
              <w:t>2.</w:t>
            </w:r>
          </w:p>
        </w:tc>
        <w:tc>
          <w:tcPr>
            <w:tcW w:w="2601" w:type="dxa"/>
          </w:tcPr>
          <w:p w14:paraId="7822B9B8" w14:textId="530D42CF" w:rsidR="00471D72" w:rsidRPr="00D65D1A" w:rsidRDefault="00471D72" w:rsidP="00471D72">
            <w:pPr>
              <w:spacing w:before="60" w:after="60"/>
              <w:rPr>
                <w:sz w:val="28"/>
                <w:szCs w:val="28"/>
              </w:rPr>
            </w:pPr>
            <w:r>
              <w:rPr>
                <w:sz w:val="28"/>
                <w:szCs w:val="28"/>
              </w:rPr>
              <w:t>Atbildīgā institūcija</w:t>
            </w:r>
          </w:p>
        </w:tc>
        <w:tc>
          <w:tcPr>
            <w:tcW w:w="5793" w:type="dxa"/>
          </w:tcPr>
          <w:p w14:paraId="673BBE87" w14:textId="052D7817" w:rsidR="00471D72" w:rsidRPr="00D65D1A" w:rsidRDefault="00471D72" w:rsidP="00471D72">
            <w:pPr>
              <w:spacing w:before="60" w:after="60"/>
              <w:jc w:val="both"/>
              <w:rPr>
                <w:sz w:val="28"/>
                <w:szCs w:val="28"/>
              </w:rPr>
            </w:pPr>
            <w:proofErr w:type="spellStart"/>
            <w:r>
              <w:rPr>
                <w:sz w:val="28"/>
                <w:szCs w:val="28"/>
              </w:rPr>
              <w:t>Iekšlietu</w:t>
            </w:r>
            <w:proofErr w:type="spellEnd"/>
            <w:r>
              <w:rPr>
                <w:sz w:val="28"/>
                <w:szCs w:val="28"/>
              </w:rPr>
              <w:t xml:space="preserve"> ministrija</w:t>
            </w:r>
            <w:r w:rsidR="002854CE">
              <w:rPr>
                <w:sz w:val="28"/>
                <w:szCs w:val="28"/>
              </w:rPr>
              <w:t xml:space="preserve"> (</w:t>
            </w:r>
            <w:proofErr w:type="spellStart"/>
            <w:r w:rsidR="002854CE">
              <w:rPr>
                <w:sz w:val="28"/>
                <w:szCs w:val="28"/>
              </w:rPr>
              <w:t>Iekšlietu</w:t>
            </w:r>
            <w:proofErr w:type="spellEnd"/>
            <w:r w:rsidR="002854CE">
              <w:rPr>
                <w:sz w:val="28"/>
                <w:szCs w:val="28"/>
              </w:rPr>
              <w:t xml:space="preserve"> ministrijas</w:t>
            </w:r>
            <w:r>
              <w:rPr>
                <w:sz w:val="28"/>
                <w:szCs w:val="28"/>
              </w:rPr>
              <w:t xml:space="preserve"> Informācijas centrs</w:t>
            </w:r>
            <w:r w:rsidR="002854CE">
              <w:rPr>
                <w:sz w:val="28"/>
                <w:szCs w:val="28"/>
              </w:rPr>
              <w:t>)</w:t>
            </w:r>
            <w:r>
              <w:rPr>
                <w:sz w:val="28"/>
                <w:szCs w:val="28"/>
              </w:rPr>
              <w:t>.</w:t>
            </w:r>
          </w:p>
        </w:tc>
      </w:tr>
      <w:tr w:rsidR="00471D72" w:rsidRPr="00BA5E65" w14:paraId="75D46132" w14:textId="77777777" w:rsidTr="006C1397">
        <w:tc>
          <w:tcPr>
            <w:tcW w:w="426" w:type="dxa"/>
          </w:tcPr>
          <w:p w14:paraId="6EA187FA" w14:textId="2BAC0ABD" w:rsidR="00471D72" w:rsidRDefault="00471D72" w:rsidP="00471D72">
            <w:pPr>
              <w:rPr>
                <w:sz w:val="28"/>
                <w:szCs w:val="28"/>
              </w:rPr>
            </w:pPr>
            <w:r>
              <w:rPr>
                <w:sz w:val="28"/>
                <w:szCs w:val="28"/>
              </w:rPr>
              <w:t>3.</w:t>
            </w:r>
          </w:p>
        </w:tc>
        <w:tc>
          <w:tcPr>
            <w:tcW w:w="2601" w:type="dxa"/>
          </w:tcPr>
          <w:p w14:paraId="45EA773C" w14:textId="40B5F2A9" w:rsidR="00471D72" w:rsidRPr="00D65D1A" w:rsidRDefault="00471D72" w:rsidP="00471D72">
            <w:pPr>
              <w:spacing w:before="60" w:after="60"/>
              <w:rPr>
                <w:sz w:val="28"/>
                <w:szCs w:val="28"/>
              </w:rPr>
            </w:pPr>
            <w:r>
              <w:rPr>
                <w:sz w:val="28"/>
                <w:szCs w:val="28"/>
              </w:rPr>
              <w:t>Cita informācija</w:t>
            </w:r>
          </w:p>
        </w:tc>
        <w:tc>
          <w:tcPr>
            <w:tcW w:w="5793" w:type="dxa"/>
          </w:tcPr>
          <w:p w14:paraId="4EED048C" w14:textId="1F2B12F7" w:rsidR="00471D72" w:rsidRPr="00D65D1A" w:rsidRDefault="00471D72" w:rsidP="00471D72">
            <w:pPr>
              <w:spacing w:before="60" w:after="60"/>
              <w:jc w:val="both"/>
              <w:rPr>
                <w:sz w:val="28"/>
                <w:szCs w:val="28"/>
              </w:rPr>
            </w:pPr>
            <w:r>
              <w:rPr>
                <w:sz w:val="28"/>
                <w:szCs w:val="28"/>
              </w:rPr>
              <w:t>Nav.</w:t>
            </w:r>
          </w:p>
        </w:tc>
      </w:tr>
      <w:tr w:rsidR="006C1397" w:rsidRPr="00BA5E65" w14:paraId="0CF82F02" w14:textId="77777777" w:rsidTr="006E393D">
        <w:tc>
          <w:tcPr>
            <w:tcW w:w="8820" w:type="dxa"/>
            <w:gridSpan w:val="3"/>
          </w:tcPr>
          <w:p w14:paraId="303C1B83" w14:textId="6AFA7531" w:rsidR="006C1397" w:rsidRDefault="006C1397" w:rsidP="006C1397">
            <w:pPr>
              <w:spacing w:before="60" w:after="60"/>
              <w:jc w:val="center"/>
              <w:rPr>
                <w:sz w:val="28"/>
                <w:szCs w:val="28"/>
              </w:rPr>
            </w:pPr>
            <w:r>
              <w:rPr>
                <w:b/>
                <w:sz w:val="28"/>
              </w:rPr>
              <w:t>VI.</w:t>
            </w:r>
            <w:r w:rsidRPr="00F03184">
              <w:rPr>
                <w:b/>
                <w:sz w:val="28"/>
              </w:rPr>
              <w:t xml:space="preserve"> </w:t>
            </w:r>
            <w:r>
              <w:rPr>
                <w:b/>
                <w:sz w:val="28"/>
              </w:rPr>
              <w:t>Sabiedrības līdzdalība un komunikācijas aktivitātes</w:t>
            </w:r>
          </w:p>
        </w:tc>
      </w:tr>
      <w:tr w:rsidR="006C1397" w:rsidRPr="00BA5E65" w14:paraId="0DDD0094" w14:textId="77777777" w:rsidTr="00A7231E">
        <w:tc>
          <w:tcPr>
            <w:tcW w:w="426" w:type="dxa"/>
          </w:tcPr>
          <w:p w14:paraId="77C76B72" w14:textId="7D2E56C3" w:rsidR="006C1397" w:rsidRDefault="006C1397" w:rsidP="006C1397">
            <w:pPr>
              <w:rPr>
                <w:sz w:val="28"/>
                <w:szCs w:val="28"/>
              </w:rPr>
            </w:pPr>
            <w:r>
              <w:rPr>
                <w:iCs/>
                <w:sz w:val="28"/>
                <w:szCs w:val="28"/>
                <w:lang w:eastAsia="lv-LV"/>
              </w:rPr>
              <w:t>1.</w:t>
            </w:r>
          </w:p>
        </w:tc>
        <w:tc>
          <w:tcPr>
            <w:tcW w:w="2601" w:type="dxa"/>
          </w:tcPr>
          <w:p w14:paraId="3871FD16" w14:textId="75C3753E" w:rsidR="006C1397" w:rsidRDefault="006C1397" w:rsidP="006C1397">
            <w:pPr>
              <w:spacing w:before="60" w:after="60"/>
              <w:rPr>
                <w:sz w:val="28"/>
                <w:szCs w:val="28"/>
              </w:rPr>
            </w:pPr>
            <w:r>
              <w:rPr>
                <w:iCs/>
                <w:sz w:val="28"/>
                <w:szCs w:val="28"/>
                <w:lang w:eastAsia="lv-LV"/>
              </w:rPr>
              <w:t>Plānotās sabiedrības līdzdalības un komunikācijas aktivitātes saistībā ar projektu</w:t>
            </w:r>
          </w:p>
        </w:tc>
        <w:tc>
          <w:tcPr>
            <w:tcW w:w="5793" w:type="dxa"/>
            <w:vAlign w:val="center"/>
          </w:tcPr>
          <w:p w14:paraId="0806F476" w14:textId="6675B5D8" w:rsidR="006C1397" w:rsidRDefault="006C1397" w:rsidP="006C1397">
            <w:pPr>
              <w:spacing w:before="60" w:after="60"/>
              <w:jc w:val="both"/>
              <w:rPr>
                <w:sz w:val="28"/>
                <w:szCs w:val="28"/>
              </w:rPr>
            </w:pPr>
            <w:r>
              <w:rPr>
                <w:sz w:val="28"/>
                <w:szCs w:val="28"/>
              </w:rPr>
              <w:t>Sabiedrības līdzdalība tika nodrošināta saskaņā ar Ministru kabineta 2009.gada 25.augusta noteikumiem Nr.970 “Sabiedrības līdzdalības kārtība attīstības plānošanas procesā”, sagatavojot un publicējot paziņojumu par līdzdalības procesu.</w:t>
            </w:r>
          </w:p>
        </w:tc>
      </w:tr>
      <w:tr w:rsidR="006C1397" w:rsidRPr="00BA5E65" w14:paraId="624FD78B" w14:textId="77777777" w:rsidTr="00A7231E">
        <w:tc>
          <w:tcPr>
            <w:tcW w:w="426" w:type="dxa"/>
          </w:tcPr>
          <w:p w14:paraId="17F31D22" w14:textId="4CCE1614" w:rsidR="006C1397" w:rsidRDefault="006C1397" w:rsidP="006C1397">
            <w:pPr>
              <w:rPr>
                <w:sz w:val="28"/>
                <w:szCs w:val="28"/>
              </w:rPr>
            </w:pPr>
            <w:r>
              <w:rPr>
                <w:iCs/>
                <w:sz w:val="28"/>
                <w:szCs w:val="28"/>
                <w:lang w:eastAsia="lv-LV"/>
              </w:rPr>
              <w:t>2.</w:t>
            </w:r>
          </w:p>
        </w:tc>
        <w:tc>
          <w:tcPr>
            <w:tcW w:w="2601" w:type="dxa"/>
          </w:tcPr>
          <w:p w14:paraId="64B154AD" w14:textId="1931EBB6" w:rsidR="006C1397" w:rsidRDefault="006C1397" w:rsidP="006C1397">
            <w:pPr>
              <w:spacing w:before="60" w:after="60"/>
              <w:rPr>
                <w:sz w:val="28"/>
                <w:szCs w:val="28"/>
              </w:rPr>
            </w:pPr>
            <w:r>
              <w:rPr>
                <w:iCs/>
                <w:sz w:val="28"/>
                <w:szCs w:val="28"/>
                <w:lang w:eastAsia="lv-LV"/>
              </w:rPr>
              <w:t>Sabiedrības līdzdalība projekta izstrādē</w:t>
            </w:r>
          </w:p>
        </w:tc>
        <w:tc>
          <w:tcPr>
            <w:tcW w:w="5793" w:type="dxa"/>
            <w:vAlign w:val="center"/>
          </w:tcPr>
          <w:p w14:paraId="020A5AF3" w14:textId="2B2C74EB" w:rsidR="006C1397" w:rsidRDefault="006C1397" w:rsidP="006C1397">
            <w:pPr>
              <w:spacing w:before="60" w:after="60"/>
              <w:jc w:val="both"/>
              <w:rPr>
                <w:sz w:val="28"/>
                <w:szCs w:val="28"/>
              </w:rPr>
            </w:pPr>
            <w:r>
              <w:rPr>
                <w:sz w:val="28"/>
                <w:szCs w:val="28"/>
              </w:rPr>
              <w:t xml:space="preserve">Projekts kopā ar sākotnējās ietekmes novērtējuma ziņojumu (anotāciju) 2015.gada 19.oktobrī ievietots </w:t>
            </w:r>
            <w:proofErr w:type="spellStart"/>
            <w:r>
              <w:rPr>
                <w:sz w:val="28"/>
                <w:szCs w:val="28"/>
              </w:rPr>
              <w:t>Iekšlietu</w:t>
            </w:r>
            <w:proofErr w:type="spellEnd"/>
            <w:r>
              <w:rPr>
                <w:sz w:val="28"/>
                <w:szCs w:val="28"/>
              </w:rPr>
              <w:t xml:space="preserve"> ministrijas mājas lapā internetā </w:t>
            </w:r>
            <w:r w:rsidRPr="00CE6824">
              <w:rPr>
                <w:sz w:val="28"/>
                <w:szCs w:val="28"/>
              </w:rPr>
              <w:t>www.iem.gov.lv</w:t>
            </w:r>
            <w:r>
              <w:rPr>
                <w:sz w:val="28"/>
                <w:szCs w:val="28"/>
              </w:rPr>
              <w:t xml:space="preserve"> sadaļā “Sabiedrības līdzdalība”, aicinot sabiedrību </w:t>
            </w:r>
            <w:proofErr w:type="spellStart"/>
            <w:r>
              <w:rPr>
                <w:sz w:val="28"/>
                <w:szCs w:val="28"/>
              </w:rPr>
              <w:t>rakstveidā</w:t>
            </w:r>
            <w:proofErr w:type="spellEnd"/>
            <w:r>
              <w:rPr>
                <w:sz w:val="28"/>
                <w:szCs w:val="28"/>
              </w:rPr>
              <w:t xml:space="preserve"> izteikt savu viedokli par projektu līdz 2015.gada 2.novembrim.</w:t>
            </w:r>
          </w:p>
        </w:tc>
      </w:tr>
      <w:tr w:rsidR="006C1397" w:rsidRPr="00BA5E65" w14:paraId="26194385" w14:textId="77777777" w:rsidTr="00A7231E">
        <w:tc>
          <w:tcPr>
            <w:tcW w:w="426" w:type="dxa"/>
          </w:tcPr>
          <w:p w14:paraId="607C0D12" w14:textId="638E2001" w:rsidR="006C1397" w:rsidRDefault="006C1397" w:rsidP="006C1397">
            <w:pPr>
              <w:rPr>
                <w:sz w:val="28"/>
                <w:szCs w:val="28"/>
              </w:rPr>
            </w:pPr>
            <w:r>
              <w:rPr>
                <w:iCs/>
                <w:sz w:val="28"/>
                <w:szCs w:val="28"/>
                <w:lang w:eastAsia="lv-LV"/>
              </w:rPr>
              <w:t>3.</w:t>
            </w:r>
          </w:p>
        </w:tc>
        <w:tc>
          <w:tcPr>
            <w:tcW w:w="2601" w:type="dxa"/>
          </w:tcPr>
          <w:p w14:paraId="120E6334" w14:textId="5E6EAEE3" w:rsidR="006C1397" w:rsidRDefault="006C1397" w:rsidP="006C1397">
            <w:pPr>
              <w:spacing w:before="60" w:after="60"/>
              <w:rPr>
                <w:sz w:val="28"/>
                <w:szCs w:val="28"/>
              </w:rPr>
            </w:pPr>
            <w:r>
              <w:rPr>
                <w:iCs/>
                <w:sz w:val="28"/>
                <w:szCs w:val="28"/>
                <w:lang w:eastAsia="lv-LV"/>
              </w:rPr>
              <w:t>Sabiedrības līdzdalības rezultāti</w:t>
            </w:r>
          </w:p>
        </w:tc>
        <w:tc>
          <w:tcPr>
            <w:tcW w:w="5793" w:type="dxa"/>
            <w:vAlign w:val="center"/>
          </w:tcPr>
          <w:p w14:paraId="4D007870" w14:textId="57382337" w:rsidR="006C1397" w:rsidRDefault="006C1397" w:rsidP="006C1397">
            <w:pPr>
              <w:spacing w:before="60" w:after="60"/>
              <w:jc w:val="both"/>
              <w:rPr>
                <w:sz w:val="28"/>
                <w:szCs w:val="28"/>
              </w:rPr>
            </w:pPr>
            <w:r>
              <w:rPr>
                <w:sz w:val="28"/>
                <w:szCs w:val="28"/>
              </w:rPr>
              <w:t>Viedokļi par projektu netika saņemti.</w:t>
            </w:r>
          </w:p>
        </w:tc>
      </w:tr>
      <w:tr w:rsidR="006C1397" w:rsidRPr="00BA5E65" w14:paraId="0C80BA9E" w14:textId="77777777" w:rsidTr="004A3B52">
        <w:tc>
          <w:tcPr>
            <w:tcW w:w="426" w:type="dxa"/>
          </w:tcPr>
          <w:p w14:paraId="389A696F" w14:textId="758B552F" w:rsidR="006C1397" w:rsidRDefault="006C1397" w:rsidP="006C1397">
            <w:pPr>
              <w:rPr>
                <w:sz w:val="28"/>
                <w:szCs w:val="28"/>
              </w:rPr>
            </w:pPr>
            <w:r>
              <w:rPr>
                <w:iCs/>
                <w:sz w:val="28"/>
                <w:szCs w:val="28"/>
                <w:lang w:eastAsia="lv-LV"/>
              </w:rPr>
              <w:t>4.</w:t>
            </w:r>
          </w:p>
        </w:tc>
        <w:tc>
          <w:tcPr>
            <w:tcW w:w="2601" w:type="dxa"/>
          </w:tcPr>
          <w:p w14:paraId="16CB9BD9" w14:textId="7D4FE6A7" w:rsidR="006C1397" w:rsidRDefault="006C1397" w:rsidP="006C1397">
            <w:pPr>
              <w:spacing w:before="60" w:after="60"/>
              <w:rPr>
                <w:sz w:val="28"/>
                <w:szCs w:val="28"/>
              </w:rPr>
            </w:pPr>
            <w:r>
              <w:rPr>
                <w:iCs/>
                <w:sz w:val="28"/>
                <w:szCs w:val="28"/>
                <w:lang w:eastAsia="lv-LV"/>
              </w:rPr>
              <w:t>Cita informācija</w:t>
            </w:r>
          </w:p>
        </w:tc>
        <w:tc>
          <w:tcPr>
            <w:tcW w:w="5793" w:type="dxa"/>
            <w:vAlign w:val="center"/>
          </w:tcPr>
          <w:p w14:paraId="1C26831D" w14:textId="7D509B29" w:rsidR="006C1397" w:rsidRDefault="006C1397" w:rsidP="006C1397">
            <w:pPr>
              <w:spacing w:before="60" w:after="60"/>
              <w:jc w:val="both"/>
              <w:rPr>
                <w:sz w:val="28"/>
                <w:szCs w:val="28"/>
              </w:rPr>
            </w:pPr>
            <w:r>
              <w:rPr>
                <w:sz w:val="28"/>
                <w:szCs w:val="28"/>
              </w:rPr>
              <w:t>Nav.</w:t>
            </w:r>
          </w:p>
        </w:tc>
      </w:tr>
      <w:tr w:rsidR="006C1397" w:rsidRPr="00BA5E65" w14:paraId="0A9CF54E" w14:textId="77777777" w:rsidTr="00B94282">
        <w:tc>
          <w:tcPr>
            <w:tcW w:w="8820" w:type="dxa"/>
            <w:gridSpan w:val="3"/>
          </w:tcPr>
          <w:p w14:paraId="1F57E946" w14:textId="735E5CB3" w:rsidR="006C1397" w:rsidRDefault="006C1397" w:rsidP="006C1397">
            <w:pPr>
              <w:spacing w:before="60" w:after="60"/>
              <w:jc w:val="center"/>
              <w:rPr>
                <w:sz w:val="28"/>
                <w:szCs w:val="28"/>
              </w:rPr>
            </w:pPr>
            <w:r w:rsidRPr="00F03184">
              <w:rPr>
                <w:b/>
                <w:sz w:val="28"/>
              </w:rPr>
              <w:t>VII</w:t>
            </w:r>
            <w:r>
              <w:rPr>
                <w:b/>
                <w:sz w:val="28"/>
              </w:rPr>
              <w:t>.</w:t>
            </w:r>
            <w:r w:rsidRPr="00F03184">
              <w:rPr>
                <w:b/>
                <w:sz w:val="28"/>
              </w:rPr>
              <w:t xml:space="preserve"> Tiesību akta projekta izpildes nodrošināšana un tās ietekme uz institūcijām</w:t>
            </w:r>
          </w:p>
        </w:tc>
      </w:tr>
      <w:tr w:rsidR="006C1397" w:rsidRPr="00BA5E65" w14:paraId="15785838" w14:textId="77777777" w:rsidTr="004A3B52">
        <w:tc>
          <w:tcPr>
            <w:tcW w:w="426" w:type="dxa"/>
          </w:tcPr>
          <w:p w14:paraId="2EAFC8B7" w14:textId="64FE55BF" w:rsidR="006C1397" w:rsidRDefault="006C1397" w:rsidP="006C1397">
            <w:pPr>
              <w:rPr>
                <w:iCs/>
                <w:sz w:val="28"/>
                <w:szCs w:val="28"/>
                <w:lang w:eastAsia="lv-LV"/>
              </w:rPr>
            </w:pPr>
            <w:r>
              <w:rPr>
                <w:iCs/>
                <w:sz w:val="28"/>
                <w:szCs w:val="28"/>
                <w:lang w:eastAsia="lv-LV"/>
              </w:rPr>
              <w:t>1.</w:t>
            </w:r>
          </w:p>
        </w:tc>
        <w:tc>
          <w:tcPr>
            <w:tcW w:w="2601" w:type="dxa"/>
          </w:tcPr>
          <w:p w14:paraId="28B3DE96" w14:textId="0C2C5AFA" w:rsidR="006C1397" w:rsidRDefault="006C1397" w:rsidP="006C1397">
            <w:pPr>
              <w:spacing w:before="60" w:after="60"/>
              <w:rPr>
                <w:iCs/>
                <w:sz w:val="28"/>
                <w:szCs w:val="28"/>
                <w:lang w:eastAsia="lv-LV"/>
              </w:rPr>
            </w:pPr>
            <w:r w:rsidRPr="00ED6A06">
              <w:rPr>
                <w:sz w:val="28"/>
                <w:szCs w:val="28"/>
              </w:rPr>
              <w:t>Projekta izpildē iesaistītās institūcijas</w:t>
            </w:r>
          </w:p>
        </w:tc>
        <w:tc>
          <w:tcPr>
            <w:tcW w:w="5793" w:type="dxa"/>
            <w:vAlign w:val="center"/>
          </w:tcPr>
          <w:p w14:paraId="176EEC9F" w14:textId="1CAAF374" w:rsidR="006C1397" w:rsidRDefault="006C1397" w:rsidP="006C1397">
            <w:pPr>
              <w:spacing w:before="60" w:after="60"/>
              <w:jc w:val="both"/>
              <w:rPr>
                <w:sz w:val="28"/>
                <w:szCs w:val="28"/>
              </w:rPr>
            </w:pPr>
            <w:r>
              <w:rPr>
                <w:iCs/>
                <w:sz w:val="28"/>
                <w:szCs w:val="28"/>
                <w:lang w:eastAsia="lv-LV"/>
              </w:rPr>
              <w:t>Visas projekta izpildē iesaistītās institūcijas (150 institūcijas), kuras realizē administratīvo lietu pakļautību saskaņā ar Latvijas Administratīvo pārkāpumu kodeksa 17.nodaļu.</w:t>
            </w:r>
          </w:p>
        </w:tc>
      </w:tr>
      <w:tr w:rsidR="006C1397" w:rsidRPr="00BA5E65" w14:paraId="3632A6F4" w14:textId="77777777" w:rsidTr="00BD3379">
        <w:tc>
          <w:tcPr>
            <w:tcW w:w="426" w:type="dxa"/>
          </w:tcPr>
          <w:p w14:paraId="089C4DD2" w14:textId="654A5951" w:rsidR="006C1397" w:rsidRDefault="006C1397" w:rsidP="006C1397">
            <w:pPr>
              <w:rPr>
                <w:iCs/>
                <w:sz w:val="28"/>
                <w:szCs w:val="28"/>
                <w:lang w:eastAsia="lv-LV"/>
              </w:rPr>
            </w:pPr>
            <w:r>
              <w:rPr>
                <w:iCs/>
                <w:sz w:val="28"/>
                <w:szCs w:val="28"/>
                <w:lang w:eastAsia="lv-LV"/>
              </w:rPr>
              <w:t>2.</w:t>
            </w:r>
          </w:p>
        </w:tc>
        <w:tc>
          <w:tcPr>
            <w:tcW w:w="2601" w:type="dxa"/>
          </w:tcPr>
          <w:p w14:paraId="6F622E47" w14:textId="705170C2" w:rsidR="006C1397" w:rsidRDefault="006C1397" w:rsidP="006C1397">
            <w:pPr>
              <w:spacing w:before="60" w:after="60"/>
              <w:rPr>
                <w:iCs/>
                <w:sz w:val="28"/>
                <w:szCs w:val="28"/>
                <w:lang w:eastAsia="lv-LV"/>
              </w:rPr>
            </w:pPr>
            <w:r w:rsidRPr="00ED6A06">
              <w:rPr>
                <w:sz w:val="28"/>
                <w:szCs w:val="28"/>
              </w:rPr>
              <w:t xml:space="preserve">Projekta izpildes ietekme uz pārvaldes funkcijām un institucionālo struktūru. Jaunu institūciju izveide, esošu institūciju likvidācija vai reorganizācija, to ietekme uz </w:t>
            </w:r>
            <w:r w:rsidRPr="00ED6A06">
              <w:rPr>
                <w:sz w:val="28"/>
                <w:szCs w:val="28"/>
              </w:rPr>
              <w:lastRenderedPageBreak/>
              <w:t>institūcijas cilvēkresursiem</w:t>
            </w:r>
          </w:p>
        </w:tc>
        <w:tc>
          <w:tcPr>
            <w:tcW w:w="5793" w:type="dxa"/>
          </w:tcPr>
          <w:p w14:paraId="7F5FB7BC" w14:textId="77777777" w:rsidR="006C1397" w:rsidRDefault="006C1397" w:rsidP="006C1397">
            <w:pPr>
              <w:spacing w:before="60"/>
              <w:jc w:val="both"/>
              <w:rPr>
                <w:sz w:val="28"/>
                <w:szCs w:val="28"/>
              </w:rPr>
            </w:pPr>
            <w:r w:rsidRPr="00ED6A06">
              <w:rPr>
                <w:sz w:val="28"/>
                <w:szCs w:val="28"/>
              </w:rPr>
              <w:lastRenderedPageBreak/>
              <w:t>Saistībā ar projekta izpildi nav nepieciešams veidot jaunas institūcijas, likvidēt vai reorganizēt esošās.</w:t>
            </w:r>
          </w:p>
          <w:p w14:paraId="1618B1D8" w14:textId="77777777" w:rsidR="006C1397" w:rsidRDefault="006C1397" w:rsidP="006C1397">
            <w:pPr>
              <w:spacing w:before="60"/>
              <w:jc w:val="both"/>
              <w:rPr>
                <w:sz w:val="28"/>
                <w:szCs w:val="28"/>
              </w:rPr>
            </w:pPr>
            <w:proofErr w:type="spellStart"/>
            <w:r>
              <w:rPr>
                <w:sz w:val="28"/>
                <w:szCs w:val="28"/>
              </w:rPr>
              <w:t>Iekšlietu</w:t>
            </w:r>
            <w:proofErr w:type="spellEnd"/>
            <w:r>
              <w:rPr>
                <w:sz w:val="28"/>
                <w:szCs w:val="28"/>
              </w:rPr>
              <w:t xml:space="preserve"> ministrijas Informācijas centram izmaiņas cilvēkresursu noslodzes skaita ziņā nemainīsies, jo kā pašlaik, tā arī turpmāk maksājumu pārbaudi veiks 1 darbinieks papildus saviem tiešajiem pienākumiem. Plānots, ka samazināsies neidentificēto maksājumu skaits, līdz ar to palielināsies automātiski identificēto </w:t>
            </w:r>
            <w:r>
              <w:rPr>
                <w:sz w:val="28"/>
                <w:szCs w:val="28"/>
              </w:rPr>
              <w:lastRenderedPageBreak/>
              <w:t>maksājumu skaits un esošais darbinieks vairāk laiku varēs veltīt citiem ar informācijas kvalitāti saistītajiem jautājumiem.</w:t>
            </w:r>
          </w:p>
          <w:p w14:paraId="24965474" w14:textId="4C6B5966" w:rsidR="006C1397" w:rsidRDefault="006C1397" w:rsidP="006C1397">
            <w:pPr>
              <w:spacing w:before="60" w:after="60"/>
              <w:jc w:val="both"/>
              <w:rPr>
                <w:sz w:val="28"/>
                <w:szCs w:val="28"/>
              </w:rPr>
            </w:pPr>
            <w:r w:rsidRPr="00F865A2">
              <w:rPr>
                <w:sz w:val="28"/>
                <w:szCs w:val="28"/>
              </w:rPr>
              <w:t>Projekta izpilde nekādā veidā neietekmēs Valsts kases cilvēkresursus,  jo Valsts kase neveic maksājumu identificēšanu. Valsts kase apstrādā no bankām saņemtos datus un nodod tos klientiem, tas vai dati ir izvietoti strukturētā vai nestrukturētā veidā nemaina Valsts kases darba apjomu.</w:t>
            </w:r>
          </w:p>
        </w:tc>
      </w:tr>
      <w:tr w:rsidR="006C1397" w:rsidRPr="00BA5E65" w14:paraId="3764C5AE" w14:textId="77777777" w:rsidTr="004A3B52">
        <w:tc>
          <w:tcPr>
            <w:tcW w:w="426" w:type="dxa"/>
          </w:tcPr>
          <w:p w14:paraId="2A080A5F" w14:textId="4D518528" w:rsidR="006C1397" w:rsidRDefault="006C1397" w:rsidP="006C1397">
            <w:pPr>
              <w:rPr>
                <w:iCs/>
                <w:sz w:val="28"/>
                <w:szCs w:val="28"/>
                <w:lang w:eastAsia="lv-LV"/>
              </w:rPr>
            </w:pPr>
            <w:r>
              <w:rPr>
                <w:iCs/>
                <w:sz w:val="28"/>
                <w:szCs w:val="28"/>
                <w:lang w:eastAsia="lv-LV"/>
              </w:rPr>
              <w:lastRenderedPageBreak/>
              <w:t>3.</w:t>
            </w:r>
          </w:p>
        </w:tc>
        <w:tc>
          <w:tcPr>
            <w:tcW w:w="2601" w:type="dxa"/>
          </w:tcPr>
          <w:p w14:paraId="1182B9A1" w14:textId="4B6E26F9" w:rsidR="006C1397" w:rsidRDefault="006C1397" w:rsidP="006C1397">
            <w:pPr>
              <w:spacing w:before="60" w:after="60"/>
              <w:rPr>
                <w:iCs/>
                <w:sz w:val="28"/>
                <w:szCs w:val="28"/>
                <w:lang w:eastAsia="lv-LV"/>
              </w:rPr>
            </w:pPr>
            <w:r>
              <w:rPr>
                <w:iCs/>
                <w:sz w:val="28"/>
                <w:szCs w:val="28"/>
                <w:lang w:eastAsia="lv-LV"/>
              </w:rPr>
              <w:t>Cita informācija</w:t>
            </w:r>
          </w:p>
        </w:tc>
        <w:tc>
          <w:tcPr>
            <w:tcW w:w="5793" w:type="dxa"/>
            <w:vAlign w:val="center"/>
          </w:tcPr>
          <w:p w14:paraId="5F18042B" w14:textId="5BD9F752" w:rsidR="006C1397" w:rsidRDefault="006C1397" w:rsidP="006C1397">
            <w:pPr>
              <w:spacing w:before="60" w:after="60"/>
              <w:jc w:val="both"/>
              <w:rPr>
                <w:sz w:val="28"/>
                <w:szCs w:val="28"/>
              </w:rPr>
            </w:pPr>
            <w:r w:rsidRPr="00ED6A06">
              <w:rPr>
                <w:sz w:val="28"/>
                <w:szCs w:val="28"/>
              </w:rPr>
              <w:t>Nav</w:t>
            </w:r>
            <w:r>
              <w:rPr>
                <w:sz w:val="28"/>
                <w:szCs w:val="28"/>
              </w:rPr>
              <w:t>.</w:t>
            </w:r>
          </w:p>
        </w:tc>
      </w:tr>
    </w:tbl>
    <w:p w14:paraId="24FF02EE" w14:textId="77777777" w:rsidR="006C1397" w:rsidRDefault="006C1397" w:rsidP="0007077C">
      <w:pPr>
        <w:rPr>
          <w:iCs/>
          <w:sz w:val="28"/>
          <w:szCs w:val="28"/>
          <w:lang w:eastAsia="lv-LV"/>
        </w:rPr>
      </w:pPr>
    </w:p>
    <w:p w14:paraId="5005D74D" w14:textId="3627A169" w:rsidR="0007077C" w:rsidRPr="00A63E6C" w:rsidRDefault="008D5F20" w:rsidP="0007077C">
      <w:pPr>
        <w:rPr>
          <w:sz w:val="28"/>
          <w:szCs w:val="28"/>
          <w:lang w:eastAsia="lv-LV"/>
        </w:rPr>
      </w:pPr>
      <w:r>
        <w:rPr>
          <w:iCs/>
          <w:sz w:val="28"/>
          <w:szCs w:val="28"/>
          <w:lang w:eastAsia="lv-LV"/>
        </w:rPr>
        <w:t xml:space="preserve">Anotācijas </w:t>
      </w:r>
      <w:r w:rsidR="0085260E">
        <w:rPr>
          <w:iCs/>
          <w:sz w:val="28"/>
          <w:szCs w:val="28"/>
          <w:lang w:eastAsia="lv-LV"/>
        </w:rPr>
        <w:t xml:space="preserve">III un </w:t>
      </w:r>
      <w:r w:rsidR="0007077C" w:rsidRPr="00A63E6C">
        <w:rPr>
          <w:iCs/>
          <w:sz w:val="28"/>
          <w:szCs w:val="28"/>
          <w:lang w:eastAsia="lv-LV"/>
        </w:rPr>
        <w:t>V</w:t>
      </w:r>
      <w:r w:rsidR="00AF1B96">
        <w:rPr>
          <w:iCs/>
          <w:sz w:val="28"/>
          <w:szCs w:val="28"/>
          <w:lang w:eastAsia="lv-LV"/>
        </w:rPr>
        <w:t xml:space="preserve"> </w:t>
      </w:r>
      <w:r w:rsidR="0007077C" w:rsidRPr="00A63E6C">
        <w:rPr>
          <w:iCs/>
          <w:sz w:val="28"/>
          <w:szCs w:val="28"/>
          <w:lang w:eastAsia="lv-LV"/>
        </w:rPr>
        <w:t>sadaļa</w:t>
      </w:r>
      <w:r w:rsidR="002A6197">
        <w:rPr>
          <w:iCs/>
          <w:sz w:val="28"/>
          <w:szCs w:val="28"/>
          <w:lang w:eastAsia="lv-LV"/>
        </w:rPr>
        <w:t xml:space="preserve"> –</w:t>
      </w:r>
      <w:r w:rsidR="0007077C" w:rsidRPr="00A63E6C">
        <w:rPr>
          <w:iCs/>
          <w:sz w:val="28"/>
          <w:szCs w:val="28"/>
          <w:lang w:eastAsia="lv-LV"/>
        </w:rPr>
        <w:t xml:space="preserve"> </w:t>
      </w:r>
      <w:r w:rsidR="0007077C" w:rsidRPr="00A63E6C">
        <w:rPr>
          <w:sz w:val="28"/>
          <w:szCs w:val="28"/>
          <w:lang w:eastAsia="lv-LV"/>
        </w:rPr>
        <w:t>projekts šo jomu neskar.</w:t>
      </w:r>
    </w:p>
    <w:p w14:paraId="0B217BAB" w14:textId="77777777" w:rsidR="00AF1B96" w:rsidRDefault="00AF1B96" w:rsidP="00C338A6">
      <w:pPr>
        <w:jc w:val="both"/>
        <w:rPr>
          <w:sz w:val="28"/>
          <w:szCs w:val="28"/>
          <w:lang w:val="de-DE"/>
        </w:rPr>
      </w:pPr>
    </w:p>
    <w:p w14:paraId="1E9208AB" w14:textId="77777777" w:rsidR="00AF1B96" w:rsidRDefault="00AF1B96" w:rsidP="00C338A6">
      <w:pPr>
        <w:jc w:val="both"/>
        <w:rPr>
          <w:sz w:val="28"/>
          <w:szCs w:val="28"/>
          <w:lang w:val="de-DE"/>
        </w:rPr>
      </w:pPr>
    </w:p>
    <w:p w14:paraId="63634EC7" w14:textId="6694DF22" w:rsidR="00616AA6" w:rsidRDefault="00616AA6" w:rsidP="00C338A6">
      <w:pPr>
        <w:jc w:val="both"/>
        <w:rPr>
          <w:sz w:val="28"/>
          <w:szCs w:val="28"/>
          <w:lang w:val="de-DE"/>
        </w:rPr>
      </w:pPr>
      <w:r w:rsidRPr="00D1252E">
        <w:rPr>
          <w:sz w:val="28"/>
          <w:szCs w:val="28"/>
          <w:lang w:val="de-DE"/>
        </w:rPr>
        <w:t>Iekšlietu ministrs</w:t>
      </w:r>
      <w:r w:rsidRPr="00D1252E">
        <w:rPr>
          <w:sz w:val="28"/>
          <w:szCs w:val="28"/>
          <w:lang w:val="de-DE"/>
        </w:rPr>
        <w:tab/>
      </w:r>
      <w:r w:rsidRPr="00D1252E">
        <w:rPr>
          <w:sz w:val="28"/>
          <w:szCs w:val="28"/>
          <w:lang w:val="de-DE"/>
        </w:rPr>
        <w:tab/>
      </w:r>
      <w:r w:rsidRPr="00D1252E">
        <w:rPr>
          <w:sz w:val="28"/>
          <w:szCs w:val="28"/>
          <w:lang w:val="de-DE"/>
        </w:rPr>
        <w:tab/>
      </w:r>
      <w:r w:rsidRPr="00D1252E">
        <w:rPr>
          <w:sz w:val="28"/>
          <w:szCs w:val="28"/>
          <w:lang w:val="de-DE"/>
        </w:rPr>
        <w:tab/>
      </w:r>
      <w:r w:rsidRPr="00D1252E">
        <w:rPr>
          <w:sz w:val="28"/>
          <w:szCs w:val="28"/>
          <w:lang w:val="de-DE"/>
        </w:rPr>
        <w:tab/>
      </w:r>
      <w:r w:rsidR="00A217E7" w:rsidRPr="00D1252E">
        <w:rPr>
          <w:sz w:val="28"/>
          <w:szCs w:val="28"/>
          <w:lang w:val="de-DE"/>
        </w:rPr>
        <w:t xml:space="preserve">            </w:t>
      </w:r>
      <w:r w:rsidR="00D94EA3">
        <w:rPr>
          <w:sz w:val="28"/>
          <w:szCs w:val="28"/>
          <w:lang w:val="de-DE"/>
        </w:rPr>
        <w:t xml:space="preserve">                </w:t>
      </w:r>
      <w:r w:rsidR="00A217E7" w:rsidRPr="00D1252E">
        <w:rPr>
          <w:sz w:val="28"/>
          <w:szCs w:val="28"/>
          <w:lang w:val="de-DE"/>
        </w:rPr>
        <w:t xml:space="preserve"> </w:t>
      </w:r>
      <w:r w:rsidR="00681A0A">
        <w:rPr>
          <w:sz w:val="28"/>
          <w:szCs w:val="28"/>
          <w:lang w:val="de-DE"/>
        </w:rPr>
        <w:t xml:space="preserve"> R.</w:t>
      </w:r>
      <w:r w:rsidRPr="00D1252E">
        <w:rPr>
          <w:sz w:val="28"/>
          <w:szCs w:val="28"/>
          <w:lang w:val="de-DE"/>
        </w:rPr>
        <w:t>Kozlovskis</w:t>
      </w:r>
    </w:p>
    <w:p w14:paraId="60B7E2C7" w14:textId="77777777" w:rsidR="0008347A" w:rsidRPr="00D1252E" w:rsidRDefault="0008347A" w:rsidP="00C338A6">
      <w:pPr>
        <w:jc w:val="both"/>
        <w:rPr>
          <w:sz w:val="28"/>
          <w:szCs w:val="28"/>
        </w:rPr>
      </w:pPr>
    </w:p>
    <w:p w14:paraId="73D20D25" w14:textId="5E7DDC1C" w:rsidR="002720A2" w:rsidRDefault="00616AA6" w:rsidP="00C338A6">
      <w:pPr>
        <w:pStyle w:val="naisf"/>
        <w:ind w:firstLine="0"/>
        <w:rPr>
          <w:color w:val="000000"/>
          <w:sz w:val="20"/>
          <w:szCs w:val="20"/>
        </w:rPr>
      </w:pPr>
      <w:r w:rsidRPr="00D1252E">
        <w:rPr>
          <w:sz w:val="28"/>
          <w:szCs w:val="28"/>
        </w:rPr>
        <w:t>Vīza: valsts sekretāre</w:t>
      </w:r>
      <w:r w:rsidRPr="00D1252E">
        <w:rPr>
          <w:sz w:val="28"/>
          <w:szCs w:val="28"/>
        </w:rPr>
        <w:tab/>
      </w:r>
      <w:r w:rsidRPr="00D1252E">
        <w:rPr>
          <w:sz w:val="28"/>
          <w:szCs w:val="28"/>
        </w:rPr>
        <w:tab/>
      </w:r>
      <w:r w:rsidRPr="00D1252E">
        <w:rPr>
          <w:sz w:val="28"/>
          <w:szCs w:val="28"/>
        </w:rPr>
        <w:tab/>
      </w:r>
      <w:r w:rsidRPr="00D1252E">
        <w:rPr>
          <w:sz w:val="28"/>
          <w:szCs w:val="28"/>
        </w:rPr>
        <w:tab/>
      </w:r>
      <w:r w:rsidR="00502E7D" w:rsidRPr="00D1252E">
        <w:rPr>
          <w:sz w:val="28"/>
          <w:szCs w:val="28"/>
        </w:rPr>
        <w:t xml:space="preserve"> </w:t>
      </w:r>
      <w:r w:rsidR="00D94EA3">
        <w:rPr>
          <w:sz w:val="28"/>
          <w:szCs w:val="28"/>
        </w:rPr>
        <w:t xml:space="preserve">               </w:t>
      </w:r>
      <w:proofErr w:type="spellStart"/>
      <w:r w:rsidRPr="00D1252E">
        <w:rPr>
          <w:sz w:val="28"/>
          <w:szCs w:val="28"/>
        </w:rPr>
        <w:t>I.Pētersone</w:t>
      </w:r>
      <w:proofErr w:type="spellEnd"/>
      <w:r w:rsidR="00B74BDF" w:rsidRPr="00D1252E">
        <w:rPr>
          <w:sz w:val="28"/>
          <w:szCs w:val="28"/>
        </w:rPr>
        <w:t>–</w:t>
      </w:r>
      <w:r w:rsidRPr="00D1252E">
        <w:rPr>
          <w:sz w:val="28"/>
          <w:szCs w:val="28"/>
        </w:rPr>
        <w:t>Godmane</w:t>
      </w:r>
    </w:p>
    <w:p w14:paraId="350A6335" w14:textId="77777777" w:rsidR="006E0523" w:rsidRDefault="006E0523" w:rsidP="00AC0A6D">
      <w:pPr>
        <w:pStyle w:val="naisf"/>
        <w:spacing w:before="0" w:after="0"/>
        <w:ind w:firstLine="0"/>
        <w:rPr>
          <w:sz w:val="20"/>
          <w:szCs w:val="20"/>
          <w:lang w:val="ru-RU"/>
        </w:rPr>
      </w:pPr>
    </w:p>
    <w:p w14:paraId="6A8CA7DE" w14:textId="77777777" w:rsidR="006E0523" w:rsidRDefault="006E0523" w:rsidP="00AC0A6D">
      <w:pPr>
        <w:pStyle w:val="naisf"/>
        <w:spacing w:before="0" w:after="0"/>
        <w:ind w:firstLine="0"/>
        <w:rPr>
          <w:sz w:val="20"/>
          <w:szCs w:val="20"/>
          <w:lang w:val="ru-RU"/>
        </w:rPr>
      </w:pPr>
    </w:p>
    <w:p w14:paraId="3110D1A8" w14:textId="77777777" w:rsidR="006E0523" w:rsidRDefault="006E0523" w:rsidP="00AC0A6D">
      <w:pPr>
        <w:pStyle w:val="naisf"/>
        <w:spacing w:before="0" w:after="0"/>
        <w:ind w:firstLine="0"/>
        <w:rPr>
          <w:sz w:val="20"/>
          <w:szCs w:val="20"/>
          <w:lang w:val="ru-RU"/>
        </w:rPr>
      </w:pPr>
    </w:p>
    <w:p w14:paraId="6D47E3FC" w14:textId="77777777" w:rsidR="006E0523" w:rsidRDefault="006E0523" w:rsidP="00AC0A6D">
      <w:pPr>
        <w:pStyle w:val="naisf"/>
        <w:spacing w:before="0" w:after="0"/>
        <w:ind w:firstLine="0"/>
        <w:rPr>
          <w:sz w:val="20"/>
          <w:szCs w:val="20"/>
          <w:lang w:val="ru-RU"/>
        </w:rPr>
      </w:pPr>
    </w:p>
    <w:p w14:paraId="7A021F19" w14:textId="77777777" w:rsidR="006E0523" w:rsidRDefault="006E0523" w:rsidP="00AC0A6D">
      <w:pPr>
        <w:pStyle w:val="naisf"/>
        <w:spacing w:before="0" w:after="0"/>
        <w:ind w:firstLine="0"/>
        <w:rPr>
          <w:sz w:val="20"/>
          <w:szCs w:val="20"/>
          <w:lang w:val="ru-RU"/>
        </w:rPr>
      </w:pPr>
    </w:p>
    <w:p w14:paraId="3E6FF94B" w14:textId="77777777" w:rsidR="006E0523" w:rsidRDefault="006E0523" w:rsidP="00AC0A6D">
      <w:pPr>
        <w:pStyle w:val="naisf"/>
        <w:spacing w:before="0" w:after="0"/>
        <w:ind w:firstLine="0"/>
        <w:rPr>
          <w:sz w:val="20"/>
          <w:szCs w:val="20"/>
          <w:lang w:val="ru-RU"/>
        </w:rPr>
      </w:pPr>
    </w:p>
    <w:p w14:paraId="68BB8BC9" w14:textId="77777777" w:rsidR="006E0523" w:rsidRDefault="006E0523" w:rsidP="00AC0A6D">
      <w:pPr>
        <w:pStyle w:val="naisf"/>
        <w:spacing w:before="0" w:after="0"/>
        <w:ind w:firstLine="0"/>
        <w:rPr>
          <w:sz w:val="20"/>
          <w:szCs w:val="20"/>
          <w:lang w:val="ru-RU"/>
        </w:rPr>
      </w:pPr>
    </w:p>
    <w:p w14:paraId="7DEE7A2E" w14:textId="77777777" w:rsidR="006E0523" w:rsidRDefault="006E0523" w:rsidP="00AC0A6D">
      <w:pPr>
        <w:pStyle w:val="naisf"/>
        <w:spacing w:before="0" w:after="0"/>
        <w:ind w:firstLine="0"/>
        <w:rPr>
          <w:sz w:val="20"/>
          <w:szCs w:val="20"/>
          <w:lang w:val="ru-RU"/>
        </w:rPr>
      </w:pPr>
    </w:p>
    <w:p w14:paraId="40D22096" w14:textId="77777777" w:rsidR="006E0523" w:rsidRDefault="006E0523" w:rsidP="00AC0A6D">
      <w:pPr>
        <w:pStyle w:val="naisf"/>
        <w:spacing w:before="0" w:after="0"/>
        <w:ind w:firstLine="0"/>
        <w:rPr>
          <w:sz w:val="20"/>
          <w:szCs w:val="20"/>
          <w:lang w:val="ru-RU"/>
        </w:rPr>
      </w:pPr>
    </w:p>
    <w:p w14:paraId="5838E74B" w14:textId="77777777" w:rsidR="006E0523" w:rsidRDefault="006E0523" w:rsidP="00AC0A6D">
      <w:pPr>
        <w:pStyle w:val="naisf"/>
        <w:spacing w:before="0" w:after="0"/>
        <w:ind w:firstLine="0"/>
        <w:rPr>
          <w:sz w:val="20"/>
          <w:szCs w:val="20"/>
          <w:lang w:val="ru-RU"/>
        </w:rPr>
      </w:pPr>
    </w:p>
    <w:p w14:paraId="1A0E090E" w14:textId="77777777" w:rsidR="006E0523" w:rsidRDefault="006E0523" w:rsidP="00AC0A6D">
      <w:pPr>
        <w:pStyle w:val="naisf"/>
        <w:spacing w:before="0" w:after="0"/>
        <w:ind w:firstLine="0"/>
        <w:rPr>
          <w:sz w:val="20"/>
          <w:szCs w:val="20"/>
          <w:lang w:val="ru-RU"/>
        </w:rPr>
      </w:pPr>
    </w:p>
    <w:p w14:paraId="277E2BA3" w14:textId="77777777" w:rsidR="006E0523" w:rsidRDefault="006E0523" w:rsidP="00AC0A6D">
      <w:pPr>
        <w:pStyle w:val="naisf"/>
        <w:spacing w:before="0" w:after="0"/>
        <w:ind w:firstLine="0"/>
        <w:rPr>
          <w:sz w:val="20"/>
          <w:szCs w:val="20"/>
          <w:lang w:val="ru-RU"/>
        </w:rPr>
      </w:pPr>
    </w:p>
    <w:p w14:paraId="2E5CE5FB" w14:textId="77777777" w:rsidR="006E0523" w:rsidRDefault="006E0523" w:rsidP="00AC0A6D">
      <w:pPr>
        <w:pStyle w:val="naisf"/>
        <w:spacing w:before="0" w:after="0"/>
        <w:ind w:firstLine="0"/>
        <w:rPr>
          <w:sz w:val="20"/>
          <w:szCs w:val="20"/>
          <w:lang w:val="ru-RU"/>
        </w:rPr>
      </w:pPr>
    </w:p>
    <w:p w14:paraId="3CEF98E3" w14:textId="77777777" w:rsidR="006E0523" w:rsidRDefault="006E0523" w:rsidP="00AC0A6D">
      <w:pPr>
        <w:pStyle w:val="naisf"/>
        <w:spacing w:before="0" w:after="0"/>
        <w:ind w:firstLine="0"/>
        <w:rPr>
          <w:sz w:val="20"/>
          <w:szCs w:val="20"/>
          <w:lang w:val="ru-RU"/>
        </w:rPr>
      </w:pPr>
    </w:p>
    <w:p w14:paraId="4EC919FA" w14:textId="77777777" w:rsidR="006E0523" w:rsidRDefault="006E0523" w:rsidP="00AC0A6D">
      <w:pPr>
        <w:pStyle w:val="naisf"/>
        <w:spacing w:before="0" w:after="0"/>
        <w:ind w:firstLine="0"/>
        <w:rPr>
          <w:sz w:val="20"/>
          <w:szCs w:val="20"/>
          <w:lang w:val="ru-RU"/>
        </w:rPr>
      </w:pPr>
    </w:p>
    <w:p w14:paraId="13F659AC" w14:textId="77777777" w:rsidR="006E0523" w:rsidRDefault="006E0523" w:rsidP="00AC0A6D">
      <w:pPr>
        <w:pStyle w:val="naisf"/>
        <w:spacing w:before="0" w:after="0"/>
        <w:ind w:firstLine="0"/>
        <w:rPr>
          <w:sz w:val="20"/>
          <w:szCs w:val="20"/>
          <w:lang w:val="ru-RU"/>
        </w:rPr>
      </w:pPr>
    </w:p>
    <w:p w14:paraId="6CDAEAC2" w14:textId="77777777" w:rsidR="006E0523" w:rsidRDefault="006E0523" w:rsidP="00AC0A6D">
      <w:pPr>
        <w:pStyle w:val="naisf"/>
        <w:spacing w:before="0" w:after="0"/>
        <w:ind w:firstLine="0"/>
        <w:rPr>
          <w:sz w:val="20"/>
          <w:szCs w:val="20"/>
          <w:lang w:val="ru-RU"/>
        </w:rPr>
      </w:pPr>
    </w:p>
    <w:p w14:paraId="256CF510" w14:textId="77777777" w:rsidR="006E0523" w:rsidRDefault="006E0523" w:rsidP="00AC0A6D">
      <w:pPr>
        <w:pStyle w:val="naisf"/>
        <w:spacing w:before="0" w:after="0"/>
        <w:ind w:firstLine="0"/>
        <w:rPr>
          <w:sz w:val="20"/>
          <w:szCs w:val="20"/>
          <w:lang w:val="ru-RU"/>
        </w:rPr>
      </w:pPr>
    </w:p>
    <w:p w14:paraId="60021F88" w14:textId="77777777" w:rsidR="006E0523" w:rsidRDefault="006E0523" w:rsidP="00AC0A6D">
      <w:pPr>
        <w:pStyle w:val="naisf"/>
        <w:spacing w:before="0" w:after="0"/>
        <w:ind w:firstLine="0"/>
        <w:rPr>
          <w:sz w:val="20"/>
          <w:szCs w:val="20"/>
          <w:lang w:val="ru-RU"/>
        </w:rPr>
      </w:pPr>
    </w:p>
    <w:p w14:paraId="04D646A3" w14:textId="77777777" w:rsidR="00D25FB7" w:rsidRDefault="00D25FB7" w:rsidP="00AC0A6D">
      <w:pPr>
        <w:pStyle w:val="naisf"/>
        <w:spacing w:before="0" w:after="0"/>
        <w:ind w:firstLine="0"/>
        <w:rPr>
          <w:sz w:val="20"/>
          <w:szCs w:val="20"/>
          <w:lang w:val="ru-RU"/>
        </w:rPr>
      </w:pPr>
    </w:p>
    <w:p w14:paraId="47ADF1E8" w14:textId="77777777" w:rsidR="00973EE6" w:rsidRDefault="00973EE6" w:rsidP="00AC0A6D">
      <w:pPr>
        <w:pStyle w:val="naisf"/>
        <w:spacing w:before="0" w:after="0"/>
        <w:ind w:firstLine="0"/>
        <w:rPr>
          <w:sz w:val="20"/>
          <w:szCs w:val="20"/>
          <w:lang w:val="ru-RU"/>
        </w:rPr>
      </w:pPr>
    </w:p>
    <w:p w14:paraId="709739BD" w14:textId="77777777" w:rsidR="00C74DA0" w:rsidRDefault="00C74DA0" w:rsidP="00AC0A6D">
      <w:pPr>
        <w:pStyle w:val="naisf"/>
        <w:spacing w:before="0" w:after="0"/>
        <w:ind w:firstLine="0"/>
        <w:rPr>
          <w:sz w:val="20"/>
          <w:szCs w:val="20"/>
          <w:lang w:val="ru-RU"/>
        </w:rPr>
      </w:pPr>
    </w:p>
    <w:p w14:paraId="748F0BFB" w14:textId="77777777" w:rsidR="00C74DA0" w:rsidRDefault="00C74DA0" w:rsidP="00AC0A6D">
      <w:pPr>
        <w:pStyle w:val="naisf"/>
        <w:spacing w:before="0" w:after="0"/>
        <w:ind w:firstLine="0"/>
        <w:rPr>
          <w:sz w:val="20"/>
          <w:szCs w:val="20"/>
          <w:lang w:val="ru-RU"/>
        </w:rPr>
      </w:pPr>
    </w:p>
    <w:p w14:paraId="2ECB93FF" w14:textId="77777777" w:rsidR="00C74DA0" w:rsidRDefault="00C74DA0" w:rsidP="00AC0A6D">
      <w:pPr>
        <w:pStyle w:val="naisf"/>
        <w:spacing w:before="0" w:after="0"/>
        <w:ind w:firstLine="0"/>
        <w:rPr>
          <w:sz w:val="20"/>
          <w:szCs w:val="20"/>
          <w:lang w:val="ru-RU"/>
        </w:rPr>
      </w:pPr>
    </w:p>
    <w:p w14:paraId="52F96232" w14:textId="77777777" w:rsidR="00C74DA0" w:rsidRDefault="00C74DA0" w:rsidP="00AC0A6D">
      <w:pPr>
        <w:pStyle w:val="naisf"/>
        <w:spacing w:before="0" w:after="0"/>
        <w:ind w:firstLine="0"/>
        <w:rPr>
          <w:sz w:val="20"/>
          <w:szCs w:val="20"/>
          <w:lang w:val="ru-RU"/>
        </w:rPr>
      </w:pPr>
    </w:p>
    <w:p w14:paraId="4438F9B9" w14:textId="77777777" w:rsidR="00C74DA0" w:rsidRDefault="00C74DA0" w:rsidP="00AC0A6D">
      <w:pPr>
        <w:pStyle w:val="naisf"/>
        <w:spacing w:before="0" w:after="0"/>
        <w:ind w:firstLine="0"/>
        <w:rPr>
          <w:sz w:val="20"/>
          <w:szCs w:val="20"/>
          <w:lang w:val="ru-RU"/>
        </w:rPr>
      </w:pPr>
    </w:p>
    <w:p w14:paraId="5D32F7EE" w14:textId="77777777" w:rsidR="006E0523" w:rsidRDefault="006E0523" w:rsidP="00AC0A6D">
      <w:pPr>
        <w:pStyle w:val="naisf"/>
        <w:spacing w:before="0" w:after="0"/>
        <w:ind w:firstLine="0"/>
        <w:rPr>
          <w:sz w:val="20"/>
          <w:szCs w:val="20"/>
          <w:lang w:val="ru-RU"/>
        </w:rPr>
      </w:pPr>
    </w:p>
    <w:p w14:paraId="075E5A34" w14:textId="77777777" w:rsidR="006E0523" w:rsidRDefault="006E0523" w:rsidP="00AC0A6D">
      <w:pPr>
        <w:pStyle w:val="naisf"/>
        <w:spacing w:before="0" w:after="0"/>
        <w:ind w:firstLine="0"/>
        <w:rPr>
          <w:sz w:val="20"/>
          <w:szCs w:val="20"/>
          <w:lang w:val="ru-RU"/>
        </w:rPr>
      </w:pPr>
    </w:p>
    <w:p w14:paraId="48AFA11E" w14:textId="67D314DF" w:rsidR="006E0523" w:rsidRPr="006E0523" w:rsidRDefault="00346483" w:rsidP="00AC0A6D">
      <w:pPr>
        <w:pStyle w:val="naisf"/>
        <w:spacing w:before="0" w:after="0"/>
        <w:ind w:firstLine="0"/>
        <w:rPr>
          <w:sz w:val="20"/>
          <w:szCs w:val="20"/>
        </w:rPr>
      </w:pPr>
      <w:r>
        <w:rPr>
          <w:sz w:val="20"/>
          <w:szCs w:val="20"/>
        </w:rPr>
        <w:t>12</w:t>
      </w:r>
      <w:r w:rsidR="00D25FB7">
        <w:rPr>
          <w:sz w:val="20"/>
          <w:szCs w:val="20"/>
        </w:rPr>
        <w:t>.07.2016. 08:26</w:t>
      </w:r>
    </w:p>
    <w:p w14:paraId="2A0B38FF" w14:textId="081D8C2C" w:rsidR="00CE417F" w:rsidRPr="00AC0A6D" w:rsidRDefault="008976BE" w:rsidP="00AC0A6D">
      <w:pPr>
        <w:pStyle w:val="naisf"/>
        <w:spacing w:before="0" w:after="0"/>
        <w:ind w:firstLine="0"/>
        <w:rPr>
          <w:sz w:val="20"/>
          <w:szCs w:val="20"/>
        </w:rPr>
      </w:pPr>
      <w:r>
        <w:rPr>
          <w:sz w:val="20"/>
          <w:szCs w:val="20"/>
        </w:rPr>
        <w:t>2</w:t>
      </w:r>
      <w:r w:rsidR="00C74DA0">
        <w:rPr>
          <w:sz w:val="20"/>
          <w:szCs w:val="20"/>
        </w:rPr>
        <w:t>574</w:t>
      </w:r>
    </w:p>
    <w:p w14:paraId="1BC03D98" w14:textId="15A95578" w:rsidR="00D1252E" w:rsidRDefault="00D94EA3" w:rsidP="00527A75">
      <w:pPr>
        <w:pStyle w:val="BodyText"/>
        <w:jc w:val="left"/>
        <w:rPr>
          <w:b w:val="0"/>
          <w:sz w:val="20"/>
        </w:rPr>
      </w:pPr>
      <w:proofErr w:type="spellStart"/>
      <w:r>
        <w:rPr>
          <w:b w:val="0"/>
          <w:sz w:val="20"/>
        </w:rPr>
        <w:t>S.Koritko</w:t>
      </w:r>
      <w:proofErr w:type="spellEnd"/>
    </w:p>
    <w:p w14:paraId="61A54440" w14:textId="5A024938" w:rsidR="00300948" w:rsidRPr="00527A75" w:rsidRDefault="00D1252E" w:rsidP="00527A75">
      <w:pPr>
        <w:pStyle w:val="BodyText"/>
        <w:jc w:val="left"/>
        <w:rPr>
          <w:b w:val="0"/>
          <w:sz w:val="20"/>
        </w:rPr>
      </w:pPr>
      <w:r>
        <w:rPr>
          <w:b w:val="0"/>
          <w:sz w:val="20"/>
        </w:rPr>
        <w:t>672</w:t>
      </w:r>
      <w:r w:rsidR="00D94EA3">
        <w:rPr>
          <w:b w:val="0"/>
          <w:sz w:val="20"/>
        </w:rPr>
        <w:t xml:space="preserve">08742, </w:t>
      </w:r>
      <w:hyperlink r:id="rId11" w:history="1">
        <w:r w:rsidR="00D94EA3" w:rsidRPr="001E5F76">
          <w:rPr>
            <w:rStyle w:val="Hyperlink"/>
            <w:b w:val="0"/>
            <w:sz w:val="20"/>
          </w:rPr>
          <w:t>signe.koritko@ic.iem.gov.lv</w:t>
        </w:r>
      </w:hyperlink>
      <w:r w:rsidR="00D94EA3">
        <w:rPr>
          <w:b w:val="0"/>
          <w:sz w:val="20"/>
        </w:rPr>
        <w:t xml:space="preserve"> </w:t>
      </w:r>
      <w:r>
        <w:rPr>
          <w:b w:val="0"/>
          <w:sz w:val="20"/>
        </w:rPr>
        <w:t xml:space="preserve"> </w:t>
      </w:r>
    </w:p>
    <w:sectPr w:rsidR="00300948" w:rsidRPr="00527A75" w:rsidSect="00542E31">
      <w:headerReference w:type="even" r:id="rId12"/>
      <w:headerReference w:type="default" r:id="rId13"/>
      <w:footerReference w:type="default" r:id="rId14"/>
      <w:footerReference w:type="first" r:id="rId15"/>
      <w:pgSz w:w="11906" w:h="16838"/>
      <w:pgMar w:top="1440" w:right="144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2649F" w14:textId="77777777" w:rsidR="00AB1577" w:rsidRDefault="00AB1577" w:rsidP="00616AA6">
      <w:r>
        <w:separator/>
      </w:r>
    </w:p>
  </w:endnote>
  <w:endnote w:type="continuationSeparator" w:id="0">
    <w:p w14:paraId="1C9DD9D7" w14:textId="77777777" w:rsidR="00AB1577" w:rsidRDefault="00AB1577" w:rsidP="0061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altName w:val="Times New Roman"/>
    <w:charset w:val="BA"/>
    <w:family w:val="roman"/>
    <w:pitch w:val="variable"/>
    <w:sig w:usb0="00000001"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E800A" w14:textId="2B2F29D4" w:rsidR="006E0523" w:rsidRPr="00732FE0" w:rsidRDefault="006E0523" w:rsidP="006E0523">
    <w:pPr>
      <w:jc w:val="both"/>
      <w:rPr>
        <w:sz w:val="20"/>
        <w:szCs w:val="20"/>
      </w:rPr>
    </w:pPr>
    <w:r w:rsidRPr="00732FE0">
      <w:rPr>
        <w:sz w:val="20"/>
        <w:szCs w:val="20"/>
      </w:rPr>
      <w:t>IEMAnot_</w:t>
    </w:r>
    <w:r w:rsidR="00346483">
      <w:rPr>
        <w:sz w:val="20"/>
        <w:szCs w:val="20"/>
      </w:rPr>
      <w:t>12</w:t>
    </w:r>
    <w:r w:rsidR="00D25FB7">
      <w:rPr>
        <w:sz w:val="20"/>
        <w:szCs w:val="20"/>
      </w:rPr>
      <w:t>07</w:t>
    </w:r>
    <w:r w:rsidRPr="00732FE0">
      <w:rPr>
        <w:sz w:val="20"/>
        <w:szCs w:val="20"/>
      </w:rPr>
      <w:t>1</w:t>
    </w:r>
    <w:r>
      <w:rPr>
        <w:sz w:val="20"/>
        <w:szCs w:val="20"/>
      </w:rPr>
      <w:t>6</w:t>
    </w:r>
    <w:r w:rsidRPr="00732FE0">
      <w:rPr>
        <w:sz w:val="20"/>
        <w:szCs w:val="20"/>
      </w:rPr>
      <w:t>_</w:t>
    </w:r>
    <w:r>
      <w:rPr>
        <w:sz w:val="20"/>
        <w:szCs w:val="20"/>
      </w:rPr>
      <w:t>484</w:t>
    </w:r>
    <w:r w:rsidRPr="00732FE0">
      <w:rPr>
        <w:sz w:val="20"/>
        <w:szCs w:val="20"/>
      </w:rPr>
      <w:t xml:space="preserve">; Ministru kabineta </w:t>
    </w:r>
    <w:r>
      <w:rPr>
        <w:sz w:val="20"/>
        <w:szCs w:val="20"/>
      </w:rPr>
      <w:t>noteikumu</w:t>
    </w:r>
    <w:r w:rsidRPr="00732FE0">
      <w:rPr>
        <w:sz w:val="20"/>
        <w:szCs w:val="20"/>
      </w:rPr>
      <w:t xml:space="preserve"> projekta </w:t>
    </w:r>
    <w:r w:rsidR="00EE7956">
      <w:rPr>
        <w:sz w:val="20"/>
      </w:rPr>
      <w:t>„Noteikumi par administratīvā pārkāpuma protokola veidlapu izgatavošanas un izmantošanas kārtību un to paraugiem</w:t>
    </w:r>
    <w:r w:rsidRPr="00732FE0">
      <w:rPr>
        <w:sz w:val="20"/>
        <w:szCs w:val="20"/>
      </w:rPr>
      <w:t>”” sākotnējās ietekmes novērtējuma ziņojums (anotācija)</w:t>
    </w:r>
  </w:p>
  <w:p w14:paraId="3003B2AB" w14:textId="39CAF770" w:rsidR="00FA3806" w:rsidRPr="00732FE0" w:rsidRDefault="00FA3806" w:rsidP="00732FE0">
    <w:pP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81EE7" w14:textId="2177F0C6" w:rsidR="00732FE0" w:rsidRPr="00732FE0" w:rsidRDefault="00732FE0" w:rsidP="00732FE0">
    <w:pPr>
      <w:jc w:val="both"/>
      <w:rPr>
        <w:sz w:val="20"/>
        <w:szCs w:val="20"/>
      </w:rPr>
    </w:pPr>
    <w:r w:rsidRPr="00732FE0">
      <w:rPr>
        <w:sz w:val="20"/>
        <w:szCs w:val="20"/>
      </w:rPr>
      <w:t>IEMAnot_</w:t>
    </w:r>
    <w:r w:rsidR="00346483">
      <w:rPr>
        <w:sz w:val="20"/>
        <w:szCs w:val="20"/>
      </w:rPr>
      <w:t>12</w:t>
    </w:r>
    <w:r w:rsidR="00D25FB7">
      <w:rPr>
        <w:sz w:val="20"/>
        <w:szCs w:val="20"/>
      </w:rPr>
      <w:t>07</w:t>
    </w:r>
    <w:r w:rsidRPr="00732FE0">
      <w:rPr>
        <w:sz w:val="20"/>
        <w:szCs w:val="20"/>
      </w:rPr>
      <w:t>1</w:t>
    </w:r>
    <w:r w:rsidR="00A740F4">
      <w:rPr>
        <w:sz w:val="20"/>
        <w:szCs w:val="20"/>
      </w:rPr>
      <w:t>6</w:t>
    </w:r>
    <w:r w:rsidRPr="00732FE0">
      <w:rPr>
        <w:sz w:val="20"/>
        <w:szCs w:val="20"/>
      </w:rPr>
      <w:t>_</w:t>
    </w:r>
    <w:r w:rsidR="00D94EA3">
      <w:rPr>
        <w:sz w:val="20"/>
        <w:szCs w:val="20"/>
      </w:rPr>
      <w:t>484</w:t>
    </w:r>
    <w:r w:rsidRPr="00732FE0">
      <w:rPr>
        <w:sz w:val="20"/>
        <w:szCs w:val="20"/>
      </w:rPr>
      <w:t xml:space="preserve">; Ministru kabineta </w:t>
    </w:r>
    <w:r w:rsidR="00D94EA3">
      <w:rPr>
        <w:sz w:val="20"/>
        <w:szCs w:val="20"/>
      </w:rPr>
      <w:t>noteikumu</w:t>
    </w:r>
    <w:r w:rsidR="00285867">
      <w:rPr>
        <w:sz w:val="20"/>
        <w:szCs w:val="20"/>
      </w:rPr>
      <w:t xml:space="preserve"> projekta </w:t>
    </w:r>
    <w:r w:rsidR="00EE7956">
      <w:rPr>
        <w:sz w:val="20"/>
      </w:rPr>
      <w:t>„Noteikumi par administratīvā pārkāpuma protokola veidlapu izgatavošanas un izmantošanas kārtību un to paraugiem</w:t>
    </w:r>
    <w:r w:rsidRPr="00732FE0">
      <w:rPr>
        <w:sz w:val="20"/>
        <w:szCs w:val="20"/>
      </w:rPr>
      <w:t>”” sākotnējās ietekmes novērtējuma ziņojums (anotācija)</w:t>
    </w:r>
  </w:p>
  <w:p w14:paraId="3E4690EF" w14:textId="77777777" w:rsidR="00732FE0" w:rsidRPr="00732FE0" w:rsidRDefault="00732FE0" w:rsidP="00732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B4CCC" w14:textId="77777777" w:rsidR="00AB1577" w:rsidRDefault="00AB1577" w:rsidP="00616AA6">
      <w:r>
        <w:separator/>
      </w:r>
    </w:p>
  </w:footnote>
  <w:footnote w:type="continuationSeparator" w:id="0">
    <w:p w14:paraId="4CBEBFA6" w14:textId="77777777" w:rsidR="00AB1577" w:rsidRDefault="00AB1577" w:rsidP="00616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83149" w14:textId="77777777" w:rsidR="00FA3806" w:rsidRDefault="00FA3806"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D762E8" w14:textId="77777777" w:rsidR="00FA3806" w:rsidRDefault="00FA38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3C4A4" w14:textId="77777777" w:rsidR="00FA3806" w:rsidRDefault="00FA3806"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309B">
      <w:rPr>
        <w:rStyle w:val="PageNumber"/>
        <w:noProof/>
      </w:rPr>
      <w:t>12</w:t>
    </w:r>
    <w:r>
      <w:rPr>
        <w:rStyle w:val="PageNumber"/>
      </w:rPr>
      <w:fldChar w:fldCharType="end"/>
    </w:r>
  </w:p>
  <w:p w14:paraId="2FCBC276" w14:textId="77777777" w:rsidR="00FA3806" w:rsidRDefault="00FA3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713F4"/>
    <w:multiLevelType w:val="hybridMultilevel"/>
    <w:tmpl w:val="66EE0DAA"/>
    <w:lvl w:ilvl="0" w:tplc="5DAC1A1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68E7387"/>
    <w:multiLevelType w:val="hybridMultilevel"/>
    <w:tmpl w:val="0206DE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113A70"/>
    <w:multiLevelType w:val="multilevel"/>
    <w:tmpl w:val="39FCD21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387C3588"/>
    <w:multiLevelType w:val="hybridMultilevel"/>
    <w:tmpl w:val="33D24DB6"/>
    <w:lvl w:ilvl="0" w:tplc="2C58B31E">
      <w:start w:val="1"/>
      <w:numFmt w:val="decimal"/>
      <w:lvlText w:val="%1."/>
      <w:lvlJc w:val="left"/>
      <w:pPr>
        <w:ind w:left="530" w:hanging="360"/>
      </w:pPr>
      <w:rPr>
        <w:rFonts w:hint="default"/>
      </w:rPr>
    </w:lvl>
    <w:lvl w:ilvl="1" w:tplc="04260019" w:tentative="1">
      <w:start w:val="1"/>
      <w:numFmt w:val="lowerLetter"/>
      <w:lvlText w:val="%2."/>
      <w:lvlJc w:val="left"/>
      <w:pPr>
        <w:ind w:left="1250" w:hanging="360"/>
      </w:pPr>
    </w:lvl>
    <w:lvl w:ilvl="2" w:tplc="0426001B" w:tentative="1">
      <w:start w:val="1"/>
      <w:numFmt w:val="lowerRoman"/>
      <w:lvlText w:val="%3."/>
      <w:lvlJc w:val="right"/>
      <w:pPr>
        <w:ind w:left="1970" w:hanging="180"/>
      </w:pPr>
    </w:lvl>
    <w:lvl w:ilvl="3" w:tplc="0426000F" w:tentative="1">
      <w:start w:val="1"/>
      <w:numFmt w:val="decimal"/>
      <w:lvlText w:val="%4."/>
      <w:lvlJc w:val="left"/>
      <w:pPr>
        <w:ind w:left="2690" w:hanging="360"/>
      </w:pPr>
    </w:lvl>
    <w:lvl w:ilvl="4" w:tplc="04260019" w:tentative="1">
      <w:start w:val="1"/>
      <w:numFmt w:val="lowerLetter"/>
      <w:lvlText w:val="%5."/>
      <w:lvlJc w:val="left"/>
      <w:pPr>
        <w:ind w:left="3410" w:hanging="360"/>
      </w:pPr>
    </w:lvl>
    <w:lvl w:ilvl="5" w:tplc="0426001B" w:tentative="1">
      <w:start w:val="1"/>
      <w:numFmt w:val="lowerRoman"/>
      <w:lvlText w:val="%6."/>
      <w:lvlJc w:val="right"/>
      <w:pPr>
        <w:ind w:left="4130" w:hanging="180"/>
      </w:pPr>
    </w:lvl>
    <w:lvl w:ilvl="6" w:tplc="0426000F" w:tentative="1">
      <w:start w:val="1"/>
      <w:numFmt w:val="decimal"/>
      <w:lvlText w:val="%7."/>
      <w:lvlJc w:val="left"/>
      <w:pPr>
        <w:ind w:left="4850" w:hanging="360"/>
      </w:pPr>
    </w:lvl>
    <w:lvl w:ilvl="7" w:tplc="04260019" w:tentative="1">
      <w:start w:val="1"/>
      <w:numFmt w:val="lowerLetter"/>
      <w:lvlText w:val="%8."/>
      <w:lvlJc w:val="left"/>
      <w:pPr>
        <w:ind w:left="5570" w:hanging="360"/>
      </w:pPr>
    </w:lvl>
    <w:lvl w:ilvl="8" w:tplc="0426001B" w:tentative="1">
      <w:start w:val="1"/>
      <w:numFmt w:val="lowerRoman"/>
      <w:lvlText w:val="%9."/>
      <w:lvlJc w:val="right"/>
      <w:pPr>
        <w:ind w:left="6290" w:hanging="180"/>
      </w:pPr>
    </w:lvl>
  </w:abstractNum>
  <w:abstractNum w:abstractNumId="4" w15:restartNumberingAfterBreak="0">
    <w:nsid w:val="4AD47460"/>
    <w:multiLevelType w:val="hybridMultilevel"/>
    <w:tmpl w:val="5C1275BC"/>
    <w:lvl w:ilvl="0" w:tplc="6214104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3C02BF4"/>
    <w:multiLevelType w:val="hybridMultilevel"/>
    <w:tmpl w:val="7ABE3916"/>
    <w:lvl w:ilvl="0" w:tplc="F25EA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3F066F0"/>
    <w:multiLevelType w:val="hybridMultilevel"/>
    <w:tmpl w:val="1CE61D66"/>
    <w:lvl w:ilvl="0" w:tplc="AB58D7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B7552E8"/>
    <w:multiLevelType w:val="hybridMultilevel"/>
    <w:tmpl w:val="36F6F898"/>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CA27680"/>
    <w:multiLevelType w:val="hybridMultilevel"/>
    <w:tmpl w:val="6D54CE4E"/>
    <w:lvl w:ilvl="0" w:tplc="8F4CDBCA">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6C029F7"/>
    <w:multiLevelType w:val="hybridMultilevel"/>
    <w:tmpl w:val="4956F116"/>
    <w:lvl w:ilvl="0" w:tplc="19426CC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99C2A30"/>
    <w:multiLevelType w:val="hybridMultilevel"/>
    <w:tmpl w:val="D5444D38"/>
    <w:lvl w:ilvl="0" w:tplc="20722132">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10"/>
  </w:num>
  <w:num w:numId="2">
    <w:abstractNumId w:val="9"/>
  </w:num>
  <w:num w:numId="3">
    <w:abstractNumId w:val="4"/>
  </w:num>
  <w:num w:numId="4">
    <w:abstractNumId w:val="0"/>
  </w:num>
  <w:num w:numId="5">
    <w:abstractNumId w:val="5"/>
  </w:num>
  <w:num w:numId="6">
    <w:abstractNumId w:val="3"/>
  </w:num>
  <w:num w:numId="7">
    <w:abstractNumId w:val="7"/>
  </w:num>
  <w:num w:numId="8">
    <w:abstractNumId w:val="6"/>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A6"/>
    <w:rsid w:val="00000A7A"/>
    <w:rsid w:val="00001273"/>
    <w:rsid w:val="00010981"/>
    <w:rsid w:val="0002334F"/>
    <w:rsid w:val="00027BDC"/>
    <w:rsid w:val="00027C37"/>
    <w:rsid w:val="000307BA"/>
    <w:rsid w:val="00037783"/>
    <w:rsid w:val="000433D1"/>
    <w:rsid w:val="00047EDA"/>
    <w:rsid w:val="00051AAA"/>
    <w:rsid w:val="00056443"/>
    <w:rsid w:val="00057968"/>
    <w:rsid w:val="00061D6A"/>
    <w:rsid w:val="0007077C"/>
    <w:rsid w:val="00070AA3"/>
    <w:rsid w:val="000757EC"/>
    <w:rsid w:val="00080BAA"/>
    <w:rsid w:val="00080E08"/>
    <w:rsid w:val="0008347A"/>
    <w:rsid w:val="00087376"/>
    <w:rsid w:val="00092B05"/>
    <w:rsid w:val="00094725"/>
    <w:rsid w:val="000A06FD"/>
    <w:rsid w:val="000A650A"/>
    <w:rsid w:val="000A7F51"/>
    <w:rsid w:val="000B528F"/>
    <w:rsid w:val="000E309B"/>
    <w:rsid w:val="000E5D45"/>
    <w:rsid w:val="000F1582"/>
    <w:rsid w:val="000F1729"/>
    <w:rsid w:val="000F2A4A"/>
    <w:rsid w:val="000F2F91"/>
    <w:rsid w:val="00101029"/>
    <w:rsid w:val="00104500"/>
    <w:rsid w:val="00104D50"/>
    <w:rsid w:val="00110958"/>
    <w:rsid w:val="00114320"/>
    <w:rsid w:val="00116D23"/>
    <w:rsid w:val="00127E4B"/>
    <w:rsid w:val="0013129B"/>
    <w:rsid w:val="00132192"/>
    <w:rsid w:val="00132DF0"/>
    <w:rsid w:val="00136A05"/>
    <w:rsid w:val="001403DC"/>
    <w:rsid w:val="00144CAD"/>
    <w:rsid w:val="0015500E"/>
    <w:rsid w:val="0015557D"/>
    <w:rsid w:val="00166FDD"/>
    <w:rsid w:val="00172FAF"/>
    <w:rsid w:val="00174DE1"/>
    <w:rsid w:val="0017581A"/>
    <w:rsid w:val="0018504A"/>
    <w:rsid w:val="00186EFA"/>
    <w:rsid w:val="00193911"/>
    <w:rsid w:val="00193A8B"/>
    <w:rsid w:val="00197C43"/>
    <w:rsid w:val="001A4AE4"/>
    <w:rsid w:val="001B30CD"/>
    <w:rsid w:val="001B3EBE"/>
    <w:rsid w:val="001D23EC"/>
    <w:rsid w:val="001D3192"/>
    <w:rsid w:val="001D349F"/>
    <w:rsid w:val="001D5F56"/>
    <w:rsid w:val="001E3E86"/>
    <w:rsid w:val="001F3F6A"/>
    <w:rsid w:val="001F4C14"/>
    <w:rsid w:val="001F4C83"/>
    <w:rsid w:val="001F692A"/>
    <w:rsid w:val="001F6B91"/>
    <w:rsid w:val="00201BD9"/>
    <w:rsid w:val="00204337"/>
    <w:rsid w:val="002055CE"/>
    <w:rsid w:val="00212D76"/>
    <w:rsid w:val="00215C89"/>
    <w:rsid w:val="00215D9C"/>
    <w:rsid w:val="00221979"/>
    <w:rsid w:val="00221D5F"/>
    <w:rsid w:val="00223E3D"/>
    <w:rsid w:val="00234A9D"/>
    <w:rsid w:val="00237A1E"/>
    <w:rsid w:val="00237C20"/>
    <w:rsid w:val="002447E8"/>
    <w:rsid w:val="00246FDC"/>
    <w:rsid w:val="002554BA"/>
    <w:rsid w:val="00257716"/>
    <w:rsid w:val="00263764"/>
    <w:rsid w:val="002645DA"/>
    <w:rsid w:val="00267391"/>
    <w:rsid w:val="00270572"/>
    <w:rsid w:val="00270B28"/>
    <w:rsid w:val="002720A2"/>
    <w:rsid w:val="00273A9F"/>
    <w:rsid w:val="00275C6D"/>
    <w:rsid w:val="00283342"/>
    <w:rsid w:val="002854CE"/>
    <w:rsid w:val="00285867"/>
    <w:rsid w:val="0029110D"/>
    <w:rsid w:val="002926D3"/>
    <w:rsid w:val="002940CD"/>
    <w:rsid w:val="002960EA"/>
    <w:rsid w:val="002A4CF0"/>
    <w:rsid w:val="002A6197"/>
    <w:rsid w:val="002A7573"/>
    <w:rsid w:val="002B10A1"/>
    <w:rsid w:val="002B149F"/>
    <w:rsid w:val="002B21C0"/>
    <w:rsid w:val="002B4610"/>
    <w:rsid w:val="002B5B67"/>
    <w:rsid w:val="002C13AC"/>
    <w:rsid w:val="002C6009"/>
    <w:rsid w:val="002C7006"/>
    <w:rsid w:val="002C781B"/>
    <w:rsid w:val="002C7EAA"/>
    <w:rsid w:val="002D1149"/>
    <w:rsid w:val="002D1635"/>
    <w:rsid w:val="002D66F8"/>
    <w:rsid w:val="002E5EF8"/>
    <w:rsid w:val="002E6C12"/>
    <w:rsid w:val="002F5F80"/>
    <w:rsid w:val="002F6DB0"/>
    <w:rsid w:val="002F7CC3"/>
    <w:rsid w:val="00300439"/>
    <w:rsid w:val="003005B6"/>
    <w:rsid w:val="00300948"/>
    <w:rsid w:val="003019EE"/>
    <w:rsid w:val="0030306E"/>
    <w:rsid w:val="00311674"/>
    <w:rsid w:val="003126D5"/>
    <w:rsid w:val="003166FB"/>
    <w:rsid w:val="003201B2"/>
    <w:rsid w:val="0032481E"/>
    <w:rsid w:val="00333E8B"/>
    <w:rsid w:val="003423C2"/>
    <w:rsid w:val="0034364F"/>
    <w:rsid w:val="00343D0C"/>
    <w:rsid w:val="00344B8D"/>
    <w:rsid w:val="00346483"/>
    <w:rsid w:val="0035487B"/>
    <w:rsid w:val="0035496B"/>
    <w:rsid w:val="003579E4"/>
    <w:rsid w:val="00361411"/>
    <w:rsid w:val="0036409B"/>
    <w:rsid w:val="00364798"/>
    <w:rsid w:val="003665C6"/>
    <w:rsid w:val="00370BEA"/>
    <w:rsid w:val="00373890"/>
    <w:rsid w:val="00374701"/>
    <w:rsid w:val="00374F27"/>
    <w:rsid w:val="0037540D"/>
    <w:rsid w:val="00375FAB"/>
    <w:rsid w:val="00382850"/>
    <w:rsid w:val="00383A15"/>
    <w:rsid w:val="003936D8"/>
    <w:rsid w:val="0039425B"/>
    <w:rsid w:val="003958A6"/>
    <w:rsid w:val="003A013D"/>
    <w:rsid w:val="003A60F7"/>
    <w:rsid w:val="003B10C2"/>
    <w:rsid w:val="003C24C3"/>
    <w:rsid w:val="003C5BC9"/>
    <w:rsid w:val="003C6387"/>
    <w:rsid w:val="003C66E2"/>
    <w:rsid w:val="003D1339"/>
    <w:rsid w:val="003D1A40"/>
    <w:rsid w:val="003E5A62"/>
    <w:rsid w:val="003E6E1E"/>
    <w:rsid w:val="003F1093"/>
    <w:rsid w:val="003F20E1"/>
    <w:rsid w:val="003F6F12"/>
    <w:rsid w:val="00403411"/>
    <w:rsid w:val="004034E0"/>
    <w:rsid w:val="0040660F"/>
    <w:rsid w:val="004071FC"/>
    <w:rsid w:val="00410DE6"/>
    <w:rsid w:val="004130AE"/>
    <w:rsid w:val="004139D6"/>
    <w:rsid w:val="004175B1"/>
    <w:rsid w:val="00424ADD"/>
    <w:rsid w:val="004262C0"/>
    <w:rsid w:val="00430403"/>
    <w:rsid w:val="004327F8"/>
    <w:rsid w:val="004371FF"/>
    <w:rsid w:val="00437542"/>
    <w:rsid w:val="00442C6B"/>
    <w:rsid w:val="004430F1"/>
    <w:rsid w:val="004433A3"/>
    <w:rsid w:val="00445635"/>
    <w:rsid w:val="004519E2"/>
    <w:rsid w:val="004529EF"/>
    <w:rsid w:val="00453324"/>
    <w:rsid w:val="004545E7"/>
    <w:rsid w:val="004653A2"/>
    <w:rsid w:val="004676D7"/>
    <w:rsid w:val="004705F1"/>
    <w:rsid w:val="00471D72"/>
    <w:rsid w:val="00476021"/>
    <w:rsid w:val="004767AF"/>
    <w:rsid w:val="004854D4"/>
    <w:rsid w:val="00486BEB"/>
    <w:rsid w:val="00493B47"/>
    <w:rsid w:val="004A11F7"/>
    <w:rsid w:val="004A4FA5"/>
    <w:rsid w:val="004A5D9B"/>
    <w:rsid w:val="004B32B3"/>
    <w:rsid w:val="004B3E87"/>
    <w:rsid w:val="004B4D39"/>
    <w:rsid w:val="004B7687"/>
    <w:rsid w:val="004C1772"/>
    <w:rsid w:val="004C51BE"/>
    <w:rsid w:val="004C669F"/>
    <w:rsid w:val="004C6AF7"/>
    <w:rsid w:val="004D002A"/>
    <w:rsid w:val="004D1FCD"/>
    <w:rsid w:val="004D4483"/>
    <w:rsid w:val="004E1E03"/>
    <w:rsid w:val="004E6073"/>
    <w:rsid w:val="004F0ECF"/>
    <w:rsid w:val="004F3F5D"/>
    <w:rsid w:val="00500381"/>
    <w:rsid w:val="00502E7D"/>
    <w:rsid w:val="00504DDF"/>
    <w:rsid w:val="0051217B"/>
    <w:rsid w:val="005126CA"/>
    <w:rsid w:val="005138FB"/>
    <w:rsid w:val="00525597"/>
    <w:rsid w:val="00527A75"/>
    <w:rsid w:val="00527E3D"/>
    <w:rsid w:val="0053087D"/>
    <w:rsid w:val="00537D59"/>
    <w:rsid w:val="00542E31"/>
    <w:rsid w:val="00545E70"/>
    <w:rsid w:val="005466CE"/>
    <w:rsid w:val="005614ED"/>
    <w:rsid w:val="005651F4"/>
    <w:rsid w:val="00574C90"/>
    <w:rsid w:val="00577B09"/>
    <w:rsid w:val="00581CD9"/>
    <w:rsid w:val="00583BB5"/>
    <w:rsid w:val="00593AC8"/>
    <w:rsid w:val="00594834"/>
    <w:rsid w:val="005A15C1"/>
    <w:rsid w:val="005A1B50"/>
    <w:rsid w:val="005B2CAE"/>
    <w:rsid w:val="005B2CE7"/>
    <w:rsid w:val="005C3D9C"/>
    <w:rsid w:val="005D6BAC"/>
    <w:rsid w:val="005E5C58"/>
    <w:rsid w:val="00612741"/>
    <w:rsid w:val="00612D7E"/>
    <w:rsid w:val="00615C3B"/>
    <w:rsid w:val="00616994"/>
    <w:rsid w:val="00616AA6"/>
    <w:rsid w:val="00617913"/>
    <w:rsid w:val="00623908"/>
    <w:rsid w:val="00627CE9"/>
    <w:rsid w:val="006329F8"/>
    <w:rsid w:val="0063362C"/>
    <w:rsid w:val="00633D6B"/>
    <w:rsid w:val="00646185"/>
    <w:rsid w:val="00655C91"/>
    <w:rsid w:val="0066025A"/>
    <w:rsid w:val="006617E1"/>
    <w:rsid w:val="00664FC6"/>
    <w:rsid w:val="00680236"/>
    <w:rsid w:val="00681A0A"/>
    <w:rsid w:val="00683FB6"/>
    <w:rsid w:val="006A0DA7"/>
    <w:rsid w:val="006A443C"/>
    <w:rsid w:val="006B251F"/>
    <w:rsid w:val="006C1397"/>
    <w:rsid w:val="006C55ED"/>
    <w:rsid w:val="006D30E9"/>
    <w:rsid w:val="006D3F89"/>
    <w:rsid w:val="006E0523"/>
    <w:rsid w:val="006E3688"/>
    <w:rsid w:val="006E4580"/>
    <w:rsid w:val="006E480C"/>
    <w:rsid w:val="006E54AA"/>
    <w:rsid w:val="006E54B1"/>
    <w:rsid w:val="006E76B7"/>
    <w:rsid w:val="006F0B68"/>
    <w:rsid w:val="006F5009"/>
    <w:rsid w:val="006F73BC"/>
    <w:rsid w:val="0070343E"/>
    <w:rsid w:val="00710EAA"/>
    <w:rsid w:val="00711198"/>
    <w:rsid w:val="00711E40"/>
    <w:rsid w:val="00717B91"/>
    <w:rsid w:val="0072059F"/>
    <w:rsid w:val="00725865"/>
    <w:rsid w:val="00730E41"/>
    <w:rsid w:val="0073199E"/>
    <w:rsid w:val="00732C68"/>
    <w:rsid w:val="00732E0B"/>
    <w:rsid w:val="00732FE0"/>
    <w:rsid w:val="00736938"/>
    <w:rsid w:val="00742C8C"/>
    <w:rsid w:val="0074388A"/>
    <w:rsid w:val="00747C51"/>
    <w:rsid w:val="007528E2"/>
    <w:rsid w:val="00753535"/>
    <w:rsid w:val="00755684"/>
    <w:rsid w:val="00756F22"/>
    <w:rsid w:val="007610E4"/>
    <w:rsid w:val="00762F26"/>
    <w:rsid w:val="00765A92"/>
    <w:rsid w:val="00766011"/>
    <w:rsid w:val="0077070F"/>
    <w:rsid w:val="00772A46"/>
    <w:rsid w:val="00777C69"/>
    <w:rsid w:val="00784102"/>
    <w:rsid w:val="0079018C"/>
    <w:rsid w:val="00791C04"/>
    <w:rsid w:val="00794E6B"/>
    <w:rsid w:val="00795FF1"/>
    <w:rsid w:val="0079708F"/>
    <w:rsid w:val="007A462B"/>
    <w:rsid w:val="007A4953"/>
    <w:rsid w:val="007B0C0C"/>
    <w:rsid w:val="007B347A"/>
    <w:rsid w:val="007B5718"/>
    <w:rsid w:val="007D175D"/>
    <w:rsid w:val="007D3FD0"/>
    <w:rsid w:val="007D4808"/>
    <w:rsid w:val="007D4C86"/>
    <w:rsid w:val="007D783D"/>
    <w:rsid w:val="007E11F5"/>
    <w:rsid w:val="007E5425"/>
    <w:rsid w:val="007E7062"/>
    <w:rsid w:val="007F4918"/>
    <w:rsid w:val="00805D9E"/>
    <w:rsid w:val="0080751B"/>
    <w:rsid w:val="00816363"/>
    <w:rsid w:val="008167ED"/>
    <w:rsid w:val="008265F1"/>
    <w:rsid w:val="00834506"/>
    <w:rsid w:val="00834ED9"/>
    <w:rsid w:val="008372E7"/>
    <w:rsid w:val="00837BD6"/>
    <w:rsid w:val="00843334"/>
    <w:rsid w:val="00850054"/>
    <w:rsid w:val="00851BC0"/>
    <w:rsid w:val="0085260E"/>
    <w:rsid w:val="00857B39"/>
    <w:rsid w:val="008605D0"/>
    <w:rsid w:val="00863995"/>
    <w:rsid w:val="00863DB5"/>
    <w:rsid w:val="008668D7"/>
    <w:rsid w:val="00866E6B"/>
    <w:rsid w:val="00870368"/>
    <w:rsid w:val="00871B81"/>
    <w:rsid w:val="00874E35"/>
    <w:rsid w:val="00881428"/>
    <w:rsid w:val="00881F9B"/>
    <w:rsid w:val="008936BC"/>
    <w:rsid w:val="00893BAA"/>
    <w:rsid w:val="008976BE"/>
    <w:rsid w:val="008A023A"/>
    <w:rsid w:val="008A4EEF"/>
    <w:rsid w:val="008A698E"/>
    <w:rsid w:val="008B0B29"/>
    <w:rsid w:val="008B407B"/>
    <w:rsid w:val="008C2585"/>
    <w:rsid w:val="008C2B20"/>
    <w:rsid w:val="008C2D66"/>
    <w:rsid w:val="008C47BE"/>
    <w:rsid w:val="008C5B33"/>
    <w:rsid w:val="008C6FC8"/>
    <w:rsid w:val="008D29F0"/>
    <w:rsid w:val="008D39F4"/>
    <w:rsid w:val="008D5F20"/>
    <w:rsid w:val="008F133E"/>
    <w:rsid w:val="008F2ACB"/>
    <w:rsid w:val="008F4455"/>
    <w:rsid w:val="0090153F"/>
    <w:rsid w:val="009114A0"/>
    <w:rsid w:val="00921B1A"/>
    <w:rsid w:val="00927C25"/>
    <w:rsid w:val="009304C8"/>
    <w:rsid w:val="00940120"/>
    <w:rsid w:val="00942BC7"/>
    <w:rsid w:val="00947830"/>
    <w:rsid w:val="00952E76"/>
    <w:rsid w:val="00953A72"/>
    <w:rsid w:val="009554A1"/>
    <w:rsid w:val="0096051F"/>
    <w:rsid w:val="00963119"/>
    <w:rsid w:val="00964DD3"/>
    <w:rsid w:val="009652EF"/>
    <w:rsid w:val="009715CE"/>
    <w:rsid w:val="00973642"/>
    <w:rsid w:val="00973EE6"/>
    <w:rsid w:val="00977B2E"/>
    <w:rsid w:val="0098089E"/>
    <w:rsid w:val="0098181D"/>
    <w:rsid w:val="009860CC"/>
    <w:rsid w:val="009860E6"/>
    <w:rsid w:val="0099042F"/>
    <w:rsid w:val="00990B02"/>
    <w:rsid w:val="00991ED2"/>
    <w:rsid w:val="009945BB"/>
    <w:rsid w:val="00997FA9"/>
    <w:rsid w:val="009A1968"/>
    <w:rsid w:val="009A1D77"/>
    <w:rsid w:val="009A5325"/>
    <w:rsid w:val="009A64DE"/>
    <w:rsid w:val="009A6FC2"/>
    <w:rsid w:val="009B1BDE"/>
    <w:rsid w:val="009B56A3"/>
    <w:rsid w:val="009B5908"/>
    <w:rsid w:val="009B6C9D"/>
    <w:rsid w:val="009B7E5E"/>
    <w:rsid w:val="009C1E21"/>
    <w:rsid w:val="009C3026"/>
    <w:rsid w:val="009D1066"/>
    <w:rsid w:val="009D310E"/>
    <w:rsid w:val="009D62F6"/>
    <w:rsid w:val="009E0671"/>
    <w:rsid w:val="009E4FD6"/>
    <w:rsid w:val="009E6EA1"/>
    <w:rsid w:val="009E7AB4"/>
    <w:rsid w:val="009F0229"/>
    <w:rsid w:val="009F25E7"/>
    <w:rsid w:val="00A01C85"/>
    <w:rsid w:val="00A03CBF"/>
    <w:rsid w:val="00A042F7"/>
    <w:rsid w:val="00A074A5"/>
    <w:rsid w:val="00A07F4E"/>
    <w:rsid w:val="00A102C0"/>
    <w:rsid w:val="00A105D7"/>
    <w:rsid w:val="00A162FE"/>
    <w:rsid w:val="00A20D16"/>
    <w:rsid w:val="00A217E7"/>
    <w:rsid w:val="00A23F29"/>
    <w:rsid w:val="00A329B2"/>
    <w:rsid w:val="00A41D28"/>
    <w:rsid w:val="00A55FEA"/>
    <w:rsid w:val="00A63E6C"/>
    <w:rsid w:val="00A6421B"/>
    <w:rsid w:val="00A740F4"/>
    <w:rsid w:val="00A80801"/>
    <w:rsid w:val="00A80F19"/>
    <w:rsid w:val="00A81223"/>
    <w:rsid w:val="00A84C26"/>
    <w:rsid w:val="00A91B2A"/>
    <w:rsid w:val="00A9333D"/>
    <w:rsid w:val="00A94C0B"/>
    <w:rsid w:val="00A959EC"/>
    <w:rsid w:val="00A965F1"/>
    <w:rsid w:val="00AB0063"/>
    <w:rsid w:val="00AB0C04"/>
    <w:rsid w:val="00AB1199"/>
    <w:rsid w:val="00AB1577"/>
    <w:rsid w:val="00AB3C41"/>
    <w:rsid w:val="00AB5B45"/>
    <w:rsid w:val="00AC0A6D"/>
    <w:rsid w:val="00AC1081"/>
    <w:rsid w:val="00AC11F6"/>
    <w:rsid w:val="00AC1E3B"/>
    <w:rsid w:val="00AD6C51"/>
    <w:rsid w:val="00AE4367"/>
    <w:rsid w:val="00AE608F"/>
    <w:rsid w:val="00AE70EE"/>
    <w:rsid w:val="00AF000F"/>
    <w:rsid w:val="00AF1B96"/>
    <w:rsid w:val="00AF352B"/>
    <w:rsid w:val="00AF666E"/>
    <w:rsid w:val="00AF6AED"/>
    <w:rsid w:val="00B01423"/>
    <w:rsid w:val="00B0227E"/>
    <w:rsid w:val="00B0298E"/>
    <w:rsid w:val="00B03005"/>
    <w:rsid w:val="00B049E8"/>
    <w:rsid w:val="00B05EBC"/>
    <w:rsid w:val="00B069C2"/>
    <w:rsid w:val="00B06A93"/>
    <w:rsid w:val="00B07821"/>
    <w:rsid w:val="00B07B3C"/>
    <w:rsid w:val="00B14E57"/>
    <w:rsid w:val="00B159C8"/>
    <w:rsid w:val="00B17F2D"/>
    <w:rsid w:val="00B25820"/>
    <w:rsid w:val="00B27D0C"/>
    <w:rsid w:val="00B313A5"/>
    <w:rsid w:val="00B31A7F"/>
    <w:rsid w:val="00B45BD7"/>
    <w:rsid w:val="00B54CDC"/>
    <w:rsid w:val="00B5561A"/>
    <w:rsid w:val="00B5561B"/>
    <w:rsid w:val="00B55E0D"/>
    <w:rsid w:val="00B6426D"/>
    <w:rsid w:val="00B66FCB"/>
    <w:rsid w:val="00B70B4A"/>
    <w:rsid w:val="00B73EF6"/>
    <w:rsid w:val="00B74BDF"/>
    <w:rsid w:val="00B77AB6"/>
    <w:rsid w:val="00B81CE4"/>
    <w:rsid w:val="00B8301F"/>
    <w:rsid w:val="00B84837"/>
    <w:rsid w:val="00B8615D"/>
    <w:rsid w:val="00B9098B"/>
    <w:rsid w:val="00B910DE"/>
    <w:rsid w:val="00B93F08"/>
    <w:rsid w:val="00B945D8"/>
    <w:rsid w:val="00BA449F"/>
    <w:rsid w:val="00BA682D"/>
    <w:rsid w:val="00BB3042"/>
    <w:rsid w:val="00BC1C4E"/>
    <w:rsid w:val="00BC643A"/>
    <w:rsid w:val="00BD6170"/>
    <w:rsid w:val="00BD6300"/>
    <w:rsid w:val="00BE2989"/>
    <w:rsid w:val="00BE31A9"/>
    <w:rsid w:val="00BF2B82"/>
    <w:rsid w:val="00C07CEE"/>
    <w:rsid w:val="00C10320"/>
    <w:rsid w:val="00C17FE2"/>
    <w:rsid w:val="00C213E9"/>
    <w:rsid w:val="00C2149D"/>
    <w:rsid w:val="00C215E5"/>
    <w:rsid w:val="00C21897"/>
    <w:rsid w:val="00C22E09"/>
    <w:rsid w:val="00C338A6"/>
    <w:rsid w:val="00C409BA"/>
    <w:rsid w:val="00C40B1A"/>
    <w:rsid w:val="00C435E9"/>
    <w:rsid w:val="00C47791"/>
    <w:rsid w:val="00C477D5"/>
    <w:rsid w:val="00C50297"/>
    <w:rsid w:val="00C51712"/>
    <w:rsid w:val="00C51910"/>
    <w:rsid w:val="00C52D99"/>
    <w:rsid w:val="00C555E0"/>
    <w:rsid w:val="00C56A76"/>
    <w:rsid w:val="00C6045F"/>
    <w:rsid w:val="00C60BB0"/>
    <w:rsid w:val="00C642A7"/>
    <w:rsid w:val="00C64847"/>
    <w:rsid w:val="00C64A38"/>
    <w:rsid w:val="00C657C0"/>
    <w:rsid w:val="00C66F33"/>
    <w:rsid w:val="00C67515"/>
    <w:rsid w:val="00C67B32"/>
    <w:rsid w:val="00C74DA0"/>
    <w:rsid w:val="00C772F4"/>
    <w:rsid w:val="00C82AE8"/>
    <w:rsid w:val="00C82F00"/>
    <w:rsid w:val="00C86AC7"/>
    <w:rsid w:val="00C94802"/>
    <w:rsid w:val="00C95A1B"/>
    <w:rsid w:val="00C95F96"/>
    <w:rsid w:val="00C971D2"/>
    <w:rsid w:val="00CA784E"/>
    <w:rsid w:val="00CB4634"/>
    <w:rsid w:val="00CC35CF"/>
    <w:rsid w:val="00CC4638"/>
    <w:rsid w:val="00CC496E"/>
    <w:rsid w:val="00CC6131"/>
    <w:rsid w:val="00CD2E41"/>
    <w:rsid w:val="00CD4F8E"/>
    <w:rsid w:val="00CD54B5"/>
    <w:rsid w:val="00CD628B"/>
    <w:rsid w:val="00CD676A"/>
    <w:rsid w:val="00CE01DC"/>
    <w:rsid w:val="00CE1102"/>
    <w:rsid w:val="00CE3660"/>
    <w:rsid w:val="00CE36C0"/>
    <w:rsid w:val="00CE417F"/>
    <w:rsid w:val="00CE6824"/>
    <w:rsid w:val="00D01F6B"/>
    <w:rsid w:val="00D10854"/>
    <w:rsid w:val="00D108AA"/>
    <w:rsid w:val="00D1252E"/>
    <w:rsid w:val="00D12B8D"/>
    <w:rsid w:val="00D20893"/>
    <w:rsid w:val="00D215BE"/>
    <w:rsid w:val="00D22685"/>
    <w:rsid w:val="00D23903"/>
    <w:rsid w:val="00D25FB7"/>
    <w:rsid w:val="00D27291"/>
    <w:rsid w:val="00D34670"/>
    <w:rsid w:val="00D346C9"/>
    <w:rsid w:val="00D4062C"/>
    <w:rsid w:val="00D42BC2"/>
    <w:rsid w:val="00D430F0"/>
    <w:rsid w:val="00D45A48"/>
    <w:rsid w:val="00D47A7B"/>
    <w:rsid w:val="00D539DB"/>
    <w:rsid w:val="00D556A2"/>
    <w:rsid w:val="00D5707B"/>
    <w:rsid w:val="00D65488"/>
    <w:rsid w:val="00D65D1A"/>
    <w:rsid w:val="00D663BE"/>
    <w:rsid w:val="00D67C50"/>
    <w:rsid w:val="00D71FE1"/>
    <w:rsid w:val="00D80288"/>
    <w:rsid w:val="00D80896"/>
    <w:rsid w:val="00D8120A"/>
    <w:rsid w:val="00D90FA7"/>
    <w:rsid w:val="00D915CC"/>
    <w:rsid w:val="00D927C2"/>
    <w:rsid w:val="00D94C4E"/>
    <w:rsid w:val="00D94EA3"/>
    <w:rsid w:val="00DA3EC5"/>
    <w:rsid w:val="00DA4FEB"/>
    <w:rsid w:val="00DB0616"/>
    <w:rsid w:val="00DB2C83"/>
    <w:rsid w:val="00DB313F"/>
    <w:rsid w:val="00DB3BC6"/>
    <w:rsid w:val="00DC1244"/>
    <w:rsid w:val="00DC152F"/>
    <w:rsid w:val="00DC1543"/>
    <w:rsid w:val="00DC287F"/>
    <w:rsid w:val="00DC5725"/>
    <w:rsid w:val="00DD02FF"/>
    <w:rsid w:val="00DE00DE"/>
    <w:rsid w:val="00DE03B5"/>
    <w:rsid w:val="00DE0EDD"/>
    <w:rsid w:val="00DE5E38"/>
    <w:rsid w:val="00DF2B43"/>
    <w:rsid w:val="00DF45E9"/>
    <w:rsid w:val="00E01F9E"/>
    <w:rsid w:val="00E06CCE"/>
    <w:rsid w:val="00E07EB8"/>
    <w:rsid w:val="00E10D4E"/>
    <w:rsid w:val="00E150BC"/>
    <w:rsid w:val="00E16CDE"/>
    <w:rsid w:val="00E22931"/>
    <w:rsid w:val="00E249A5"/>
    <w:rsid w:val="00E2542A"/>
    <w:rsid w:val="00E26598"/>
    <w:rsid w:val="00E27051"/>
    <w:rsid w:val="00E307A9"/>
    <w:rsid w:val="00E34BD0"/>
    <w:rsid w:val="00E3781D"/>
    <w:rsid w:val="00E40EE3"/>
    <w:rsid w:val="00E568D4"/>
    <w:rsid w:val="00E646C2"/>
    <w:rsid w:val="00E7262B"/>
    <w:rsid w:val="00E75E5B"/>
    <w:rsid w:val="00E803D6"/>
    <w:rsid w:val="00E80593"/>
    <w:rsid w:val="00E807C4"/>
    <w:rsid w:val="00E80DB8"/>
    <w:rsid w:val="00E866EE"/>
    <w:rsid w:val="00E86D2D"/>
    <w:rsid w:val="00E9479A"/>
    <w:rsid w:val="00EA3691"/>
    <w:rsid w:val="00EA526B"/>
    <w:rsid w:val="00EA54C2"/>
    <w:rsid w:val="00EA55BE"/>
    <w:rsid w:val="00EA7D81"/>
    <w:rsid w:val="00EB21F7"/>
    <w:rsid w:val="00EB2636"/>
    <w:rsid w:val="00EB4CB3"/>
    <w:rsid w:val="00EB4E3C"/>
    <w:rsid w:val="00EB61A0"/>
    <w:rsid w:val="00EC1FB6"/>
    <w:rsid w:val="00EC4578"/>
    <w:rsid w:val="00EC51E6"/>
    <w:rsid w:val="00EC5ED5"/>
    <w:rsid w:val="00ED2217"/>
    <w:rsid w:val="00ED47F4"/>
    <w:rsid w:val="00ED4BB2"/>
    <w:rsid w:val="00ED6A06"/>
    <w:rsid w:val="00ED7568"/>
    <w:rsid w:val="00EE0C0F"/>
    <w:rsid w:val="00EE4A6F"/>
    <w:rsid w:val="00EE501B"/>
    <w:rsid w:val="00EE55CF"/>
    <w:rsid w:val="00EE7956"/>
    <w:rsid w:val="00EF30AD"/>
    <w:rsid w:val="00EF75F9"/>
    <w:rsid w:val="00EF7CE0"/>
    <w:rsid w:val="00F00610"/>
    <w:rsid w:val="00F02DB5"/>
    <w:rsid w:val="00F03184"/>
    <w:rsid w:val="00F04424"/>
    <w:rsid w:val="00F0543C"/>
    <w:rsid w:val="00F05AB6"/>
    <w:rsid w:val="00F07A1D"/>
    <w:rsid w:val="00F11BBB"/>
    <w:rsid w:val="00F129F4"/>
    <w:rsid w:val="00F13B40"/>
    <w:rsid w:val="00F13B7D"/>
    <w:rsid w:val="00F153B3"/>
    <w:rsid w:val="00F16489"/>
    <w:rsid w:val="00F17318"/>
    <w:rsid w:val="00F22CE0"/>
    <w:rsid w:val="00F23834"/>
    <w:rsid w:val="00F31085"/>
    <w:rsid w:val="00F35E56"/>
    <w:rsid w:val="00F36722"/>
    <w:rsid w:val="00F44595"/>
    <w:rsid w:val="00F506A2"/>
    <w:rsid w:val="00F50D7F"/>
    <w:rsid w:val="00F50DC1"/>
    <w:rsid w:val="00F602CC"/>
    <w:rsid w:val="00F66B7E"/>
    <w:rsid w:val="00F85D52"/>
    <w:rsid w:val="00F865A2"/>
    <w:rsid w:val="00F91CB1"/>
    <w:rsid w:val="00F9365C"/>
    <w:rsid w:val="00F97240"/>
    <w:rsid w:val="00FA0150"/>
    <w:rsid w:val="00FA3806"/>
    <w:rsid w:val="00FA6074"/>
    <w:rsid w:val="00FB0D6A"/>
    <w:rsid w:val="00FB21ED"/>
    <w:rsid w:val="00FC116E"/>
    <w:rsid w:val="00FC26F8"/>
    <w:rsid w:val="00FC2F9C"/>
    <w:rsid w:val="00FC420D"/>
    <w:rsid w:val="00FC538E"/>
    <w:rsid w:val="00FD1BF2"/>
    <w:rsid w:val="00FD2175"/>
    <w:rsid w:val="00FD2840"/>
    <w:rsid w:val="00FD5FE7"/>
    <w:rsid w:val="00FE110A"/>
    <w:rsid w:val="00FE1D31"/>
    <w:rsid w:val="00FE77F0"/>
    <w:rsid w:val="00FF085C"/>
    <w:rsid w:val="00FF2A6F"/>
    <w:rsid w:val="00FF5D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86DA2"/>
  <w15:docId w15:val="{DE0A6AEB-E01E-4F9B-96D7-0DA78596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AA6"/>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16AA6"/>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6AA6"/>
    <w:rPr>
      <w:rFonts w:ascii="Times New Roman" w:eastAsia="Times New Roman" w:hAnsi="Times New Roman" w:cs="Times New Roman"/>
      <w:b/>
      <w:bCs/>
      <w:sz w:val="27"/>
      <w:szCs w:val="27"/>
      <w:lang w:eastAsia="lv-LV"/>
    </w:rPr>
  </w:style>
  <w:style w:type="paragraph" w:styleId="BodyText">
    <w:name w:val="Body Text"/>
    <w:basedOn w:val="Normal"/>
    <w:link w:val="BodyTextChar"/>
    <w:rsid w:val="00616AA6"/>
    <w:pPr>
      <w:jc w:val="center"/>
    </w:pPr>
    <w:rPr>
      <w:b/>
      <w:bCs/>
      <w:sz w:val="28"/>
    </w:rPr>
  </w:style>
  <w:style w:type="character" w:customStyle="1" w:styleId="BodyTextChar">
    <w:name w:val="Body Text Char"/>
    <w:basedOn w:val="DefaultParagraphFont"/>
    <w:link w:val="BodyText"/>
    <w:rsid w:val="00616AA6"/>
    <w:rPr>
      <w:rFonts w:ascii="Times New Roman" w:eastAsia="Times New Roman" w:hAnsi="Times New Roman" w:cs="Times New Roman"/>
      <w:b/>
      <w:bCs/>
      <w:sz w:val="28"/>
      <w:szCs w:val="24"/>
    </w:rPr>
  </w:style>
  <w:style w:type="paragraph" w:customStyle="1" w:styleId="naisf">
    <w:name w:val="naisf"/>
    <w:basedOn w:val="Normal"/>
    <w:uiPriority w:val="99"/>
    <w:rsid w:val="00616AA6"/>
    <w:pPr>
      <w:spacing w:before="75" w:after="75"/>
      <w:ind w:firstLine="375"/>
      <w:jc w:val="both"/>
    </w:pPr>
    <w:rPr>
      <w:lang w:eastAsia="lv-LV"/>
    </w:rPr>
  </w:style>
  <w:style w:type="paragraph" w:styleId="Header">
    <w:name w:val="header"/>
    <w:basedOn w:val="Normal"/>
    <w:link w:val="HeaderChar"/>
    <w:rsid w:val="00616AA6"/>
    <w:pPr>
      <w:tabs>
        <w:tab w:val="center" w:pos="4153"/>
        <w:tab w:val="right" w:pos="8306"/>
      </w:tabs>
    </w:pPr>
    <w:rPr>
      <w:lang w:eastAsia="lv-LV"/>
    </w:rPr>
  </w:style>
  <w:style w:type="character" w:customStyle="1" w:styleId="HeaderChar">
    <w:name w:val="Header Char"/>
    <w:basedOn w:val="DefaultParagraphFont"/>
    <w:link w:val="Header"/>
    <w:rsid w:val="00616AA6"/>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616AA6"/>
    <w:pPr>
      <w:tabs>
        <w:tab w:val="center" w:pos="4153"/>
        <w:tab w:val="right" w:pos="8306"/>
      </w:tabs>
    </w:pPr>
    <w:rPr>
      <w:lang w:eastAsia="lv-LV"/>
    </w:rPr>
  </w:style>
  <w:style w:type="character" w:customStyle="1" w:styleId="FooterChar">
    <w:name w:val="Footer Char"/>
    <w:basedOn w:val="DefaultParagraphFont"/>
    <w:link w:val="Footer"/>
    <w:uiPriority w:val="99"/>
    <w:rsid w:val="00616AA6"/>
    <w:rPr>
      <w:rFonts w:ascii="Times New Roman" w:eastAsia="Times New Roman" w:hAnsi="Times New Roman" w:cs="Times New Roman"/>
      <w:sz w:val="24"/>
      <w:szCs w:val="24"/>
      <w:lang w:eastAsia="lv-LV"/>
    </w:rPr>
  </w:style>
  <w:style w:type="character" w:styleId="PageNumber">
    <w:name w:val="page number"/>
    <w:basedOn w:val="DefaultParagraphFont"/>
    <w:rsid w:val="00616AA6"/>
  </w:style>
  <w:style w:type="paragraph" w:customStyle="1" w:styleId="tv213">
    <w:name w:val="tv213"/>
    <w:basedOn w:val="Normal"/>
    <w:rsid w:val="005651F4"/>
    <w:pPr>
      <w:spacing w:before="100" w:beforeAutospacing="1" w:after="100" w:afterAutospacing="1"/>
    </w:pPr>
    <w:rPr>
      <w:lang w:eastAsia="lv-LV"/>
    </w:rPr>
  </w:style>
  <w:style w:type="character" w:styleId="Hyperlink">
    <w:name w:val="Hyperlink"/>
    <w:basedOn w:val="DefaultParagraphFont"/>
    <w:uiPriority w:val="99"/>
    <w:rsid w:val="00D539DB"/>
    <w:rPr>
      <w:rFonts w:cs="Times New Roman"/>
      <w:color w:val="0000FF"/>
      <w:u w:val="single"/>
    </w:rPr>
  </w:style>
  <w:style w:type="paragraph" w:styleId="BalloonText">
    <w:name w:val="Balloon Text"/>
    <w:basedOn w:val="Normal"/>
    <w:link w:val="BalloonTextChar"/>
    <w:uiPriority w:val="99"/>
    <w:semiHidden/>
    <w:unhideWhenUsed/>
    <w:rsid w:val="00F44595"/>
    <w:rPr>
      <w:rFonts w:ascii="Tahoma" w:hAnsi="Tahoma" w:cs="Tahoma"/>
      <w:sz w:val="16"/>
      <w:szCs w:val="16"/>
    </w:rPr>
  </w:style>
  <w:style w:type="character" w:customStyle="1" w:styleId="BalloonTextChar">
    <w:name w:val="Balloon Text Char"/>
    <w:basedOn w:val="DefaultParagraphFont"/>
    <w:link w:val="BalloonText"/>
    <w:uiPriority w:val="99"/>
    <w:semiHidden/>
    <w:rsid w:val="00F44595"/>
    <w:rPr>
      <w:rFonts w:ascii="Tahoma" w:eastAsia="Times New Roman" w:hAnsi="Tahoma" w:cs="Tahoma"/>
      <w:sz w:val="16"/>
      <w:szCs w:val="16"/>
    </w:rPr>
  </w:style>
  <w:style w:type="paragraph" w:customStyle="1" w:styleId="naisnod">
    <w:name w:val="naisnod"/>
    <w:basedOn w:val="Normal"/>
    <w:rsid w:val="002926D3"/>
    <w:pPr>
      <w:suppressAutoHyphens/>
      <w:spacing w:before="150" w:after="150"/>
      <w:jc w:val="center"/>
    </w:pPr>
    <w:rPr>
      <w:b/>
      <w:bCs/>
      <w:lang w:eastAsia="ar-SA"/>
    </w:rPr>
  </w:style>
  <w:style w:type="paragraph" w:customStyle="1" w:styleId="naiskr">
    <w:name w:val="naiskr"/>
    <w:basedOn w:val="Normal"/>
    <w:rsid w:val="002926D3"/>
    <w:pPr>
      <w:suppressAutoHyphens/>
      <w:spacing w:before="75" w:after="75"/>
    </w:pPr>
    <w:rPr>
      <w:lang w:eastAsia="ar-SA"/>
    </w:rPr>
  </w:style>
  <w:style w:type="paragraph" w:customStyle="1" w:styleId="CharCharCharChar">
    <w:name w:val="Char Char Char Char"/>
    <w:basedOn w:val="Normal"/>
    <w:rsid w:val="00FE110A"/>
    <w:pPr>
      <w:spacing w:after="160" w:line="240" w:lineRule="exact"/>
    </w:pPr>
    <w:rPr>
      <w:rFonts w:ascii="Dutch TL" w:hAnsi="Dutch TL"/>
      <w:sz w:val="28"/>
      <w:szCs w:val="20"/>
      <w:lang w:eastAsia="zh-TW"/>
    </w:rPr>
  </w:style>
  <w:style w:type="paragraph" w:styleId="ListParagraph">
    <w:name w:val="List Paragraph"/>
    <w:basedOn w:val="Normal"/>
    <w:uiPriority w:val="34"/>
    <w:qFormat/>
    <w:rsid w:val="00B8615D"/>
    <w:pPr>
      <w:ind w:left="720"/>
      <w:contextualSpacing/>
    </w:pPr>
  </w:style>
  <w:style w:type="paragraph" w:styleId="NoSpacing">
    <w:name w:val="No Spacing"/>
    <w:uiPriority w:val="1"/>
    <w:qFormat/>
    <w:rsid w:val="00FD1BF2"/>
    <w:pPr>
      <w:spacing w:after="0" w:line="240" w:lineRule="auto"/>
    </w:pPr>
  </w:style>
  <w:style w:type="paragraph" w:styleId="FootnoteText">
    <w:name w:val="footnote text"/>
    <w:basedOn w:val="Normal"/>
    <w:link w:val="FootnoteTextChar"/>
    <w:semiHidden/>
    <w:rsid w:val="00ED6A06"/>
    <w:rPr>
      <w:sz w:val="20"/>
      <w:szCs w:val="20"/>
      <w:lang w:eastAsia="lv-LV"/>
    </w:rPr>
  </w:style>
  <w:style w:type="character" w:customStyle="1" w:styleId="FootnoteTextChar">
    <w:name w:val="Footnote Text Char"/>
    <w:basedOn w:val="DefaultParagraphFont"/>
    <w:link w:val="FootnoteText"/>
    <w:semiHidden/>
    <w:rsid w:val="00ED6A06"/>
    <w:rPr>
      <w:rFonts w:ascii="Times New Roman" w:eastAsia="Times New Roman" w:hAnsi="Times New Roman" w:cs="Times New Roman"/>
      <w:sz w:val="20"/>
      <w:szCs w:val="20"/>
      <w:lang w:eastAsia="lv-LV"/>
    </w:rPr>
  </w:style>
  <w:style w:type="character" w:styleId="FootnoteReference">
    <w:name w:val="footnote reference"/>
    <w:semiHidden/>
    <w:rsid w:val="00ED6A06"/>
    <w:rPr>
      <w:vertAlign w:val="superscript"/>
    </w:rPr>
  </w:style>
  <w:style w:type="table" w:styleId="TableGrid">
    <w:name w:val="Table Grid"/>
    <w:basedOn w:val="TableNormal"/>
    <w:uiPriority w:val="59"/>
    <w:rsid w:val="00F03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3EC5"/>
    <w:rPr>
      <w:sz w:val="16"/>
      <w:szCs w:val="16"/>
    </w:rPr>
  </w:style>
  <w:style w:type="paragraph" w:styleId="CommentText">
    <w:name w:val="annotation text"/>
    <w:basedOn w:val="Normal"/>
    <w:link w:val="CommentTextChar"/>
    <w:uiPriority w:val="99"/>
    <w:semiHidden/>
    <w:unhideWhenUsed/>
    <w:rsid w:val="00DA3EC5"/>
    <w:rPr>
      <w:sz w:val="20"/>
      <w:szCs w:val="20"/>
    </w:rPr>
  </w:style>
  <w:style w:type="character" w:customStyle="1" w:styleId="CommentTextChar">
    <w:name w:val="Comment Text Char"/>
    <w:basedOn w:val="DefaultParagraphFont"/>
    <w:link w:val="CommentText"/>
    <w:uiPriority w:val="99"/>
    <w:semiHidden/>
    <w:rsid w:val="00DA3E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3EC5"/>
    <w:rPr>
      <w:b/>
      <w:bCs/>
    </w:rPr>
  </w:style>
  <w:style w:type="character" w:customStyle="1" w:styleId="CommentSubjectChar">
    <w:name w:val="Comment Subject Char"/>
    <w:basedOn w:val="CommentTextChar"/>
    <w:link w:val="CommentSubject"/>
    <w:uiPriority w:val="99"/>
    <w:semiHidden/>
    <w:rsid w:val="00DA3EC5"/>
    <w:rPr>
      <w:rFonts w:ascii="Times New Roman" w:eastAsia="Times New Roman" w:hAnsi="Times New Roman" w:cs="Times New Roman"/>
      <w:b/>
      <w:bCs/>
      <w:sz w:val="20"/>
      <w:szCs w:val="20"/>
    </w:rPr>
  </w:style>
  <w:style w:type="paragraph" w:customStyle="1" w:styleId="naisc">
    <w:name w:val="naisc"/>
    <w:basedOn w:val="Normal"/>
    <w:rsid w:val="00784102"/>
    <w:pPr>
      <w:spacing w:before="75" w:after="75"/>
      <w:jc w:val="center"/>
    </w:pPr>
    <w:rPr>
      <w:lang w:eastAsia="lv-LV"/>
    </w:rPr>
  </w:style>
  <w:style w:type="paragraph" w:styleId="Revision">
    <w:name w:val="Revision"/>
    <w:hidden/>
    <w:uiPriority w:val="99"/>
    <w:semiHidden/>
    <w:rsid w:val="00C95F96"/>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108AA"/>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5134">
      <w:bodyDiv w:val="1"/>
      <w:marLeft w:val="0"/>
      <w:marRight w:val="0"/>
      <w:marTop w:val="0"/>
      <w:marBottom w:val="0"/>
      <w:divBdr>
        <w:top w:val="none" w:sz="0" w:space="0" w:color="auto"/>
        <w:left w:val="none" w:sz="0" w:space="0" w:color="auto"/>
        <w:bottom w:val="none" w:sz="0" w:space="0" w:color="auto"/>
        <w:right w:val="none" w:sz="0" w:space="0" w:color="auto"/>
      </w:divBdr>
    </w:div>
    <w:div w:id="579025058">
      <w:bodyDiv w:val="1"/>
      <w:marLeft w:val="0"/>
      <w:marRight w:val="0"/>
      <w:marTop w:val="0"/>
      <w:marBottom w:val="0"/>
      <w:divBdr>
        <w:top w:val="none" w:sz="0" w:space="0" w:color="auto"/>
        <w:left w:val="none" w:sz="0" w:space="0" w:color="auto"/>
        <w:bottom w:val="none" w:sz="0" w:space="0" w:color="auto"/>
        <w:right w:val="none" w:sz="0" w:space="0" w:color="auto"/>
      </w:divBdr>
    </w:div>
    <w:div w:id="1009867744">
      <w:bodyDiv w:val="1"/>
      <w:marLeft w:val="0"/>
      <w:marRight w:val="0"/>
      <w:marTop w:val="0"/>
      <w:marBottom w:val="0"/>
      <w:divBdr>
        <w:top w:val="none" w:sz="0" w:space="0" w:color="auto"/>
        <w:left w:val="none" w:sz="0" w:space="0" w:color="auto"/>
        <w:bottom w:val="none" w:sz="0" w:space="0" w:color="auto"/>
        <w:right w:val="none" w:sz="0" w:space="0" w:color="auto"/>
      </w:divBdr>
    </w:div>
    <w:div w:id="1238858405">
      <w:bodyDiv w:val="1"/>
      <w:marLeft w:val="0"/>
      <w:marRight w:val="0"/>
      <w:marTop w:val="0"/>
      <w:marBottom w:val="0"/>
      <w:divBdr>
        <w:top w:val="none" w:sz="0" w:space="0" w:color="auto"/>
        <w:left w:val="none" w:sz="0" w:space="0" w:color="auto"/>
        <w:bottom w:val="none" w:sz="0" w:space="0" w:color="auto"/>
        <w:right w:val="none" w:sz="0" w:space="0" w:color="auto"/>
      </w:divBdr>
    </w:div>
    <w:div w:id="1275094590">
      <w:bodyDiv w:val="1"/>
      <w:marLeft w:val="0"/>
      <w:marRight w:val="0"/>
      <w:marTop w:val="0"/>
      <w:marBottom w:val="0"/>
      <w:divBdr>
        <w:top w:val="none" w:sz="0" w:space="0" w:color="auto"/>
        <w:left w:val="none" w:sz="0" w:space="0" w:color="auto"/>
        <w:bottom w:val="none" w:sz="0" w:space="0" w:color="auto"/>
        <w:right w:val="none" w:sz="0" w:space="0" w:color="auto"/>
      </w:divBdr>
    </w:div>
    <w:div w:id="1288003351">
      <w:bodyDiv w:val="1"/>
      <w:marLeft w:val="0"/>
      <w:marRight w:val="0"/>
      <w:marTop w:val="0"/>
      <w:marBottom w:val="0"/>
      <w:divBdr>
        <w:top w:val="none" w:sz="0" w:space="0" w:color="auto"/>
        <w:left w:val="none" w:sz="0" w:space="0" w:color="auto"/>
        <w:bottom w:val="none" w:sz="0" w:space="0" w:color="auto"/>
        <w:right w:val="none" w:sz="0" w:space="0" w:color="auto"/>
      </w:divBdr>
    </w:div>
    <w:div w:id="1475097538">
      <w:bodyDiv w:val="1"/>
      <w:marLeft w:val="0"/>
      <w:marRight w:val="0"/>
      <w:marTop w:val="0"/>
      <w:marBottom w:val="0"/>
      <w:divBdr>
        <w:top w:val="none" w:sz="0" w:space="0" w:color="auto"/>
        <w:left w:val="none" w:sz="0" w:space="0" w:color="auto"/>
        <w:bottom w:val="none" w:sz="0" w:space="0" w:color="auto"/>
        <w:right w:val="none" w:sz="0" w:space="0" w:color="auto"/>
      </w:divBdr>
      <w:divsChild>
        <w:div w:id="1654526277">
          <w:marLeft w:val="0"/>
          <w:marRight w:val="0"/>
          <w:marTop w:val="0"/>
          <w:marBottom w:val="0"/>
          <w:divBdr>
            <w:top w:val="none" w:sz="0" w:space="0" w:color="auto"/>
            <w:left w:val="none" w:sz="0" w:space="0" w:color="auto"/>
            <w:bottom w:val="none" w:sz="0" w:space="0" w:color="auto"/>
            <w:right w:val="none" w:sz="0" w:space="0" w:color="auto"/>
          </w:divBdr>
        </w:div>
        <w:div w:id="43720036">
          <w:marLeft w:val="0"/>
          <w:marRight w:val="0"/>
          <w:marTop w:val="0"/>
          <w:marBottom w:val="0"/>
          <w:divBdr>
            <w:top w:val="none" w:sz="0" w:space="0" w:color="auto"/>
            <w:left w:val="none" w:sz="0" w:space="0" w:color="auto"/>
            <w:bottom w:val="none" w:sz="0" w:space="0" w:color="auto"/>
            <w:right w:val="none" w:sz="0" w:space="0" w:color="auto"/>
          </w:divBdr>
        </w:div>
        <w:div w:id="476536182">
          <w:marLeft w:val="0"/>
          <w:marRight w:val="0"/>
          <w:marTop w:val="0"/>
          <w:marBottom w:val="0"/>
          <w:divBdr>
            <w:top w:val="none" w:sz="0" w:space="0" w:color="auto"/>
            <w:left w:val="none" w:sz="0" w:space="0" w:color="auto"/>
            <w:bottom w:val="none" w:sz="0" w:space="0" w:color="auto"/>
            <w:right w:val="none" w:sz="0" w:space="0" w:color="auto"/>
          </w:divBdr>
        </w:div>
        <w:div w:id="727073742">
          <w:marLeft w:val="0"/>
          <w:marRight w:val="0"/>
          <w:marTop w:val="0"/>
          <w:marBottom w:val="0"/>
          <w:divBdr>
            <w:top w:val="none" w:sz="0" w:space="0" w:color="auto"/>
            <w:left w:val="none" w:sz="0" w:space="0" w:color="auto"/>
            <w:bottom w:val="none" w:sz="0" w:space="0" w:color="auto"/>
            <w:right w:val="none" w:sz="0" w:space="0" w:color="auto"/>
          </w:divBdr>
        </w:div>
      </w:divsChild>
    </w:div>
    <w:div w:id="1492066999">
      <w:bodyDiv w:val="1"/>
      <w:marLeft w:val="0"/>
      <w:marRight w:val="0"/>
      <w:marTop w:val="0"/>
      <w:marBottom w:val="0"/>
      <w:divBdr>
        <w:top w:val="none" w:sz="0" w:space="0" w:color="auto"/>
        <w:left w:val="none" w:sz="0" w:space="0" w:color="auto"/>
        <w:bottom w:val="none" w:sz="0" w:space="0" w:color="auto"/>
        <w:right w:val="none" w:sz="0" w:space="0" w:color="auto"/>
      </w:divBdr>
    </w:div>
    <w:div w:id="1534926337">
      <w:bodyDiv w:val="1"/>
      <w:marLeft w:val="0"/>
      <w:marRight w:val="0"/>
      <w:marTop w:val="0"/>
      <w:marBottom w:val="0"/>
      <w:divBdr>
        <w:top w:val="none" w:sz="0" w:space="0" w:color="auto"/>
        <w:left w:val="none" w:sz="0" w:space="0" w:color="auto"/>
        <w:bottom w:val="none" w:sz="0" w:space="0" w:color="auto"/>
        <w:right w:val="none" w:sz="0" w:space="0" w:color="auto"/>
      </w:divBdr>
      <w:divsChild>
        <w:div w:id="1083645441">
          <w:marLeft w:val="0"/>
          <w:marRight w:val="0"/>
          <w:marTop w:val="0"/>
          <w:marBottom w:val="0"/>
          <w:divBdr>
            <w:top w:val="none" w:sz="0" w:space="0" w:color="auto"/>
            <w:left w:val="none" w:sz="0" w:space="0" w:color="auto"/>
            <w:bottom w:val="none" w:sz="0" w:space="0" w:color="auto"/>
            <w:right w:val="none" w:sz="0" w:space="0" w:color="auto"/>
          </w:divBdr>
        </w:div>
        <w:div w:id="336886743">
          <w:marLeft w:val="0"/>
          <w:marRight w:val="0"/>
          <w:marTop w:val="0"/>
          <w:marBottom w:val="0"/>
          <w:divBdr>
            <w:top w:val="none" w:sz="0" w:space="0" w:color="auto"/>
            <w:left w:val="none" w:sz="0" w:space="0" w:color="auto"/>
            <w:bottom w:val="none" w:sz="0" w:space="0" w:color="auto"/>
            <w:right w:val="none" w:sz="0" w:space="0" w:color="auto"/>
          </w:divBdr>
        </w:div>
        <w:div w:id="91750462">
          <w:marLeft w:val="0"/>
          <w:marRight w:val="0"/>
          <w:marTop w:val="0"/>
          <w:marBottom w:val="0"/>
          <w:divBdr>
            <w:top w:val="none" w:sz="0" w:space="0" w:color="auto"/>
            <w:left w:val="none" w:sz="0" w:space="0" w:color="auto"/>
            <w:bottom w:val="none" w:sz="0" w:space="0" w:color="auto"/>
            <w:right w:val="none" w:sz="0" w:space="0" w:color="auto"/>
          </w:divBdr>
        </w:div>
      </w:divsChild>
    </w:div>
    <w:div w:id="1588614595">
      <w:bodyDiv w:val="1"/>
      <w:marLeft w:val="0"/>
      <w:marRight w:val="0"/>
      <w:marTop w:val="0"/>
      <w:marBottom w:val="0"/>
      <w:divBdr>
        <w:top w:val="none" w:sz="0" w:space="0" w:color="auto"/>
        <w:left w:val="none" w:sz="0" w:space="0" w:color="auto"/>
        <w:bottom w:val="none" w:sz="0" w:space="0" w:color="auto"/>
        <w:right w:val="none" w:sz="0" w:space="0" w:color="auto"/>
      </w:divBdr>
    </w:div>
    <w:div w:id="208852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ptv.vraa.gov.lv/LV/LDV/EServiceDescription.aspx?catid=14_VISI_E_PAKALPOJUMI&amp;srvid=URN%3aIVIS%3a100001%3aEP-EP38-v1-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gne.koritko@ic.ie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3CB44-8DA5-4B99-BF40-0F87AA78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12</Pages>
  <Words>3248</Words>
  <Characters>18516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21721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signe.koritko@ic.iem.gov.lv</dc:creator>
  <cp:lastModifiedBy>Signe Koritko</cp:lastModifiedBy>
  <cp:revision>102</cp:revision>
  <cp:lastPrinted>2016-06-28T09:03:00Z</cp:lastPrinted>
  <dcterms:created xsi:type="dcterms:W3CDTF">2015-12-04T07:29:00Z</dcterms:created>
  <dcterms:modified xsi:type="dcterms:W3CDTF">2016-07-12T13:35:00Z</dcterms:modified>
</cp:coreProperties>
</file>