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ECC5" w14:textId="5AE9D789" w:rsidR="00F34B1D" w:rsidRPr="00F34B1D" w:rsidRDefault="00CD7A63" w:rsidP="00F34B1D">
      <w:pPr>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F34B1D">
        <w:rPr>
          <w:rFonts w:ascii="Times New Roman" w:eastAsia="Times New Roman" w:hAnsi="Times New Roman" w:cs="Times New Roman"/>
          <w:b/>
          <w:bCs/>
          <w:sz w:val="28"/>
          <w:szCs w:val="28"/>
          <w:lang w:eastAsia="lv-LV"/>
        </w:rPr>
        <w:t xml:space="preserve">Ministru kabineta </w:t>
      </w:r>
      <w:r w:rsidR="00F34B1D">
        <w:rPr>
          <w:rFonts w:ascii="Times New Roman" w:eastAsia="Times New Roman" w:hAnsi="Times New Roman" w:cs="Times New Roman"/>
          <w:b/>
          <w:bCs/>
          <w:sz w:val="28"/>
          <w:szCs w:val="28"/>
          <w:lang w:eastAsia="lv-LV"/>
        </w:rPr>
        <w:t xml:space="preserve">noteikumu </w:t>
      </w:r>
      <w:r w:rsidRPr="00F34B1D">
        <w:rPr>
          <w:rFonts w:ascii="Times New Roman" w:eastAsia="Times New Roman" w:hAnsi="Times New Roman" w:cs="Times New Roman"/>
          <w:b/>
          <w:bCs/>
          <w:sz w:val="28"/>
          <w:szCs w:val="28"/>
          <w:lang w:eastAsia="lv-LV"/>
        </w:rPr>
        <w:t xml:space="preserve">projekta </w:t>
      </w:r>
      <w:r w:rsidR="000846D2" w:rsidRPr="00F34B1D">
        <w:rPr>
          <w:rFonts w:ascii="Times New Roman" w:eastAsia="Times New Roman" w:hAnsi="Times New Roman" w:cs="Times New Roman"/>
          <w:b/>
          <w:bCs/>
          <w:sz w:val="28"/>
          <w:szCs w:val="28"/>
          <w:lang w:eastAsia="lv-LV"/>
        </w:rPr>
        <w:t>„</w:t>
      </w:r>
      <w:r w:rsidR="00F34B1D" w:rsidRPr="00F34B1D">
        <w:rPr>
          <w:rFonts w:ascii="Times New Roman" w:eastAsia="Times New Roman" w:hAnsi="Times New Roman" w:cs="Times New Roman"/>
          <w:b/>
          <w:bCs/>
          <w:sz w:val="28"/>
          <w:szCs w:val="28"/>
          <w:lang w:eastAsia="lv-LV"/>
        </w:rPr>
        <w:t>Grozījumi Ministru kabineta 201</w:t>
      </w:r>
      <w:r w:rsidR="00304925">
        <w:rPr>
          <w:rFonts w:ascii="Times New Roman" w:eastAsia="Times New Roman" w:hAnsi="Times New Roman" w:cs="Times New Roman"/>
          <w:b/>
          <w:bCs/>
          <w:sz w:val="28"/>
          <w:szCs w:val="28"/>
          <w:lang w:eastAsia="lv-LV"/>
        </w:rPr>
        <w:t>4</w:t>
      </w:r>
      <w:r w:rsidR="00F34B1D" w:rsidRPr="00F34B1D">
        <w:rPr>
          <w:rFonts w:ascii="Times New Roman" w:eastAsia="Times New Roman" w:hAnsi="Times New Roman" w:cs="Times New Roman"/>
          <w:b/>
          <w:bCs/>
          <w:sz w:val="28"/>
          <w:szCs w:val="28"/>
          <w:lang w:eastAsia="lv-LV"/>
        </w:rPr>
        <w:t xml:space="preserve">.gada </w:t>
      </w:r>
      <w:r w:rsidR="00304925">
        <w:rPr>
          <w:rFonts w:ascii="Times New Roman" w:eastAsia="Times New Roman" w:hAnsi="Times New Roman" w:cs="Times New Roman"/>
          <w:b/>
          <w:bCs/>
          <w:sz w:val="28"/>
          <w:szCs w:val="28"/>
          <w:lang w:eastAsia="lv-LV"/>
        </w:rPr>
        <w:t>11.februāra</w:t>
      </w:r>
      <w:r w:rsidR="00F34B1D" w:rsidRPr="00F34B1D">
        <w:rPr>
          <w:rFonts w:ascii="Times New Roman" w:eastAsia="Times New Roman" w:hAnsi="Times New Roman" w:cs="Times New Roman"/>
          <w:b/>
          <w:bCs/>
          <w:sz w:val="28"/>
          <w:szCs w:val="28"/>
          <w:lang w:eastAsia="lv-LV"/>
        </w:rPr>
        <w:t xml:space="preserve"> noteikumos Nr.</w:t>
      </w:r>
      <w:r w:rsidR="00304925">
        <w:rPr>
          <w:rFonts w:ascii="Times New Roman" w:eastAsia="Times New Roman" w:hAnsi="Times New Roman" w:cs="Times New Roman"/>
          <w:b/>
          <w:bCs/>
          <w:sz w:val="28"/>
          <w:szCs w:val="28"/>
          <w:lang w:eastAsia="lv-LV"/>
        </w:rPr>
        <w:t>93</w:t>
      </w:r>
      <w:r w:rsidR="00304925" w:rsidRPr="00F34B1D">
        <w:rPr>
          <w:rFonts w:ascii="Times New Roman" w:eastAsia="Times New Roman" w:hAnsi="Times New Roman" w:cs="Times New Roman"/>
          <w:b/>
          <w:bCs/>
          <w:sz w:val="28"/>
          <w:szCs w:val="28"/>
          <w:lang w:eastAsia="lv-LV"/>
        </w:rPr>
        <w:t xml:space="preserve"> </w:t>
      </w:r>
      <w:r w:rsidR="00F34B1D" w:rsidRPr="00F34B1D">
        <w:rPr>
          <w:rFonts w:ascii="Times New Roman" w:eastAsia="Times New Roman" w:hAnsi="Times New Roman" w:cs="Times New Roman"/>
          <w:b/>
          <w:bCs/>
          <w:sz w:val="28"/>
          <w:szCs w:val="28"/>
          <w:lang w:eastAsia="lv-LV"/>
        </w:rPr>
        <w:t>„</w:t>
      </w:r>
      <w:r w:rsidR="00304925" w:rsidRPr="00304925">
        <w:rPr>
          <w:rFonts w:ascii="Times New Roman" w:hAnsi="Times New Roman" w:cs="Times New Roman"/>
          <w:b/>
          <w:sz w:val="28"/>
          <w:szCs w:val="28"/>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F34B1D" w:rsidRPr="00F34B1D">
        <w:rPr>
          <w:rFonts w:ascii="Times New Roman" w:eastAsia="Times New Roman" w:hAnsi="Times New Roman" w:cs="Times New Roman"/>
          <w:b/>
          <w:bCs/>
          <w:sz w:val="28"/>
          <w:szCs w:val="28"/>
          <w:lang w:eastAsia="lv-LV"/>
        </w:rPr>
        <w:t>”</w:t>
      </w:r>
      <w:r w:rsidR="000846D2" w:rsidRPr="00F34B1D">
        <w:rPr>
          <w:rFonts w:ascii="Times New Roman" w:eastAsia="Times New Roman" w:hAnsi="Times New Roman" w:cs="Times New Roman"/>
          <w:b/>
          <w:bCs/>
          <w:sz w:val="28"/>
          <w:szCs w:val="28"/>
          <w:lang w:eastAsia="lv-LV"/>
        </w:rPr>
        <w:t xml:space="preserve">” </w:t>
      </w:r>
      <w:r w:rsidR="005128C9" w:rsidRPr="00F34B1D">
        <w:rPr>
          <w:rFonts w:ascii="Times New Roman" w:eastAsia="Times New Roman" w:hAnsi="Times New Roman" w:cs="Times New Roman"/>
          <w:b/>
          <w:bCs/>
          <w:sz w:val="28"/>
          <w:szCs w:val="28"/>
          <w:lang w:eastAsia="lv-LV"/>
        </w:rPr>
        <w:t xml:space="preserve">sākotnējās ietekmes novērtējuma </w:t>
      </w:r>
      <w:smartTag w:uri="schemas-tilde-lv/tildestengine" w:element="veidnes">
        <w:smartTagPr>
          <w:attr w:name="id" w:val="-1"/>
          <w:attr w:name="baseform" w:val="ziņojums"/>
          <w:attr w:name="text" w:val="ziņojums"/>
        </w:smartTagPr>
        <w:r w:rsidR="005128C9" w:rsidRPr="00F34B1D">
          <w:rPr>
            <w:rFonts w:ascii="Times New Roman" w:eastAsia="Times New Roman" w:hAnsi="Times New Roman" w:cs="Times New Roman"/>
            <w:b/>
            <w:bCs/>
            <w:sz w:val="28"/>
            <w:szCs w:val="28"/>
            <w:lang w:eastAsia="lv-LV"/>
          </w:rPr>
          <w:t>ziņojums</w:t>
        </w:r>
      </w:smartTag>
      <w:r w:rsidR="005128C9" w:rsidRPr="00F34B1D">
        <w:rPr>
          <w:rFonts w:ascii="Times New Roman" w:eastAsia="Times New Roman" w:hAnsi="Times New Roman" w:cs="Times New Roman"/>
          <w:b/>
          <w:bCs/>
          <w:sz w:val="28"/>
          <w:szCs w:val="28"/>
          <w:lang w:eastAsia="lv-LV"/>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0F5EDB" w:rsidRPr="000F5EDB" w14:paraId="4140F559" w14:textId="77777777" w:rsidTr="000D2380">
        <w:trPr>
          <w:trHeight w:val="419"/>
        </w:trPr>
        <w:tc>
          <w:tcPr>
            <w:tcW w:w="5000" w:type="pct"/>
            <w:gridSpan w:val="3"/>
            <w:vAlign w:val="center"/>
          </w:tcPr>
          <w:p w14:paraId="6730412B" w14:textId="77777777" w:rsidR="007F6B1C" w:rsidRPr="000F5EDB" w:rsidRDefault="007F6B1C" w:rsidP="000D2380">
            <w:pPr>
              <w:pStyle w:val="naisnod"/>
              <w:spacing w:before="0" w:beforeAutospacing="0" w:after="0" w:afterAutospacing="0"/>
              <w:ind w:left="57" w:right="57"/>
              <w:jc w:val="center"/>
              <w:rPr>
                <w:b/>
              </w:rPr>
            </w:pPr>
            <w:r w:rsidRPr="000F5EDB">
              <w:rPr>
                <w:b/>
              </w:rPr>
              <w:t>I. Tiesību akta projekta izstrādes nepieciešamība</w:t>
            </w:r>
          </w:p>
        </w:tc>
      </w:tr>
      <w:tr w:rsidR="000F5EDB" w:rsidRPr="000F5EDB" w14:paraId="51AD245F" w14:textId="77777777" w:rsidTr="000D2380">
        <w:trPr>
          <w:trHeight w:val="415"/>
        </w:trPr>
        <w:tc>
          <w:tcPr>
            <w:tcW w:w="227" w:type="pct"/>
          </w:tcPr>
          <w:p w14:paraId="7411324B" w14:textId="77777777" w:rsidR="007F6B1C" w:rsidRPr="000F5EDB" w:rsidRDefault="007F6B1C" w:rsidP="000D2380">
            <w:pPr>
              <w:pStyle w:val="naiskr"/>
              <w:spacing w:before="0" w:beforeAutospacing="0" w:after="0" w:afterAutospacing="0"/>
              <w:ind w:left="57" w:right="57"/>
              <w:jc w:val="center"/>
            </w:pPr>
            <w:r w:rsidRPr="000F5EDB">
              <w:t>1.</w:t>
            </w:r>
          </w:p>
        </w:tc>
        <w:tc>
          <w:tcPr>
            <w:tcW w:w="1565" w:type="pct"/>
          </w:tcPr>
          <w:p w14:paraId="52C354B7" w14:textId="77777777" w:rsidR="007F6B1C" w:rsidRPr="000F5EDB" w:rsidRDefault="007F6B1C" w:rsidP="000D2380">
            <w:pPr>
              <w:pStyle w:val="naiskr"/>
              <w:spacing w:before="0" w:beforeAutospacing="0" w:after="0" w:afterAutospacing="0"/>
              <w:ind w:left="57" w:right="57"/>
            </w:pPr>
            <w:r w:rsidRPr="000F5EDB">
              <w:t>Pamatojums</w:t>
            </w:r>
          </w:p>
        </w:tc>
        <w:tc>
          <w:tcPr>
            <w:tcW w:w="3207" w:type="pct"/>
          </w:tcPr>
          <w:p w14:paraId="2A95D8DB" w14:textId="77777777" w:rsidR="00096ACC" w:rsidRPr="00CF707C" w:rsidRDefault="002C5627" w:rsidP="007B64C4">
            <w:pPr>
              <w:pStyle w:val="Heading3"/>
              <w:shd w:val="clear" w:color="auto" w:fill="FFFFFF"/>
              <w:spacing w:before="0" w:beforeAutospacing="0" w:after="0" w:afterAutospacing="0"/>
              <w:ind w:right="57"/>
              <w:jc w:val="both"/>
              <w:rPr>
                <w:b w:val="0"/>
                <w:sz w:val="24"/>
                <w:szCs w:val="24"/>
              </w:rPr>
            </w:pPr>
            <w:r>
              <w:rPr>
                <w:b w:val="0"/>
                <w:sz w:val="24"/>
                <w:szCs w:val="24"/>
              </w:rPr>
              <w:t>Iekšlietu ministrijas iniciatīva.</w:t>
            </w:r>
          </w:p>
        </w:tc>
      </w:tr>
      <w:tr w:rsidR="000F5EDB" w:rsidRPr="00F841AE" w14:paraId="37F9F858" w14:textId="77777777" w:rsidTr="000D2380">
        <w:trPr>
          <w:trHeight w:val="472"/>
        </w:trPr>
        <w:tc>
          <w:tcPr>
            <w:tcW w:w="227" w:type="pct"/>
          </w:tcPr>
          <w:p w14:paraId="7A59300B" w14:textId="77777777" w:rsidR="007F6B1C" w:rsidRPr="000F5EDB" w:rsidRDefault="007F6B1C" w:rsidP="000D2380">
            <w:pPr>
              <w:pStyle w:val="naiskr"/>
              <w:spacing w:before="0" w:beforeAutospacing="0" w:after="0" w:afterAutospacing="0"/>
              <w:ind w:left="57" w:right="57"/>
              <w:jc w:val="center"/>
            </w:pPr>
            <w:r w:rsidRPr="000F5EDB">
              <w:t>2.</w:t>
            </w:r>
          </w:p>
        </w:tc>
        <w:tc>
          <w:tcPr>
            <w:tcW w:w="1565" w:type="pct"/>
          </w:tcPr>
          <w:p w14:paraId="4A95068A" w14:textId="1E1767A2" w:rsidR="004E5167" w:rsidRDefault="007F6B1C" w:rsidP="000D2380">
            <w:pPr>
              <w:pStyle w:val="naiskr"/>
              <w:tabs>
                <w:tab w:val="left" w:pos="170"/>
              </w:tabs>
              <w:spacing w:before="0" w:beforeAutospacing="0" w:after="0" w:afterAutospacing="0"/>
              <w:ind w:left="57" w:right="57"/>
            </w:pPr>
            <w:r w:rsidRPr="000F5EDB">
              <w:t>Pašreizējā situācija un problēmas, kuru risināšanai tiesību akta projekts izstrādāts, tiesiskā regulējuma mērķis un būtība</w:t>
            </w:r>
          </w:p>
          <w:p w14:paraId="51D14F74" w14:textId="77777777" w:rsidR="004E5167" w:rsidRPr="004E5167" w:rsidRDefault="004E5167" w:rsidP="004E5167">
            <w:pPr>
              <w:rPr>
                <w:lang w:eastAsia="lv-LV"/>
              </w:rPr>
            </w:pPr>
          </w:p>
          <w:p w14:paraId="26049718" w14:textId="77777777" w:rsidR="004E5167" w:rsidRPr="004E5167" w:rsidRDefault="004E5167" w:rsidP="004E5167">
            <w:pPr>
              <w:rPr>
                <w:lang w:eastAsia="lv-LV"/>
              </w:rPr>
            </w:pPr>
          </w:p>
          <w:p w14:paraId="4223D1EA" w14:textId="77777777" w:rsidR="004E5167" w:rsidRPr="004E5167" w:rsidRDefault="004E5167" w:rsidP="004E5167">
            <w:pPr>
              <w:rPr>
                <w:lang w:eastAsia="lv-LV"/>
              </w:rPr>
            </w:pPr>
          </w:p>
          <w:p w14:paraId="644DAD91" w14:textId="77777777" w:rsidR="004E5167" w:rsidRPr="004E5167" w:rsidRDefault="004E5167" w:rsidP="004E5167">
            <w:pPr>
              <w:rPr>
                <w:lang w:eastAsia="lv-LV"/>
              </w:rPr>
            </w:pPr>
          </w:p>
          <w:p w14:paraId="4718DEB5" w14:textId="77777777" w:rsidR="004E5167" w:rsidRPr="004E5167" w:rsidRDefault="004E5167" w:rsidP="004E5167">
            <w:pPr>
              <w:rPr>
                <w:lang w:eastAsia="lv-LV"/>
              </w:rPr>
            </w:pPr>
          </w:p>
          <w:p w14:paraId="3A9ABE68" w14:textId="77777777" w:rsidR="004E5167" w:rsidRPr="004E5167" w:rsidRDefault="004E5167" w:rsidP="004E5167">
            <w:pPr>
              <w:rPr>
                <w:lang w:eastAsia="lv-LV"/>
              </w:rPr>
            </w:pPr>
          </w:p>
          <w:p w14:paraId="02EF7FA2" w14:textId="5D87624A" w:rsidR="004E5167" w:rsidRDefault="004E5167" w:rsidP="004E5167">
            <w:pPr>
              <w:rPr>
                <w:lang w:eastAsia="lv-LV"/>
              </w:rPr>
            </w:pPr>
          </w:p>
          <w:p w14:paraId="2DD287CD" w14:textId="77777777" w:rsidR="007F6B1C" w:rsidRPr="004E5167" w:rsidRDefault="007F6B1C" w:rsidP="004E5167">
            <w:pPr>
              <w:ind w:firstLine="720"/>
              <w:rPr>
                <w:lang w:eastAsia="lv-LV"/>
              </w:rPr>
            </w:pPr>
          </w:p>
        </w:tc>
        <w:tc>
          <w:tcPr>
            <w:tcW w:w="3207" w:type="pct"/>
          </w:tcPr>
          <w:p w14:paraId="5228AF61" w14:textId="5A509031" w:rsidR="0014215C" w:rsidRPr="00A558DD" w:rsidRDefault="0014215C" w:rsidP="00A558DD">
            <w:pPr>
              <w:pStyle w:val="Heading3"/>
              <w:shd w:val="clear" w:color="auto" w:fill="FFFFFF"/>
              <w:spacing w:before="0" w:beforeAutospacing="0" w:after="0" w:afterAutospacing="0"/>
              <w:ind w:left="102" w:right="57" w:firstLine="426"/>
              <w:jc w:val="both"/>
              <w:rPr>
                <w:b w:val="0"/>
                <w:sz w:val="24"/>
                <w:szCs w:val="24"/>
              </w:rPr>
            </w:pPr>
            <w:r>
              <w:rPr>
                <w:b w:val="0"/>
                <w:sz w:val="24"/>
                <w:szCs w:val="24"/>
              </w:rPr>
              <w:t xml:space="preserve">Atbilstoši </w:t>
            </w:r>
            <w:r w:rsidRPr="00CF707C">
              <w:rPr>
                <w:b w:val="0"/>
                <w:sz w:val="24"/>
                <w:szCs w:val="24"/>
              </w:rPr>
              <w:t xml:space="preserve">Valsts un </w:t>
            </w:r>
            <w:r w:rsidRPr="00A558DD">
              <w:rPr>
                <w:b w:val="0"/>
                <w:sz w:val="24"/>
                <w:szCs w:val="24"/>
              </w:rPr>
              <w:t xml:space="preserve">pašvaldību institūciju amatpersonu un darbinieku atlīdzības likumā ietvertajam deleģējumam  </w:t>
            </w:r>
            <w:r w:rsidR="00912D53" w:rsidRPr="00A558DD">
              <w:rPr>
                <w:b w:val="0"/>
                <w:sz w:val="24"/>
                <w:szCs w:val="24"/>
              </w:rPr>
              <w:t>Ministru kabineta 201</w:t>
            </w:r>
            <w:r w:rsidR="00A558DD" w:rsidRPr="00A558DD">
              <w:rPr>
                <w:b w:val="0"/>
                <w:sz w:val="24"/>
                <w:szCs w:val="24"/>
              </w:rPr>
              <w:t>4</w:t>
            </w:r>
            <w:r w:rsidR="00912D53" w:rsidRPr="00A558DD">
              <w:rPr>
                <w:b w:val="0"/>
                <w:sz w:val="24"/>
                <w:szCs w:val="24"/>
              </w:rPr>
              <w:t xml:space="preserve">.gada  </w:t>
            </w:r>
            <w:r w:rsidR="00A558DD" w:rsidRPr="00A558DD">
              <w:rPr>
                <w:b w:val="0"/>
                <w:sz w:val="24"/>
                <w:szCs w:val="24"/>
              </w:rPr>
              <w:t>11.februāra</w:t>
            </w:r>
            <w:r w:rsidR="00912D53" w:rsidRPr="00A558DD">
              <w:rPr>
                <w:b w:val="0"/>
                <w:sz w:val="24"/>
                <w:szCs w:val="24"/>
              </w:rPr>
              <w:t xml:space="preserve"> noteikum</w:t>
            </w:r>
            <w:r w:rsidR="00887A74">
              <w:rPr>
                <w:b w:val="0"/>
                <w:sz w:val="24"/>
                <w:szCs w:val="24"/>
              </w:rPr>
              <w:t>i</w:t>
            </w:r>
            <w:r w:rsidR="00912D53" w:rsidRPr="00A558DD">
              <w:rPr>
                <w:b w:val="0"/>
                <w:sz w:val="24"/>
                <w:szCs w:val="24"/>
              </w:rPr>
              <w:t xml:space="preserve"> Nr.</w:t>
            </w:r>
            <w:r w:rsidR="00A558DD" w:rsidRPr="00A558DD">
              <w:rPr>
                <w:b w:val="0"/>
                <w:sz w:val="24"/>
                <w:szCs w:val="24"/>
              </w:rPr>
              <w:t>93</w:t>
            </w:r>
            <w:r w:rsidR="00912D53" w:rsidRPr="00A558DD">
              <w:rPr>
                <w:b w:val="0"/>
                <w:sz w:val="24"/>
                <w:szCs w:val="24"/>
              </w:rPr>
              <w:t xml:space="preserve"> „</w:t>
            </w:r>
            <w:r w:rsidR="00A558DD" w:rsidRPr="00A558DD">
              <w:rPr>
                <w:b w:val="0"/>
                <w:sz w:val="24"/>
                <w:szCs w:val="24"/>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912D53" w:rsidRPr="00A558DD">
              <w:rPr>
                <w:b w:val="0"/>
                <w:sz w:val="24"/>
                <w:szCs w:val="24"/>
              </w:rPr>
              <w:t>”</w:t>
            </w:r>
            <w:r w:rsidRPr="00A558DD">
              <w:rPr>
                <w:b w:val="0"/>
                <w:sz w:val="24"/>
                <w:szCs w:val="24"/>
              </w:rPr>
              <w:t xml:space="preserve"> </w:t>
            </w:r>
            <w:r w:rsidR="003B0372">
              <w:rPr>
                <w:b w:val="0"/>
                <w:sz w:val="24"/>
                <w:szCs w:val="24"/>
              </w:rPr>
              <w:t>nosaka</w:t>
            </w:r>
            <w:r w:rsidRPr="00A558DD">
              <w:rPr>
                <w:b w:val="0"/>
                <w:sz w:val="24"/>
                <w:szCs w:val="24"/>
              </w:rPr>
              <w:t xml:space="preserve"> </w:t>
            </w:r>
            <w:r w:rsidR="00A558DD" w:rsidRPr="00A558DD">
              <w:rPr>
                <w:b w:val="0"/>
                <w:sz w:val="24"/>
                <w:szCs w:val="24"/>
              </w:rPr>
              <w:t>Iekšlietu ministrijas sistēmas iestāžu un Ieslodzījuma vietu pārvaldes amatpersonai ar speciālo dienesta pakāpi, kura ir atvaļināta no dienesta sakarā ar noteiktajām prasībām neatbilstošu veselības stāvokli, ja tā iemesls ir ievainojums vai sakropļojums, vai citāds veselības kaitējums (izņemot arodslimību), kas gūts ar dienesta pienākumu pildīšanu saistītā nelaimes gadījumā (turpmāk – atvaļināta amatpersona), apmaksājamo veselības pakalpojumu veidus un apmaksas kārtību, kā arī veselības aprūpes pakalpojumus un izdevumus, kuri netiek apmaksāti.</w:t>
            </w:r>
          </w:p>
          <w:p w14:paraId="7DDCEE82" w14:textId="710BBA61" w:rsidR="00712457" w:rsidRDefault="00712457" w:rsidP="00A558DD">
            <w:pPr>
              <w:pStyle w:val="Heading3"/>
              <w:shd w:val="clear" w:color="auto" w:fill="FFFFFF"/>
              <w:spacing w:before="0" w:beforeAutospacing="0" w:after="0" w:afterAutospacing="0"/>
              <w:ind w:left="102" w:right="57" w:firstLine="426"/>
              <w:jc w:val="both"/>
              <w:rPr>
                <w:b w:val="0"/>
                <w:sz w:val="24"/>
                <w:szCs w:val="24"/>
              </w:rPr>
            </w:pPr>
            <w:r w:rsidRPr="00A558DD">
              <w:rPr>
                <w:b w:val="0"/>
                <w:sz w:val="24"/>
                <w:szCs w:val="24"/>
              </w:rPr>
              <w:t>Šobrīd, izvērtējot pašreizējo</w:t>
            </w:r>
            <w:r>
              <w:rPr>
                <w:b w:val="0"/>
                <w:sz w:val="24"/>
                <w:szCs w:val="24"/>
              </w:rPr>
              <w:t xml:space="preserve"> veselības aprūpes pakalpojumu nodrošinājumu, secināms, ka veselības aprūpes pakalpojumu savlaicīga pieejamība vairākos gadījumos samazina kopējās </w:t>
            </w:r>
            <w:r w:rsidR="00A5689B">
              <w:rPr>
                <w:b w:val="0"/>
                <w:sz w:val="24"/>
                <w:szCs w:val="24"/>
              </w:rPr>
              <w:t xml:space="preserve">atvaļināto </w:t>
            </w:r>
            <w:r>
              <w:rPr>
                <w:b w:val="0"/>
                <w:sz w:val="24"/>
                <w:szCs w:val="24"/>
              </w:rPr>
              <w:t>amatperson</w:t>
            </w:r>
            <w:r w:rsidR="00A5689B">
              <w:rPr>
                <w:b w:val="0"/>
                <w:sz w:val="24"/>
                <w:szCs w:val="24"/>
              </w:rPr>
              <w:t>u</w:t>
            </w:r>
            <w:r>
              <w:rPr>
                <w:b w:val="0"/>
                <w:sz w:val="24"/>
                <w:szCs w:val="24"/>
              </w:rPr>
              <w:t xml:space="preserve"> veselības aprūpes pakalpojumu izmaksas, tādēļ pieejamā finansējuma ietvaros ir iespējams palielināt </w:t>
            </w:r>
            <w:r w:rsidR="00A558DD">
              <w:rPr>
                <w:b w:val="0"/>
                <w:sz w:val="24"/>
                <w:szCs w:val="24"/>
              </w:rPr>
              <w:t xml:space="preserve">atvaļinātajām </w:t>
            </w:r>
            <w:r>
              <w:rPr>
                <w:b w:val="0"/>
                <w:sz w:val="24"/>
                <w:szCs w:val="24"/>
              </w:rPr>
              <w:t>amatpersonām noteikto veselības aprūpes pakalpojumu</w:t>
            </w:r>
            <w:r w:rsidR="00770008">
              <w:rPr>
                <w:b w:val="0"/>
                <w:sz w:val="24"/>
                <w:szCs w:val="24"/>
              </w:rPr>
              <w:t xml:space="preserve"> klāstu un izdevumu kompensācijas</w:t>
            </w:r>
            <w:r>
              <w:rPr>
                <w:b w:val="0"/>
                <w:sz w:val="24"/>
                <w:szCs w:val="24"/>
              </w:rPr>
              <w:t xml:space="preserve"> limitus. </w:t>
            </w:r>
          </w:p>
          <w:p w14:paraId="1FB6DC00" w14:textId="2E99BF44" w:rsidR="003C79FB" w:rsidRDefault="003C79FB" w:rsidP="00A558DD">
            <w:pPr>
              <w:pStyle w:val="Heading3"/>
              <w:shd w:val="clear" w:color="auto" w:fill="FFFFFF"/>
              <w:spacing w:before="0" w:beforeAutospacing="0" w:after="0" w:afterAutospacing="0"/>
              <w:ind w:left="102" w:right="57" w:firstLine="426"/>
              <w:jc w:val="both"/>
              <w:rPr>
                <w:b w:val="0"/>
                <w:sz w:val="24"/>
                <w:szCs w:val="24"/>
              </w:rPr>
            </w:pPr>
            <w:r>
              <w:rPr>
                <w:b w:val="0"/>
                <w:sz w:val="24"/>
                <w:szCs w:val="24"/>
              </w:rPr>
              <w:t>Lai veicinātu veselības aprūpes pakalpojumu pieejamību, s</w:t>
            </w:r>
            <w:r w:rsidR="00712457">
              <w:rPr>
                <w:b w:val="0"/>
                <w:sz w:val="24"/>
                <w:szCs w:val="24"/>
              </w:rPr>
              <w:t xml:space="preserve">agatavotais Ministru kabineta noteikumu </w:t>
            </w:r>
            <w:r w:rsidR="00F22782">
              <w:rPr>
                <w:b w:val="0"/>
                <w:sz w:val="24"/>
                <w:szCs w:val="24"/>
              </w:rPr>
              <w:t>“</w:t>
            </w:r>
            <w:r w:rsidR="005F6507" w:rsidRPr="005F6507">
              <w:rPr>
                <w:b w:val="0"/>
                <w:sz w:val="24"/>
                <w:szCs w:val="24"/>
              </w:rPr>
              <w:t>Grozījumi Ministru kabineta 2014.gada 11.februāra noteikumos Nr.93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5F6507">
              <w:rPr>
                <w:b w:val="0"/>
                <w:sz w:val="24"/>
                <w:szCs w:val="24"/>
              </w:rPr>
              <w:t xml:space="preserve"> </w:t>
            </w:r>
            <w:r w:rsidR="00712457">
              <w:rPr>
                <w:b w:val="0"/>
                <w:sz w:val="24"/>
                <w:szCs w:val="24"/>
              </w:rPr>
              <w:t>projekts</w:t>
            </w:r>
            <w:r w:rsidR="005F6507">
              <w:rPr>
                <w:b w:val="0"/>
                <w:sz w:val="24"/>
                <w:szCs w:val="24"/>
              </w:rPr>
              <w:t xml:space="preserve"> (turpmāk – projekts) </w:t>
            </w:r>
            <w:r w:rsidR="00712457">
              <w:rPr>
                <w:b w:val="0"/>
                <w:sz w:val="24"/>
                <w:szCs w:val="24"/>
              </w:rPr>
              <w:t>paredz</w:t>
            </w:r>
            <w:r>
              <w:rPr>
                <w:b w:val="0"/>
                <w:sz w:val="24"/>
                <w:szCs w:val="24"/>
              </w:rPr>
              <w:t>:</w:t>
            </w:r>
          </w:p>
          <w:p w14:paraId="4522BFB2" w14:textId="5D8DCA1D" w:rsidR="003C79FB" w:rsidRDefault="003C79FB" w:rsidP="00A558DD">
            <w:pPr>
              <w:pStyle w:val="Heading3"/>
              <w:shd w:val="clear" w:color="auto" w:fill="FFFFFF"/>
              <w:spacing w:before="0" w:beforeAutospacing="0" w:after="0" w:afterAutospacing="0"/>
              <w:ind w:left="102" w:right="57" w:firstLine="426"/>
              <w:jc w:val="both"/>
              <w:rPr>
                <w:b w:val="0"/>
                <w:sz w:val="24"/>
                <w:szCs w:val="24"/>
              </w:rPr>
            </w:pPr>
            <w:r>
              <w:rPr>
                <w:b w:val="0"/>
                <w:sz w:val="24"/>
                <w:szCs w:val="24"/>
              </w:rPr>
              <w:t>-</w:t>
            </w:r>
            <w:r w:rsidR="00712457">
              <w:rPr>
                <w:b w:val="0"/>
                <w:sz w:val="24"/>
                <w:szCs w:val="24"/>
              </w:rPr>
              <w:t xml:space="preserve"> palielināt kompensācijas apmēru par izdevumiem par maksas</w:t>
            </w:r>
            <w:r>
              <w:rPr>
                <w:b w:val="0"/>
                <w:sz w:val="24"/>
                <w:szCs w:val="24"/>
              </w:rPr>
              <w:t xml:space="preserve"> medicīniskajiem</w:t>
            </w:r>
            <w:r w:rsidR="00712457">
              <w:rPr>
                <w:b w:val="0"/>
                <w:sz w:val="24"/>
                <w:szCs w:val="24"/>
              </w:rPr>
              <w:t xml:space="preserve"> pakalpojumiem no 215 </w:t>
            </w:r>
            <w:r w:rsidR="00712457" w:rsidRPr="00BD28C9">
              <w:rPr>
                <w:b w:val="0"/>
                <w:i/>
                <w:sz w:val="24"/>
                <w:szCs w:val="24"/>
              </w:rPr>
              <w:t>euro</w:t>
            </w:r>
            <w:r w:rsidR="00712457">
              <w:rPr>
                <w:b w:val="0"/>
                <w:sz w:val="24"/>
                <w:szCs w:val="24"/>
              </w:rPr>
              <w:t xml:space="preserve"> līdz </w:t>
            </w:r>
            <w:r w:rsidR="00712457">
              <w:rPr>
                <w:b w:val="0"/>
                <w:sz w:val="24"/>
                <w:szCs w:val="24"/>
              </w:rPr>
              <w:lastRenderedPageBreak/>
              <w:t xml:space="preserve">250 </w:t>
            </w:r>
            <w:r w:rsidR="00712457" w:rsidRPr="00BD28C9">
              <w:rPr>
                <w:b w:val="0"/>
                <w:i/>
                <w:sz w:val="24"/>
                <w:szCs w:val="24"/>
              </w:rPr>
              <w:t>euro</w:t>
            </w:r>
            <w:r w:rsidR="00712457">
              <w:rPr>
                <w:b w:val="0"/>
                <w:sz w:val="24"/>
                <w:szCs w:val="24"/>
              </w:rPr>
              <w:t xml:space="preserve"> </w:t>
            </w:r>
            <w:r w:rsidR="003B0372">
              <w:rPr>
                <w:b w:val="0"/>
                <w:sz w:val="24"/>
                <w:szCs w:val="24"/>
              </w:rPr>
              <w:t xml:space="preserve">atvaļinātajai </w:t>
            </w:r>
            <w:r w:rsidR="00712457">
              <w:rPr>
                <w:b w:val="0"/>
                <w:sz w:val="24"/>
                <w:szCs w:val="24"/>
              </w:rPr>
              <w:t>amatpersonai kalendārā gada ietvaros</w:t>
            </w:r>
            <w:r>
              <w:rPr>
                <w:b w:val="0"/>
                <w:sz w:val="24"/>
                <w:szCs w:val="24"/>
              </w:rPr>
              <w:t>;</w:t>
            </w:r>
          </w:p>
          <w:p w14:paraId="6120E561" w14:textId="09558B86" w:rsidR="00712457" w:rsidRDefault="003C79FB" w:rsidP="00A558DD">
            <w:pPr>
              <w:pStyle w:val="Heading3"/>
              <w:shd w:val="clear" w:color="auto" w:fill="FFFFFF"/>
              <w:spacing w:before="0" w:beforeAutospacing="0" w:after="0" w:afterAutospacing="0"/>
              <w:ind w:left="102" w:right="57" w:firstLine="426"/>
              <w:jc w:val="both"/>
              <w:rPr>
                <w:b w:val="0"/>
                <w:sz w:val="24"/>
                <w:szCs w:val="24"/>
              </w:rPr>
            </w:pPr>
            <w:r>
              <w:rPr>
                <w:b w:val="0"/>
                <w:sz w:val="24"/>
                <w:szCs w:val="24"/>
              </w:rPr>
              <w:t>- p</w:t>
            </w:r>
            <w:r w:rsidRPr="003C79FB">
              <w:rPr>
                <w:b w:val="0"/>
                <w:sz w:val="24"/>
                <w:szCs w:val="24"/>
              </w:rPr>
              <w:t xml:space="preserve">alielināt </w:t>
            </w:r>
            <w:r w:rsidR="003B0372">
              <w:rPr>
                <w:b w:val="0"/>
                <w:sz w:val="24"/>
                <w:szCs w:val="24"/>
              </w:rPr>
              <w:t xml:space="preserve">atvaļinātajai </w:t>
            </w:r>
            <w:r w:rsidRPr="003C79FB">
              <w:rPr>
                <w:b w:val="0"/>
                <w:sz w:val="24"/>
                <w:szCs w:val="24"/>
              </w:rPr>
              <w:t>amatpersonai kompensējamo izdevumu par zobārstniecības</w:t>
            </w:r>
            <w:r w:rsidR="00F22782">
              <w:rPr>
                <w:b w:val="0"/>
                <w:sz w:val="24"/>
                <w:szCs w:val="24"/>
              </w:rPr>
              <w:t xml:space="preserve"> un zobu higiēnas </w:t>
            </w:r>
            <w:r w:rsidRPr="003C79FB">
              <w:rPr>
                <w:b w:val="0"/>
                <w:sz w:val="24"/>
                <w:szCs w:val="24"/>
              </w:rPr>
              <w:t xml:space="preserve"> pakalpojumiem apmēru</w:t>
            </w:r>
            <w:r>
              <w:rPr>
                <w:b w:val="0"/>
                <w:sz w:val="24"/>
                <w:szCs w:val="24"/>
              </w:rPr>
              <w:t xml:space="preserve"> no 145 </w:t>
            </w:r>
            <w:r w:rsidRPr="00BD28C9">
              <w:rPr>
                <w:b w:val="0"/>
                <w:i/>
                <w:sz w:val="24"/>
                <w:szCs w:val="24"/>
              </w:rPr>
              <w:t>euro</w:t>
            </w:r>
            <w:r>
              <w:rPr>
                <w:b w:val="0"/>
                <w:sz w:val="24"/>
                <w:szCs w:val="24"/>
              </w:rPr>
              <w:t xml:space="preserve"> </w:t>
            </w:r>
            <w:r w:rsidR="005D2FEE">
              <w:rPr>
                <w:b w:val="0"/>
                <w:sz w:val="24"/>
                <w:szCs w:val="24"/>
              </w:rPr>
              <w:t>līdz</w:t>
            </w:r>
            <w:r>
              <w:rPr>
                <w:b w:val="0"/>
                <w:sz w:val="24"/>
                <w:szCs w:val="24"/>
              </w:rPr>
              <w:t xml:space="preserve"> 200 </w:t>
            </w:r>
            <w:r w:rsidRPr="00BD28C9">
              <w:rPr>
                <w:b w:val="0"/>
                <w:i/>
                <w:sz w:val="24"/>
                <w:szCs w:val="24"/>
              </w:rPr>
              <w:t>euro</w:t>
            </w:r>
            <w:r>
              <w:rPr>
                <w:b w:val="0"/>
                <w:sz w:val="24"/>
                <w:szCs w:val="24"/>
              </w:rPr>
              <w:t>;</w:t>
            </w:r>
          </w:p>
          <w:p w14:paraId="460CB2A6" w14:textId="47EE40D7" w:rsidR="003C79FB" w:rsidRPr="00A5689B" w:rsidRDefault="003C79FB" w:rsidP="00A558DD">
            <w:pPr>
              <w:pStyle w:val="Heading3"/>
              <w:shd w:val="clear" w:color="auto" w:fill="FFFFFF"/>
              <w:spacing w:before="0" w:beforeAutospacing="0" w:after="0" w:afterAutospacing="0"/>
              <w:ind w:left="102" w:right="57" w:firstLine="426"/>
              <w:jc w:val="both"/>
              <w:rPr>
                <w:b w:val="0"/>
                <w:sz w:val="24"/>
                <w:szCs w:val="24"/>
              </w:rPr>
            </w:pPr>
            <w:r>
              <w:rPr>
                <w:b w:val="0"/>
                <w:sz w:val="24"/>
                <w:szCs w:val="24"/>
              </w:rPr>
              <w:t xml:space="preserve">- palielināt </w:t>
            </w:r>
            <w:r w:rsidR="003B0372">
              <w:rPr>
                <w:b w:val="0"/>
                <w:sz w:val="24"/>
                <w:szCs w:val="24"/>
              </w:rPr>
              <w:t xml:space="preserve">atvaļinātajai </w:t>
            </w:r>
            <w:r>
              <w:rPr>
                <w:b w:val="0"/>
                <w:sz w:val="24"/>
                <w:szCs w:val="24"/>
              </w:rPr>
              <w:t>a</w:t>
            </w:r>
            <w:r w:rsidRPr="003C79FB">
              <w:rPr>
                <w:b w:val="0"/>
                <w:sz w:val="24"/>
                <w:szCs w:val="24"/>
              </w:rPr>
              <w:t xml:space="preserve">matpersonai kompensējamo izdevumu par </w:t>
            </w:r>
            <w:r w:rsidRPr="00A5689B">
              <w:rPr>
                <w:b w:val="0"/>
                <w:sz w:val="24"/>
                <w:szCs w:val="24"/>
              </w:rPr>
              <w:t>medikamentiem apmēru, svītrojot 75% ierobežojumu. Šādi tiks uzlabota arī kompensācijas piešķiršanas administrēšana.</w:t>
            </w:r>
          </w:p>
          <w:p w14:paraId="702E602B" w14:textId="529293EC" w:rsidR="00770008" w:rsidRPr="00A5689B" w:rsidRDefault="00054844" w:rsidP="00A558DD">
            <w:pPr>
              <w:pStyle w:val="Heading3"/>
              <w:shd w:val="clear" w:color="auto" w:fill="FFFFFF"/>
              <w:spacing w:before="0" w:beforeAutospacing="0" w:after="0" w:afterAutospacing="0"/>
              <w:ind w:left="102" w:right="57" w:firstLine="426"/>
              <w:jc w:val="both"/>
              <w:rPr>
                <w:b w:val="0"/>
                <w:sz w:val="24"/>
                <w:szCs w:val="24"/>
              </w:rPr>
            </w:pPr>
            <w:r w:rsidRPr="00A558DD">
              <w:rPr>
                <w:b w:val="0"/>
                <w:sz w:val="24"/>
                <w:szCs w:val="24"/>
              </w:rPr>
              <w:t>Tā kā Ministru kabineta 201</w:t>
            </w:r>
            <w:r w:rsidR="00A5689B" w:rsidRPr="00A558DD">
              <w:rPr>
                <w:b w:val="0"/>
                <w:sz w:val="24"/>
                <w:szCs w:val="24"/>
              </w:rPr>
              <w:t>4</w:t>
            </w:r>
            <w:r w:rsidRPr="00A558DD">
              <w:rPr>
                <w:b w:val="0"/>
                <w:sz w:val="24"/>
                <w:szCs w:val="24"/>
              </w:rPr>
              <w:t xml:space="preserve">.gada </w:t>
            </w:r>
            <w:r w:rsidR="00A5689B" w:rsidRPr="00A558DD">
              <w:rPr>
                <w:b w:val="0"/>
                <w:sz w:val="24"/>
                <w:szCs w:val="24"/>
              </w:rPr>
              <w:t>11.februāra</w:t>
            </w:r>
            <w:r w:rsidRPr="00A558DD">
              <w:rPr>
                <w:b w:val="0"/>
                <w:sz w:val="24"/>
                <w:szCs w:val="24"/>
              </w:rPr>
              <w:t xml:space="preserve"> noteikumu Nr.</w:t>
            </w:r>
            <w:r w:rsidR="00A5689B" w:rsidRPr="00A558DD">
              <w:rPr>
                <w:b w:val="0"/>
                <w:sz w:val="24"/>
                <w:szCs w:val="24"/>
              </w:rPr>
              <w:t>93</w:t>
            </w:r>
            <w:r w:rsidRPr="00A558DD">
              <w:rPr>
                <w:b w:val="0"/>
                <w:sz w:val="24"/>
                <w:szCs w:val="24"/>
              </w:rPr>
              <w:t xml:space="preserve"> </w:t>
            </w:r>
            <w:r w:rsidR="00A5689B" w:rsidRPr="00A558DD">
              <w:rPr>
                <w:b w:val="0"/>
                <w:sz w:val="24"/>
                <w:szCs w:val="24"/>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Pr="00A558DD">
              <w:rPr>
                <w:b w:val="0"/>
                <w:sz w:val="24"/>
                <w:szCs w:val="24"/>
              </w:rPr>
              <w:t xml:space="preserve">” </w:t>
            </w:r>
            <w:r w:rsidR="00A5689B" w:rsidRPr="00A558DD">
              <w:rPr>
                <w:b w:val="0"/>
                <w:sz w:val="24"/>
                <w:szCs w:val="24"/>
              </w:rPr>
              <w:t>10</w:t>
            </w:r>
            <w:r w:rsidRPr="00A558DD">
              <w:rPr>
                <w:b w:val="0"/>
                <w:sz w:val="24"/>
                <w:szCs w:val="24"/>
              </w:rPr>
              <w:t>.punkts</w:t>
            </w:r>
            <w:r w:rsidRPr="00A5689B">
              <w:rPr>
                <w:b w:val="0"/>
                <w:sz w:val="24"/>
                <w:szCs w:val="24"/>
              </w:rPr>
              <w:t xml:space="preserve"> paredz, ka </w:t>
            </w:r>
            <w:r w:rsidR="00AA120D">
              <w:rPr>
                <w:b w:val="0"/>
                <w:sz w:val="24"/>
                <w:szCs w:val="24"/>
              </w:rPr>
              <w:t xml:space="preserve">atvaļinātā </w:t>
            </w:r>
            <w:r w:rsidRPr="00A5689B">
              <w:rPr>
                <w:b w:val="0"/>
                <w:sz w:val="24"/>
                <w:szCs w:val="24"/>
              </w:rPr>
              <w:t>amatpersona dokumentus noteikumos paredzēto kompensāciju saņemšanai var iesniegt par kārtējo gadu un iepriekšējo gadu, projekts paredz papildināt noteikumus ar jaunu punktu, kas nosaka kompensējamo izdevumu apmēru par 201</w:t>
            </w:r>
            <w:r w:rsidR="00770008" w:rsidRPr="00A5689B">
              <w:rPr>
                <w:b w:val="0"/>
                <w:sz w:val="24"/>
                <w:szCs w:val="24"/>
              </w:rPr>
              <w:t>5</w:t>
            </w:r>
            <w:r w:rsidRPr="00A5689B">
              <w:rPr>
                <w:b w:val="0"/>
                <w:sz w:val="24"/>
                <w:szCs w:val="24"/>
              </w:rPr>
              <w:t xml:space="preserve">.gadā saņemtajiem veselības aprūpes pakalpojumiem. Noteiktais kompensācijas apmērs atbilst </w:t>
            </w:r>
            <w:r w:rsidR="00770008" w:rsidRPr="00A5689B">
              <w:rPr>
                <w:b w:val="0"/>
                <w:sz w:val="24"/>
                <w:szCs w:val="24"/>
              </w:rPr>
              <w:t xml:space="preserve">pašreiz spēkā esošajos </w:t>
            </w:r>
            <w:r w:rsidRPr="00A5689B">
              <w:rPr>
                <w:b w:val="0"/>
                <w:sz w:val="24"/>
                <w:szCs w:val="24"/>
              </w:rPr>
              <w:t xml:space="preserve">Ministru kabineta </w:t>
            </w:r>
            <w:r w:rsidRPr="00A558DD">
              <w:rPr>
                <w:b w:val="0"/>
                <w:sz w:val="24"/>
                <w:szCs w:val="24"/>
              </w:rPr>
              <w:t>201</w:t>
            </w:r>
            <w:r w:rsidR="00A5689B" w:rsidRPr="00A558DD">
              <w:rPr>
                <w:b w:val="0"/>
                <w:sz w:val="24"/>
                <w:szCs w:val="24"/>
              </w:rPr>
              <w:t>4</w:t>
            </w:r>
            <w:r w:rsidRPr="00A558DD">
              <w:rPr>
                <w:b w:val="0"/>
                <w:sz w:val="24"/>
                <w:szCs w:val="24"/>
              </w:rPr>
              <w:t xml:space="preserve">.gada </w:t>
            </w:r>
            <w:r w:rsidR="00A5689B" w:rsidRPr="00A558DD">
              <w:rPr>
                <w:b w:val="0"/>
                <w:sz w:val="24"/>
                <w:szCs w:val="24"/>
              </w:rPr>
              <w:t>11.februāra</w:t>
            </w:r>
            <w:r w:rsidRPr="00A558DD">
              <w:rPr>
                <w:b w:val="0"/>
                <w:sz w:val="24"/>
                <w:szCs w:val="24"/>
              </w:rPr>
              <w:t xml:space="preserve"> noteikum</w:t>
            </w:r>
            <w:r w:rsidR="00770008" w:rsidRPr="00A558DD">
              <w:rPr>
                <w:b w:val="0"/>
                <w:sz w:val="24"/>
                <w:szCs w:val="24"/>
              </w:rPr>
              <w:t>os</w:t>
            </w:r>
            <w:r w:rsidRPr="00A558DD">
              <w:rPr>
                <w:b w:val="0"/>
                <w:sz w:val="24"/>
                <w:szCs w:val="24"/>
              </w:rPr>
              <w:t xml:space="preserve"> Nr.</w:t>
            </w:r>
            <w:r w:rsidR="00A5689B" w:rsidRPr="00A558DD">
              <w:rPr>
                <w:b w:val="0"/>
                <w:sz w:val="24"/>
                <w:szCs w:val="24"/>
              </w:rPr>
              <w:t>93</w:t>
            </w:r>
            <w:r w:rsidRPr="00A558DD">
              <w:rPr>
                <w:b w:val="0"/>
                <w:sz w:val="24"/>
                <w:szCs w:val="24"/>
              </w:rPr>
              <w:t xml:space="preserve"> </w:t>
            </w:r>
            <w:r w:rsidR="00A5689B" w:rsidRPr="00A558DD">
              <w:rPr>
                <w:b w:val="0"/>
                <w:sz w:val="24"/>
                <w:szCs w:val="24"/>
              </w:rPr>
              <w:t xml:space="preserve">„Kārtība,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 </w:t>
            </w:r>
            <w:r w:rsidR="00770008" w:rsidRPr="00A558DD">
              <w:rPr>
                <w:b w:val="0"/>
                <w:sz w:val="24"/>
                <w:szCs w:val="24"/>
              </w:rPr>
              <w:t xml:space="preserve">paredzētajam </w:t>
            </w:r>
            <w:r w:rsidR="00770008" w:rsidRPr="00A5689B">
              <w:rPr>
                <w:b w:val="0"/>
                <w:sz w:val="24"/>
                <w:szCs w:val="24"/>
              </w:rPr>
              <w:t>kompensējamo izdevumu apmēram.</w:t>
            </w:r>
          </w:p>
          <w:p w14:paraId="7E98C73C" w14:textId="2418A145" w:rsidR="006A5A2A" w:rsidRPr="00CB49D0" w:rsidRDefault="006A5A2A" w:rsidP="00A558DD">
            <w:pPr>
              <w:pStyle w:val="Heading3"/>
              <w:shd w:val="clear" w:color="auto" w:fill="FFFFFF"/>
              <w:spacing w:before="0" w:beforeAutospacing="0" w:after="0" w:afterAutospacing="0"/>
              <w:ind w:left="102" w:right="57" w:firstLine="426"/>
              <w:jc w:val="both"/>
              <w:rPr>
                <w:b w:val="0"/>
                <w:sz w:val="24"/>
                <w:szCs w:val="24"/>
              </w:rPr>
            </w:pPr>
            <w:r w:rsidRPr="00A5689B">
              <w:rPr>
                <w:b w:val="0"/>
                <w:sz w:val="24"/>
                <w:szCs w:val="24"/>
              </w:rPr>
              <w:t xml:space="preserve">Izvērtējot </w:t>
            </w:r>
            <w:r w:rsidR="00A5689B">
              <w:rPr>
                <w:b w:val="0"/>
                <w:sz w:val="24"/>
                <w:szCs w:val="24"/>
              </w:rPr>
              <w:t xml:space="preserve">atvaļināto </w:t>
            </w:r>
            <w:r w:rsidRPr="00A5689B">
              <w:rPr>
                <w:b w:val="0"/>
                <w:sz w:val="24"/>
                <w:szCs w:val="24"/>
              </w:rPr>
              <w:t xml:space="preserve">amatpersonu iesniegtos maksājumu dokumentus maksas pakalpojumu izdevumu kompensācijai, </w:t>
            </w:r>
            <w:r w:rsidR="00F22782">
              <w:rPr>
                <w:b w:val="0"/>
                <w:sz w:val="24"/>
                <w:szCs w:val="24"/>
              </w:rPr>
              <w:t xml:space="preserve">Iekšlietu ministrijas veselības un sporta </w:t>
            </w:r>
            <w:r w:rsidRPr="00A5689B">
              <w:rPr>
                <w:b w:val="0"/>
                <w:sz w:val="24"/>
                <w:szCs w:val="24"/>
              </w:rPr>
              <w:t xml:space="preserve">centrs ir konstatējis, ka </w:t>
            </w:r>
            <w:r w:rsidR="00A5689B">
              <w:rPr>
                <w:b w:val="0"/>
                <w:sz w:val="24"/>
                <w:szCs w:val="24"/>
              </w:rPr>
              <w:t xml:space="preserve">atvaļinātajām </w:t>
            </w:r>
            <w:r w:rsidRPr="00A5689B">
              <w:rPr>
                <w:b w:val="0"/>
                <w:sz w:val="24"/>
                <w:szCs w:val="24"/>
              </w:rPr>
              <w:t>amatpersonām bieži ir nepieciešami podometrijas un ārstnieciskās pēdu aprūpes pakalpojumi. Tā kā š</w:t>
            </w:r>
            <w:r w:rsidR="00805CE6" w:rsidRPr="00A5689B">
              <w:rPr>
                <w:b w:val="0"/>
                <w:sz w:val="24"/>
                <w:szCs w:val="24"/>
              </w:rPr>
              <w:t xml:space="preserve">īs manipulācijas saskaņā ar normatīvajiem aktiem par veselības aprūpes organizēšanas un finansēšanas kārtību nav iekļautas apmaksājamo manipulāciju sarakstā, saskaņā ar spēkā esošo regulējumu nav iespējama šo maksas pakalpojumu izdevumu kompensācija. Ņemot vērā, ka šie </w:t>
            </w:r>
            <w:r w:rsidR="00805CE6" w:rsidRPr="00CB49D0">
              <w:rPr>
                <w:b w:val="0"/>
                <w:sz w:val="24"/>
                <w:szCs w:val="24"/>
              </w:rPr>
              <w:t xml:space="preserve">pakalpojumi </w:t>
            </w:r>
            <w:r w:rsidR="00A5689B" w:rsidRPr="00CB49D0">
              <w:rPr>
                <w:b w:val="0"/>
                <w:sz w:val="24"/>
                <w:szCs w:val="24"/>
              </w:rPr>
              <w:t xml:space="preserve">atvaļinātajām </w:t>
            </w:r>
            <w:r w:rsidR="00805CE6" w:rsidRPr="00CB49D0">
              <w:rPr>
                <w:b w:val="0"/>
                <w:sz w:val="24"/>
                <w:szCs w:val="24"/>
              </w:rPr>
              <w:t>amatpersonām ir nepieciešami,</w:t>
            </w:r>
            <w:r w:rsidR="00B6540B" w:rsidRPr="00CB49D0">
              <w:rPr>
                <w:b w:val="0"/>
                <w:sz w:val="24"/>
                <w:szCs w:val="24"/>
              </w:rPr>
              <w:t xml:space="preserve"> jo </w:t>
            </w:r>
            <w:r w:rsidR="005B230B" w:rsidRPr="00CB49D0">
              <w:rPr>
                <w:b w:val="0"/>
                <w:sz w:val="24"/>
                <w:szCs w:val="24"/>
              </w:rPr>
              <w:t xml:space="preserve">dienesta laikā </w:t>
            </w:r>
            <w:r w:rsidR="00B6540B" w:rsidRPr="00CB49D0">
              <w:rPr>
                <w:b w:val="0"/>
                <w:sz w:val="24"/>
                <w:szCs w:val="24"/>
              </w:rPr>
              <w:t xml:space="preserve">tām ikdienā </w:t>
            </w:r>
            <w:r w:rsidR="005B230B" w:rsidRPr="00CB49D0">
              <w:rPr>
                <w:b w:val="0"/>
                <w:sz w:val="24"/>
                <w:szCs w:val="24"/>
              </w:rPr>
              <w:t xml:space="preserve">bija </w:t>
            </w:r>
            <w:r w:rsidR="00B6540B" w:rsidRPr="00CB49D0">
              <w:rPr>
                <w:b w:val="0"/>
                <w:sz w:val="24"/>
                <w:szCs w:val="24"/>
              </w:rPr>
              <w:t>jāvalkā formastērps un tam atbilstošie apavi,</w:t>
            </w:r>
            <w:r w:rsidR="00805CE6" w:rsidRPr="00CB49D0">
              <w:rPr>
                <w:b w:val="0"/>
                <w:sz w:val="24"/>
                <w:szCs w:val="24"/>
              </w:rPr>
              <w:t xml:space="preserve"> projekts paredz, ka podometrijas un ārstnieciskās pēdu aprūpes pakalpojumu izdevumi </w:t>
            </w:r>
            <w:r w:rsidR="005B230B" w:rsidRPr="00CB49D0">
              <w:rPr>
                <w:b w:val="0"/>
                <w:sz w:val="24"/>
                <w:szCs w:val="24"/>
              </w:rPr>
              <w:t xml:space="preserve">atvaļinātajām </w:t>
            </w:r>
            <w:r w:rsidR="00805CE6" w:rsidRPr="00CB49D0">
              <w:rPr>
                <w:b w:val="0"/>
                <w:sz w:val="24"/>
                <w:szCs w:val="24"/>
              </w:rPr>
              <w:t>amatpersonām var tikt kompensēti, ja tie veikti ar ārsta speciālista nosūtījumu.</w:t>
            </w:r>
            <w:r w:rsidRPr="00CB49D0">
              <w:rPr>
                <w:b w:val="0"/>
                <w:sz w:val="24"/>
                <w:szCs w:val="24"/>
              </w:rPr>
              <w:t xml:space="preserve"> </w:t>
            </w:r>
            <w:r w:rsidR="00805CE6" w:rsidRPr="00CB49D0">
              <w:rPr>
                <w:b w:val="0"/>
                <w:sz w:val="24"/>
                <w:szCs w:val="24"/>
              </w:rPr>
              <w:t>Kompensācija par šiem pakalpojumiem ir limitēta kopējo maksas pakalpojumu izdevumu kompensācijas ietvaros.</w:t>
            </w:r>
          </w:p>
          <w:p w14:paraId="6046EF31" w14:textId="196CB80A" w:rsidR="00805CE6" w:rsidRDefault="00805CE6" w:rsidP="005F6507">
            <w:pPr>
              <w:pStyle w:val="Heading3"/>
              <w:shd w:val="clear" w:color="auto" w:fill="FFFFFF"/>
              <w:spacing w:before="0" w:beforeAutospacing="0" w:after="0" w:afterAutospacing="0"/>
              <w:ind w:left="102" w:right="57" w:firstLine="426"/>
              <w:jc w:val="both"/>
              <w:rPr>
                <w:b w:val="0"/>
                <w:sz w:val="24"/>
                <w:szCs w:val="24"/>
              </w:rPr>
            </w:pPr>
            <w:r w:rsidRPr="00CB49D0">
              <w:rPr>
                <w:b w:val="0"/>
                <w:sz w:val="24"/>
                <w:szCs w:val="24"/>
              </w:rPr>
              <w:lastRenderedPageBreak/>
              <w:t>Darba gaitā</w:t>
            </w:r>
            <w:r w:rsidR="002A7672">
              <w:rPr>
                <w:b w:val="0"/>
                <w:sz w:val="24"/>
                <w:szCs w:val="24"/>
              </w:rPr>
              <w:t xml:space="preserve"> Iekšlietu ministrijas veselības un sporta</w:t>
            </w:r>
            <w:r w:rsidRPr="00CB49D0">
              <w:rPr>
                <w:b w:val="0"/>
                <w:sz w:val="24"/>
                <w:szCs w:val="24"/>
              </w:rPr>
              <w:t xml:space="preserve"> centrs ir konstatējis situācijas, kad persona griežas ārstniecības iestādē, kura ārstniecības iestāžu reģistrā ir reģistrējusi tikai atsevišķu veselības aprūpes pakalpojumu sniegšanu (piemēram,</w:t>
            </w:r>
            <w:r w:rsidR="00D31EF8" w:rsidRPr="00CB49D0">
              <w:rPr>
                <w:b w:val="0"/>
                <w:sz w:val="24"/>
                <w:szCs w:val="24"/>
              </w:rPr>
              <w:t xml:space="preserve"> tikai</w:t>
            </w:r>
            <w:r w:rsidRPr="00CB49D0">
              <w:rPr>
                <w:b w:val="0"/>
                <w:sz w:val="24"/>
                <w:szCs w:val="24"/>
              </w:rPr>
              <w:t xml:space="preserve"> </w:t>
            </w:r>
            <w:r w:rsidR="00D31EF8" w:rsidRPr="00CB49D0">
              <w:rPr>
                <w:b w:val="0"/>
                <w:sz w:val="24"/>
                <w:szCs w:val="24"/>
              </w:rPr>
              <w:t>kardiologa, alergologa un traumatologa kabinetus)</w:t>
            </w:r>
            <w:r w:rsidRPr="00CB49D0">
              <w:rPr>
                <w:b w:val="0"/>
                <w:sz w:val="24"/>
                <w:szCs w:val="24"/>
              </w:rPr>
              <w:t>, lai saņemtu veselības aprūpes pakal</w:t>
            </w:r>
            <w:r w:rsidR="00D31EF8" w:rsidRPr="00CB49D0">
              <w:rPr>
                <w:b w:val="0"/>
                <w:sz w:val="24"/>
                <w:szCs w:val="24"/>
              </w:rPr>
              <w:t>pojumus, kuru sniegšanu šī ārstniecības iestāde nav reģistrējusi (piemēram, fizioterapeita pakalpojumus). Tā kā šādus pakalpojumus ārstniecības iestāde nav tiesīga sniegt, Iekšlietu ministrijas skatījumā nav pieļaujama arī izdevumu kompensēšana, taču praksē ir ārstniecības iestādes, kas</w:t>
            </w:r>
            <w:r w:rsidR="00271FD3" w:rsidRPr="00CB49D0">
              <w:rPr>
                <w:b w:val="0"/>
                <w:sz w:val="24"/>
                <w:szCs w:val="24"/>
              </w:rPr>
              <w:t xml:space="preserve"> tomēr sniedz nereģistrētus veselības aprūpes pakalpojumus un </w:t>
            </w:r>
            <w:r w:rsidR="005B230B" w:rsidRPr="00CB49D0">
              <w:rPr>
                <w:b w:val="0"/>
                <w:sz w:val="24"/>
                <w:szCs w:val="24"/>
              </w:rPr>
              <w:t xml:space="preserve">atvaļinātās </w:t>
            </w:r>
            <w:r w:rsidR="00271FD3" w:rsidRPr="00CB49D0">
              <w:rPr>
                <w:b w:val="0"/>
                <w:sz w:val="24"/>
                <w:szCs w:val="24"/>
              </w:rPr>
              <w:t xml:space="preserve">amatpersonas lūdz tos kompensēt, norādot, ka  pakalpojums ir saņemts ārstniecības iestādē, kas savu darbību ir reģistrējusi un </w:t>
            </w:r>
            <w:r w:rsidR="00D31EF8" w:rsidRPr="00CB49D0">
              <w:rPr>
                <w:b w:val="0"/>
                <w:sz w:val="24"/>
                <w:szCs w:val="24"/>
              </w:rPr>
              <w:t>kā maldinoš</w:t>
            </w:r>
            <w:r w:rsidR="00271FD3" w:rsidRPr="00CB49D0">
              <w:rPr>
                <w:b w:val="0"/>
                <w:sz w:val="24"/>
                <w:szCs w:val="24"/>
              </w:rPr>
              <w:t>a</w:t>
            </w:r>
            <w:r w:rsidR="00D31EF8" w:rsidRPr="00CB49D0">
              <w:rPr>
                <w:b w:val="0"/>
                <w:sz w:val="24"/>
                <w:szCs w:val="24"/>
              </w:rPr>
              <w:t xml:space="preserve"> vērtē</w:t>
            </w:r>
            <w:r w:rsidR="00271FD3" w:rsidRPr="00CB49D0">
              <w:rPr>
                <w:b w:val="0"/>
                <w:sz w:val="24"/>
                <w:szCs w:val="24"/>
              </w:rPr>
              <w:t>jama</w:t>
            </w:r>
            <w:r w:rsidR="00D31EF8" w:rsidRPr="00CB49D0">
              <w:rPr>
                <w:b w:val="0"/>
                <w:sz w:val="24"/>
                <w:szCs w:val="24"/>
              </w:rPr>
              <w:t xml:space="preserve"> spēkā esoš</w:t>
            </w:r>
            <w:r w:rsidR="00271FD3" w:rsidRPr="00CB49D0">
              <w:rPr>
                <w:b w:val="0"/>
                <w:sz w:val="24"/>
                <w:szCs w:val="24"/>
              </w:rPr>
              <w:t>ā</w:t>
            </w:r>
            <w:r w:rsidR="00D31EF8" w:rsidRPr="00CB49D0">
              <w:rPr>
                <w:b w:val="0"/>
                <w:sz w:val="24"/>
                <w:szCs w:val="24"/>
              </w:rPr>
              <w:t xml:space="preserve"> Ministru kabineta 201</w:t>
            </w:r>
            <w:r w:rsidR="005B230B" w:rsidRPr="00CB49D0">
              <w:rPr>
                <w:b w:val="0"/>
                <w:sz w:val="24"/>
                <w:szCs w:val="24"/>
              </w:rPr>
              <w:t>4</w:t>
            </w:r>
            <w:r w:rsidR="00D31EF8" w:rsidRPr="00CB49D0">
              <w:rPr>
                <w:b w:val="0"/>
                <w:sz w:val="24"/>
                <w:szCs w:val="24"/>
              </w:rPr>
              <w:t xml:space="preserve">.gada  </w:t>
            </w:r>
            <w:r w:rsidR="005B230B" w:rsidRPr="00CB49D0">
              <w:rPr>
                <w:b w:val="0"/>
                <w:sz w:val="24"/>
                <w:szCs w:val="24"/>
              </w:rPr>
              <w:t>11.februāra</w:t>
            </w:r>
            <w:r w:rsidR="00D31EF8" w:rsidRPr="00CB49D0">
              <w:rPr>
                <w:b w:val="0"/>
                <w:sz w:val="24"/>
                <w:szCs w:val="24"/>
              </w:rPr>
              <w:t xml:space="preserve"> noteikumu Nr.</w:t>
            </w:r>
            <w:r w:rsidR="005B230B" w:rsidRPr="00CB49D0">
              <w:rPr>
                <w:b w:val="0"/>
                <w:sz w:val="24"/>
                <w:szCs w:val="24"/>
              </w:rPr>
              <w:t>93</w:t>
            </w:r>
            <w:r w:rsidR="00D31EF8" w:rsidRPr="00CB49D0">
              <w:rPr>
                <w:b w:val="0"/>
                <w:sz w:val="24"/>
                <w:szCs w:val="24"/>
              </w:rPr>
              <w:t xml:space="preserve"> </w:t>
            </w:r>
            <w:r w:rsidR="005B230B" w:rsidRPr="00CB49D0">
              <w:rPr>
                <w:b w:val="0"/>
                <w:sz w:val="24"/>
                <w:szCs w:val="24"/>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D31EF8" w:rsidRPr="00CB49D0">
              <w:rPr>
                <w:b w:val="0"/>
                <w:sz w:val="24"/>
                <w:szCs w:val="24"/>
              </w:rPr>
              <w:t xml:space="preserve"> 1</w:t>
            </w:r>
            <w:r w:rsidR="005B230B" w:rsidRPr="00CB49D0">
              <w:rPr>
                <w:b w:val="0"/>
                <w:sz w:val="24"/>
                <w:szCs w:val="24"/>
              </w:rPr>
              <w:t>7</w:t>
            </w:r>
            <w:r w:rsidR="00D31EF8" w:rsidRPr="00CB49D0">
              <w:rPr>
                <w:b w:val="0"/>
                <w:sz w:val="24"/>
                <w:szCs w:val="24"/>
              </w:rPr>
              <w:t>.12 apakšpunkta redakcij</w:t>
            </w:r>
            <w:r w:rsidR="00271FD3" w:rsidRPr="00CB49D0">
              <w:rPr>
                <w:b w:val="0"/>
                <w:sz w:val="24"/>
                <w:szCs w:val="24"/>
              </w:rPr>
              <w:t>a</w:t>
            </w:r>
            <w:r w:rsidR="00D31EF8" w:rsidRPr="00CB49D0">
              <w:rPr>
                <w:b w:val="0"/>
                <w:sz w:val="24"/>
                <w:szCs w:val="24"/>
              </w:rPr>
              <w:t>.</w:t>
            </w:r>
            <w:r w:rsidR="00271FD3" w:rsidRPr="00CB49D0">
              <w:rPr>
                <w:b w:val="0"/>
                <w:sz w:val="24"/>
                <w:szCs w:val="24"/>
              </w:rPr>
              <w:t xml:space="preserve"> Ņemot vērā minēto, projekts paredz precizēt 1</w:t>
            </w:r>
            <w:r w:rsidR="005B230B" w:rsidRPr="00CB49D0">
              <w:rPr>
                <w:b w:val="0"/>
                <w:sz w:val="24"/>
                <w:szCs w:val="24"/>
              </w:rPr>
              <w:t>7</w:t>
            </w:r>
            <w:r w:rsidR="00271FD3" w:rsidRPr="00CB49D0">
              <w:rPr>
                <w:b w:val="0"/>
                <w:sz w:val="24"/>
                <w:szCs w:val="24"/>
              </w:rPr>
              <w:t>.12 apakšpunktu, norādot, ka netiek apmaksāti vai kompensēti veselības aprūpes pakalpojumi, kas saņemti iestādē, kura nav reģistrēta ārstniecības iestāžu reģistrā (izņemot redzes pārbaudi) vai sniegto veselības aprūpes pakalpojumu ārstniecības iestāde nav reģistrējusi atbilstoši normatīvo aktu prasībām.</w:t>
            </w:r>
            <w:r w:rsidR="00D31EF8" w:rsidRPr="00CB49D0">
              <w:rPr>
                <w:b w:val="0"/>
                <w:sz w:val="24"/>
                <w:szCs w:val="24"/>
              </w:rPr>
              <w:t xml:space="preserve"> </w:t>
            </w:r>
          </w:p>
          <w:p w14:paraId="70C6AFEE" w14:textId="77777777" w:rsidR="00514DE3" w:rsidRDefault="00514DE3" w:rsidP="00514DE3">
            <w:pPr>
              <w:spacing w:after="0" w:line="240" w:lineRule="auto"/>
              <w:ind w:firstLine="528"/>
              <w:jc w:val="both"/>
              <w:rPr>
                <w:rFonts w:ascii="Times New Roman" w:eastAsia="Times New Roman" w:hAnsi="Times New Roman" w:cs="Times New Roman"/>
                <w:bCs/>
                <w:sz w:val="24"/>
                <w:szCs w:val="24"/>
                <w:lang w:eastAsia="lv-LV"/>
              </w:rPr>
            </w:pPr>
            <w:r w:rsidRPr="00514DE3">
              <w:rPr>
                <w:rFonts w:ascii="Times New Roman" w:eastAsia="Times New Roman" w:hAnsi="Times New Roman" w:cs="Times New Roman"/>
                <w:bCs/>
                <w:sz w:val="24"/>
                <w:szCs w:val="24"/>
                <w:lang w:eastAsia="lv-LV"/>
              </w:rPr>
              <w:t xml:space="preserve">Saskaņā ar Valsts un pašvaldību institūciju amatpersonu un darbinieku atlīdzības likuma 39.panta otro daļu apmaksāta veselības aprūpe tiek nodrošināta visai ierobežotam amatpersonu lokam, proti, tikai tām amatpersonām, kuras, pildot dienesta pienākumus ir cietušas nelaimes gadījumā darbā un atvaļinātas no dienesta gūto savainojumu dēļ. Iekšlietu ministrija veic darba aizsardzības pasākumus, lai samazinātu nelaimes gadījumu riskus, tādējādi nav prognozējams būtisks sociālās garantijas – apmaksātas veselības aprūpes saņēmēju pieaugums. </w:t>
            </w:r>
          </w:p>
          <w:p w14:paraId="3DD19396" w14:textId="115828B0" w:rsidR="00514DE3" w:rsidRDefault="00514DE3" w:rsidP="00514DE3">
            <w:pPr>
              <w:spacing w:after="0" w:line="240" w:lineRule="auto"/>
              <w:ind w:firstLine="38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w:t>
            </w:r>
            <w:r w:rsidRPr="00514DE3">
              <w:rPr>
                <w:rFonts w:ascii="Times New Roman" w:eastAsia="Times New Roman" w:hAnsi="Times New Roman" w:cs="Times New Roman"/>
                <w:bCs/>
                <w:sz w:val="24"/>
                <w:szCs w:val="24"/>
                <w:lang w:eastAsia="lv-LV"/>
              </w:rPr>
              <w:t>ttiecībā uz projekta izpildei nepieciešamā finansējuma aprēķinu, jāņem vērā, ka amatpersonu, kuras atrodas dienestā, veselības aprūpei jau ir ieplānoti finanšu līdzekļi, tādējādi noteiktam personu lokam, pēc atvaļināšanas no dienesta tiek saglabāta sociālā garantija – apmaksāta veselības aprūpe.</w:t>
            </w:r>
          </w:p>
          <w:p w14:paraId="7E1D98B6" w14:textId="77777777" w:rsidR="00514DE3" w:rsidRPr="00514DE3" w:rsidRDefault="00514DE3" w:rsidP="00514DE3">
            <w:pPr>
              <w:spacing w:after="0" w:line="240" w:lineRule="auto"/>
              <w:jc w:val="both"/>
              <w:rPr>
                <w:rFonts w:ascii="Times New Roman" w:eastAsia="Times New Roman" w:hAnsi="Times New Roman" w:cs="Times New Roman"/>
                <w:bCs/>
                <w:sz w:val="24"/>
                <w:szCs w:val="24"/>
                <w:lang w:eastAsia="lv-LV"/>
              </w:rPr>
            </w:pPr>
          </w:p>
          <w:p w14:paraId="38F770BC" w14:textId="5B49A3F6" w:rsidR="00D10AA5" w:rsidRPr="00CB49D0" w:rsidRDefault="005F6507" w:rsidP="005F6507">
            <w:pPr>
              <w:pStyle w:val="Heading3"/>
              <w:shd w:val="clear" w:color="auto" w:fill="FFFFFF"/>
              <w:spacing w:before="0" w:beforeAutospacing="0" w:after="0" w:afterAutospacing="0"/>
              <w:ind w:left="102" w:right="57" w:firstLine="425"/>
              <w:jc w:val="both"/>
              <w:rPr>
                <w:b w:val="0"/>
                <w:sz w:val="24"/>
                <w:szCs w:val="24"/>
              </w:rPr>
            </w:pPr>
            <w:r>
              <w:rPr>
                <w:b w:val="0"/>
                <w:sz w:val="24"/>
                <w:szCs w:val="24"/>
              </w:rPr>
              <w:t>P</w:t>
            </w:r>
            <w:r w:rsidR="00D10AA5" w:rsidRPr="00CB49D0">
              <w:rPr>
                <w:b w:val="0"/>
                <w:sz w:val="24"/>
                <w:szCs w:val="24"/>
              </w:rPr>
              <w:t xml:space="preserve">rojektā ietverto pasākumu nodrošināšanai nepieciešams finansējums 2016.gadā un turpmāk ik gadu – </w:t>
            </w:r>
            <w:r w:rsidR="0035071C" w:rsidRPr="0035071C">
              <w:rPr>
                <w:sz w:val="24"/>
                <w:szCs w:val="24"/>
              </w:rPr>
              <w:t>4</w:t>
            </w:r>
            <w:r w:rsidR="00287321">
              <w:rPr>
                <w:sz w:val="24"/>
                <w:szCs w:val="24"/>
              </w:rPr>
              <w:t xml:space="preserve"> 280</w:t>
            </w:r>
            <w:r w:rsidR="00D10AA5" w:rsidRPr="00355A91">
              <w:rPr>
                <w:sz w:val="24"/>
                <w:szCs w:val="24"/>
              </w:rPr>
              <w:t xml:space="preserve"> </w:t>
            </w:r>
            <w:r w:rsidR="00D10AA5" w:rsidRPr="00355A91">
              <w:rPr>
                <w:i/>
                <w:sz w:val="24"/>
                <w:szCs w:val="24"/>
              </w:rPr>
              <w:t>euro</w:t>
            </w:r>
            <w:r w:rsidR="00D10AA5" w:rsidRPr="00CB49D0">
              <w:rPr>
                <w:b w:val="0"/>
                <w:sz w:val="24"/>
                <w:szCs w:val="24"/>
              </w:rPr>
              <w:t xml:space="preserve"> apmērā (EKK </w:t>
            </w:r>
            <w:r w:rsidR="00CB49D0" w:rsidRPr="00CB49D0">
              <w:rPr>
                <w:b w:val="0"/>
                <w:sz w:val="24"/>
                <w:szCs w:val="24"/>
              </w:rPr>
              <w:t>6239</w:t>
            </w:r>
            <w:r w:rsidR="00D10AA5" w:rsidRPr="00CB49D0">
              <w:rPr>
                <w:b w:val="0"/>
                <w:sz w:val="24"/>
                <w:szCs w:val="24"/>
              </w:rPr>
              <w:t>), tajā skaitā:</w:t>
            </w:r>
          </w:p>
          <w:p w14:paraId="07ACBAEF" w14:textId="35664BB8" w:rsidR="00D10AA5" w:rsidRPr="00CB49D0" w:rsidRDefault="00CB49D0" w:rsidP="00801D2A">
            <w:pPr>
              <w:numPr>
                <w:ilvl w:val="0"/>
                <w:numId w:val="5"/>
              </w:numPr>
              <w:spacing w:before="240" w:after="0" w:line="240" w:lineRule="auto"/>
              <w:ind w:left="747" w:right="128" w:hanging="284"/>
              <w:jc w:val="both"/>
              <w:rPr>
                <w:rFonts w:ascii="Times New Roman" w:hAnsi="Times New Roman" w:cs="Times New Roman"/>
                <w:color w:val="000000"/>
                <w:sz w:val="24"/>
                <w:szCs w:val="24"/>
              </w:rPr>
            </w:pPr>
            <w:r w:rsidRPr="00CB49D0">
              <w:rPr>
                <w:rFonts w:ascii="Times New Roman" w:hAnsi="Times New Roman" w:cs="Times New Roman"/>
                <w:sz w:val="24"/>
                <w:szCs w:val="24"/>
              </w:rPr>
              <w:lastRenderedPageBreak/>
              <w:t xml:space="preserve">atvaļinātajām </w:t>
            </w:r>
            <w:r w:rsidR="00D10AA5" w:rsidRPr="00CB49D0">
              <w:rPr>
                <w:rFonts w:ascii="Times New Roman" w:hAnsi="Times New Roman" w:cs="Times New Roman"/>
                <w:sz w:val="24"/>
                <w:szCs w:val="24"/>
              </w:rPr>
              <w:t xml:space="preserve">amatpersonām kompensējamo maksas medicīnisko pakalpojumu limita palielināšana no 215 </w:t>
            </w:r>
            <w:r w:rsidR="00D10AA5" w:rsidRPr="00CB49D0">
              <w:rPr>
                <w:rFonts w:ascii="Times New Roman" w:hAnsi="Times New Roman" w:cs="Times New Roman"/>
                <w:i/>
                <w:sz w:val="24"/>
                <w:szCs w:val="24"/>
              </w:rPr>
              <w:t xml:space="preserve">euro </w:t>
            </w:r>
            <w:r w:rsidR="00D10AA5" w:rsidRPr="00CB49D0">
              <w:rPr>
                <w:rFonts w:ascii="Times New Roman" w:hAnsi="Times New Roman" w:cs="Times New Roman"/>
                <w:sz w:val="24"/>
                <w:szCs w:val="24"/>
              </w:rPr>
              <w:t xml:space="preserve">gadā līdz 250 </w:t>
            </w:r>
            <w:r w:rsidR="00D10AA5" w:rsidRPr="00CB49D0">
              <w:rPr>
                <w:rFonts w:ascii="Times New Roman" w:hAnsi="Times New Roman" w:cs="Times New Roman"/>
                <w:i/>
                <w:sz w:val="24"/>
                <w:szCs w:val="24"/>
              </w:rPr>
              <w:t>euro</w:t>
            </w:r>
            <w:r w:rsidR="00D10AA5" w:rsidRPr="00CB49D0">
              <w:rPr>
                <w:rFonts w:ascii="Times New Roman" w:hAnsi="Times New Roman" w:cs="Times New Roman"/>
                <w:sz w:val="24"/>
                <w:szCs w:val="24"/>
              </w:rPr>
              <w:t xml:space="preserve"> gadā</w:t>
            </w:r>
          </w:p>
          <w:p w14:paraId="088C261D" w14:textId="61E67736" w:rsidR="00D10AA5" w:rsidRPr="00CB49D0" w:rsidRDefault="0035071C" w:rsidP="00CB49D0">
            <w:pPr>
              <w:spacing w:before="240" w:after="0" w:line="240" w:lineRule="auto"/>
              <w:ind w:firstLine="888"/>
              <w:jc w:val="both"/>
              <w:rPr>
                <w:rFonts w:ascii="Times New Roman" w:hAnsi="Times New Roman" w:cs="Times New Roman"/>
                <w:b/>
                <w:i/>
                <w:sz w:val="24"/>
                <w:szCs w:val="24"/>
              </w:rPr>
            </w:pPr>
            <w:r>
              <w:rPr>
                <w:rFonts w:ascii="Times New Roman" w:hAnsi="Times New Roman" w:cs="Times New Roman"/>
                <w:sz w:val="24"/>
                <w:szCs w:val="24"/>
              </w:rPr>
              <w:t>2</w:t>
            </w:r>
            <w:r w:rsidR="00287321">
              <w:rPr>
                <w:rFonts w:ascii="Times New Roman" w:hAnsi="Times New Roman" w:cs="Times New Roman"/>
                <w:sz w:val="24"/>
                <w:szCs w:val="24"/>
              </w:rPr>
              <w:t>4</w:t>
            </w:r>
            <w:r w:rsidR="00D10AA5" w:rsidRPr="00CB49D0">
              <w:rPr>
                <w:rFonts w:ascii="Times New Roman" w:hAnsi="Times New Roman" w:cs="Times New Roman"/>
                <w:sz w:val="24"/>
                <w:szCs w:val="24"/>
                <w:vertAlign w:val="superscript"/>
              </w:rPr>
              <w:t>1</w:t>
            </w:r>
            <w:r w:rsidR="00D10AA5" w:rsidRPr="00CB49D0">
              <w:rPr>
                <w:rFonts w:ascii="Times New Roman" w:hAnsi="Times New Roman" w:cs="Times New Roman"/>
                <w:sz w:val="24"/>
                <w:szCs w:val="24"/>
              </w:rPr>
              <w:t xml:space="preserve"> x 35</w:t>
            </w:r>
            <w:r w:rsidR="00D10AA5" w:rsidRPr="00CB49D0">
              <w:rPr>
                <w:rFonts w:ascii="Times New Roman" w:hAnsi="Times New Roman" w:cs="Times New Roman"/>
                <w:sz w:val="24"/>
                <w:szCs w:val="24"/>
                <w:vertAlign w:val="superscript"/>
              </w:rPr>
              <w:t>2</w:t>
            </w:r>
            <w:r w:rsidR="00D10AA5" w:rsidRPr="00CB49D0">
              <w:rPr>
                <w:rFonts w:ascii="Times New Roman" w:hAnsi="Times New Roman" w:cs="Times New Roman"/>
                <w:sz w:val="24"/>
                <w:szCs w:val="24"/>
              </w:rPr>
              <w:t xml:space="preserve"> </w:t>
            </w:r>
            <w:r w:rsidR="00D10AA5" w:rsidRPr="00CB49D0">
              <w:rPr>
                <w:rFonts w:ascii="Times New Roman" w:hAnsi="Times New Roman" w:cs="Times New Roman"/>
                <w:i/>
                <w:sz w:val="24"/>
                <w:szCs w:val="24"/>
              </w:rPr>
              <w:t xml:space="preserve">euro </w:t>
            </w:r>
            <w:r w:rsidR="00D10AA5" w:rsidRPr="00CB49D0">
              <w:rPr>
                <w:rFonts w:ascii="Times New Roman" w:hAnsi="Times New Roman" w:cs="Times New Roman"/>
                <w:sz w:val="24"/>
                <w:szCs w:val="24"/>
              </w:rPr>
              <w:t xml:space="preserve"> = </w:t>
            </w:r>
            <w:r w:rsidR="00287321">
              <w:rPr>
                <w:rFonts w:ascii="Times New Roman" w:hAnsi="Times New Roman" w:cs="Times New Roman"/>
                <w:b/>
                <w:sz w:val="24"/>
                <w:szCs w:val="24"/>
              </w:rPr>
              <w:t>840</w:t>
            </w:r>
            <w:r w:rsidR="00D10AA5" w:rsidRPr="00CB49D0">
              <w:rPr>
                <w:rFonts w:ascii="Times New Roman" w:hAnsi="Times New Roman" w:cs="Times New Roman"/>
                <w:b/>
                <w:sz w:val="24"/>
                <w:szCs w:val="24"/>
              </w:rPr>
              <w:t xml:space="preserve"> </w:t>
            </w:r>
            <w:r w:rsidR="00D10AA5" w:rsidRPr="00CB49D0">
              <w:rPr>
                <w:rFonts w:ascii="Times New Roman" w:hAnsi="Times New Roman" w:cs="Times New Roman"/>
                <w:b/>
                <w:i/>
                <w:sz w:val="24"/>
                <w:szCs w:val="24"/>
              </w:rPr>
              <w:t>euro</w:t>
            </w:r>
          </w:p>
          <w:p w14:paraId="039EDE5C" w14:textId="77777777" w:rsidR="00D10AA5" w:rsidRPr="00801D2A" w:rsidRDefault="00D10AA5" w:rsidP="00801D2A">
            <w:pPr>
              <w:pStyle w:val="Heading3"/>
              <w:shd w:val="clear" w:color="auto" w:fill="FFFFFF"/>
              <w:spacing w:before="0" w:beforeAutospacing="0" w:after="0" w:afterAutospacing="0"/>
              <w:ind w:left="102" w:right="57"/>
              <w:jc w:val="both"/>
              <w:rPr>
                <w:b w:val="0"/>
                <w:sz w:val="24"/>
                <w:szCs w:val="24"/>
              </w:rPr>
            </w:pPr>
            <w:r w:rsidRPr="00801D2A">
              <w:rPr>
                <w:b w:val="0"/>
                <w:sz w:val="24"/>
                <w:szCs w:val="24"/>
              </w:rPr>
              <w:t>Piezīme:</w:t>
            </w:r>
          </w:p>
          <w:p w14:paraId="00C52F44" w14:textId="6F040D76" w:rsidR="00D10AA5" w:rsidRPr="00801D2A" w:rsidRDefault="00D10AA5" w:rsidP="00801D2A">
            <w:pPr>
              <w:pStyle w:val="Heading3"/>
              <w:shd w:val="clear" w:color="auto" w:fill="FFFFFF"/>
              <w:spacing w:before="0" w:beforeAutospacing="0" w:after="0" w:afterAutospacing="0"/>
              <w:ind w:left="102" w:right="57"/>
              <w:jc w:val="both"/>
              <w:rPr>
                <w:b w:val="0"/>
                <w:sz w:val="24"/>
                <w:szCs w:val="24"/>
              </w:rPr>
            </w:pPr>
            <w:r w:rsidRPr="00801D2A">
              <w:rPr>
                <w:b w:val="0"/>
                <w:sz w:val="24"/>
                <w:szCs w:val="24"/>
                <w:vertAlign w:val="superscript"/>
              </w:rPr>
              <w:footnoteRef/>
            </w:r>
            <w:r w:rsidRPr="00801D2A">
              <w:rPr>
                <w:b w:val="0"/>
                <w:sz w:val="24"/>
                <w:szCs w:val="24"/>
              </w:rPr>
              <w:t xml:space="preserve"> </w:t>
            </w:r>
            <w:r w:rsidRPr="00801D2A">
              <w:rPr>
                <w:b w:val="0"/>
                <w:sz w:val="20"/>
                <w:szCs w:val="20"/>
              </w:rPr>
              <w:t xml:space="preserve">Plānotais </w:t>
            </w:r>
            <w:r w:rsidR="00CB49D0" w:rsidRPr="00801D2A">
              <w:rPr>
                <w:b w:val="0"/>
                <w:sz w:val="20"/>
                <w:szCs w:val="20"/>
              </w:rPr>
              <w:t xml:space="preserve">atvaļināto </w:t>
            </w:r>
            <w:r w:rsidRPr="00801D2A">
              <w:rPr>
                <w:b w:val="0"/>
                <w:sz w:val="20"/>
                <w:szCs w:val="20"/>
              </w:rPr>
              <w:t xml:space="preserve">amatpersonu skaits, kas izmantos maksimālo kompensācijas apmēru par maksas medicīniskajiem pakalpojumiem. No iepriekšējo gadu statistikas secināms, ka aptuveni 15% </w:t>
            </w:r>
            <w:r w:rsidR="005F6507">
              <w:rPr>
                <w:b w:val="0"/>
                <w:sz w:val="20"/>
                <w:szCs w:val="20"/>
              </w:rPr>
              <w:t xml:space="preserve">atvaļināto </w:t>
            </w:r>
            <w:r w:rsidRPr="00801D2A">
              <w:rPr>
                <w:b w:val="0"/>
                <w:sz w:val="20"/>
                <w:szCs w:val="20"/>
              </w:rPr>
              <w:t>amatpersonu, kuras piesakās maksas medicīnisko pakalpojumu izdevumu</w:t>
            </w:r>
            <w:r w:rsidRPr="00801D2A">
              <w:rPr>
                <w:b w:val="0"/>
                <w:sz w:val="24"/>
                <w:szCs w:val="24"/>
              </w:rPr>
              <w:t xml:space="preserve"> </w:t>
            </w:r>
            <w:r w:rsidRPr="00801D2A">
              <w:rPr>
                <w:b w:val="0"/>
                <w:sz w:val="20"/>
                <w:szCs w:val="20"/>
              </w:rPr>
              <w:t>kompensācijai, izmanto maksimālo kompensācijas apmēru.</w:t>
            </w:r>
          </w:p>
          <w:p w14:paraId="27B2EDE4" w14:textId="374307F0" w:rsidR="00D10AA5" w:rsidRPr="00801D2A" w:rsidRDefault="00D10AA5" w:rsidP="00801D2A">
            <w:pPr>
              <w:pStyle w:val="Heading3"/>
              <w:shd w:val="clear" w:color="auto" w:fill="FFFFFF"/>
              <w:tabs>
                <w:tab w:val="left" w:pos="244"/>
              </w:tabs>
              <w:spacing w:before="0" w:beforeAutospacing="0" w:after="0" w:afterAutospacing="0"/>
              <w:ind w:left="102" w:right="57"/>
              <w:jc w:val="both"/>
              <w:rPr>
                <w:b w:val="0"/>
                <w:sz w:val="20"/>
                <w:szCs w:val="20"/>
              </w:rPr>
            </w:pPr>
            <w:r w:rsidRPr="00801D2A">
              <w:rPr>
                <w:b w:val="0"/>
                <w:sz w:val="24"/>
                <w:szCs w:val="24"/>
                <w:vertAlign w:val="superscript"/>
              </w:rPr>
              <w:t>2</w:t>
            </w:r>
            <w:r w:rsidR="00801D2A">
              <w:rPr>
                <w:b w:val="0"/>
                <w:sz w:val="24"/>
                <w:szCs w:val="24"/>
                <w:vertAlign w:val="superscript"/>
              </w:rPr>
              <w:t xml:space="preserve"> </w:t>
            </w:r>
            <w:r w:rsidRPr="00801D2A">
              <w:rPr>
                <w:b w:val="0"/>
                <w:sz w:val="20"/>
                <w:szCs w:val="20"/>
              </w:rPr>
              <w:t xml:space="preserve">Plānotais kompensācijas apmēra par maksas medicīniskajiem pakalpojumiem palielinājums 250-215=35 </w:t>
            </w:r>
            <w:r w:rsidRPr="00801D2A">
              <w:rPr>
                <w:b w:val="0"/>
                <w:i/>
                <w:sz w:val="20"/>
                <w:szCs w:val="20"/>
              </w:rPr>
              <w:t>euro</w:t>
            </w:r>
            <w:r w:rsidRPr="00801D2A">
              <w:rPr>
                <w:b w:val="0"/>
                <w:sz w:val="20"/>
                <w:szCs w:val="20"/>
              </w:rPr>
              <w:t>.</w:t>
            </w:r>
          </w:p>
          <w:p w14:paraId="165D016C" w14:textId="73536B31" w:rsidR="00D10AA5" w:rsidRPr="00CB49D0" w:rsidRDefault="00CB49D0" w:rsidP="00801D2A">
            <w:pPr>
              <w:pStyle w:val="ListParagraph"/>
              <w:numPr>
                <w:ilvl w:val="0"/>
                <w:numId w:val="5"/>
              </w:numPr>
              <w:spacing w:before="240" w:after="0" w:line="240" w:lineRule="auto"/>
              <w:ind w:left="748" w:right="128" w:hanging="284"/>
              <w:jc w:val="both"/>
              <w:rPr>
                <w:rFonts w:ascii="Times New Roman" w:hAnsi="Times New Roman" w:cs="Times New Roman"/>
                <w:color w:val="000000"/>
                <w:sz w:val="24"/>
                <w:szCs w:val="24"/>
              </w:rPr>
            </w:pPr>
            <w:r w:rsidRPr="00CB49D0">
              <w:rPr>
                <w:rFonts w:ascii="Times New Roman" w:hAnsi="Times New Roman" w:cs="Times New Roman"/>
                <w:sz w:val="24"/>
                <w:szCs w:val="24"/>
              </w:rPr>
              <w:t xml:space="preserve">atvaļinātajām </w:t>
            </w:r>
            <w:r w:rsidR="00D10AA5" w:rsidRPr="00CB49D0">
              <w:rPr>
                <w:rFonts w:ascii="Times New Roman" w:hAnsi="Times New Roman" w:cs="Times New Roman"/>
                <w:sz w:val="24"/>
                <w:szCs w:val="24"/>
              </w:rPr>
              <w:t xml:space="preserve">amatpersonām kompensējamo zobārstniecības un zobu higiēnas izdevumu limita paaugstināšana no 145 </w:t>
            </w:r>
            <w:r w:rsidR="00D10AA5" w:rsidRPr="00CB49D0">
              <w:rPr>
                <w:rFonts w:ascii="Times New Roman" w:hAnsi="Times New Roman" w:cs="Times New Roman"/>
                <w:i/>
                <w:sz w:val="24"/>
                <w:szCs w:val="24"/>
              </w:rPr>
              <w:t>euro</w:t>
            </w:r>
            <w:r w:rsidR="00D10AA5" w:rsidRPr="00CB49D0">
              <w:rPr>
                <w:rFonts w:ascii="Times New Roman" w:hAnsi="Times New Roman" w:cs="Times New Roman"/>
                <w:sz w:val="24"/>
                <w:szCs w:val="24"/>
              </w:rPr>
              <w:t xml:space="preserve"> gadā līdz 200 </w:t>
            </w:r>
            <w:r w:rsidR="00D10AA5" w:rsidRPr="00CB49D0">
              <w:rPr>
                <w:rFonts w:ascii="Times New Roman" w:hAnsi="Times New Roman" w:cs="Times New Roman"/>
                <w:i/>
                <w:sz w:val="24"/>
                <w:szCs w:val="24"/>
              </w:rPr>
              <w:t>euro</w:t>
            </w:r>
            <w:r w:rsidR="00D10AA5" w:rsidRPr="00CB49D0">
              <w:rPr>
                <w:rFonts w:ascii="Times New Roman" w:hAnsi="Times New Roman" w:cs="Times New Roman"/>
                <w:sz w:val="24"/>
                <w:szCs w:val="24"/>
              </w:rPr>
              <w:t xml:space="preserve"> gadā</w:t>
            </w:r>
          </w:p>
          <w:p w14:paraId="090C570E" w14:textId="35D4E80B" w:rsidR="00D10AA5" w:rsidRPr="00CB49D0" w:rsidRDefault="00287321" w:rsidP="00CB49D0">
            <w:pPr>
              <w:spacing w:before="240" w:after="0" w:line="240" w:lineRule="auto"/>
              <w:ind w:left="748"/>
              <w:jc w:val="both"/>
              <w:rPr>
                <w:rFonts w:ascii="Times New Roman" w:hAnsi="Times New Roman" w:cs="Times New Roman"/>
                <w:sz w:val="24"/>
                <w:szCs w:val="24"/>
              </w:rPr>
            </w:pPr>
            <w:r w:rsidRPr="00287321">
              <w:rPr>
                <w:rFonts w:ascii="Times New Roman" w:hAnsi="Times New Roman" w:cs="Times New Roman"/>
                <w:sz w:val="24"/>
                <w:szCs w:val="24"/>
              </w:rPr>
              <w:t>48</w:t>
            </w:r>
            <w:r w:rsidR="00D10AA5" w:rsidRPr="00CB49D0">
              <w:rPr>
                <w:rFonts w:ascii="Times New Roman" w:hAnsi="Times New Roman" w:cs="Times New Roman"/>
                <w:sz w:val="24"/>
                <w:szCs w:val="24"/>
                <w:vertAlign w:val="superscript"/>
              </w:rPr>
              <w:t>3</w:t>
            </w:r>
            <w:r w:rsidR="00D10AA5" w:rsidRPr="00CB49D0">
              <w:rPr>
                <w:rFonts w:ascii="Times New Roman" w:hAnsi="Times New Roman" w:cs="Times New Roman"/>
                <w:sz w:val="24"/>
                <w:szCs w:val="24"/>
              </w:rPr>
              <w:t xml:space="preserve"> x  55</w:t>
            </w:r>
            <w:r w:rsidR="00D10AA5" w:rsidRPr="00CB49D0">
              <w:rPr>
                <w:rFonts w:ascii="Times New Roman" w:hAnsi="Times New Roman" w:cs="Times New Roman"/>
                <w:sz w:val="24"/>
                <w:szCs w:val="24"/>
                <w:vertAlign w:val="superscript"/>
              </w:rPr>
              <w:t>4</w:t>
            </w:r>
            <w:r w:rsidR="00D10AA5" w:rsidRPr="00CB49D0">
              <w:rPr>
                <w:rFonts w:ascii="Times New Roman" w:hAnsi="Times New Roman" w:cs="Times New Roman"/>
                <w:sz w:val="24"/>
                <w:szCs w:val="24"/>
              </w:rPr>
              <w:t xml:space="preserve"> </w:t>
            </w:r>
            <w:r w:rsidR="00D10AA5" w:rsidRPr="00CB49D0">
              <w:rPr>
                <w:rFonts w:ascii="Times New Roman" w:hAnsi="Times New Roman" w:cs="Times New Roman"/>
                <w:i/>
                <w:sz w:val="24"/>
                <w:szCs w:val="24"/>
              </w:rPr>
              <w:t>euro</w:t>
            </w:r>
            <w:r w:rsidR="00D10AA5" w:rsidRPr="00CB49D0">
              <w:rPr>
                <w:rFonts w:ascii="Times New Roman" w:hAnsi="Times New Roman" w:cs="Times New Roman"/>
                <w:sz w:val="24"/>
                <w:szCs w:val="24"/>
              </w:rPr>
              <w:t xml:space="preserve">  = </w:t>
            </w:r>
            <w:r>
              <w:rPr>
                <w:rFonts w:ascii="Times New Roman" w:hAnsi="Times New Roman" w:cs="Times New Roman"/>
                <w:b/>
                <w:sz w:val="24"/>
                <w:szCs w:val="24"/>
              </w:rPr>
              <w:t>2 640</w:t>
            </w:r>
            <w:r w:rsidR="00D10AA5" w:rsidRPr="00CB49D0">
              <w:rPr>
                <w:rFonts w:ascii="Times New Roman" w:hAnsi="Times New Roman" w:cs="Times New Roman"/>
                <w:b/>
                <w:sz w:val="24"/>
                <w:szCs w:val="24"/>
              </w:rPr>
              <w:t xml:space="preserve"> </w:t>
            </w:r>
            <w:r w:rsidR="00D10AA5" w:rsidRPr="00CB49D0">
              <w:rPr>
                <w:rFonts w:ascii="Times New Roman" w:hAnsi="Times New Roman" w:cs="Times New Roman"/>
                <w:b/>
                <w:i/>
                <w:sz w:val="24"/>
                <w:szCs w:val="24"/>
              </w:rPr>
              <w:t>euro</w:t>
            </w:r>
          </w:p>
          <w:p w14:paraId="39746281" w14:textId="77777777" w:rsidR="00D10AA5" w:rsidRPr="00801D2A" w:rsidRDefault="00D10AA5" w:rsidP="00801D2A">
            <w:pPr>
              <w:pStyle w:val="Heading3"/>
              <w:shd w:val="clear" w:color="auto" w:fill="FFFFFF"/>
              <w:spacing w:before="0" w:beforeAutospacing="0" w:after="0" w:afterAutospacing="0"/>
              <w:ind w:left="102" w:right="57"/>
              <w:jc w:val="both"/>
              <w:rPr>
                <w:b w:val="0"/>
                <w:sz w:val="24"/>
                <w:szCs w:val="24"/>
              </w:rPr>
            </w:pPr>
            <w:r w:rsidRPr="00801D2A">
              <w:rPr>
                <w:b w:val="0"/>
                <w:sz w:val="24"/>
                <w:szCs w:val="24"/>
              </w:rPr>
              <w:t>Piezīme:</w:t>
            </w:r>
          </w:p>
          <w:p w14:paraId="40F3C9B7" w14:textId="19B2ABB9" w:rsidR="00D10AA5" w:rsidRPr="00801D2A" w:rsidRDefault="00D10AA5" w:rsidP="00801D2A">
            <w:pPr>
              <w:pStyle w:val="Heading3"/>
              <w:shd w:val="clear" w:color="auto" w:fill="FFFFFF"/>
              <w:spacing w:before="0" w:beforeAutospacing="0" w:after="0" w:afterAutospacing="0"/>
              <w:ind w:left="102" w:right="57"/>
              <w:jc w:val="both"/>
              <w:rPr>
                <w:b w:val="0"/>
                <w:sz w:val="20"/>
                <w:szCs w:val="20"/>
              </w:rPr>
            </w:pPr>
            <w:r w:rsidRPr="00801D2A">
              <w:rPr>
                <w:b w:val="0"/>
                <w:sz w:val="24"/>
                <w:szCs w:val="24"/>
                <w:vertAlign w:val="superscript"/>
              </w:rPr>
              <w:t xml:space="preserve">3 </w:t>
            </w:r>
            <w:r w:rsidRPr="00801D2A">
              <w:rPr>
                <w:b w:val="0"/>
                <w:sz w:val="20"/>
                <w:szCs w:val="20"/>
              </w:rPr>
              <w:t xml:space="preserve">Plānotais </w:t>
            </w:r>
            <w:r w:rsidR="00CB49D0" w:rsidRPr="00801D2A">
              <w:rPr>
                <w:b w:val="0"/>
                <w:sz w:val="20"/>
                <w:szCs w:val="20"/>
              </w:rPr>
              <w:t xml:space="preserve">atvaļināto </w:t>
            </w:r>
            <w:r w:rsidRPr="00801D2A">
              <w:rPr>
                <w:b w:val="0"/>
                <w:sz w:val="20"/>
                <w:szCs w:val="20"/>
              </w:rPr>
              <w:t xml:space="preserve">amatpersonu skaits, kas izmantos maksimālo kompensācijas apmēru par zobārstniecības un zobu higiēnas izdevumiem. No iepriekšējo gadu statistikas secināms, ka aptuveni 30% </w:t>
            </w:r>
            <w:r w:rsidR="005F6507">
              <w:rPr>
                <w:b w:val="0"/>
                <w:sz w:val="20"/>
                <w:szCs w:val="20"/>
              </w:rPr>
              <w:t xml:space="preserve">atvaļināto </w:t>
            </w:r>
            <w:r w:rsidRPr="00801D2A">
              <w:rPr>
                <w:b w:val="0"/>
                <w:sz w:val="20"/>
                <w:szCs w:val="20"/>
              </w:rPr>
              <w:t>amatpersonu, kuras piesakās zobārstniecības izdevumu kompensācijai, izmanto</w:t>
            </w:r>
            <w:r w:rsidR="00CB49D0" w:rsidRPr="00801D2A">
              <w:rPr>
                <w:b w:val="0"/>
                <w:sz w:val="20"/>
                <w:szCs w:val="20"/>
              </w:rPr>
              <w:t xml:space="preserve"> maksimālo kompensācijas apmēru.</w:t>
            </w:r>
          </w:p>
          <w:p w14:paraId="638E415A" w14:textId="77777777" w:rsidR="00D10AA5" w:rsidRPr="00801D2A" w:rsidRDefault="00D10AA5" w:rsidP="00801D2A">
            <w:pPr>
              <w:pStyle w:val="Heading3"/>
              <w:shd w:val="clear" w:color="auto" w:fill="FFFFFF"/>
              <w:spacing w:before="0" w:beforeAutospacing="0" w:after="0" w:afterAutospacing="0"/>
              <w:ind w:left="102" w:right="57"/>
              <w:jc w:val="both"/>
              <w:rPr>
                <w:b w:val="0"/>
                <w:sz w:val="20"/>
                <w:szCs w:val="20"/>
              </w:rPr>
            </w:pPr>
            <w:r w:rsidRPr="00801D2A">
              <w:rPr>
                <w:b w:val="0"/>
                <w:sz w:val="24"/>
                <w:szCs w:val="24"/>
                <w:vertAlign w:val="superscript"/>
              </w:rPr>
              <w:t>4</w:t>
            </w:r>
            <w:r w:rsidRPr="00801D2A">
              <w:rPr>
                <w:b w:val="0"/>
                <w:sz w:val="24"/>
                <w:szCs w:val="24"/>
              </w:rPr>
              <w:t xml:space="preserve"> </w:t>
            </w:r>
            <w:r w:rsidRPr="00801D2A">
              <w:rPr>
                <w:b w:val="0"/>
                <w:sz w:val="20"/>
                <w:szCs w:val="20"/>
              </w:rPr>
              <w:t xml:space="preserve">Plānotais zobārstniecības izdevumu kompensācijas apmēra palielinājums 200-145 = 55 </w:t>
            </w:r>
            <w:r w:rsidRPr="00801D2A">
              <w:rPr>
                <w:b w:val="0"/>
                <w:i/>
                <w:sz w:val="20"/>
                <w:szCs w:val="20"/>
              </w:rPr>
              <w:t>euro</w:t>
            </w:r>
            <w:r w:rsidRPr="00801D2A">
              <w:rPr>
                <w:b w:val="0"/>
                <w:sz w:val="20"/>
                <w:szCs w:val="20"/>
              </w:rPr>
              <w:t>.</w:t>
            </w:r>
          </w:p>
          <w:p w14:paraId="636E0BA9" w14:textId="77777777" w:rsidR="00D10AA5" w:rsidRPr="00CB49D0" w:rsidRDefault="00D10AA5" w:rsidP="00801D2A">
            <w:pPr>
              <w:numPr>
                <w:ilvl w:val="0"/>
                <w:numId w:val="5"/>
              </w:numPr>
              <w:spacing w:before="240" w:after="0" w:line="240" w:lineRule="auto"/>
              <w:ind w:left="748" w:right="128" w:hanging="284"/>
              <w:jc w:val="both"/>
              <w:rPr>
                <w:rFonts w:ascii="Times New Roman" w:hAnsi="Times New Roman" w:cs="Times New Roman"/>
                <w:color w:val="000000"/>
                <w:sz w:val="24"/>
                <w:szCs w:val="24"/>
              </w:rPr>
            </w:pPr>
            <w:r w:rsidRPr="00CB49D0">
              <w:rPr>
                <w:rFonts w:ascii="Times New Roman" w:hAnsi="Times New Roman" w:cs="Times New Roman"/>
                <w:sz w:val="24"/>
                <w:szCs w:val="24"/>
              </w:rPr>
              <w:t xml:space="preserve">medikamentu iegādes izdevumu kompensēšana ar limitu līdz 75 </w:t>
            </w:r>
            <w:r w:rsidRPr="00CB49D0">
              <w:rPr>
                <w:rFonts w:ascii="Times New Roman" w:hAnsi="Times New Roman" w:cs="Times New Roman"/>
                <w:i/>
                <w:sz w:val="24"/>
                <w:szCs w:val="24"/>
              </w:rPr>
              <w:t>euro</w:t>
            </w:r>
            <w:r w:rsidRPr="00CB49D0">
              <w:rPr>
                <w:rFonts w:ascii="Times New Roman" w:hAnsi="Times New Roman" w:cs="Times New Roman"/>
                <w:sz w:val="24"/>
                <w:szCs w:val="24"/>
              </w:rPr>
              <w:t xml:space="preserve"> gadā 100 % apmērā (līdz šim 75 % apmērā)</w:t>
            </w:r>
          </w:p>
          <w:p w14:paraId="0FC236CD" w14:textId="0383251E" w:rsidR="00D10AA5" w:rsidRPr="00CB49D0" w:rsidRDefault="0035071C" w:rsidP="00801D2A">
            <w:pPr>
              <w:spacing w:before="240" w:after="0" w:line="240" w:lineRule="auto"/>
              <w:ind w:left="748"/>
              <w:jc w:val="both"/>
              <w:rPr>
                <w:rFonts w:ascii="Times New Roman" w:hAnsi="Times New Roman" w:cs="Times New Roman"/>
                <w:b/>
                <w:i/>
                <w:sz w:val="24"/>
                <w:szCs w:val="24"/>
              </w:rPr>
            </w:pPr>
            <w:r>
              <w:rPr>
                <w:rFonts w:ascii="Times New Roman" w:hAnsi="Times New Roman" w:cs="Times New Roman"/>
                <w:sz w:val="24"/>
                <w:szCs w:val="24"/>
              </w:rPr>
              <w:t>3</w:t>
            </w:r>
            <w:r w:rsidR="00287321">
              <w:rPr>
                <w:rFonts w:ascii="Times New Roman" w:hAnsi="Times New Roman" w:cs="Times New Roman"/>
                <w:sz w:val="24"/>
                <w:szCs w:val="24"/>
              </w:rPr>
              <w:t>2</w:t>
            </w:r>
            <w:r w:rsidR="00D10AA5" w:rsidRPr="00CB49D0">
              <w:rPr>
                <w:rFonts w:ascii="Times New Roman" w:hAnsi="Times New Roman" w:cs="Times New Roman"/>
                <w:sz w:val="24"/>
                <w:szCs w:val="24"/>
                <w:vertAlign w:val="superscript"/>
              </w:rPr>
              <w:t>5</w:t>
            </w:r>
            <w:r w:rsidR="00D10AA5" w:rsidRPr="00CB49D0">
              <w:rPr>
                <w:rFonts w:ascii="Times New Roman" w:hAnsi="Times New Roman" w:cs="Times New Roman"/>
                <w:sz w:val="24"/>
                <w:szCs w:val="24"/>
              </w:rPr>
              <w:t xml:space="preserve"> x  25</w:t>
            </w:r>
            <w:r w:rsidR="00D10AA5" w:rsidRPr="00CB49D0">
              <w:rPr>
                <w:rFonts w:ascii="Times New Roman" w:hAnsi="Times New Roman" w:cs="Times New Roman"/>
                <w:sz w:val="24"/>
                <w:szCs w:val="24"/>
                <w:vertAlign w:val="superscript"/>
              </w:rPr>
              <w:t>6</w:t>
            </w:r>
            <w:r w:rsidR="00D10AA5" w:rsidRPr="00CB49D0">
              <w:rPr>
                <w:rFonts w:ascii="Times New Roman" w:hAnsi="Times New Roman" w:cs="Times New Roman"/>
                <w:sz w:val="24"/>
                <w:szCs w:val="24"/>
              </w:rPr>
              <w:t xml:space="preserve"> </w:t>
            </w:r>
            <w:r w:rsidR="00D10AA5" w:rsidRPr="00CB49D0">
              <w:rPr>
                <w:rFonts w:ascii="Times New Roman" w:hAnsi="Times New Roman" w:cs="Times New Roman"/>
                <w:i/>
                <w:sz w:val="24"/>
                <w:szCs w:val="24"/>
              </w:rPr>
              <w:t>euro</w:t>
            </w:r>
            <w:r w:rsidR="00D10AA5" w:rsidRPr="00CB49D0">
              <w:rPr>
                <w:rFonts w:ascii="Times New Roman" w:hAnsi="Times New Roman" w:cs="Times New Roman"/>
                <w:sz w:val="24"/>
                <w:szCs w:val="24"/>
              </w:rPr>
              <w:t xml:space="preserve">  = </w:t>
            </w:r>
            <w:r w:rsidR="00287321">
              <w:rPr>
                <w:rFonts w:ascii="Times New Roman" w:hAnsi="Times New Roman" w:cs="Times New Roman"/>
                <w:b/>
                <w:sz w:val="24"/>
                <w:szCs w:val="24"/>
              </w:rPr>
              <w:t>800</w:t>
            </w:r>
            <w:r w:rsidR="00D10AA5" w:rsidRPr="00CB49D0">
              <w:rPr>
                <w:rFonts w:ascii="Times New Roman" w:hAnsi="Times New Roman" w:cs="Times New Roman"/>
                <w:b/>
                <w:sz w:val="24"/>
                <w:szCs w:val="24"/>
              </w:rPr>
              <w:t xml:space="preserve"> </w:t>
            </w:r>
            <w:r w:rsidR="00D10AA5" w:rsidRPr="00CB49D0">
              <w:rPr>
                <w:rFonts w:ascii="Times New Roman" w:hAnsi="Times New Roman" w:cs="Times New Roman"/>
                <w:b/>
                <w:i/>
                <w:sz w:val="24"/>
                <w:szCs w:val="24"/>
              </w:rPr>
              <w:t>euro</w:t>
            </w:r>
          </w:p>
          <w:p w14:paraId="28BD193C" w14:textId="77777777" w:rsidR="00D10AA5" w:rsidRPr="00801D2A" w:rsidRDefault="00D10AA5" w:rsidP="00801D2A">
            <w:pPr>
              <w:pStyle w:val="Heading3"/>
              <w:shd w:val="clear" w:color="auto" w:fill="FFFFFF"/>
              <w:spacing w:before="0" w:beforeAutospacing="0" w:after="0" w:afterAutospacing="0"/>
              <w:ind w:left="102" w:right="57"/>
              <w:jc w:val="both"/>
              <w:rPr>
                <w:b w:val="0"/>
                <w:sz w:val="24"/>
                <w:szCs w:val="24"/>
              </w:rPr>
            </w:pPr>
            <w:r w:rsidRPr="00801D2A">
              <w:rPr>
                <w:b w:val="0"/>
                <w:sz w:val="24"/>
                <w:szCs w:val="24"/>
              </w:rPr>
              <w:t>Piezīme:</w:t>
            </w:r>
          </w:p>
          <w:p w14:paraId="797DE690" w14:textId="20C4919F" w:rsidR="00D10AA5" w:rsidRPr="00801D2A" w:rsidRDefault="00D10AA5" w:rsidP="00801D2A">
            <w:pPr>
              <w:pStyle w:val="Heading3"/>
              <w:shd w:val="clear" w:color="auto" w:fill="FFFFFF"/>
              <w:spacing w:before="0" w:beforeAutospacing="0" w:after="0" w:afterAutospacing="0"/>
              <w:ind w:left="102" w:right="57"/>
              <w:jc w:val="both"/>
              <w:rPr>
                <w:b w:val="0"/>
                <w:sz w:val="20"/>
                <w:szCs w:val="20"/>
              </w:rPr>
            </w:pPr>
            <w:r w:rsidRPr="00801D2A">
              <w:rPr>
                <w:b w:val="0"/>
                <w:sz w:val="24"/>
                <w:szCs w:val="24"/>
                <w:vertAlign w:val="superscript"/>
              </w:rPr>
              <w:t>5</w:t>
            </w:r>
            <w:r w:rsidRPr="00801D2A">
              <w:rPr>
                <w:b w:val="0"/>
                <w:sz w:val="24"/>
                <w:szCs w:val="24"/>
              </w:rPr>
              <w:t xml:space="preserve"> </w:t>
            </w:r>
            <w:r w:rsidRPr="00801D2A">
              <w:rPr>
                <w:b w:val="0"/>
                <w:sz w:val="20"/>
                <w:szCs w:val="20"/>
              </w:rPr>
              <w:t xml:space="preserve">Plānotais </w:t>
            </w:r>
            <w:r w:rsidR="00CB49D0" w:rsidRPr="00801D2A">
              <w:rPr>
                <w:b w:val="0"/>
                <w:sz w:val="20"/>
                <w:szCs w:val="20"/>
              </w:rPr>
              <w:t xml:space="preserve">atvaļināto </w:t>
            </w:r>
            <w:r w:rsidRPr="00801D2A">
              <w:rPr>
                <w:b w:val="0"/>
                <w:sz w:val="20"/>
                <w:szCs w:val="20"/>
              </w:rPr>
              <w:t xml:space="preserve">amatpersonu skaits, kas izmantos maksimālo kompensācijas apmēru par medikamentu iegādes izdevumiem. No iepriekšējo gadu statistikas secināms, ka aptuveni 20% </w:t>
            </w:r>
            <w:r w:rsidR="005F6507">
              <w:rPr>
                <w:b w:val="0"/>
                <w:sz w:val="20"/>
                <w:szCs w:val="20"/>
              </w:rPr>
              <w:t xml:space="preserve">atvaļināto </w:t>
            </w:r>
            <w:r w:rsidRPr="00801D2A">
              <w:rPr>
                <w:b w:val="0"/>
                <w:sz w:val="20"/>
                <w:szCs w:val="20"/>
              </w:rPr>
              <w:t>amatpersonu, kuras piesakās medikamentu iegādes izdevumu kompensācijai, izmanto maksimālo kompensācijas apmēru.</w:t>
            </w:r>
          </w:p>
          <w:p w14:paraId="6E03255C" w14:textId="0EAB100F" w:rsidR="00D10AA5" w:rsidRPr="00801D2A" w:rsidRDefault="00D10AA5" w:rsidP="005F6507">
            <w:pPr>
              <w:pStyle w:val="Heading3"/>
              <w:shd w:val="clear" w:color="auto" w:fill="FFFFFF"/>
              <w:spacing w:before="0" w:beforeAutospacing="0" w:after="0" w:afterAutospacing="0"/>
              <w:ind w:left="102" w:right="57"/>
              <w:jc w:val="both"/>
              <w:rPr>
                <w:b w:val="0"/>
                <w:sz w:val="20"/>
                <w:szCs w:val="20"/>
              </w:rPr>
            </w:pPr>
            <w:r w:rsidRPr="00801D2A">
              <w:rPr>
                <w:b w:val="0"/>
                <w:sz w:val="24"/>
                <w:szCs w:val="24"/>
                <w:vertAlign w:val="superscript"/>
              </w:rPr>
              <w:t>6</w:t>
            </w:r>
            <w:r w:rsidRPr="00801D2A">
              <w:rPr>
                <w:b w:val="0"/>
                <w:sz w:val="20"/>
                <w:szCs w:val="20"/>
              </w:rPr>
              <w:t xml:space="preserve"> Kompensācijas apmēra par medikamentu iegādi palielinājums saistībā ar plānoto medikamentu iegādes izdevumu kompensēšanu 100% apmērā iepriekšējo 75% vietā</w:t>
            </w:r>
            <w:r w:rsidR="00801D2A">
              <w:rPr>
                <w:b w:val="0"/>
                <w:sz w:val="20"/>
                <w:szCs w:val="20"/>
              </w:rPr>
              <w:t>.</w:t>
            </w:r>
          </w:p>
          <w:p w14:paraId="28DF2727" w14:textId="77777777" w:rsidR="00D10AA5" w:rsidRPr="00801D2A" w:rsidRDefault="00D10AA5" w:rsidP="005F6507">
            <w:pPr>
              <w:pStyle w:val="Heading3"/>
              <w:shd w:val="clear" w:color="auto" w:fill="FFFFFF"/>
              <w:spacing w:before="0" w:beforeAutospacing="0" w:after="0" w:afterAutospacing="0"/>
              <w:ind w:left="102" w:right="57" w:firstLine="425"/>
              <w:jc w:val="both"/>
              <w:rPr>
                <w:b w:val="0"/>
                <w:sz w:val="24"/>
                <w:szCs w:val="24"/>
              </w:rPr>
            </w:pPr>
            <w:r w:rsidRPr="00801D2A">
              <w:rPr>
                <w:b w:val="0"/>
                <w:sz w:val="24"/>
                <w:szCs w:val="24"/>
              </w:rPr>
              <w:t xml:space="preserve">Nepieciešamā finansējuma aprēķini ir provizoriski un var tikt precizēti atbilstoši faktiskajai situācijai. </w:t>
            </w:r>
          </w:p>
          <w:p w14:paraId="2DDB9F8F" w14:textId="77777777" w:rsidR="00514DE3" w:rsidRDefault="00D10AA5" w:rsidP="00801D2A">
            <w:pPr>
              <w:pStyle w:val="Heading3"/>
              <w:shd w:val="clear" w:color="auto" w:fill="FFFFFF"/>
              <w:spacing w:before="0" w:beforeAutospacing="0" w:after="0" w:afterAutospacing="0"/>
              <w:ind w:left="102" w:right="57" w:firstLine="426"/>
              <w:jc w:val="both"/>
              <w:rPr>
                <w:b w:val="0"/>
                <w:sz w:val="24"/>
                <w:szCs w:val="24"/>
              </w:rPr>
            </w:pPr>
            <w:r w:rsidRPr="00304925">
              <w:rPr>
                <w:b w:val="0"/>
                <w:sz w:val="24"/>
                <w:szCs w:val="24"/>
              </w:rPr>
              <w:t>Projektā iekļauto veselības aprūpes pakalpojumu nodrošināšanai un kompensāciju limitu paaugstināšanai nepieciešamie izdevumi tiks segti budžeta apakšprogrammai 38.05.00 „Veselības aprūpe un fiziskā sagatavotība” piešķirtā finansējuma ietvaros</w:t>
            </w:r>
            <w:r w:rsidRPr="00D10AA5">
              <w:rPr>
                <w:b w:val="0"/>
                <w:sz w:val="24"/>
                <w:szCs w:val="24"/>
              </w:rPr>
              <w:t xml:space="preserve">. </w:t>
            </w:r>
          </w:p>
          <w:p w14:paraId="1C53052B" w14:textId="583EA9E6" w:rsidR="00514DE3" w:rsidRPr="00D10AA5" w:rsidRDefault="00D10AA5" w:rsidP="00514DE3">
            <w:pPr>
              <w:pStyle w:val="Heading3"/>
              <w:shd w:val="clear" w:color="auto" w:fill="FFFFFF"/>
              <w:spacing w:before="0" w:beforeAutospacing="0" w:after="0" w:afterAutospacing="0"/>
              <w:ind w:left="102" w:right="57" w:firstLine="426"/>
              <w:jc w:val="both"/>
              <w:rPr>
                <w:b w:val="0"/>
                <w:sz w:val="24"/>
                <w:szCs w:val="24"/>
              </w:rPr>
            </w:pPr>
            <w:r w:rsidRPr="00D10AA5">
              <w:rPr>
                <w:b w:val="0"/>
                <w:sz w:val="24"/>
                <w:szCs w:val="24"/>
              </w:rPr>
              <w:t>P</w:t>
            </w:r>
            <w:r w:rsidRPr="00304925">
              <w:rPr>
                <w:b w:val="0"/>
                <w:sz w:val="24"/>
                <w:szCs w:val="24"/>
              </w:rPr>
              <w:t>apildu finansējums nav nepieciešams.</w:t>
            </w:r>
          </w:p>
        </w:tc>
      </w:tr>
      <w:tr w:rsidR="000F5EDB" w:rsidRPr="000F5EDB" w14:paraId="53E3852D" w14:textId="77777777" w:rsidTr="000D2380">
        <w:trPr>
          <w:trHeight w:val="476"/>
        </w:trPr>
        <w:tc>
          <w:tcPr>
            <w:tcW w:w="227" w:type="pct"/>
          </w:tcPr>
          <w:p w14:paraId="0BB92AE1" w14:textId="77777777" w:rsidR="007F6B1C" w:rsidRPr="000F5EDB" w:rsidRDefault="007F6B1C" w:rsidP="000D2380">
            <w:pPr>
              <w:pStyle w:val="naiskr"/>
              <w:spacing w:before="0" w:beforeAutospacing="0" w:after="0" w:afterAutospacing="0"/>
              <w:ind w:left="57" w:right="57"/>
              <w:jc w:val="center"/>
            </w:pPr>
            <w:r w:rsidRPr="000F5EDB">
              <w:lastRenderedPageBreak/>
              <w:t>3.</w:t>
            </w:r>
          </w:p>
        </w:tc>
        <w:tc>
          <w:tcPr>
            <w:tcW w:w="1565" w:type="pct"/>
          </w:tcPr>
          <w:p w14:paraId="59AEA439" w14:textId="77777777" w:rsidR="007F6B1C" w:rsidRPr="000F5EDB" w:rsidRDefault="007F6B1C" w:rsidP="000D2380">
            <w:pPr>
              <w:pStyle w:val="naiskr"/>
              <w:spacing w:before="0" w:beforeAutospacing="0" w:after="0" w:afterAutospacing="0"/>
              <w:ind w:left="57" w:right="57"/>
            </w:pPr>
            <w:r w:rsidRPr="000F5EDB">
              <w:t>Projekta izstrādē iesaistītās institūcijas</w:t>
            </w:r>
          </w:p>
        </w:tc>
        <w:tc>
          <w:tcPr>
            <w:tcW w:w="3207" w:type="pct"/>
          </w:tcPr>
          <w:p w14:paraId="1BDEF82D" w14:textId="18BD5DA2" w:rsidR="007F6B1C" w:rsidRPr="001A1494" w:rsidRDefault="002A7672" w:rsidP="00AF6FD6">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Iekšlietu ministrija, Iekšlietu ministrijas veselības un sporta centrs.</w:t>
            </w:r>
          </w:p>
        </w:tc>
      </w:tr>
      <w:tr w:rsidR="000F5EDB" w:rsidRPr="000F5EDB" w14:paraId="7A77903A" w14:textId="77777777" w:rsidTr="000D2380">
        <w:tc>
          <w:tcPr>
            <w:tcW w:w="227" w:type="pct"/>
          </w:tcPr>
          <w:p w14:paraId="5A78FD57" w14:textId="77777777" w:rsidR="007F6B1C" w:rsidRPr="000F5EDB" w:rsidRDefault="007F6B1C" w:rsidP="000D2380">
            <w:pPr>
              <w:pStyle w:val="naiskr"/>
              <w:spacing w:before="0" w:beforeAutospacing="0" w:after="0" w:afterAutospacing="0"/>
              <w:ind w:left="57" w:right="57"/>
              <w:jc w:val="center"/>
            </w:pPr>
            <w:r w:rsidRPr="000F5EDB">
              <w:lastRenderedPageBreak/>
              <w:t>4.</w:t>
            </w:r>
          </w:p>
        </w:tc>
        <w:tc>
          <w:tcPr>
            <w:tcW w:w="1565" w:type="pct"/>
          </w:tcPr>
          <w:p w14:paraId="6E9BE551" w14:textId="77777777" w:rsidR="007F6B1C" w:rsidRPr="000F5EDB" w:rsidRDefault="007F6B1C" w:rsidP="000D2380">
            <w:pPr>
              <w:pStyle w:val="naiskr"/>
              <w:spacing w:before="0" w:beforeAutospacing="0" w:after="0" w:afterAutospacing="0"/>
              <w:ind w:left="57" w:right="57"/>
            </w:pPr>
            <w:r w:rsidRPr="000F5EDB">
              <w:t>Cita informācija</w:t>
            </w:r>
          </w:p>
        </w:tc>
        <w:tc>
          <w:tcPr>
            <w:tcW w:w="3207" w:type="pct"/>
          </w:tcPr>
          <w:p w14:paraId="0E84F94B" w14:textId="04CF142E" w:rsidR="00247A31" w:rsidRPr="0035071C" w:rsidRDefault="00247A31" w:rsidP="0035071C">
            <w:pPr>
              <w:pStyle w:val="Heading3"/>
              <w:shd w:val="clear" w:color="auto" w:fill="FFFFFF"/>
              <w:spacing w:before="0" w:beforeAutospacing="0" w:after="0" w:afterAutospacing="0"/>
              <w:ind w:left="102" w:right="57" w:firstLine="425"/>
              <w:jc w:val="both"/>
              <w:rPr>
                <w:b w:val="0"/>
                <w:sz w:val="24"/>
                <w:szCs w:val="24"/>
              </w:rPr>
            </w:pPr>
            <w:r w:rsidRPr="0035071C">
              <w:rPr>
                <w:b w:val="0"/>
                <w:sz w:val="24"/>
                <w:szCs w:val="24"/>
              </w:rPr>
              <w:t xml:space="preserve">2016.gada 8.martā Ministru kabinets pieņēma  grozījumus </w:t>
            </w:r>
            <w:r w:rsidR="005F6507">
              <w:rPr>
                <w:b w:val="0"/>
                <w:sz w:val="24"/>
                <w:szCs w:val="24"/>
              </w:rPr>
              <w:t>Ministru kabineta 2010.gada 21.jūnija noteikumos Nr.569 “</w:t>
            </w:r>
            <w:r w:rsidR="005F6507" w:rsidRPr="005F6507">
              <w:rPr>
                <w:b w:val="0"/>
                <w:sz w:val="24"/>
                <w:szCs w:val="24"/>
              </w:rPr>
              <w:t>Kārtība, kādā Iekšlietu ministrijas sistēmas iestāžu un Ieslodzījuma vietu pārvaldes amatpersona ar speciālo dienesta pakāpi saņem apmaksātus veselības aprūpes pakalpojumus</w:t>
            </w:r>
            <w:r w:rsidR="005F6507">
              <w:rPr>
                <w:b w:val="0"/>
                <w:sz w:val="24"/>
                <w:szCs w:val="24"/>
              </w:rPr>
              <w:t>”</w:t>
            </w:r>
            <w:r w:rsidRPr="0035071C">
              <w:rPr>
                <w:b w:val="0"/>
                <w:sz w:val="24"/>
                <w:szCs w:val="24"/>
              </w:rPr>
              <w:t xml:space="preserve">, kas paredz uzlabot veselības aprūpes pakalpojumu pieejamību  Iekšlietu ministrijas sistēmas iestāžu un Ieslodzījumu vietu pārvaldes amatpersonām ar speciālajām dienesta pakāpēm. </w:t>
            </w:r>
          </w:p>
          <w:p w14:paraId="6DB95826" w14:textId="4946F286" w:rsidR="00247A31" w:rsidRPr="00134FD1" w:rsidRDefault="00247A31" w:rsidP="00134FD1">
            <w:pPr>
              <w:pStyle w:val="Heading3"/>
              <w:shd w:val="clear" w:color="auto" w:fill="FFFFFF"/>
              <w:spacing w:before="0" w:beforeAutospacing="0" w:after="0" w:afterAutospacing="0"/>
              <w:ind w:left="102" w:right="57" w:firstLine="425"/>
              <w:jc w:val="both"/>
              <w:rPr>
                <w:b w:val="0"/>
                <w:sz w:val="24"/>
                <w:szCs w:val="24"/>
              </w:rPr>
            </w:pPr>
            <w:r w:rsidRPr="0035071C">
              <w:rPr>
                <w:b w:val="0"/>
                <w:sz w:val="24"/>
                <w:szCs w:val="24"/>
              </w:rPr>
              <w:t>Sagatavotajā projektā kompensējamo izdevumu apmērs un apmaksājamo pakalpojumu klāsts ir pielīdzināts dienestā esošo amatpersonu veselības aprūpei. Tādējādi pēc atvaļināšanas no dienesta amatpersonas neietekmēs sociālo garantiju apjoma izmaiņas veselības aprūpes jomā, kas ir īpaši būtiski situācijā, kad amatpersona no dienesta tiek atvaļināta sakarā ar nelaimes gadījumā</w:t>
            </w:r>
            <w:r w:rsidR="003E5CDB">
              <w:rPr>
                <w:b w:val="0"/>
                <w:sz w:val="24"/>
                <w:szCs w:val="24"/>
              </w:rPr>
              <w:t xml:space="preserve"> darbā </w:t>
            </w:r>
            <w:r w:rsidRPr="0035071C">
              <w:rPr>
                <w:b w:val="0"/>
                <w:sz w:val="24"/>
                <w:szCs w:val="24"/>
              </w:rPr>
              <w:t>gūtiem veselības traucējumiem</w:t>
            </w:r>
            <w:r w:rsidR="002C09CD" w:rsidRPr="0035071C">
              <w:rPr>
                <w:b w:val="0"/>
                <w:sz w:val="24"/>
                <w:szCs w:val="24"/>
              </w:rPr>
              <w:t xml:space="preserve">. Vienlaikus, vienādojot piešķiramo kompensāciju apmēru un apmaksājamo veselības aprūpes pakalpojumu klāstu, tiek </w:t>
            </w:r>
            <w:r w:rsidR="005F748F" w:rsidRPr="0035071C">
              <w:rPr>
                <w:b w:val="0"/>
                <w:sz w:val="24"/>
                <w:szCs w:val="24"/>
              </w:rPr>
              <w:t>vienkāršota</w:t>
            </w:r>
            <w:r w:rsidR="002C09CD" w:rsidRPr="0035071C">
              <w:rPr>
                <w:b w:val="0"/>
                <w:sz w:val="24"/>
                <w:szCs w:val="24"/>
              </w:rPr>
              <w:t xml:space="preserve"> veselības aprūpes pakalpojumu </w:t>
            </w:r>
            <w:r w:rsidR="00134FD1">
              <w:rPr>
                <w:b w:val="0"/>
                <w:sz w:val="24"/>
                <w:szCs w:val="24"/>
              </w:rPr>
              <w:t>administrēšana, jo nav nepieciešams veikt izmaiņas programmnodrošinājumā, kas tiek izmantots kompensācijas piešķiršanā un noteiktā limita kontrolē, lai nodalītu divas grupas – dienesta esošām amatpersonām noteikto apmēru un no dienesta atvaļinātām amatpersonām noteikto kompensācijas apmēru. Kā minēts iepriekš, sagatavotais projekts paredz, ka kompensācijas vienādā apmērā ir gan dienestā esošām, gan no dienesta atvaļinātām amatperson</w:t>
            </w:r>
            <w:r w:rsidR="001C1EE8">
              <w:rPr>
                <w:b w:val="0"/>
                <w:sz w:val="24"/>
                <w:szCs w:val="24"/>
              </w:rPr>
              <w:t>ām, tādēļ papildus izmaiņas nav nepieciešamas.</w:t>
            </w:r>
          </w:p>
        </w:tc>
      </w:tr>
    </w:tbl>
    <w:p w14:paraId="092F1801" w14:textId="7B739B08" w:rsidR="00677F11" w:rsidRDefault="00677F11" w:rsidP="007F6B1C">
      <w:pPr>
        <w:spacing w:after="0" w:line="240" w:lineRule="auto"/>
        <w:rPr>
          <w:rFonts w:ascii="Times New Roman" w:hAnsi="Times New Roman" w:cs="Times New Roman"/>
          <w:sz w:val="24"/>
          <w:szCs w:val="24"/>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3118"/>
        <w:gridCol w:w="5670"/>
      </w:tblGrid>
      <w:tr w:rsidR="001A1494" w:rsidRPr="001A1494" w14:paraId="3C1E3B7D" w14:textId="77777777" w:rsidTr="001A1494">
        <w:trPr>
          <w:trHeight w:val="639"/>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6EB8A1A5" w14:textId="77777777" w:rsidR="001A1494" w:rsidRPr="001A1494" w:rsidRDefault="001A1494" w:rsidP="00CB3051">
            <w:pPr>
              <w:ind w:firstLine="300"/>
              <w:jc w:val="center"/>
              <w:rPr>
                <w:rFonts w:ascii="Times New Roman" w:hAnsi="Times New Roman" w:cs="Times New Roman"/>
                <w:b/>
                <w:bCs/>
                <w:sz w:val="24"/>
                <w:szCs w:val="24"/>
              </w:rPr>
            </w:pPr>
            <w:r w:rsidRPr="001A1494">
              <w:rPr>
                <w:rFonts w:ascii="Times New Roman" w:hAnsi="Times New Roman" w:cs="Times New Roman"/>
                <w:b/>
                <w:bCs/>
                <w:sz w:val="24"/>
                <w:szCs w:val="24"/>
              </w:rPr>
              <w:t>II. Tiesību akta projekta ietekme uz sabiedrību, tautsaimniecības attīstību un administratīvo slogu</w:t>
            </w:r>
          </w:p>
        </w:tc>
      </w:tr>
      <w:tr w:rsidR="001A1494" w:rsidRPr="001A1494" w14:paraId="500C5282" w14:textId="77777777" w:rsidTr="001A1494">
        <w:trPr>
          <w:trHeight w:val="422"/>
        </w:trPr>
        <w:tc>
          <w:tcPr>
            <w:tcW w:w="231" w:type="pct"/>
            <w:tcBorders>
              <w:top w:val="outset" w:sz="6" w:space="0" w:color="414142"/>
              <w:left w:val="outset" w:sz="6" w:space="0" w:color="414142"/>
              <w:bottom w:val="outset" w:sz="6" w:space="0" w:color="414142"/>
              <w:right w:val="outset" w:sz="6" w:space="0" w:color="414142"/>
            </w:tcBorders>
            <w:hideMark/>
          </w:tcPr>
          <w:p w14:paraId="6EDD10AF" w14:textId="77777777"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1.</w:t>
            </w:r>
          </w:p>
        </w:tc>
        <w:tc>
          <w:tcPr>
            <w:tcW w:w="1692" w:type="pct"/>
            <w:tcBorders>
              <w:top w:val="outset" w:sz="6" w:space="0" w:color="414142"/>
              <w:left w:val="outset" w:sz="6" w:space="0" w:color="414142"/>
              <w:bottom w:val="outset" w:sz="6" w:space="0" w:color="414142"/>
              <w:right w:val="outset" w:sz="6" w:space="0" w:color="414142"/>
            </w:tcBorders>
            <w:hideMark/>
          </w:tcPr>
          <w:p w14:paraId="31D60774" w14:textId="77777777"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Sabiedrības mērķgrupas, kuras tiesiskais regulējums ietekmē vai varētu ietekmēt</w:t>
            </w:r>
          </w:p>
        </w:tc>
        <w:tc>
          <w:tcPr>
            <w:tcW w:w="3077" w:type="pct"/>
            <w:tcBorders>
              <w:top w:val="outset" w:sz="6" w:space="0" w:color="414142"/>
              <w:left w:val="outset" w:sz="6" w:space="0" w:color="414142"/>
              <w:bottom w:val="outset" w:sz="6" w:space="0" w:color="414142"/>
              <w:right w:val="outset" w:sz="6" w:space="0" w:color="414142"/>
            </w:tcBorders>
            <w:hideMark/>
          </w:tcPr>
          <w:p w14:paraId="7AE8CCF8" w14:textId="499CEF5D" w:rsidR="001A1494" w:rsidRPr="001A1494" w:rsidRDefault="001A1494" w:rsidP="005B230B">
            <w:pPr>
              <w:spacing w:after="0" w:line="240" w:lineRule="auto"/>
              <w:jc w:val="both"/>
              <w:rPr>
                <w:rFonts w:ascii="Times New Roman" w:hAnsi="Times New Roman" w:cs="Times New Roman"/>
                <w:sz w:val="24"/>
                <w:szCs w:val="24"/>
              </w:rPr>
            </w:pPr>
            <w:r w:rsidRPr="001A1494">
              <w:rPr>
                <w:rFonts w:ascii="Times New Roman" w:hAnsi="Times New Roman" w:cs="Times New Roman"/>
                <w:sz w:val="24"/>
                <w:szCs w:val="24"/>
              </w:rPr>
              <w:t>Iekšlietu ministrijas sistēmas iestāžu un Ieslodzījuma vietu pārvaldes amatpersonas</w:t>
            </w:r>
            <w:r w:rsidR="005B230B">
              <w:rPr>
                <w:rFonts w:ascii="Times New Roman" w:hAnsi="Times New Roman" w:cs="Times New Roman"/>
                <w:sz w:val="24"/>
                <w:szCs w:val="24"/>
              </w:rPr>
              <w:t xml:space="preserve">, </w:t>
            </w:r>
            <w:r w:rsidR="0035071C" w:rsidRPr="0035071C">
              <w:rPr>
                <w:rFonts w:ascii="Times New Roman" w:hAnsi="Times New Roman" w:cs="Times New Roman"/>
                <w:sz w:val="24"/>
                <w:szCs w:val="24"/>
              </w:rPr>
              <w:t>kuras ir atvaļinātas no dienesta sakarā ar noteiktajām prasībām neatbilstošu veselības stāvokli, ja tā iemesls ir ievainojums vai sakropļojums, vai citāds veselības kaitējums (izņemot arodslimību), kas gūts ar dienesta pienākumu pildīšanu saistītā nelaimes gadījumā</w:t>
            </w:r>
            <w:r w:rsidRPr="0035071C">
              <w:rPr>
                <w:rFonts w:ascii="Times New Roman" w:hAnsi="Times New Roman" w:cs="Times New Roman"/>
                <w:sz w:val="24"/>
                <w:szCs w:val="24"/>
              </w:rPr>
              <w:t xml:space="preserve">. </w:t>
            </w:r>
          </w:p>
        </w:tc>
      </w:tr>
      <w:tr w:rsidR="001A1494" w:rsidRPr="001A1494" w14:paraId="3924084C" w14:textId="77777777" w:rsidTr="001A1494">
        <w:trPr>
          <w:trHeight w:val="463"/>
        </w:trPr>
        <w:tc>
          <w:tcPr>
            <w:tcW w:w="231" w:type="pct"/>
            <w:tcBorders>
              <w:top w:val="outset" w:sz="6" w:space="0" w:color="414142"/>
              <w:left w:val="outset" w:sz="6" w:space="0" w:color="414142"/>
              <w:bottom w:val="outset" w:sz="6" w:space="0" w:color="414142"/>
              <w:right w:val="outset" w:sz="6" w:space="0" w:color="414142"/>
            </w:tcBorders>
            <w:hideMark/>
          </w:tcPr>
          <w:p w14:paraId="03C62E5B" w14:textId="77777777"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2.</w:t>
            </w:r>
          </w:p>
        </w:tc>
        <w:tc>
          <w:tcPr>
            <w:tcW w:w="1692" w:type="pct"/>
            <w:tcBorders>
              <w:top w:val="outset" w:sz="6" w:space="0" w:color="414142"/>
              <w:left w:val="outset" w:sz="6" w:space="0" w:color="414142"/>
              <w:bottom w:val="outset" w:sz="6" w:space="0" w:color="414142"/>
              <w:right w:val="outset" w:sz="6" w:space="0" w:color="414142"/>
            </w:tcBorders>
            <w:hideMark/>
          </w:tcPr>
          <w:p w14:paraId="64ED0677" w14:textId="77777777" w:rsidR="001A1494" w:rsidRPr="00B62F21" w:rsidRDefault="001A1494" w:rsidP="00B62F21">
            <w:pPr>
              <w:spacing w:after="0" w:line="240" w:lineRule="auto"/>
              <w:rPr>
                <w:rFonts w:ascii="Times New Roman" w:hAnsi="Times New Roman" w:cs="Times New Roman"/>
                <w:sz w:val="24"/>
                <w:szCs w:val="24"/>
              </w:rPr>
            </w:pPr>
            <w:r w:rsidRPr="00B62F21">
              <w:rPr>
                <w:rFonts w:ascii="Times New Roman" w:hAnsi="Times New Roman" w:cs="Times New Roman"/>
                <w:sz w:val="24"/>
                <w:szCs w:val="24"/>
              </w:rPr>
              <w:t>Tiesiskā regulējuma ietekme uz tautsaimniecību un administratīvo slogu</w:t>
            </w:r>
          </w:p>
        </w:tc>
        <w:tc>
          <w:tcPr>
            <w:tcW w:w="3077" w:type="pct"/>
            <w:tcBorders>
              <w:top w:val="outset" w:sz="6" w:space="0" w:color="414142"/>
              <w:left w:val="outset" w:sz="6" w:space="0" w:color="414142"/>
              <w:bottom w:val="outset" w:sz="6" w:space="0" w:color="414142"/>
              <w:right w:val="outset" w:sz="6" w:space="0" w:color="414142"/>
            </w:tcBorders>
            <w:hideMark/>
          </w:tcPr>
          <w:p w14:paraId="7BFD6C12" w14:textId="0C023EED" w:rsidR="00D95DAE" w:rsidRDefault="00375C16" w:rsidP="005E33FD">
            <w:pPr>
              <w:spacing w:after="0" w:line="240" w:lineRule="auto"/>
              <w:ind w:right="113"/>
              <w:jc w:val="both"/>
              <w:rPr>
                <w:rFonts w:ascii="Times New Roman" w:hAnsi="Times New Roman" w:cs="Times New Roman"/>
                <w:sz w:val="24"/>
                <w:szCs w:val="24"/>
              </w:rPr>
            </w:pPr>
            <w:r w:rsidRPr="005E33FD">
              <w:rPr>
                <w:rFonts w:ascii="Times New Roman" w:hAnsi="Times New Roman" w:cs="Times New Roman"/>
                <w:sz w:val="24"/>
                <w:szCs w:val="24"/>
              </w:rPr>
              <w:t xml:space="preserve">Noteikumu projekta īstenošanas rezultātā </w:t>
            </w:r>
            <w:r w:rsidR="005E33FD" w:rsidRPr="005E33FD">
              <w:rPr>
                <w:rFonts w:ascii="Times New Roman" w:hAnsi="Times New Roman" w:cs="Times New Roman"/>
                <w:sz w:val="24"/>
                <w:szCs w:val="24"/>
              </w:rPr>
              <w:t xml:space="preserve">atvaļinātajām </w:t>
            </w:r>
            <w:r w:rsidRPr="005E33FD">
              <w:rPr>
                <w:rFonts w:ascii="Times New Roman" w:hAnsi="Times New Roman" w:cs="Times New Roman"/>
                <w:sz w:val="24"/>
                <w:szCs w:val="24"/>
              </w:rPr>
              <w:t xml:space="preserve">amatpersonām paaugstināsies veselības aprūpes pakalpojumu pieejamība, kā arī tiks uzlabota kompensāciju par iegādātajiem medikamentiem piešķiršanas administrēšana.  </w:t>
            </w:r>
          </w:p>
          <w:p w14:paraId="741DDFEA" w14:textId="66C8733C" w:rsidR="0031639C" w:rsidRPr="0031639C" w:rsidRDefault="0031639C" w:rsidP="00347D18">
            <w:pPr>
              <w:spacing w:after="0" w:line="240" w:lineRule="auto"/>
              <w:ind w:right="113"/>
              <w:jc w:val="both"/>
              <w:rPr>
                <w:rFonts w:ascii="Times New Roman" w:hAnsi="Times New Roman" w:cs="Times New Roman"/>
                <w:color w:val="FF0000"/>
                <w:sz w:val="24"/>
                <w:szCs w:val="24"/>
              </w:rPr>
            </w:pPr>
            <w:r w:rsidRPr="0031639C">
              <w:rPr>
                <w:rFonts w:ascii="Times New Roman" w:hAnsi="Times New Roman" w:cs="Times New Roman"/>
                <w:sz w:val="24"/>
                <w:szCs w:val="24"/>
              </w:rPr>
              <w:t xml:space="preserve">Projekta tiesiskais regulējums nemaina tiesības un pienākumus, kā arī </w:t>
            </w:r>
            <w:r w:rsidRPr="005E33FD">
              <w:rPr>
                <w:rFonts w:ascii="Times New Roman" w:hAnsi="Times New Roman" w:cs="Times New Roman"/>
                <w:sz w:val="24"/>
                <w:szCs w:val="24"/>
              </w:rPr>
              <w:t xml:space="preserve">atvaļinātajām amatpersonām </w:t>
            </w:r>
            <w:r w:rsidRPr="0031639C">
              <w:rPr>
                <w:rFonts w:ascii="Times New Roman" w:hAnsi="Times New Roman" w:cs="Times New Roman"/>
                <w:sz w:val="24"/>
                <w:szCs w:val="24"/>
              </w:rPr>
              <w:t>veicamās darbības.</w:t>
            </w:r>
          </w:p>
        </w:tc>
      </w:tr>
      <w:tr w:rsidR="001A1494" w:rsidRPr="001A1494" w14:paraId="5EC4C530" w14:textId="77777777" w:rsidTr="001A1494">
        <w:trPr>
          <w:trHeight w:val="463"/>
        </w:trPr>
        <w:tc>
          <w:tcPr>
            <w:tcW w:w="231" w:type="pct"/>
            <w:tcBorders>
              <w:top w:val="outset" w:sz="6" w:space="0" w:color="414142"/>
              <w:left w:val="outset" w:sz="6" w:space="0" w:color="414142"/>
              <w:bottom w:val="outset" w:sz="6" w:space="0" w:color="414142"/>
              <w:right w:val="outset" w:sz="6" w:space="0" w:color="414142"/>
            </w:tcBorders>
            <w:hideMark/>
          </w:tcPr>
          <w:p w14:paraId="365F21DA" w14:textId="6B995376"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lastRenderedPageBreak/>
              <w:t>3.</w:t>
            </w:r>
          </w:p>
        </w:tc>
        <w:tc>
          <w:tcPr>
            <w:tcW w:w="1692" w:type="pct"/>
            <w:tcBorders>
              <w:top w:val="outset" w:sz="6" w:space="0" w:color="414142"/>
              <w:left w:val="outset" w:sz="6" w:space="0" w:color="414142"/>
              <w:bottom w:val="outset" w:sz="6" w:space="0" w:color="414142"/>
              <w:right w:val="outset" w:sz="6" w:space="0" w:color="414142"/>
            </w:tcBorders>
            <w:hideMark/>
          </w:tcPr>
          <w:p w14:paraId="7AA284A7" w14:textId="77777777"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Administratīvo izmaksu monetārs novērtējums</w:t>
            </w:r>
          </w:p>
        </w:tc>
        <w:tc>
          <w:tcPr>
            <w:tcW w:w="3077" w:type="pct"/>
            <w:tcBorders>
              <w:top w:val="outset" w:sz="6" w:space="0" w:color="414142"/>
              <w:left w:val="outset" w:sz="6" w:space="0" w:color="414142"/>
              <w:bottom w:val="outset" w:sz="6" w:space="0" w:color="414142"/>
              <w:right w:val="outset" w:sz="6" w:space="0" w:color="414142"/>
            </w:tcBorders>
            <w:hideMark/>
          </w:tcPr>
          <w:p w14:paraId="654731DA" w14:textId="77777777" w:rsidR="005E33FD" w:rsidRPr="000F5EDB" w:rsidRDefault="005E33FD" w:rsidP="005E33FD">
            <w:pPr>
              <w:shd w:val="clear" w:color="auto" w:fill="FFFFFF"/>
              <w:spacing w:after="0" w:line="240" w:lineRule="auto"/>
              <w:jc w:val="both"/>
              <w:rPr>
                <w:rFonts w:ascii="Times New Roman" w:hAnsi="Times New Roman" w:cs="Times New Roman"/>
                <w:sz w:val="24"/>
                <w:szCs w:val="24"/>
                <w:lang w:eastAsia="lv-LV"/>
              </w:rPr>
            </w:pPr>
            <w:r w:rsidRPr="000F5EDB">
              <w:rPr>
                <w:rFonts w:ascii="Times New Roman" w:hAnsi="Times New Roman" w:cs="Times New Roman"/>
                <w:sz w:val="24"/>
                <w:szCs w:val="24"/>
              </w:rPr>
              <w:t>Projekts šo jomu neskar.</w:t>
            </w:r>
          </w:p>
          <w:p w14:paraId="47C8006A" w14:textId="691DA30D" w:rsidR="00506090" w:rsidRPr="00DC709C" w:rsidRDefault="00506090" w:rsidP="005E33FD">
            <w:pPr>
              <w:spacing w:after="0" w:line="240" w:lineRule="auto"/>
              <w:rPr>
                <w:rFonts w:ascii="Times New Roman" w:hAnsi="Times New Roman" w:cs="Times New Roman"/>
                <w:sz w:val="24"/>
                <w:szCs w:val="24"/>
              </w:rPr>
            </w:pPr>
          </w:p>
        </w:tc>
      </w:tr>
      <w:tr w:rsidR="001A1494" w:rsidRPr="001A1494" w14:paraId="447D27E6" w14:textId="77777777" w:rsidTr="0072253D">
        <w:trPr>
          <w:trHeight w:val="301"/>
        </w:trPr>
        <w:tc>
          <w:tcPr>
            <w:tcW w:w="231" w:type="pct"/>
            <w:tcBorders>
              <w:top w:val="outset" w:sz="6" w:space="0" w:color="414142"/>
              <w:left w:val="outset" w:sz="6" w:space="0" w:color="414142"/>
              <w:bottom w:val="outset" w:sz="6" w:space="0" w:color="414142"/>
              <w:right w:val="outset" w:sz="6" w:space="0" w:color="414142"/>
            </w:tcBorders>
            <w:hideMark/>
          </w:tcPr>
          <w:p w14:paraId="3DCDA4BE" w14:textId="6B2B5F7C"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4.</w:t>
            </w:r>
          </w:p>
        </w:tc>
        <w:tc>
          <w:tcPr>
            <w:tcW w:w="1692" w:type="pct"/>
            <w:tcBorders>
              <w:top w:val="outset" w:sz="6" w:space="0" w:color="414142"/>
              <w:left w:val="outset" w:sz="6" w:space="0" w:color="414142"/>
              <w:bottom w:val="outset" w:sz="6" w:space="0" w:color="414142"/>
              <w:right w:val="outset" w:sz="6" w:space="0" w:color="414142"/>
            </w:tcBorders>
            <w:hideMark/>
          </w:tcPr>
          <w:p w14:paraId="1535F2DB" w14:textId="77777777"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Cita informācija</w:t>
            </w:r>
          </w:p>
        </w:tc>
        <w:tc>
          <w:tcPr>
            <w:tcW w:w="3077" w:type="pct"/>
            <w:tcBorders>
              <w:top w:val="outset" w:sz="6" w:space="0" w:color="414142"/>
              <w:left w:val="outset" w:sz="6" w:space="0" w:color="414142"/>
              <w:bottom w:val="outset" w:sz="6" w:space="0" w:color="414142"/>
              <w:right w:val="outset" w:sz="6" w:space="0" w:color="414142"/>
            </w:tcBorders>
            <w:hideMark/>
          </w:tcPr>
          <w:p w14:paraId="51B26944" w14:textId="0E752D53" w:rsidR="0072253D" w:rsidRPr="001A1494" w:rsidRDefault="001C1EE8" w:rsidP="00655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 n</w:t>
            </w:r>
            <w:r w:rsidRPr="005E33FD">
              <w:rPr>
                <w:rFonts w:ascii="Times New Roman" w:hAnsi="Times New Roman" w:cs="Times New Roman"/>
                <w:sz w:val="24"/>
                <w:szCs w:val="24"/>
              </w:rPr>
              <w:t>oteikumu projekta īstenošanas rezultātā atvaļinātajām amatpersonām paaugstināsies veselības aprūpes pakalpojumu pieejamība</w:t>
            </w:r>
            <w:r>
              <w:rPr>
                <w:rFonts w:ascii="Times New Roman" w:hAnsi="Times New Roman" w:cs="Times New Roman"/>
                <w:sz w:val="24"/>
                <w:szCs w:val="24"/>
              </w:rPr>
              <w:t xml:space="preserve">, noteikumu projekta īstenošana </w:t>
            </w:r>
            <w:r w:rsidR="00655EBD">
              <w:rPr>
                <w:rFonts w:ascii="Times New Roman" w:hAnsi="Times New Roman" w:cs="Times New Roman"/>
                <w:sz w:val="24"/>
                <w:szCs w:val="24"/>
              </w:rPr>
              <w:t>uzlabos cilvēku veselību.</w:t>
            </w:r>
          </w:p>
        </w:tc>
      </w:tr>
      <w:tr w:rsidR="0072253D" w:rsidRPr="001A1494" w14:paraId="5AE16831" w14:textId="77777777" w:rsidTr="0072253D">
        <w:trPr>
          <w:trHeight w:val="301"/>
        </w:trPr>
        <w:tc>
          <w:tcPr>
            <w:tcW w:w="5000" w:type="pct"/>
            <w:gridSpan w:val="3"/>
            <w:tcBorders>
              <w:top w:val="outset" w:sz="6" w:space="0" w:color="414142"/>
              <w:left w:val="nil"/>
              <w:bottom w:val="outset" w:sz="6" w:space="0" w:color="414142"/>
              <w:right w:val="nil"/>
            </w:tcBorders>
          </w:tcPr>
          <w:p w14:paraId="1B2AFABA" w14:textId="77777777" w:rsidR="0072253D" w:rsidRPr="0072253D" w:rsidRDefault="0072253D" w:rsidP="0072253D">
            <w:pPr>
              <w:spacing w:after="0" w:line="240" w:lineRule="auto"/>
              <w:jc w:val="center"/>
              <w:rPr>
                <w:rFonts w:ascii="Times New Roman" w:hAnsi="Times New Roman" w:cs="Times New Roman"/>
                <w:b/>
                <w:sz w:val="24"/>
                <w:szCs w:val="24"/>
              </w:rPr>
            </w:pPr>
          </w:p>
        </w:tc>
      </w:tr>
      <w:tr w:rsidR="0072253D" w:rsidRPr="001A1494" w14:paraId="763EC72A" w14:textId="77777777" w:rsidTr="0072253D">
        <w:trPr>
          <w:trHeight w:val="301"/>
        </w:trPr>
        <w:tc>
          <w:tcPr>
            <w:tcW w:w="5000" w:type="pct"/>
            <w:gridSpan w:val="3"/>
            <w:tcBorders>
              <w:top w:val="outset" w:sz="6" w:space="0" w:color="414142"/>
              <w:left w:val="single" w:sz="2" w:space="0" w:color="auto"/>
              <w:bottom w:val="outset" w:sz="6" w:space="0" w:color="414142"/>
              <w:right w:val="outset" w:sz="6" w:space="0" w:color="414142"/>
            </w:tcBorders>
          </w:tcPr>
          <w:p w14:paraId="7B43E1EA" w14:textId="39E936FE" w:rsidR="0072253D" w:rsidRPr="0072253D" w:rsidRDefault="0072253D" w:rsidP="0072253D">
            <w:pPr>
              <w:spacing w:after="0" w:line="240" w:lineRule="auto"/>
              <w:jc w:val="center"/>
              <w:rPr>
                <w:rFonts w:ascii="Times New Roman" w:hAnsi="Times New Roman" w:cs="Times New Roman"/>
                <w:b/>
                <w:sz w:val="24"/>
                <w:szCs w:val="24"/>
              </w:rPr>
            </w:pPr>
            <w:r w:rsidRPr="0072253D">
              <w:rPr>
                <w:rFonts w:ascii="Times New Roman" w:hAnsi="Times New Roman" w:cs="Times New Roman"/>
                <w:b/>
                <w:sz w:val="24"/>
                <w:szCs w:val="24"/>
              </w:rPr>
              <w:t>VI. Sabiedrības līdzdalība un komunikācijas aktivitātes</w:t>
            </w:r>
          </w:p>
        </w:tc>
      </w:tr>
      <w:tr w:rsidR="0072253D" w:rsidRPr="001A1494" w14:paraId="51B9B004" w14:textId="77777777" w:rsidTr="00677F11">
        <w:trPr>
          <w:trHeight w:val="301"/>
        </w:trPr>
        <w:tc>
          <w:tcPr>
            <w:tcW w:w="231" w:type="pct"/>
            <w:tcBorders>
              <w:top w:val="outset" w:sz="6" w:space="0" w:color="414142"/>
              <w:left w:val="outset" w:sz="6" w:space="0" w:color="414142"/>
              <w:bottom w:val="outset" w:sz="6" w:space="0" w:color="414142"/>
              <w:right w:val="outset" w:sz="6" w:space="0" w:color="414142"/>
            </w:tcBorders>
          </w:tcPr>
          <w:p w14:paraId="62D60831" w14:textId="0D20DA7D" w:rsidR="0072253D" w:rsidRPr="001A1494" w:rsidRDefault="0072253D" w:rsidP="00677F1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92" w:type="pct"/>
            <w:tcBorders>
              <w:top w:val="outset" w:sz="6" w:space="0" w:color="414142"/>
              <w:left w:val="outset" w:sz="6" w:space="0" w:color="414142"/>
              <w:bottom w:val="outset" w:sz="6" w:space="0" w:color="414142"/>
              <w:right w:val="outset" w:sz="6" w:space="0" w:color="414142"/>
            </w:tcBorders>
          </w:tcPr>
          <w:p w14:paraId="48051B70" w14:textId="77093E9C" w:rsidR="0072253D" w:rsidRPr="0072253D" w:rsidRDefault="0072253D" w:rsidP="00677F11">
            <w:pPr>
              <w:spacing w:after="0" w:line="240" w:lineRule="auto"/>
              <w:rPr>
                <w:rFonts w:ascii="Times New Roman" w:hAnsi="Times New Roman" w:cs="Times New Roman"/>
                <w:sz w:val="24"/>
                <w:szCs w:val="24"/>
              </w:rPr>
            </w:pPr>
            <w:r w:rsidRPr="0072253D">
              <w:rPr>
                <w:rFonts w:ascii="Times New Roman" w:hAnsi="Times New Roman" w:cs="Times New Roman"/>
                <w:sz w:val="24"/>
                <w:szCs w:val="24"/>
              </w:rPr>
              <w:t>Plānotās sabiedrības līdzdalības un komunikācijas aktivitātes saistībā ar projektu</w:t>
            </w:r>
            <w:r>
              <w:rPr>
                <w:rFonts w:ascii="Times New Roman" w:hAnsi="Times New Roman" w:cs="Times New Roman"/>
                <w:sz w:val="24"/>
                <w:szCs w:val="24"/>
              </w:rPr>
              <w:t>.</w:t>
            </w:r>
          </w:p>
        </w:tc>
        <w:tc>
          <w:tcPr>
            <w:tcW w:w="3077" w:type="pct"/>
            <w:tcBorders>
              <w:top w:val="outset" w:sz="6" w:space="0" w:color="414142"/>
              <w:left w:val="outset" w:sz="6" w:space="0" w:color="414142"/>
              <w:bottom w:val="outset" w:sz="6" w:space="0" w:color="414142"/>
              <w:right w:val="outset" w:sz="6" w:space="0" w:color="414142"/>
            </w:tcBorders>
          </w:tcPr>
          <w:p w14:paraId="06FA7726" w14:textId="0EC3D38E" w:rsidR="0072253D" w:rsidRDefault="0072253D" w:rsidP="00722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projekta pieņemšanas informācija par sociālo garantiju apjomu tiks iekļauta Iekšlietu ministrijas un Iekšlietu ministrijas veselības un sporta centra mājas lapā internetā. Par kompensācijas limita paaugstinājumu rakstiski vai mutiski, atkarībā no formas kādā persona būs vērsusies iestādē, tiks informētas amatpersonas, kuras iesniegs maksājumu dokumentus kompensācijas saņemšanai līdz šim spēkā esošā apmērā. </w:t>
            </w:r>
          </w:p>
        </w:tc>
      </w:tr>
      <w:tr w:rsidR="0072253D" w:rsidRPr="001A1494" w14:paraId="397D9111" w14:textId="77777777" w:rsidTr="00677F11">
        <w:trPr>
          <w:trHeight w:val="301"/>
        </w:trPr>
        <w:tc>
          <w:tcPr>
            <w:tcW w:w="231" w:type="pct"/>
            <w:tcBorders>
              <w:top w:val="outset" w:sz="6" w:space="0" w:color="414142"/>
              <w:left w:val="outset" w:sz="6" w:space="0" w:color="414142"/>
              <w:bottom w:val="outset" w:sz="6" w:space="0" w:color="414142"/>
              <w:right w:val="outset" w:sz="6" w:space="0" w:color="414142"/>
            </w:tcBorders>
          </w:tcPr>
          <w:p w14:paraId="32693182" w14:textId="213315A4" w:rsidR="0072253D" w:rsidRDefault="0072253D" w:rsidP="00677F1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92" w:type="pct"/>
            <w:tcBorders>
              <w:top w:val="outset" w:sz="6" w:space="0" w:color="414142"/>
              <w:left w:val="outset" w:sz="6" w:space="0" w:color="414142"/>
              <w:bottom w:val="outset" w:sz="6" w:space="0" w:color="414142"/>
              <w:right w:val="outset" w:sz="6" w:space="0" w:color="414142"/>
            </w:tcBorders>
          </w:tcPr>
          <w:p w14:paraId="089D24EB" w14:textId="64CF1298" w:rsidR="0072253D" w:rsidRPr="0072253D" w:rsidRDefault="0072253D" w:rsidP="00677F11">
            <w:pPr>
              <w:spacing w:after="0" w:line="240" w:lineRule="auto"/>
              <w:rPr>
                <w:rFonts w:ascii="Times New Roman" w:hAnsi="Times New Roman" w:cs="Times New Roman"/>
                <w:sz w:val="24"/>
                <w:szCs w:val="24"/>
              </w:rPr>
            </w:pPr>
            <w:r w:rsidRPr="0072253D">
              <w:rPr>
                <w:rFonts w:ascii="Times New Roman" w:hAnsi="Times New Roman" w:cs="Times New Roman"/>
              </w:rPr>
              <w:t>Sabiedrības līdzdalība projekta izstrādē</w:t>
            </w:r>
            <w:r>
              <w:rPr>
                <w:rFonts w:ascii="Times New Roman" w:hAnsi="Times New Roman" w:cs="Times New Roman"/>
              </w:rPr>
              <w:t>.</w:t>
            </w:r>
          </w:p>
        </w:tc>
        <w:tc>
          <w:tcPr>
            <w:tcW w:w="3077" w:type="pct"/>
            <w:tcBorders>
              <w:top w:val="outset" w:sz="6" w:space="0" w:color="414142"/>
              <w:left w:val="outset" w:sz="6" w:space="0" w:color="414142"/>
              <w:bottom w:val="outset" w:sz="6" w:space="0" w:color="414142"/>
              <w:right w:val="outset" w:sz="6" w:space="0" w:color="414142"/>
            </w:tcBorders>
          </w:tcPr>
          <w:p w14:paraId="0F9DF2F0" w14:textId="38C38093" w:rsidR="0072253D" w:rsidRDefault="0072253D" w:rsidP="00514D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 projekta ieviešana palielina jau esošas sociālās</w:t>
            </w:r>
            <w:r w:rsidR="00514DE3">
              <w:rPr>
                <w:rFonts w:ascii="Times New Roman" w:hAnsi="Times New Roman" w:cs="Times New Roman"/>
                <w:sz w:val="24"/>
                <w:szCs w:val="24"/>
              </w:rPr>
              <w:t xml:space="preserve"> garantijas normatīvajā aktā</w:t>
            </w:r>
            <w:r>
              <w:rPr>
                <w:rFonts w:ascii="Times New Roman" w:hAnsi="Times New Roman" w:cs="Times New Roman"/>
                <w:sz w:val="24"/>
                <w:szCs w:val="24"/>
              </w:rPr>
              <w:t xml:space="preserve"> noteiktam personu lokam, projekta izstrādē sabiedrības līdzdalība netika veikta. </w:t>
            </w:r>
          </w:p>
        </w:tc>
      </w:tr>
      <w:tr w:rsidR="0072253D" w:rsidRPr="001A1494" w14:paraId="2FDBF1FA" w14:textId="77777777" w:rsidTr="00677F11">
        <w:trPr>
          <w:trHeight w:val="301"/>
        </w:trPr>
        <w:tc>
          <w:tcPr>
            <w:tcW w:w="231" w:type="pct"/>
            <w:tcBorders>
              <w:top w:val="outset" w:sz="6" w:space="0" w:color="414142"/>
              <w:left w:val="outset" w:sz="6" w:space="0" w:color="414142"/>
              <w:bottom w:val="outset" w:sz="6" w:space="0" w:color="414142"/>
              <w:right w:val="outset" w:sz="6" w:space="0" w:color="414142"/>
            </w:tcBorders>
          </w:tcPr>
          <w:p w14:paraId="00C57C26" w14:textId="23DEC665" w:rsidR="0072253D" w:rsidRDefault="0072253D" w:rsidP="00677F1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92" w:type="pct"/>
            <w:tcBorders>
              <w:top w:val="outset" w:sz="6" w:space="0" w:color="414142"/>
              <w:left w:val="outset" w:sz="6" w:space="0" w:color="414142"/>
              <w:bottom w:val="outset" w:sz="6" w:space="0" w:color="414142"/>
              <w:right w:val="outset" w:sz="6" w:space="0" w:color="414142"/>
            </w:tcBorders>
          </w:tcPr>
          <w:p w14:paraId="33385CAD" w14:textId="7725EC83" w:rsidR="0072253D" w:rsidRPr="0072253D" w:rsidRDefault="0072253D" w:rsidP="00677F11">
            <w:pPr>
              <w:spacing w:after="0" w:line="240" w:lineRule="auto"/>
              <w:rPr>
                <w:rFonts w:ascii="Times New Roman" w:hAnsi="Times New Roman" w:cs="Times New Roman"/>
                <w:sz w:val="24"/>
                <w:szCs w:val="24"/>
              </w:rPr>
            </w:pPr>
            <w:r w:rsidRPr="0072253D">
              <w:rPr>
                <w:rFonts w:ascii="Times New Roman" w:hAnsi="Times New Roman" w:cs="Times New Roman"/>
                <w:sz w:val="24"/>
                <w:szCs w:val="24"/>
              </w:rPr>
              <w:t>Sabiedrības līdzdalības rezultāti</w:t>
            </w:r>
          </w:p>
        </w:tc>
        <w:tc>
          <w:tcPr>
            <w:tcW w:w="3077" w:type="pct"/>
            <w:tcBorders>
              <w:top w:val="outset" w:sz="6" w:space="0" w:color="414142"/>
              <w:left w:val="outset" w:sz="6" w:space="0" w:color="414142"/>
              <w:bottom w:val="outset" w:sz="6" w:space="0" w:color="414142"/>
              <w:right w:val="outset" w:sz="6" w:space="0" w:color="414142"/>
            </w:tcBorders>
          </w:tcPr>
          <w:p w14:paraId="14482C66" w14:textId="5FDBEC00" w:rsidR="0072253D" w:rsidRDefault="0072253D" w:rsidP="00655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r w:rsidR="0072253D" w:rsidRPr="001A1494" w14:paraId="7DBEA8AC" w14:textId="77777777" w:rsidTr="00677F11">
        <w:trPr>
          <w:trHeight w:val="301"/>
        </w:trPr>
        <w:tc>
          <w:tcPr>
            <w:tcW w:w="231" w:type="pct"/>
            <w:tcBorders>
              <w:top w:val="outset" w:sz="6" w:space="0" w:color="414142"/>
              <w:left w:val="outset" w:sz="6" w:space="0" w:color="414142"/>
              <w:bottom w:val="outset" w:sz="6" w:space="0" w:color="414142"/>
              <w:right w:val="outset" w:sz="6" w:space="0" w:color="414142"/>
            </w:tcBorders>
          </w:tcPr>
          <w:p w14:paraId="3FE09BC5" w14:textId="1659C805" w:rsidR="0072253D" w:rsidRDefault="0072253D" w:rsidP="00677F1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692" w:type="pct"/>
            <w:tcBorders>
              <w:top w:val="outset" w:sz="6" w:space="0" w:color="414142"/>
              <w:left w:val="outset" w:sz="6" w:space="0" w:color="414142"/>
              <w:bottom w:val="outset" w:sz="6" w:space="0" w:color="414142"/>
              <w:right w:val="outset" w:sz="6" w:space="0" w:color="414142"/>
            </w:tcBorders>
          </w:tcPr>
          <w:p w14:paraId="26C49861" w14:textId="417CB6C6" w:rsidR="0072253D" w:rsidRPr="0072253D" w:rsidRDefault="0072253D" w:rsidP="00677F11">
            <w:pPr>
              <w:spacing w:after="0" w:line="240" w:lineRule="auto"/>
              <w:rPr>
                <w:rFonts w:ascii="Times New Roman" w:hAnsi="Times New Roman" w:cs="Times New Roman"/>
                <w:sz w:val="24"/>
                <w:szCs w:val="24"/>
              </w:rPr>
            </w:pPr>
            <w:r w:rsidRPr="0072253D">
              <w:rPr>
                <w:rFonts w:ascii="Times New Roman" w:hAnsi="Times New Roman" w:cs="Times New Roman"/>
                <w:sz w:val="24"/>
                <w:szCs w:val="24"/>
              </w:rPr>
              <w:t>Cita informācija</w:t>
            </w:r>
          </w:p>
        </w:tc>
        <w:tc>
          <w:tcPr>
            <w:tcW w:w="3077" w:type="pct"/>
            <w:tcBorders>
              <w:top w:val="outset" w:sz="6" w:space="0" w:color="414142"/>
              <w:left w:val="outset" w:sz="6" w:space="0" w:color="414142"/>
              <w:bottom w:val="outset" w:sz="6" w:space="0" w:color="414142"/>
              <w:right w:val="outset" w:sz="6" w:space="0" w:color="414142"/>
            </w:tcBorders>
          </w:tcPr>
          <w:p w14:paraId="5F168379" w14:textId="128E8E53" w:rsidR="0072253D" w:rsidRDefault="0072253D" w:rsidP="00655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bl>
    <w:p w14:paraId="7A3E21DE" w14:textId="77777777" w:rsidR="00655EBD" w:rsidRPr="000F5EDB" w:rsidRDefault="00655EBD" w:rsidP="007F6B1C">
      <w:pPr>
        <w:spacing w:after="0" w:line="240" w:lineRule="auto"/>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4252"/>
        <w:gridCol w:w="4678"/>
      </w:tblGrid>
      <w:tr w:rsidR="000F5EDB" w:rsidRPr="000F5EDB" w14:paraId="549BF445" w14:textId="77777777" w:rsidTr="00514DE3">
        <w:trPr>
          <w:trHeight w:val="381"/>
          <w:jc w:val="center"/>
        </w:trPr>
        <w:tc>
          <w:tcPr>
            <w:tcW w:w="9351" w:type="dxa"/>
            <w:gridSpan w:val="3"/>
            <w:vAlign w:val="center"/>
          </w:tcPr>
          <w:p w14:paraId="27286AF5" w14:textId="77777777" w:rsidR="007F6B1C" w:rsidRPr="000F5EDB" w:rsidRDefault="007F6B1C" w:rsidP="000D2380">
            <w:pPr>
              <w:pStyle w:val="naisnod"/>
              <w:spacing w:before="0" w:beforeAutospacing="0" w:after="0" w:afterAutospacing="0"/>
              <w:ind w:left="57" w:right="57"/>
              <w:jc w:val="center"/>
            </w:pPr>
            <w:r w:rsidRPr="000F5EDB">
              <w:rPr>
                <w:b/>
              </w:rPr>
              <w:t>VII. Tiesību akta projekta izpildes nodrošināšana un tās ietekme uz institūcijām</w:t>
            </w:r>
          </w:p>
        </w:tc>
      </w:tr>
      <w:tr w:rsidR="000F5EDB" w:rsidRPr="000F5EDB" w14:paraId="76003A5C" w14:textId="77777777" w:rsidTr="00514DE3">
        <w:trPr>
          <w:trHeight w:val="427"/>
          <w:jc w:val="center"/>
        </w:trPr>
        <w:tc>
          <w:tcPr>
            <w:tcW w:w="421" w:type="dxa"/>
          </w:tcPr>
          <w:p w14:paraId="7DF6EEE7" w14:textId="77777777" w:rsidR="007F6B1C" w:rsidRPr="000F5EDB" w:rsidRDefault="007F6B1C" w:rsidP="000D2380">
            <w:pPr>
              <w:pStyle w:val="naisnod"/>
              <w:spacing w:before="0" w:beforeAutospacing="0" w:after="0" w:afterAutospacing="0"/>
              <w:ind w:left="57" w:right="57"/>
              <w:jc w:val="both"/>
            </w:pPr>
            <w:r w:rsidRPr="000F5EDB">
              <w:t>1.</w:t>
            </w:r>
          </w:p>
        </w:tc>
        <w:tc>
          <w:tcPr>
            <w:tcW w:w="4252" w:type="dxa"/>
          </w:tcPr>
          <w:p w14:paraId="05380D15" w14:textId="77777777" w:rsidR="007F6B1C" w:rsidRPr="000F5EDB" w:rsidRDefault="007F6B1C" w:rsidP="000D2380">
            <w:pPr>
              <w:pStyle w:val="naisf"/>
              <w:spacing w:before="0" w:beforeAutospacing="0" w:after="0" w:afterAutospacing="0"/>
              <w:ind w:left="57" w:right="57"/>
            </w:pPr>
            <w:r w:rsidRPr="000F5EDB">
              <w:t>Projekta izpildē iesaistītās institūcijas</w:t>
            </w:r>
          </w:p>
        </w:tc>
        <w:tc>
          <w:tcPr>
            <w:tcW w:w="4678" w:type="dxa"/>
          </w:tcPr>
          <w:p w14:paraId="525A872A" w14:textId="77777777" w:rsidR="007F6B1C" w:rsidRPr="000F5EDB" w:rsidRDefault="00AF6FD6" w:rsidP="00AF6FD6">
            <w:pPr>
              <w:shd w:val="clear" w:color="auto" w:fill="FFFFFF"/>
              <w:spacing w:after="0" w:line="240" w:lineRule="auto"/>
              <w:jc w:val="both"/>
              <w:rPr>
                <w:rFonts w:ascii="Times New Roman" w:hAnsi="Times New Roman" w:cs="Times New Roman"/>
                <w:sz w:val="24"/>
                <w:szCs w:val="24"/>
                <w:lang w:eastAsia="lv-LV"/>
              </w:rPr>
            </w:pPr>
            <w:bookmarkStart w:id="1" w:name="p66"/>
            <w:bookmarkStart w:id="2" w:name="p67"/>
            <w:bookmarkStart w:id="3" w:name="p68"/>
            <w:bookmarkStart w:id="4" w:name="p69"/>
            <w:bookmarkEnd w:id="1"/>
            <w:bookmarkEnd w:id="2"/>
            <w:bookmarkEnd w:id="3"/>
            <w:bookmarkEnd w:id="4"/>
            <w:r>
              <w:rPr>
                <w:rFonts w:ascii="Times New Roman" w:hAnsi="Times New Roman" w:cs="Times New Roman"/>
                <w:sz w:val="24"/>
                <w:szCs w:val="24"/>
                <w:lang w:eastAsia="lv-LV"/>
              </w:rPr>
              <w:t>Iekšlietu ministrijas veselības un sporta centrs.</w:t>
            </w:r>
          </w:p>
        </w:tc>
      </w:tr>
      <w:tr w:rsidR="000F5EDB" w:rsidRPr="000F5EDB" w14:paraId="5E30C321" w14:textId="77777777" w:rsidTr="00514DE3">
        <w:trPr>
          <w:trHeight w:val="463"/>
          <w:jc w:val="center"/>
        </w:trPr>
        <w:tc>
          <w:tcPr>
            <w:tcW w:w="421" w:type="dxa"/>
          </w:tcPr>
          <w:p w14:paraId="01CBCF0A" w14:textId="77777777" w:rsidR="007F6B1C" w:rsidRPr="000F5EDB" w:rsidRDefault="007F6B1C" w:rsidP="000D2380">
            <w:pPr>
              <w:pStyle w:val="naisnod"/>
              <w:spacing w:before="0" w:beforeAutospacing="0" w:after="0" w:afterAutospacing="0"/>
              <w:ind w:left="57" w:right="57"/>
              <w:jc w:val="both"/>
            </w:pPr>
            <w:r w:rsidRPr="000F5EDB">
              <w:t>2.</w:t>
            </w:r>
          </w:p>
        </w:tc>
        <w:tc>
          <w:tcPr>
            <w:tcW w:w="4252" w:type="dxa"/>
          </w:tcPr>
          <w:p w14:paraId="02D2709A" w14:textId="77777777" w:rsidR="007F6B1C" w:rsidRPr="000F5EDB" w:rsidRDefault="007F6B1C" w:rsidP="000D2380">
            <w:pPr>
              <w:pStyle w:val="naisf"/>
              <w:spacing w:before="0" w:beforeAutospacing="0" w:after="0" w:afterAutospacing="0"/>
              <w:ind w:left="57" w:right="57"/>
            </w:pPr>
            <w:r w:rsidRPr="000F5EDB">
              <w:t>Projekta izpildes ietekme uz pār</w:t>
            </w:r>
            <w:r w:rsidRPr="000F5EDB">
              <w:softHyphen/>
              <w:t>valdes funkcijām un institucionālo struktūru.</w:t>
            </w:r>
          </w:p>
          <w:p w14:paraId="5E367FBD" w14:textId="77777777" w:rsidR="007F6B1C" w:rsidRPr="000F5EDB" w:rsidRDefault="007F6B1C" w:rsidP="000D2380">
            <w:pPr>
              <w:pStyle w:val="naisf"/>
              <w:spacing w:before="0" w:beforeAutospacing="0" w:after="0" w:afterAutospacing="0"/>
              <w:ind w:left="57" w:right="57"/>
            </w:pPr>
            <w:r w:rsidRPr="000F5EDB">
              <w:t>Jaunu institūciju izveide, esošu institūciju likvidācija vai reorga</w:t>
            </w:r>
            <w:r w:rsidRPr="000F5EDB">
              <w:softHyphen/>
              <w:t>nizācija, to ietekme uz institūcijas cilvēkresursiem.</w:t>
            </w:r>
          </w:p>
        </w:tc>
        <w:tc>
          <w:tcPr>
            <w:tcW w:w="4678" w:type="dxa"/>
          </w:tcPr>
          <w:p w14:paraId="6BCF648C" w14:textId="77777777" w:rsidR="007F6B1C" w:rsidRPr="000F5EDB" w:rsidRDefault="00E53494" w:rsidP="000D2380">
            <w:pPr>
              <w:shd w:val="clear" w:color="auto" w:fill="FFFFFF"/>
              <w:spacing w:after="0" w:line="240" w:lineRule="auto"/>
              <w:jc w:val="both"/>
              <w:rPr>
                <w:rFonts w:ascii="Times New Roman" w:hAnsi="Times New Roman" w:cs="Times New Roman"/>
                <w:sz w:val="24"/>
                <w:szCs w:val="24"/>
                <w:lang w:eastAsia="lv-LV"/>
              </w:rPr>
            </w:pPr>
            <w:r w:rsidRPr="000F5EDB">
              <w:rPr>
                <w:rFonts w:ascii="Times New Roman" w:hAnsi="Times New Roman" w:cs="Times New Roman"/>
                <w:sz w:val="24"/>
                <w:szCs w:val="24"/>
              </w:rPr>
              <w:t>Projekts šo jomu neskar.</w:t>
            </w:r>
          </w:p>
          <w:p w14:paraId="0E5140D4" w14:textId="77777777" w:rsidR="007F6B1C" w:rsidRPr="000F5EDB" w:rsidRDefault="007F6B1C" w:rsidP="000D2380">
            <w:pPr>
              <w:shd w:val="clear" w:color="auto" w:fill="FFFFFF"/>
              <w:spacing w:after="0" w:line="240" w:lineRule="auto"/>
              <w:jc w:val="both"/>
              <w:rPr>
                <w:rFonts w:ascii="Times New Roman" w:hAnsi="Times New Roman" w:cs="Times New Roman"/>
                <w:sz w:val="24"/>
                <w:szCs w:val="24"/>
                <w:lang w:eastAsia="lv-LV"/>
              </w:rPr>
            </w:pPr>
          </w:p>
        </w:tc>
      </w:tr>
      <w:tr w:rsidR="000F5EDB" w:rsidRPr="000F5EDB" w14:paraId="6C4D15F6" w14:textId="77777777" w:rsidTr="00514DE3">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0FBAB916" w14:textId="77777777" w:rsidR="007F6B1C" w:rsidRPr="000F5EDB" w:rsidRDefault="007F6B1C" w:rsidP="000D2380">
            <w:pPr>
              <w:pStyle w:val="naisnod"/>
              <w:spacing w:before="0" w:beforeAutospacing="0" w:after="0" w:afterAutospacing="0"/>
              <w:ind w:left="57" w:right="57"/>
              <w:jc w:val="both"/>
            </w:pPr>
            <w:r w:rsidRPr="000F5EDB">
              <w:t>3.</w:t>
            </w:r>
          </w:p>
        </w:tc>
        <w:tc>
          <w:tcPr>
            <w:tcW w:w="4252" w:type="dxa"/>
            <w:tcBorders>
              <w:top w:val="single" w:sz="4" w:space="0" w:color="auto"/>
              <w:left w:val="single" w:sz="4" w:space="0" w:color="auto"/>
              <w:bottom w:val="single" w:sz="4" w:space="0" w:color="auto"/>
              <w:right w:val="single" w:sz="4" w:space="0" w:color="auto"/>
            </w:tcBorders>
          </w:tcPr>
          <w:p w14:paraId="095B2A48" w14:textId="77777777" w:rsidR="007F6B1C" w:rsidRPr="000F5EDB" w:rsidRDefault="007F6B1C" w:rsidP="000D2380">
            <w:pPr>
              <w:pStyle w:val="naisf"/>
              <w:spacing w:before="0" w:beforeAutospacing="0" w:after="0" w:afterAutospacing="0"/>
              <w:ind w:left="57" w:right="57"/>
            </w:pPr>
            <w:r w:rsidRPr="000F5EDB">
              <w:t>Cita informācija</w:t>
            </w:r>
          </w:p>
        </w:tc>
        <w:tc>
          <w:tcPr>
            <w:tcW w:w="4678" w:type="dxa"/>
            <w:tcBorders>
              <w:top w:val="single" w:sz="4" w:space="0" w:color="auto"/>
              <w:left w:val="single" w:sz="4" w:space="0" w:color="auto"/>
              <w:bottom w:val="single" w:sz="4" w:space="0" w:color="auto"/>
              <w:right w:val="single" w:sz="4" w:space="0" w:color="auto"/>
            </w:tcBorders>
          </w:tcPr>
          <w:p w14:paraId="0971C2DC" w14:textId="77777777" w:rsidR="007F6B1C" w:rsidRPr="000F5EDB" w:rsidRDefault="00E53494" w:rsidP="000D2380">
            <w:pPr>
              <w:spacing w:after="0" w:line="240" w:lineRule="auto"/>
              <w:ind w:left="57" w:right="57"/>
              <w:jc w:val="both"/>
              <w:rPr>
                <w:rFonts w:ascii="Times New Roman" w:hAnsi="Times New Roman" w:cs="Times New Roman"/>
                <w:sz w:val="24"/>
                <w:szCs w:val="24"/>
                <w:lang w:eastAsia="lv-LV"/>
              </w:rPr>
            </w:pPr>
            <w:r w:rsidRPr="000F5EDB">
              <w:rPr>
                <w:rFonts w:ascii="Times New Roman" w:hAnsi="Times New Roman" w:cs="Times New Roman"/>
                <w:sz w:val="24"/>
                <w:szCs w:val="24"/>
              </w:rPr>
              <w:t>Nav.</w:t>
            </w:r>
          </w:p>
        </w:tc>
      </w:tr>
    </w:tbl>
    <w:p w14:paraId="4F4643AB" w14:textId="77777777" w:rsidR="00896EC8" w:rsidRDefault="00896EC8" w:rsidP="005128C9">
      <w:pPr>
        <w:pStyle w:val="naisf"/>
        <w:spacing w:before="0" w:beforeAutospacing="0" w:after="0" w:afterAutospacing="0"/>
      </w:pPr>
    </w:p>
    <w:p w14:paraId="6450665E" w14:textId="52E36FA0" w:rsidR="005128C9" w:rsidRDefault="005128C9" w:rsidP="005128C9">
      <w:pPr>
        <w:pStyle w:val="naisf"/>
        <w:spacing w:before="0" w:beforeAutospacing="0" w:after="0" w:afterAutospacing="0"/>
      </w:pPr>
      <w:r w:rsidRPr="000F5EDB">
        <w:t xml:space="preserve">Anotācijas </w:t>
      </w:r>
      <w:r w:rsidR="00506090">
        <w:t xml:space="preserve">III, </w:t>
      </w:r>
      <w:r w:rsidRPr="000F5EDB">
        <w:t xml:space="preserve">IV, V </w:t>
      </w:r>
      <w:r w:rsidR="00655EBD">
        <w:t>sa</w:t>
      </w:r>
      <w:r w:rsidRPr="000F5EDB">
        <w:t>daļa – projekts šīs jomas neskar.</w:t>
      </w:r>
    </w:p>
    <w:p w14:paraId="559EE809" w14:textId="77777777" w:rsidR="00896EC8" w:rsidRPr="000F5EDB" w:rsidRDefault="00896EC8" w:rsidP="005128C9">
      <w:pPr>
        <w:pStyle w:val="naisf"/>
        <w:spacing w:before="0" w:beforeAutospacing="0" w:after="0" w:afterAutospacing="0"/>
      </w:pPr>
    </w:p>
    <w:p w14:paraId="2FAE931C" w14:textId="77777777" w:rsidR="00A67847" w:rsidRDefault="00A67847" w:rsidP="00A67847">
      <w:pPr>
        <w:spacing w:after="0" w:line="240" w:lineRule="auto"/>
        <w:jc w:val="both"/>
        <w:rPr>
          <w:rFonts w:ascii="Times New Roman" w:hAnsi="Times New Roman" w:cs="Times New Roman"/>
          <w:sz w:val="28"/>
          <w:szCs w:val="28"/>
        </w:rPr>
      </w:pPr>
      <w:r w:rsidRPr="00A67847">
        <w:rPr>
          <w:rFonts w:ascii="Times New Roman" w:hAnsi="Times New Roman" w:cs="Times New Roman"/>
          <w:sz w:val="28"/>
          <w:szCs w:val="28"/>
        </w:rPr>
        <w:t>Iekšlietu</w:t>
      </w:r>
      <w:r w:rsidR="007417F0">
        <w:rPr>
          <w:rFonts w:ascii="Times New Roman" w:hAnsi="Times New Roman" w:cs="Times New Roman"/>
          <w:sz w:val="28"/>
          <w:szCs w:val="28"/>
        </w:rPr>
        <w:t xml:space="preserve"> ministrs</w:t>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t>R.Kozlovskis</w:t>
      </w:r>
    </w:p>
    <w:p w14:paraId="7596C32B" w14:textId="77777777" w:rsidR="00A67847" w:rsidRPr="00A67847" w:rsidRDefault="00A67847" w:rsidP="00A67847">
      <w:pPr>
        <w:spacing w:after="0" w:line="240" w:lineRule="auto"/>
        <w:rPr>
          <w:rFonts w:ascii="Times New Roman" w:hAnsi="Times New Roman" w:cs="Times New Roman"/>
          <w:sz w:val="28"/>
          <w:szCs w:val="28"/>
        </w:rPr>
      </w:pPr>
    </w:p>
    <w:p w14:paraId="33CA3305" w14:textId="77777777" w:rsidR="00A67847" w:rsidRPr="00A67847" w:rsidRDefault="00A67847" w:rsidP="00A67847">
      <w:pPr>
        <w:spacing w:after="0" w:line="240" w:lineRule="auto"/>
        <w:jc w:val="both"/>
        <w:rPr>
          <w:rFonts w:ascii="Times New Roman" w:hAnsi="Times New Roman" w:cs="Times New Roman"/>
          <w:sz w:val="28"/>
          <w:szCs w:val="28"/>
        </w:rPr>
      </w:pPr>
      <w:r w:rsidRPr="00A67847">
        <w:rPr>
          <w:rFonts w:ascii="Times New Roman" w:hAnsi="Times New Roman" w:cs="Times New Roman"/>
          <w:sz w:val="28"/>
          <w:szCs w:val="28"/>
        </w:rPr>
        <w:t xml:space="preserve">Vīza: Valsts </w:t>
      </w:r>
      <w:r w:rsidR="00325D4B">
        <w:rPr>
          <w:rFonts w:ascii="Times New Roman" w:hAnsi="Times New Roman" w:cs="Times New Roman"/>
          <w:sz w:val="28"/>
          <w:szCs w:val="28"/>
        </w:rPr>
        <w:t>sekretāre</w:t>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t>I.Pētersone</w:t>
      </w:r>
      <w:r w:rsidR="00325D4B">
        <w:rPr>
          <w:rFonts w:ascii="Times New Roman" w:hAnsi="Times New Roman" w:cs="Times New Roman"/>
          <w:sz w:val="28"/>
          <w:szCs w:val="28"/>
        </w:rPr>
        <w:sym w:font="Symbol" w:char="F02D"/>
      </w:r>
      <w:r w:rsidR="00325D4B">
        <w:rPr>
          <w:rFonts w:ascii="Times New Roman" w:hAnsi="Times New Roman" w:cs="Times New Roman"/>
          <w:sz w:val="28"/>
          <w:szCs w:val="28"/>
        </w:rPr>
        <w:t>Godmane</w:t>
      </w:r>
    </w:p>
    <w:p w14:paraId="50C4324F" w14:textId="77777777" w:rsidR="00AE4231" w:rsidRDefault="00AE4231" w:rsidP="002C5627">
      <w:pPr>
        <w:tabs>
          <w:tab w:val="right" w:pos="9354"/>
        </w:tabs>
        <w:spacing w:after="0" w:line="240" w:lineRule="auto"/>
        <w:rPr>
          <w:rFonts w:ascii="Times New Roman" w:hAnsi="Times New Roman" w:cs="Times New Roman"/>
          <w:sz w:val="20"/>
        </w:rPr>
      </w:pPr>
    </w:p>
    <w:p w14:paraId="2B7C6493" w14:textId="77777777" w:rsidR="00BF471F" w:rsidRDefault="00BF471F" w:rsidP="002C5627">
      <w:pPr>
        <w:tabs>
          <w:tab w:val="right" w:pos="9354"/>
        </w:tabs>
        <w:spacing w:after="0" w:line="240" w:lineRule="auto"/>
        <w:rPr>
          <w:rFonts w:ascii="Times New Roman" w:hAnsi="Times New Roman" w:cs="Times New Roman"/>
          <w:sz w:val="20"/>
        </w:rPr>
      </w:pPr>
    </w:p>
    <w:p w14:paraId="28974456" w14:textId="35D143A0" w:rsidR="002C5627" w:rsidRPr="002C5627" w:rsidRDefault="00C10A0C" w:rsidP="002C5627">
      <w:pPr>
        <w:tabs>
          <w:tab w:val="right" w:pos="9354"/>
        </w:tabs>
        <w:spacing w:after="0" w:line="240" w:lineRule="auto"/>
        <w:rPr>
          <w:rFonts w:ascii="Times New Roman" w:hAnsi="Times New Roman" w:cs="Times New Roman"/>
          <w:sz w:val="20"/>
        </w:rPr>
      </w:pPr>
      <w:r>
        <w:rPr>
          <w:rFonts w:ascii="Times New Roman" w:hAnsi="Times New Roman" w:cs="Times New Roman"/>
          <w:sz w:val="20"/>
        </w:rPr>
        <w:t>25</w:t>
      </w:r>
      <w:r w:rsidR="00AE4231">
        <w:rPr>
          <w:rFonts w:ascii="Times New Roman" w:hAnsi="Times New Roman" w:cs="Times New Roman"/>
          <w:sz w:val="20"/>
        </w:rPr>
        <w:t>.07.2016  1</w:t>
      </w:r>
      <w:r>
        <w:rPr>
          <w:rFonts w:ascii="Times New Roman" w:hAnsi="Times New Roman" w:cs="Times New Roman"/>
          <w:sz w:val="20"/>
        </w:rPr>
        <w:t>1</w:t>
      </w:r>
      <w:r w:rsidR="00AE4231">
        <w:rPr>
          <w:rFonts w:ascii="Times New Roman" w:hAnsi="Times New Roman" w:cs="Times New Roman"/>
          <w:sz w:val="20"/>
        </w:rPr>
        <w:t>.23</w:t>
      </w:r>
      <w:r w:rsidR="002C5627" w:rsidRPr="002C5627">
        <w:rPr>
          <w:rFonts w:ascii="Times New Roman" w:hAnsi="Times New Roman" w:cs="Times New Roman"/>
          <w:sz w:val="20"/>
        </w:rPr>
        <w:tab/>
      </w:r>
    </w:p>
    <w:p w14:paraId="4E2556DB" w14:textId="4CAD259C" w:rsidR="002C5627" w:rsidRPr="002C5627" w:rsidRDefault="005F6507" w:rsidP="002C5627">
      <w:pPr>
        <w:spacing w:after="0" w:line="240" w:lineRule="auto"/>
        <w:rPr>
          <w:rFonts w:ascii="Times New Roman" w:hAnsi="Times New Roman" w:cs="Times New Roman"/>
          <w:sz w:val="20"/>
        </w:rPr>
      </w:pPr>
      <w:r>
        <w:rPr>
          <w:rFonts w:ascii="Times New Roman" w:hAnsi="Times New Roman" w:cs="Times New Roman"/>
          <w:sz w:val="20"/>
        </w:rPr>
        <w:t>1</w:t>
      </w:r>
      <w:r w:rsidR="00514DE3">
        <w:rPr>
          <w:rFonts w:ascii="Times New Roman" w:hAnsi="Times New Roman" w:cs="Times New Roman"/>
          <w:sz w:val="20"/>
        </w:rPr>
        <w:t>667</w:t>
      </w:r>
    </w:p>
    <w:p w14:paraId="0981F192" w14:textId="77777777" w:rsidR="002C5627" w:rsidRPr="002C5627" w:rsidRDefault="002C5627" w:rsidP="002C5627">
      <w:pPr>
        <w:spacing w:after="0" w:line="240" w:lineRule="auto"/>
        <w:jc w:val="both"/>
        <w:rPr>
          <w:rFonts w:ascii="Times New Roman" w:hAnsi="Times New Roman" w:cs="Times New Roman"/>
          <w:sz w:val="20"/>
        </w:rPr>
      </w:pPr>
      <w:r w:rsidRPr="002C5627">
        <w:rPr>
          <w:rFonts w:ascii="Times New Roman" w:hAnsi="Times New Roman" w:cs="Times New Roman"/>
          <w:sz w:val="20"/>
        </w:rPr>
        <w:t xml:space="preserve">Iekšlietu ministrijas veselības un </w:t>
      </w:r>
    </w:p>
    <w:p w14:paraId="50F8335B" w14:textId="77777777" w:rsidR="005E33FD" w:rsidRDefault="002C5627" w:rsidP="002C5627">
      <w:pPr>
        <w:spacing w:after="0" w:line="240" w:lineRule="auto"/>
        <w:jc w:val="both"/>
        <w:rPr>
          <w:rFonts w:ascii="Times New Roman" w:hAnsi="Times New Roman" w:cs="Times New Roman"/>
          <w:sz w:val="20"/>
        </w:rPr>
      </w:pPr>
      <w:r w:rsidRPr="002C5627">
        <w:rPr>
          <w:rFonts w:ascii="Times New Roman" w:hAnsi="Times New Roman" w:cs="Times New Roman"/>
          <w:sz w:val="20"/>
        </w:rPr>
        <w:t xml:space="preserve">sporta centra </w:t>
      </w:r>
      <w:r w:rsidR="005E33FD">
        <w:rPr>
          <w:rFonts w:ascii="Times New Roman" w:hAnsi="Times New Roman" w:cs="Times New Roman"/>
          <w:sz w:val="20"/>
        </w:rPr>
        <w:t xml:space="preserve">direktora vietniece </w:t>
      </w:r>
    </w:p>
    <w:p w14:paraId="4B3A320B" w14:textId="46AAF30F" w:rsidR="002C5627" w:rsidRPr="002C5627" w:rsidRDefault="005E33FD" w:rsidP="002C5627">
      <w:pPr>
        <w:spacing w:after="0" w:line="240" w:lineRule="auto"/>
        <w:jc w:val="both"/>
        <w:rPr>
          <w:rFonts w:ascii="Times New Roman" w:hAnsi="Times New Roman" w:cs="Times New Roman"/>
          <w:sz w:val="20"/>
        </w:rPr>
      </w:pPr>
      <w:r>
        <w:rPr>
          <w:rFonts w:ascii="Times New Roman" w:hAnsi="Times New Roman" w:cs="Times New Roman"/>
          <w:sz w:val="20"/>
        </w:rPr>
        <w:t>I.Misus</w:t>
      </w:r>
    </w:p>
    <w:p w14:paraId="129EA0B2" w14:textId="7E85B37D" w:rsidR="002C5627" w:rsidRDefault="002C5627" w:rsidP="002C5627">
      <w:pPr>
        <w:spacing w:after="0" w:line="240" w:lineRule="auto"/>
        <w:jc w:val="both"/>
        <w:rPr>
          <w:sz w:val="20"/>
        </w:rPr>
      </w:pPr>
      <w:r w:rsidRPr="002C5627">
        <w:rPr>
          <w:rFonts w:ascii="Times New Roman" w:hAnsi="Times New Roman" w:cs="Times New Roman"/>
          <w:sz w:val="20"/>
        </w:rPr>
        <w:t>6782985</w:t>
      </w:r>
      <w:r w:rsidR="005E33FD">
        <w:rPr>
          <w:rFonts w:ascii="Times New Roman" w:hAnsi="Times New Roman" w:cs="Times New Roman"/>
          <w:sz w:val="20"/>
        </w:rPr>
        <w:t>2</w:t>
      </w:r>
      <w:r w:rsidRPr="002C5627">
        <w:rPr>
          <w:rFonts w:ascii="Times New Roman" w:hAnsi="Times New Roman" w:cs="Times New Roman"/>
          <w:sz w:val="20"/>
        </w:rPr>
        <w:t xml:space="preserve">, </w:t>
      </w:r>
      <w:hyperlink r:id="rId8" w:history="1">
        <w:r w:rsidR="005E33FD" w:rsidRPr="00571D56">
          <w:rPr>
            <w:rStyle w:val="Hyperlink"/>
            <w:rFonts w:ascii="Times New Roman" w:hAnsi="Times New Roman" w:cs="Times New Roman"/>
            <w:sz w:val="20"/>
          </w:rPr>
          <w:t>irena.misus@iem.gov.lv</w:t>
        </w:r>
      </w:hyperlink>
      <w:r w:rsidRPr="007153AF">
        <w:rPr>
          <w:sz w:val="20"/>
        </w:rPr>
        <w:t xml:space="preserve">     </w:t>
      </w:r>
    </w:p>
    <w:sectPr w:rsidR="002C5627" w:rsidSect="00655EBD">
      <w:headerReference w:type="default" r:id="rId9"/>
      <w:footerReference w:type="default" r:id="rId10"/>
      <w:footerReference w:type="first" r:id="rId11"/>
      <w:pgSz w:w="11906" w:h="16838"/>
      <w:pgMar w:top="1134"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A369D" w14:textId="77777777" w:rsidR="00AD419E" w:rsidRDefault="00AD419E" w:rsidP="00A61504">
      <w:pPr>
        <w:spacing w:after="0" w:line="240" w:lineRule="auto"/>
      </w:pPr>
      <w:r>
        <w:separator/>
      </w:r>
    </w:p>
  </w:endnote>
  <w:endnote w:type="continuationSeparator" w:id="0">
    <w:p w14:paraId="53D73B52" w14:textId="77777777" w:rsidR="00AD419E" w:rsidRDefault="00AD419E"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4BB3" w14:textId="79D656F5" w:rsidR="00A61504" w:rsidRPr="00271FD3" w:rsidRDefault="00271FD3" w:rsidP="005E33FD">
    <w:pPr>
      <w:shd w:val="clear" w:color="auto" w:fill="FFFFFF"/>
      <w:spacing w:after="0" w:line="240" w:lineRule="auto"/>
      <w:jc w:val="both"/>
      <w:rPr>
        <w:rFonts w:ascii="Times New Roman" w:eastAsia="Times New Roman" w:hAnsi="Times New Roman" w:cs="Times New Roman"/>
        <w:bCs/>
        <w:sz w:val="20"/>
        <w:szCs w:val="20"/>
        <w:lang w:eastAsia="lv-LV"/>
      </w:rPr>
    </w:pPr>
    <w:r w:rsidRPr="00271FD3">
      <w:rPr>
        <w:rFonts w:ascii="Times New Roman" w:hAnsi="Times New Roman" w:cs="Times New Roman"/>
        <w:sz w:val="20"/>
        <w:szCs w:val="20"/>
      </w:rPr>
      <w:fldChar w:fldCharType="begin"/>
    </w:r>
    <w:r w:rsidRPr="00271FD3">
      <w:rPr>
        <w:rFonts w:ascii="Times New Roman" w:hAnsi="Times New Roman" w:cs="Times New Roman"/>
        <w:sz w:val="20"/>
        <w:szCs w:val="20"/>
      </w:rPr>
      <w:instrText xml:space="preserve"> FILENAME </w:instrText>
    </w:r>
    <w:r w:rsidRPr="00271FD3">
      <w:rPr>
        <w:rFonts w:ascii="Times New Roman" w:hAnsi="Times New Roman" w:cs="Times New Roman"/>
        <w:sz w:val="20"/>
        <w:szCs w:val="20"/>
      </w:rPr>
      <w:fldChar w:fldCharType="separate"/>
    </w:r>
    <w:r w:rsidR="00BF471F">
      <w:rPr>
        <w:rFonts w:ascii="Times New Roman" w:hAnsi="Times New Roman" w:cs="Times New Roman"/>
        <w:noProof/>
        <w:sz w:val="20"/>
        <w:szCs w:val="20"/>
      </w:rPr>
      <w:t>IEMAnot_250716_vesel</w:t>
    </w:r>
    <w:r w:rsidRPr="00271FD3">
      <w:rPr>
        <w:rFonts w:ascii="Times New Roman" w:hAnsi="Times New Roman" w:cs="Times New Roman"/>
        <w:sz w:val="20"/>
        <w:szCs w:val="20"/>
      </w:rPr>
      <w:fldChar w:fldCharType="end"/>
    </w:r>
    <w:r w:rsidRPr="00271FD3">
      <w:rPr>
        <w:rFonts w:ascii="Times New Roman" w:hAnsi="Times New Roman" w:cs="Times New Roman"/>
        <w:sz w:val="20"/>
        <w:szCs w:val="20"/>
      </w:rPr>
      <w:t xml:space="preserve">; </w:t>
    </w:r>
    <w:r w:rsidRPr="00271FD3">
      <w:rPr>
        <w:rFonts w:ascii="Times New Roman" w:eastAsia="Times New Roman" w:hAnsi="Times New Roman" w:cs="Times New Roman"/>
        <w:bCs/>
        <w:sz w:val="20"/>
        <w:szCs w:val="20"/>
        <w:lang w:eastAsia="lv-LV"/>
      </w:rPr>
      <w:t>Ministru kabineta noteikumu projekta „Grozījumi Ministru kabineta 201</w:t>
    </w:r>
    <w:r w:rsidR="005E33FD">
      <w:rPr>
        <w:rFonts w:ascii="Times New Roman" w:eastAsia="Times New Roman" w:hAnsi="Times New Roman" w:cs="Times New Roman"/>
        <w:bCs/>
        <w:sz w:val="20"/>
        <w:szCs w:val="20"/>
        <w:lang w:eastAsia="lv-LV"/>
      </w:rPr>
      <w:t>4</w:t>
    </w:r>
    <w:r w:rsidRPr="00271FD3">
      <w:rPr>
        <w:rFonts w:ascii="Times New Roman" w:eastAsia="Times New Roman" w:hAnsi="Times New Roman" w:cs="Times New Roman"/>
        <w:bCs/>
        <w:sz w:val="20"/>
        <w:szCs w:val="20"/>
        <w:lang w:eastAsia="lv-LV"/>
      </w:rPr>
      <w:t xml:space="preserve">.gada </w:t>
    </w:r>
    <w:r w:rsidR="005E33FD">
      <w:rPr>
        <w:rFonts w:ascii="Times New Roman" w:eastAsia="Times New Roman" w:hAnsi="Times New Roman" w:cs="Times New Roman"/>
        <w:bCs/>
        <w:sz w:val="20"/>
        <w:szCs w:val="20"/>
        <w:lang w:eastAsia="lv-LV"/>
      </w:rPr>
      <w:t>11.februāra</w:t>
    </w:r>
    <w:r w:rsidRPr="00271FD3">
      <w:rPr>
        <w:rFonts w:ascii="Times New Roman" w:eastAsia="Times New Roman" w:hAnsi="Times New Roman" w:cs="Times New Roman"/>
        <w:bCs/>
        <w:sz w:val="20"/>
        <w:szCs w:val="20"/>
        <w:lang w:eastAsia="lv-LV"/>
      </w:rPr>
      <w:t xml:space="preserve"> noteikumos Nr.</w:t>
    </w:r>
    <w:r w:rsidR="005E33FD">
      <w:rPr>
        <w:rFonts w:ascii="Times New Roman" w:eastAsia="Times New Roman" w:hAnsi="Times New Roman" w:cs="Times New Roman"/>
        <w:bCs/>
        <w:sz w:val="20"/>
        <w:szCs w:val="20"/>
        <w:lang w:eastAsia="lv-LV"/>
      </w:rPr>
      <w:t>93</w:t>
    </w:r>
    <w:r w:rsidRPr="00271FD3">
      <w:rPr>
        <w:rFonts w:ascii="Times New Roman" w:eastAsia="Times New Roman" w:hAnsi="Times New Roman" w:cs="Times New Roman"/>
        <w:bCs/>
        <w:sz w:val="20"/>
        <w:szCs w:val="20"/>
        <w:lang w:eastAsia="lv-LV"/>
      </w:rPr>
      <w:t xml:space="preserve"> „</w:t>
    </w:r>
    <w:r w:rsidR="005E33FD" w:rsidRPr="005E33FD">
      <w:rPr>
        <w:rFonts w:ascii="Times New Roman" w:hAnsi="Times New Roman" w:cs="Times New Roman"/>
        <w:sz w:val="20"/>
        <w:szCs w:val="20"/>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Pr="00271FD3">
      <w:rPr>
        <w:rFonts w:ascii="Times New Roman" w:eastAsia="Times New Roman" w:hAnsi="Times New Roman" w:cs="Times New Roman"/>
        <w:bCs/>
        <w:sz w:val="20"/>
        <w:szCs w:val="20"/>
        <w:lang w:eastAsia="lv-LV"/>
      </w:rPr>
      <w:t xml:space="preserve">”” sākotnējās ietekmes novērtējuma </w:t>
    </w:r>
    <w:smartTag w:uri="schemas-tilde-lv/tildestengine" w:element="veidnes">
      <w:smartTagPr>
        <w:attr w:name="text" w:val="ziņojums"/>
        <w:attr w:name="baseform" w:val="ziņojums"/>
        <w:attr w:name="id" w:val="-1"/>
      </w:smartTagPr>
      <w:r w:rsidRPr="00271FD3">
        <w:rPr>
          <w:rFonts w:ascii="Times New Roman" w:eastAsia="Times New Roman" w:hAnsi="Times New Roman" w:cs="Times New Roman"/>
          <w:bCs/>
          <w:sz w:val="20"/>
          <w:szCs w:val="20"/>
          <w:lang w:eastAsia="lv-LV"/>
        </w:rPr>
        <w:t>ziņojums</w:t>
      </w:r>
    </w:smartTag>
    <w:r w:rsidRPr="00271FD3">
      <w:rPr>
        <w:rFonts w:ascii="Times New Roman" w:eastAsia="Times New Roman" w:hAnsi="Times New Roman" w:cs="Times New Roman"/>
        <w:bCs/>
        <w:sz w:val="20"/>
        <w:szCs w:val="20"/>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AA08" w14:textId="633FCA45" w:rsidR="003E708D" w:rsidRPr="005E33FD" w:rsidRDefault="005E33FD" w:rsidP="005E33FD">
    <w:pPr>
      <w:shd w:val="clear" w:color="auto" w:fill="FFFFFF"/>
      <w:spacing w:after="0" w:line="240" w:lineRule="auto"/>
      <w:jc w:val="both"/>
      <w:rPr>
        <w:rFonts w:ascii="Times New Roman" w:eastAsia="Times New Roman" w:hAnsi="Times New Roman" w:cs="Times New Roman"/>
        <w:bCs/>
        <w:sz w:val="20"/>
        <w:szCs w:val="20"/>
        <w:lang w:eastAsia="lv-LV"/>
      </w:rPr>
    </w:pPr>
    <w:r w:rsidRPr="00271FD3">
      <w:rPr>
        <w:rFonts w:ascii="Times New Roman" w:hAnsi="Times New Roman" w:cs="Times New Roman"/>
        <w:sz w:val="20"/>
        <w:szCs w:val="20"/>
      </w:rPr>
      <w:fldChar w:fldCharType="begin"/>
    </w:r>
    <w:r w:rsidRPr="00271FD3">
      <w:rPr>
        <w:rFonts w:ascii="Times New Roman" w:hAnsi="Times New Roman" w:cs="Times New Roman"/>
        <w:sz w:val="20"/>
        <w:szCs w:val="20"/>
      </w:rPr>
      <w:instrText xml:space="preserve"> FILENAME </w:instrText>
    </w:r>
    <w:r w:rsidRPr="00271FD3">
      <w:rPr>
        <w:rFonts w:ascii="Times New Roman" w:hAnsi="Times New Roman" w:cs="Times New Roman"/>
        <w:sz w:val="20"/>
        <w:szCs w:val="20"/>
      </w:rPr>
      <w:fldChar w:fldCharType="separate"/>
    </w:r>
    <w:r w:rsidR="00BF471F">
      <w:rPr>
        <w:rFonts w:ascii="Times New Roman" w:hAnsi="Times New Roman" w:cs="Times New Roman"/>
        <w:noProof/>
        <w:sz w:val="20"/>
        <w:szCs w:val="20"/>
      </w:rPr>
      <w:t>IEMAnot_250716_vesel</w:t>
    </w:r>
    <w:r w:rsidRPr="00271FD3">
      <w:rPr>
        <w:rFonts w:ascii="Times New Roman" w:hAnsi="Times New Roman" w:cs="Times New Roman"/>
        <w:sz w:val="20"/>
        <w:szCs w:val="20"/>
      </w:rPr>
      <w:fldChar w:fldCharType="end"/>
    </w:r>
    <w:r w:rsidRPr="00271FD3">
      <w:rPr>
        <w:rFonts w:ascii="Times New Roman" w:hAnsi="Times New Roman" w:cs="Times New Roman"/>
        <w:sz w:val="20"/>
        <w:szCs w:val="20"/>
      </w:rPr>
      <w:t xml:space="preserve">; </w:t>
    </w:r>
    <w:r w:rsidRPr="00271FD3">
      <w:rPr>
        <w:rFonts w:ascii="Times New Roman" w:eastAsia="Times New Roman" w:hAnsi="Times New Roman" w:cs="Times New Roman"/>
        <w:bCs/>
        <w:sz w:val="20"/>
        <w:szCs w:val="20"/>
        <w:lang w:eastAsia="lv-LV"/>
      </w:rPr>
      <w:t>Ministru kabineta noteikumu projekta „Grozījumi Ministru kabineta 201</w:t>
    </w:r>
    <w:r>
      <w:rPr>
        <w:rFonts w:ascii="Times New Roman" w:eastAsia="Times New Roman" w:hAnsi="Times New Roman" w:cs="Times New Roman"/>
        <w:bCs/>
        <w:sz w:val="20"/>
        <w:szCs w:val="20"/>
        <w:lang w:eastAsia="lv-LV"/>
      </w:rPr>
      <w:t>4</w:t>
    </w:r>
    <w:r w:rsidRPr="00271FD3">
      <w:rPr>
        <w:rFonts w:ascii="Times New Roman" w:eastAsia="Times New Roman" w:hAnsi="Times New Roman" w:cs="Times New Roman"/>
        <w:bCs/>
        <w:sz w:val="20"/>
        <w:szCs w:val="20"/>
        <w:lang w:eastAsia="lv-LV"/>
      </w:rPr>
      <w:t xml:space="preserve">.gada </w:t>
    </w:r>
    <w:r>
      <w:rPr>
        <w:rFonts w:ascii="Times New Roman" w:eastAsia="Times New Roman" w:hAnsi="Times New Roman" w:cs="Times New Roman"/>
        <w:bCs/>
        <w:sz w:val="20"/>
        <w:szCs w:val="20"/>
        <w:lang w:eastAsia="lv-LV"/>
      </w:rPr>
      <w:t>11.februāra</w:t>
    </w:r>
    <w:r w:rsidRPr="00271FD3">
      <w:rPr>
        <w:rFonts w:ascii="Times New Roman" w:eastAsia="Times New Roman" w:hAnsi="Times New Roman" w:cs="Times New Roman"/>
        <w:bCs/>
        <w:sz w:val="20"/>
        <w:szCs w:val="20"/>
        <w:lang w:eastAsia="lv-LV"/>
      </w:rPr>
      <w:t xml:space="preserve"> noteikumos Nr.</w:t>
    </w:r>
    <w:r>
      <w:rPr>
        <w:rFonts w:ascii="Times New Roman" w:eastAsia="Times New Roman" w:hAnsi="Times New Roman" w:cs="Times New Roman"/>
        <w:bCs/>
        <w:sz w:val="20"/>
        <w:szCs w:val="20"/>
        <w:lang w:eastAsia="lv-LV"/>
      </w:rPr>
      <w:t>93</w:t>
    </w:r>
    <w:r w:rsidRPr="00271FD3">
      <w:rPr>
        <w:rFonts w:ascii="Times New Roman" w:eastAsia="Times New Roman" w:hAnsi="Times New Roman" w:cs="Times New Roman"/>
        <w:bCs/>
        <w:sz w:val="20"/>
        <w:szCs w:val="20"/>
        <w:lang w:eastAsia="lv-LV"/>
      </w:rPr>
      <w:t xml:space="preserve"> „</w:t>
    </w:r>
    <w:r w:rsidRPr="005E33FD">
      <w:rPr>
        <w:rFonts w:ascii="Times New Roman" w:hAnsi="Times New Roman" w:cs="Times New Roman"/>
        <w:sz w:val="20"/>
        <w:szCs w:val="20"/>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Pr="00271FD3">
      <w:rPr>
        <w:rFonts w:ascii="Times New Roman" w:eastAsia="Times New Roman" w:hAnsi="Times New Roman" w:cs="Times New Roman"/>
        <w:bCs/>
        <w:sz w:val="20"/>
        <w:szCs w:val="20"/>
        <w:lang w:eastAsia="lv-LV"/>
      </w:rPr>
      <w:t xml:space="preserve">”” sākotnējās ietekmes novērtējuma </w:t>
    </w:r>
    <w:smartTag w:uri="schemas-tilde-lv/tildestengine" w:element="veidnes">
      <w:smartTagPr>
        <w:attr w:name="text" w:val="ziņojums"/>
        <w:attr w:name="baseform" w:val="ziņojums"/>
        <w:attr w:name="id" w:val="-1"/>
      </w:smartTagPr>
      <w:r w:rsidRPr="00271FD3">
        <w:rPr>
          <w:rFonts w:ascii="Times New Roman" w:eastAsia="Times New Roman" w:hAnsi="Times New Roman" w:cs="Times New Roman"/>
          <w:bCs/>
          <w:sz w:val="20"/>
          <w:szCs w:val="20"/>
          <w:lang w:eastAsia="lv-LV"/>
        </w:rPr>
        <w:t>ziņojums</w:t>
      </w:r>
    </w:smartTag>
    <w:r w:rsidRPr="00271FD3">
      <w:rPr>
        <w:rFonts w:ascii="Times New Roman" w:eastAsia="Times New Roman" w:hAnsi="Times New Roman" w:cs="Times New Roman"/>
        <w:bCs/>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E856F" w14:textId="77777777" w:rsidR="00AD419E" w:rsidRDefault="00AD419E" w:rsidP="00A61504">
      <w:pPr>
        <w:spacing w:after="0" w:line="240" w:lineRule="auto"/>
      </w:pPr>
      <w:r>
        <w:separator/>
      </w:r>
    </w:p>
  </w:footnote>
  <w:footnote w:type="continuationSeparator" w:id="0">
    <w:p w14:paraId="6897377F" w14:textId="77777777" w:rsidR="00AD419E" w:rsidRDefault="00AD419E"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14:paraId="3DB20096" w14:textId="77777777" w:rsidR="00855CB7" w:rsidRPr="00855CB7" w:rsidRDefault="00EC0E20">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00855CB7"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3C4A4F">
          <w:rPr>
            <w:rFonts w:ascii="Times New Roman" w:hAnsi="Times New Roman" w:cs="Times New Roman"/>
            <w:noProof/>
            <w:sz w:val="20"/>
            <w:szCs w:val="20"/>
          </w:rPr>
          <w:t>2</w:t>
        </w:r>
        <w:r w:rsidRPr="00855CB7">
          <w:rPr>
            <w:rFonts w:ascii="Times New Roman" w:hAnsi="Times New Roman" w:cs="Times New Roman"/>
            <w:noProof/>
            <w:sz w:val="20"/>
            <w:szCs w:val="20"/>
          </w:rPr>
          <w:fldChar w:fldCharType="end"/>
        </w:r>
      </w:p>
    </w:sdtContent>
  </w:sdt>
  <w:p w14:paraId="70CD4B69" w14:textId="77777777" w:rsidR="00855CB7" w:rsidRDefault="00855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E9C"/>
    <w:multiLevelType w:val="hybridMultilevel"/>
    <w:tmpl w:val="DE5E7EEC"/>
    <w:lvl w:ilvl="0" w:tplc="264EF0FE">
      <w:start w:val="1"/>
      <w:numFmt w:val="decimal"/>
      <w:lvlText w:val="%1)"/>
      <w:lvlJc w:val="left"/>
      <w:pPr>
        <w:ind w:left="927" w:hanging="360"/>
      </w:pPr>
      <w:rPr>
        <w:rFonts w:hint="default"/>
        <w:color w:val="auto"/>
      </w:rPr>
    </w:lvl>
    <w:lvl w:ilvl="1" w:tplc="04260019" w:tentative="1">
      <w:start w:val="1"/>
      <w:numFmt w:val="lowerLetter"/>
      <w:lvlText w:val="%2."/>
      <w:lvlJc w:val="left"/>
      <w:pPr>
        <w:ind w:left="2263" w:hanging="360"/>
      </w:pPr>
    </w:lvl>
    <w:lvl w:ilvl="2" w:tplc="0426001B" w:tentative="1">
      <w:start w:val="1"/>
      <w:numFmt w:val="lowerRoman"/>
      <w:lvlText w:val="%3."/>
      <w:lvlJc w:val="right"/>
      <w:pPr>
        <w:ind w:left="2983" w:hanging="180"/>
      </w:pPr>
    </w:lvl>
    <w:lvl w:ilvl="3" w:tplc="0426000F" w:tentative="1">
      <w:start w:val="1"/>
      <w:numFmt w:val="decimal"/>
      <w:lvlText w:val="%4."/>
      <w:lvlJc w:val="left"/>
      <w:pPr>
        <w:ind w:left="3703" w:hanging="360"/>
      </w:pPr>
    </w:lvl>
    <w:lvl w:ilvl="4" w:tplc="04260019" w:tentative="1">
      <w:start w:val="1"/>
      <w:numFmt w:val="lowerLetter"/>
      <w:lvlText w:val="%5."/>
      <w:lvlJc w:val="left"/>
      <w:pPr>
        <w:ind w:left="4423" w:hanging="360"/>
      </w:pPr>
    </w:lvl>
    <w:lvl w:ilvl="5" w:tplc="0426001B" w:tentative="1">
      <w:start w:val="1"/>
      <w:numFmt w:val="lowerRoman"/>
      <w:lvlText w:val="%6."/>
      <w:lvlJc w:val="right"/>
      <w:pPr>
        <w:ind w:left="5143" w:hanging="180"/>
      </w:pPr>
    </w:lvl>
    <w:lvl w:ilvl="6" w:tplc="0426000F" w:tentative="1">
      <w:start w:val="1"/>
      <w:numFmt w:val="decimal"/>
      <w:lvlText w:val="%7."/>
      <w:lvlJc w:val="left"/>
      <w:pPr>
        <w:ind w:left="5863" w:hanging="360"/>
      </w:pPr>
    </w:lvl>
    <w:lvl w:ilvl="7" w:tplc="04260019" w:tentative="1">
      <w:start w:val="1"/>
      <w:numFmt w:val="lowerLetter"/>
      <w:lvlText w:val="%8."/>
      <w:lvlJc w:val="left"/>
      <w:pPr>
        <w:ind w:left="6583" w:hanging="360"/>
      </w:pPr>
    </w:lvl>
    <w:lvl w:ilvl="8" w:tplc="0426001B" w:tentative="1">
      <w:start w:val="1"/>
      <w:numFmt w:val="lowerRoman"/>
      <w:lvlText w:val="%9."/>
      <w:lvlJc w:val="right"/>
      <w:pPr>
        <w:ind w:left="7303" w:hanging="180"/>
      </w:pPr>
    </w:lvl>
  </w:abstractNum>
  <w:abstractNum w:abstractNumId="1" w15:restartNumberingAfterBreak="0">
    <w:nsid w:val="09041EC1"/>
    <w:multiLevelType w:val="hybridMultilevel"/>
    <w:tmpl w:val="F0743D22"/>
    <w:lvl w:ilvl="0" w:tplc="2FF2A8D8">
      <w:start w:val="1"/>
      <w:numFmt w:val="bullet"/>
      <w:lvlText w:val=""/>
      <w:lvlJc w:val="left"/>
      <w:pPr>
        <w:ind w:left="1150" w:hanging="360"/>
      </w:pPr>
      <w:rPr>
        <w:rFonts w:ascii="Symbol" w:hAnsi="Symbol" w:hint="default"/>
      </w:rPr>
    </w:lvl>
    <w:lvl w:ilvl="1" w:tplc="04260003" w:tentative="1">
      <w:start w:val="1"/>
      <w:numFmt w:val="bullet"/>
      <w:lvlText w:val="o"/>
      <w:lvlJc w:val="left"/>
      <w:pPr>
        <w:ind w:left="1870" w:hanging="360"/>
      </w:pPr>
      <w:rPr>
        <w:rFonts w:ascii="Courier New" w:hAnsi="Courier New" w:cs="Courier New" w:hint="default"/>
      </w:rPr>
    </w:lvl>
    <w:lvl w:ilvl="2" w:tplc="04260005" w:tentative="1">
      <w:start w:val="1"/>
      <w:numFmt w:val="bullet"/>
      <w:lvlText w:val=""/>
      <w:lvlJc w:val="left"/>
      <w:pPr>
        <w:ind w:left="2590" w:hanging="360"/>
      </w:pPr>
      <w:rPr>
        <w:rFonts w:ascii="Wingdings" w:hAnsi="Wingdings" w:hint="default"/>
      </w:rPr>
    </w:lvl>
    <w:lvl w:ilvl="3" w:tplc="04260001" w:tentative="1">
      <w:start w:val="1"/>
      <w:numFmt w:val="bullet"/>
      <w:lvlText w:val=""/>
      <w:lvlJc w:val="left"/>
      <w:pPr>
        <w:ind w:left="3310" w:hanging="360"/>
      </w:pPr>
      <w:rPr>
        <w:rFonts w:ascii="Symbol" w:hAnsi="Symbol" w:hint="default"/>
      </w:rPr>
    </w:lvl>
    <w:lvl w:ilvl="4" w:tplc="04260003" w:tentative="1">
      <w:start w:val="1"/>
      <w:numFmt w:val="bullet"/>
      <w:lvlText w:val="o"/>
      <w:lvlJc w:val="left"/>
      <w:pPr>
        <w:ind w:left="4030" w:hanging="360"/>
      </w:pPr>
      <w:rPr>
        <w:rFonts w:ascii="Courier New" w:hAnsi="Courier New" w:cs="Courier New" w:hint="default"/>
      </w:rPr>
    </w:lvl>
    <w:lvl w:ilvl="5" w:tplc="04260005" w:tentative="1">
      <w:start w:val="1"/>
      <w:numFmt w:val="bullet"/>
      <w:lvlText w:val=""/>
      <w:lvlJc w:val="left"/>
      <w:pPr>
        <w:ind w:left="4750" w:hanging="360"/>
      </w:pPr>
      <w:rPr>
        <w:rFonts w:ascii="Wingdings" w:hAnsi="Wingdings" w:hint="default"/>
      </w:rPr>
    </w:lvl>
    <w:lvl w:ilvl="6" w:tplc="04260001" w:tentative="1">
      <w:start w:val="1"/>
      <w:numFmt w:val="bullet"/>
      <w:lvlText w:val=""/>
      <w:lvlJc w:val="left"/>
      <w:pPr>
        <w:ind w:left="5470" w:hanging="360"/>
      </w:pPr>
      <w:rPr>
        <w:rFonts w:ascii="Symbol" w:hAnsi="Symbol" w:hint="default"/>
      </w:rPr>
    </w:lvl>
    <w:lvl w:ilvl="7" w:tplc="04260003" w:tentative="1">
      <w:start w:val="1"/>
      <w:numFmt w:val="bullet"/>
      <w:lvlText w:val="o"/>
      <w:lvlJc w:val="left"/>
      <w:pPr>
        <w:ind w:left="6190" w:hanging="360"/>
      </w:pPr>
      <w:rPr>
        <w:rFonts w:ascii="Courier New" w:hAnsi="Courier New" w:cs="Courier New" w:hint="default"/>
      </w:rPr>
    </w:lvl>
    <w:lvl w:ilvl="8" w:tplc="04260005" w:tentative="1">
      <w:start w:val="1"/>
      <w:numFmt w:val="bullet"/>
      <w:lvlText w:val=""/>
      <w:lvlJc w:val="left"/>
      <w:pPr>
        <w:ind w:left="6910" w:hanging="360"/>
      </w:pPr>
      <w:rPr>
        <w:rFonts w:ascii="Wingdings" w:hAnsi="Wingdings" w:hint="default"/>
      </w:rPr>
    </w:lvl>
  </w:abstractNum>
  <w:abstractNum w:abstractNumId="2" w15:restartNumberingAfterBreak="0">
    <w:nsid w:val="163A6483"/>
    <w:multiLevelType w:val="hybridMultilevel"/>
    <w:tmpl w:val="60482CB0"/>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F8527E"/>
    <w:multiLevelType w:val="hybridMultilevel"/>
    <w:tmpl w:val="82E28FCC"/>
    <w:lvl w:ilvl="0" w:tplc="918AF898">
      <w:start w:val="1"/>
      <w:numFmt w:val="decimal"/>
      <w:lvlText w:val="%1)"/>
      <w:lvlJc w:val="left"/>
      <w:pPr>
        <w:ind w:left="823" w:hanging="360"/>
      </w:pPr>
      <w:rPr>
        <w:rFonts w:hint="default"/>
      </w:rPr>
    </w:lvl>
    <w:lvl w:ilvl="1" w:tplc="04260019" w:tentative="1">
      <w:start w:val="1"/>
      <w:numFmt w:val="lowerLetter"/>
      <w:lvlText w:val="%2."/>
      <w:lvlJc w:val="left"/>
      <w:pPr>
        <w:ind w:left="1543" w:hanging="360"/>
      </w:pPr>
    </w:lvl>
    <w:lvl w:ilvl="2" w:tplc="0426001B" w:tentative="1">
      <w:start w:val="1"/>
      <w:numFmt w:val="lowerRoman"/>
      <w:lvlText w:val="%3."/>
      <w:lvlJc w:val="right"/>
      <w:pPr>
        <w:ind w:left="2263" w:hanging="180"/>
      </w:pPr>
    </w:lvl>
    <w:lvl w:ilvl="3" w:tplc="0426000F" w:tentative="1">
      <w:start w:val="1"/>
      <w:numFmt w:val="decimal"/>
      <w:lvlText w:val="%4."/>
      <w:lvlJc w:val="left"/>
      <w:pPr>
        <w:ind w:left="2983" w:hanging="360"/>
      </w:pPr>
    </w:lvl>
    <w:lvl w:ilvl="4" w:tplc="04260019" w:tentative="1">
      <w:start w:val="1"/>
      <w:numFmt w:val="lowerLetter"/>
      <w:lvlText w:val="%5."/>
      <w:lvlJc w:val="left"/>
      <w:pPr>
        <w:ind w:left="3703" w:hanging="360"/>
      </w:pPr>
    </w:lvl>
    <w:lvl w:ilvl="5" w:tplc="0426001B" w:tentative="1">
      <w:start w:val="1"/>
      <w:numFmt w:val="lowerRoman"/>
      <w:lvlText w:val="%6."/>
      <w:lvlJc w:val="right"/>
      <w:pPr>
        <w:ind w:left="4423" w:hanging="180"/>
      </w:pPr>
    </w:lvl>
    <w:lvl w:ilvl="6" w:tplc="0426000F" w:tentative="1">
      <w:start w:val="1"/>
      <w:numFmt w:val="decimal"/>
      <w:lvlText w:val="%7."/>
      <w:lvlJc w:val="left"/>
      <w:pPr>
        <w:ind w:left="5143" w:hanging="360"/>
      </w:pPr>
    </w:lvl>
    <w:lvl w:ilvl="7" w:tplc="04260019" w:tentative="1">
      <w:start w:val="1"/>
      <w:numFmt w:val="lowerLetter"/>
      <w:lvlText w:val="%8."/>
      <w:lvlJc w:val="left"/>
      <w:pPr>
        <w:ind w:left="5863" w:hanging="360"/>
      </w:pPr>
    </w:lvl>
    <w:lvl w:ilvl="8" w:tplc="0426001B" w:tentative="1">
      <w:start w:val="1"/>
      <w:numFmt w:val="lowerRoman"/>
      <w:lvlText w:val="%9."/>
      <w:lvlJc w:val="right"/>
      <w:pPr>
        <w:ind w:left="6583" w:hanging="180"/>
      </w:pPr>
    </w:lvl>
  </w:abstractNum>
  <w:abstractNum w:abstractNumId="4" w15:restartNumberingAfterBreak="0">
    <w:nsid w:val="47EE2F15"/>
    <w:multiLevelType w:val="hybridMultilevel"/>
    <w:tmpl w:val="EB00DE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0E2263"/>
    <w:multiLevelType w:val="hybridMultilevel"/>
    <w:tmpl w:val="800245A6"/>
    <w:lvl w:ilvl="0" w:tplc="BBF420D8">
      <w:start w:val="7"/>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81151B"/>
    <w:multiLevelType w:val="hybridMultilevel"/>
    <w:tmpl w:val="D8444CC4"/>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00972"/>
    <w:rsid w:val="00016AB4"/>
    <w:rsid w:val="00016B35"/>
    <w:rsid w:val="00041784"/>
    <w:rsid w:val="00044B02"/>
    <w:rsid w:val="00051C7C"/>
    <w:rsid w:val="00053E15"/>
    <w:rsid w:val="0005473B"/>
    <w:rsid w:val="00054844"/>
    <w:rsid w:val="00074F70"/>
    <w:rsid w:val="00081D4F"/>
    <w:rsid w:val="000826E4"/>
    <w:rsid w:val="00082DC3"/>
    <w:rsid w:val="00084469"/>
    <w:rsid w:val="000846D2"/>
    <w:rsid w:val="000852C4"/>
    <w:rsid w:val="00096ACC"/>
    <w:rsid w:val="000A0997"/>
    <w:rsid w:val="000B3E69"/>
    <w:rsid w:val="000E63B9"/>
    <w:rsid w:val="000F575C"/>
    <w:rsid w:val="000F5EDB"/>
    <w:rsid w:val="00115B77"/>
    <w:rsid w:val="001209DA"/>
    <w:rsid w:val="001220EE"/>
    <w:rsid w:val="001240D5"/>
    <w:rsid w:val="00124DE8"/>
    <w:rsid w:val="00134FD1"/>
    <w:rsid w:val="00141042"/>
    <w:rsid w:val="0014215C"/>
    <w:rsid w:val="001447FC"/>
    <w:rsid w:val="00150136"/>
    <w:rsid w:val="00156B92"/>
    <w:rsid w:val="0016645E"/>
    <w:rsid w:val="0016781F"/>
    <w:rsid w:val="00180D09"/>
    <w:rsid w:val="001822D6"/>
    <w:rsid w:val="001835AF"/>
    <w:rsid w:val="0019559F"/>
    <w:rsid w:val="00197033"/>
    <w:rsid w:val="001A0E71"/>
    <w:rsid w:val="001A1494"/>
    <w:rsid w:val="001A5D0F"/>
    <w:rsid w:val="001B04E2"/>
    <w:rsid w:val="001C1EE8"/>
    <w:rsid w:val="001C31FC"/>
    <w:rsid w:val="001C3DD1"/>
    <w:rsid w:val="001D1638"/>
    <w:rsid w:val="001E3E3B"/>
    <w:rsid w:val="001F3CC6"/>
    <w:rsid w:val="001F5BA0"/>
    <w:rsid w:val="002038F6"/>
    <w:rsid w:val="00206EB2"/>
    <w:rsid w:val="00210BD9"/>
    <w:rsid w:val="00216129"/>
    <w:rsid w:val="0022485F"/>
    <w:rsid w:val="00224BF5"/>
    <w:rsid w:val="00230741"/>
    <w:rsid w:val="00235F8C"/>
    <w:rsid w:val="002377F2"/>
    <w:rsid w:val="002402A6"/>
    <w:rsid w:val="00245A2A"/>
    <w:rsid w:val="002462D0"/>
    <w:rsid w:val="00247A31"/>
    <w:rsid w:val="00254C24"/>
    <w:rsid w:val="00256E09"/>
    <w:rsid w:val="00270810"/>
    <w:rsid w:val="00271FD3"/>
    <w:rsid w:val="00287321"/>
    <w:rsid w:val="00290D2B"/>
    <w:rsid w:val="002A7672"/>
    <w:rsid w:val="002B0525"/>
    <w:rsid w:val="002B5C6F"/>
    <w:rsid w:val="002C09CD"/>
    <w:rsid w:val="002C32EE"/>
    <w:rsid w:val="002C5627"/>
    <w:rsid w:val="002D5C93"/>
    <w:rsid w:val="002E58F2"/>
    <w:rsid w:val="002F5DBA"/>
    <w:rsid w:val="00304925"/>
    <w:rsid w:val="0031639C"/>
    <w:rsid w:val="003200D4"/>
    <w:rsid w:val="00325D4B"/>
    <w:rsid w:val="00335A12"/>
    <w:rsid w:val="00341CA2"/>
    <w:rsid w:val="00347D18"/>
    <w:rsid w:val="0035071C"/>
    <w:rsid w:val="003516FF"/>
    <w:rsid w:val="00354570"/>
    <w:rsid w:val="00355A91"/>
    <w:rsid w:val="00364869"/>
    <w:rsid w:val="00365DCA"/>
    <w:rsid w:val="003731E3"/>
    <w:rsid w:val="00373337"/>
    <w:rsid w:val="00375C16"/>
    <w:rsid w:val="00380971"/>
    <w:rsid w:val="003857C3"/>
    <w:rsid w:val="003A1DD1"/>
    <w:rsid w:val="003A29E1"/>
    <w:rsid w:val="003B0372"/>
    <w:rsid w:val="003B106B"/>
    <w:rsid w:val="003B7958"/>
    <w:rsid w:val="003C197A"/>
    <w:rsid w:val="003C2F8A"/>
    <w:rsid w:val="003C4A4F"/>
    <w:rsid w:val="003C79FB"/>
    <w:rsid w:val="003D06C8"/>
    <w:rsid w:val="003D22F9"/>
    <w:rsid w:val="003D511A"/>
    <w:rsid w:val="003E5CDB"/>
    <w:rsid w:val="003E708D"/>
    <w:rsid w:val="00401A47"/>
    <w:rsid w:val="00403E37"/>
    <w:rsid w:val="004101DA"/>
    <w:rsid w:val="00436B92"/>
    <w:rsid w:val="00437605"/>
    <w:rsid w:val="00443B51"/>
    <w:rsid w:val="00461504"/>
    <w:rsid w:val="00487C2F"/>
    <w:rsid w:val="004A5E8E"/>
    <w:rsid w:val="004E5167"/>
    <w:rsid w:val="004E5A28"/>
    <w:rsid w:val="004E62AC"/>
    <w:rsid w:val="004E7E04"/>
    <w:rsid w:val="004F03ED"/>
    <w:rsid w:val="00503555"/>
    <w:rsid w:val="00506090"/>
    <w:rsid w:val="00512226"/>
    <w:rsid w:val="005128C9"/>
    <w:rsid w:val="00514DE3"/>
    <w:rsid w:val="00520B20"/>
    <w:rsid w:val="00532841"/>
    <w:rsid w:val="005328A6"/>
    <w:rsid w:val="00546D87"/>
    <w:rsid w:val="00577823"/>
    <w:rsid w:val="00577B1B"/>
    <w:rsid w:val="00584A28"/>
    <w:rsid w:val="00585207"/>
    <w:rsid w:val="00585ADC"/>
    <w:rsid w:val="00586736"/>
    <w:rsid w:val="005A23F1"/>
    <w:rsid w:val="005B230B"/>
    <w:rsid w:val="005B7A27"/>
    <w:rsid w:val="005C463B"/>
    <w:rsid w:val="005D2FEE"/>
    <w:rsid w:val="005E24F2"/>
    <w:rsid w:val="005E33FD"/>
    <w:rsid w:val="005F147F"/>
    <w:rsid w:val="005F5F42"/>
    <w:rsid w:val="005F6507"/>
    <w:rsid w:val="005F748F"/>
    <w:rsid w:val="00605782"/>
    <w:rsid w:val="0061045B"/>
    <w:rsid w:val="006411AF"/>
    <w:rsid w:val="006425C8"/>
    <w:rsid w:val="00655EBD"/>
    <w:rsid w:val="0066329A"/>
    <w:rsid w:val="006661D5"/>
    <w:rsid w:val="00677F11"/>
    <w:rsid w:val="006821CC"/>
    <w:rsid w:val="00682C86"/>
    <w:rsid w:val="006879ED"/>
    <w:rsid w:val="00690AE4"/>
    <w:rsid w:val="006A5A2A"/>
    <w:rsid w:val="006B4385"/>
    <w:rsid w:val="006C64A9"/>
    <w:rsid w:val="006D2FB7"/>
    <w:rsid w:val="006D5B51"/>
    <w:rsid w:val="006F293E"/>
    <w:rsid w:val="0070188E"/>
    <w:rsid w:val="00712457"/>
    <w:rsid w:val="00714B48"/>
    <w:rsid w:val="0072253D"/>
    <w:rsid w:val="00722701"/>
    <w:rsid w:val="00725EB9"/>
    <w:rsid w:val="00731279"/>
    <w:rsid w:val="00737EE0"/>
    <w:rsid w:val="007417F0"/>
    <w:rsid w:val="00742008"/>
    <w:rsid w:val="007422D0"/>
    <w:rsid w:val="00754E31"/>
    <w:rsid w:val="00757724"/>
    <w:rsid w:val="00765D16"/>
    <w:rsid w:val="00770008"/>
    <w:rsid w:val="00785DC2"/>
    <w:rsid w:val="0078619B"/>
    <w:rsid w:val="007A2C67"/>
    <w:rsid w:val="007A4DA1"/>
    <w:rsid w:val="007B47A3"/>
    <w:rsid w:val="007B64C4"/>
    <w:rsid w:val="007D3F9D"/>
    <w:rsid w:val="007F6B1C"/>
    <w:rsid w:val="00801D2A"/>
    <w:rsid w:val="00805CE6"/>
    <w:rsid w:val="00820FA4"/>
    <w:rsid w:val="0082275D"/>
    <w:rsid w:val="00823C64"/>
    <w:rsid w:val="00835D3E"/>
    <w:rsid w:val="00837ADB"/>
    <w:rsid w:val="00842F70"/>
    <w:rsid w:val="00846B96"/>
    <w:rsid w:val="008472BD"/>
    <w:rsid w:val="00855CB7"/>
    <w:rsid w:val="00855DBD"/>
    <w:rsid w:val="00862769"/>
    <w:rsid w:val="00866BC4"/>
    <w:rsid w:val="0087458C"/>
    <w:rsid w:val="008761BB"/>
    <w:rsid w:val="00887A74"/>
    <w:rsid w:val="00892E48"/>
    <w:rsid w:val="008947A0"/>
    <w:rsid w:val="00896EC8"/>
    <w:rsid w:val="008A74AC"/>
    <w:rsid w:val="008B054B"/>
    <w:rsid w:val="008B2DFF"/>
    <w:rsid w:val="008B76CE"/>
    <w:rsid w:val="008C285E"/>
    <w:rsid w:val="008C768C"/>
    <w:rsid w:val="008D69F2"/>
    <w:rsid w:val="008D7FDC"/>
    <w:rsid w:val="008E35AE"/>
    <w:rsid w:val="008E7C0B"/>
    <w:rsid w:val="008F6E07"/>
    <w:rsid w:val="0090658C"/>
    <w:rsid w:val="00912D53"/>
    <w:rsid w:val="0093413E"/>
    <w:rsid w:val="00945852"/>
    <w:rsid w:val="0095358D"/>
    <w:rsid w:val="00974374"/>
    <w:rsid w:val="00996FF0"/>
    <w:rsid w:val="009B24CA"/>
    <w:rsid w:val="009B4769"/>
    <w:rsid w:val="009C2B1B"/>
    <w:rsid w:val="009D206A"/>
    <w:rsid w:val="009E0EA3"/>
    <w:rsid w:val="00A06E55"/>
    <w:rsid w:val="00A3364E"/>
    <w:rsid w:val="00A35FFC"/>
    <w:rsid w:val="00A36A71"/>
    <w:rsid w:val="00A460AE"/>
    <w:rsid w:val="00A5227C"/>
    <w:rsid w:val="00A52F98"/>
    <w:rsid w:val="00A558DD"/>
    <w:rsid w:val="00A566F7"/>
    <w:rsid w:val="00A5689B"/>
    <w:rsid w:val="00A60365"/>
    <w:rsid w:val="00A61504"/>
    <w:rsid w:val="00A62D4E"/>
    <w:rsid w:val="00A63215"/>
    <w:rsid w:val="00A67847"/>
    <w:rsid w:val="00A74297"/>
    <w:rsid w:val="00A77665"/>
    <w:rsid w:val="00A85A6B"/>
    <w:rsid w:val="00A91388"/>
    <w:rsid w:val="00AA120D"/>
    <w:rsid w:val="00AD1C43"/>
    <w:rsid w:val="00AD419E"/>
    <w:rsid w:val="00AD6281"/>
    <w:rsid w:val="00AE4231"/>
    <w:rsid w:val="00AF0E63"/>
    <w:rsid w:val="00AF6FD6"/>
    <w:rsid w:val="00AF709E"/>
    <w:rsid w:val="00AF792F"/>
    <w:rsid w:val="00B02DA4"/>
    <w:rsid w:val="00B26B50"/>
    <w:rsid w:val="00B3221A"/>
    <w:rsid w:val="00B4568A"/>
    <w:rsid w:val="00B46A36"/>
    <w:rsid w:val="00B529B1"/>
    <w:rsid w:val="00B62802"/>
    <w:rsid w:val="00B62F21"/>
    <w:rsid w:val="00B6540B"/>
    <w:rsid w:val="00B717C8"/>
    <w:rsid w:val="00B75806"/>
    <w:rsid w:val="00B834D1"/>
    <w:rsid w:val="00BA6CFF"/>
    <w:rsid w:val="00BC2612"/>
    <w:rsid w:val="00BD28C9"/>
    <w:rsid w:val="00BD7652"/>
    <w:rsid w:val="00BE3027"/>
    <w:rsid w:val="00BF2162"/>
    <w:rsid w:val="00BF30CA"/>
    <w:rsid w:val="00BF471F"/>
    <w:rsid w:val="00BF5EB1"/>
    <w:rsid w:val="00C10A0C"/>
    <w:rsid w:val="00C12B7A"/>
    <w:rsid w:val="00C262B5"/>
    <w:rsid w:val="00C34E13"/>
    <w:rsid w:val="00C37F35"/>
    <w:rsid w:val="00C40A99"/>
    <w:rsid w:val="00C64349"/>
    <w:rsid w:val="00C72217"/>
    <w:rsid w:val="00C7368F"/>
    <w:rsid w:val="00C737E4"/>
    <w:rsid w:val="00C801FF"/>
    <w:rsid w:val="00C8414C"/>
    <w:rsid w:val="00C85076"/>
    <w:rsid w:val="00C86A3E"/>
    <w:rsid w:val="00C9130D"/>
    <w:rsid w:val="00CA2883"/>
    <w:rsid w:val="00CB49D0"/>
    <w:rsid w:val="00CC3185"/>
    <w:rsid w:val="00CD6B8D"/>
    <w:rsid w:val="00CD7A63"/>
    <w:rsid w:val="00CF707C"/>
    <w:rsid w:val="00D10AA5"/>
    <w:rsid w:val="00D31EF8"/>
    <w:rsid w:val="00D447C5"/>
    <w:rsid w:val="00D5794E"/>
    <w:rsid w:val="00D62AE2"/>
    <w:rsid w:val="00D72D3B"/>
    <w:rsid w:val="00D8002D"/>
    <w:rsid w:val="00D95DAE"/>
    <w:rsid w:val="00DA274C"/>
    <w:rsid w:val="00DC709C"/>
    <w:rsid w:val="00DD3B9B"/>
    <w:rsid w:val="00DD43F5"/>
    <w:rsid w:val="00DD5401"/>
    <w:rsid w:val="00DD6291"/>
    <w:rsid w:val="00DE1A2B"/>
    <w:rsid w:val="00DE1E3E"/>
    <w:rsid w:val="00DF66DD"/>
    <w:rsid w:val="00DF6C11"/>
    <w:rsid w:val="00E12565"/>
    <w:rsid w:val="00E307F8"/>
    <w:rsid w:val="00E35508"/>
    <w:rsid w:val="00E53494"/>
    <w:rsid w:val="00E7168C"/>
    <w:rsid w:val="00E7737A"/>
    <w:rsid w:val="00E77C78"/>
    <w:rsid w:val="00E821CC"/>
    <w:rsid w:val="00E836FA"/>
    <w:rsid w:val="00E9092E"/>
    <w:rsid w:val="00E90B4E"/>
    <w:rsid w:val="00EB0184"/>
    <w:rsid w:val="00EC0E20"/>
    <w:rsid w:val="00ED0601"/>
    <w:rsid w:val="00EE74BD"/>
    <w:rsid w:val="00F17271"/>
    <w:rsid w:val="00F22782"/>
    <w:rsid w:val="00F27D5C"/>
    <w:rsid w:val="00F3470A"/>
    <w:rsid w:val="00F34B1D"/>
    <w:rsid w:val="00F47DF8"/>
    <w:rsid w:val="00F569CA"/>
    <w:rsid w:val="00F62295"/>
    <w:rsid w:val="00F630C7"/>
    <w:rsid w:val="00F6405A"/>
    <w:rsid w:val="00F670AE"/>
    <w:rsid w:val="00F775EA"/>
    <w:rsid w:val="00F841AE"/>
    <w:rsid w:val="00FA4C27"/>
    <w:rsid w:val="00FA66F6"/>
    <w:rsid w:val="00FB1F2E"/>
    <w:rsid w:val="00FB7D9C"/>
    <w:rsid w:val="00FC5C3B"/>
    <w:rsid w:val="00FD723F"/>
    <w:rsid w:val="00FE4EF0"/>
    <w:rsid w:val="00FF6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1BF51C1"/>
  <w15:docId w15:val="{667B6C86-4297-4BEE-B341-263C50BE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4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08"/>
    <w:rPr>
      <w:rFonts w:ascii="Tahoma" w:hAnsi="Tahoma" w:cs="Tahoma"/>
      <w:sz w:val="16"/>
      <w:szCs w:val="16"/>
    </w:rPr>
  </w:style>
  <w:style w:type="paragraph" w:styleId="ListParagraph">
    <w:name w:val="List Paragraph"/>
    <w:basedOn w:val="Normal"/>
    <w:uiPriority w:val="34"/>
    <w:qFormat/>
    <w:rsid w:val="00FB1F2E"/>
    <w:pPr>
      <w:ind w:left="720"/>
      <w:contextualSpacing/>
    </w:pPr>
  </w:style>
  <w:style w:type="character" w:customStyle="1" w:styleId="tvhtml">
    <w:name w:val="tv_html"/>
    <w:basedOn w:val="DefaultParagraphFont"/>
    <w:rsid w:val="008C768C"/>
  </w:style>
  <w:style w:type="paragraph" w:customStyle="1" w:styleId="tv213">
    <w:name w:val="tv213"/>
    <w:basedOn w:val="Normal"/>
    <w:rsid w:val="007124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677F1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677F11"/>
    <w:rPr>
      <w:rFonts w:ascii="Times New Roman" w:eastAsia="Times New Roman" w:hAnsi="Times New Roman" w:cs="Times New Roman"/>
      <w:sz w:val="20"/>
      <w:szCs w:val="20"/>
      <w:lang w:eastAsia="lv-LV"/>
    </w:rPr>
  </w:style>
  <w:style w:type="character" w:styleId="FootnoteReference">
    <w:name w:val="footnote reference"/>
    <w:semiHidden/>
    <w:rsid w:val="00677F11"/>
    <w:rPr>
      <w:vertAlign w:val="superscript"/>
    </w:rPr>
  </w:style>
  <w:style w:type="character" w:styleId="CommentReference">
    <w:name w:val="annotation reference"/>
    <w:basedOn w:val="DefaultParagraphFont"/>
    <w:uiPriority w:val="99"/>
    <w:semiHidden/>
    <w:unhideWhenUsed/>
    <w:rsid w:val="00677F11"/>
    <w:rPr>
      <w:sz w:val="16"/>
      <w:szCs w:val="16"/>
    </w:rPr>
  </w:style>
  <w:style w:type="paragraph" w:styleId="CommentText">
    <w:name w:val="annotation text"/>
    <w:basedOn w:val="Normal"/>
    <w:link w:val="CommentTextChar"/>
    <w:uiPriority w:val="99"/>
    <w:semiHidden/>
    <w:unhideWhenUsed/>
    <w:rsid w:val="00677F11"/>
    <w:pPr>
      <w:spacing w:line="240" w:lineRule="auto"/>
    </w:pPr>
    <w:rPr>
      <w:sz w:val="20"/>
      <w:szCs w:val="20"/>
    </w:rPr>
  </w:style>
  <w:style w:type="character" w:customStyle="1" w:styleId="CommentTextChar">
    <w:name w:val="Comment Text Char"/>
    <w:basedOn w:val="DefaultParagraphFont"/>
    <w:link w:val="CommentText"/>
    <w:uiPriority w:val="99"/>
    <w:semiHidden/>
    <w:rsid w:val="00677F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03236">
      <w:bodyDiv w:val="1"/>
      <w:marLeft w:val="0"/>
      <w:marRight w:val="0"/>
      <w:marTop w:val="0"/>
      <w:marBottom w:val="0"/>
      <w:divBdr>
        <w:top w:val="none" w:sz="0" w:space="0" w:color="auto"/>
        <w:left w:val="none" w:sz="0" w:space="0" w:color="auto"/>
        <w:bottom w:val="none" w:sz="0" w:space="0" w:color="auto"/>
        <w:right w:val="none" w:sz="0" w:space="0" w:color="auto"/>
      </w:divBdr>
    </w:div>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543834324">
      <w:bodyDiv w:val="1"/>
      <w:marLeft w:val="0"/>
      <w:marRight w:val="0"/>
      <w:marTop w:val="0"/>
      <w:marBottom w:val="0"/>
      <w:divBdr>
        <w:top w:val="none" w:sz="0" w:space="0" w:color="auto"/>
        <w:left w:val="none" w:sz="0" w:space="0" w:color="auto"/>
        <w:bottom w:val="none" w:sz="0" w:space="0" w:color="auto"/>
        <w:right w:val="none" w:sz="0" w:space="0" w:color="auto"/>
      </w:divBdr>
    </w:div>
    <w:div w:id="710031946">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88087">
      <w:bodyDiv w:val="1"/>
      <w:marLeft w:val="0"/>
      <w:marRight w:val="0"/>
      <w:marTop w:val="0"/>
      <w:marBottom w:val="0"/>
      <w:divBdr>
        <w:top w:val="none" w:sz="0" w:space="0" w:color="auto"/>
        <w:left w:val="none" w:sz="0" w:space="0" w:color="auto"/>
        <w:bottom w:val="none" w:sz="0" w:space="0" w:color="auto"/>
        <w:right w:val="none" w:sz="0" w:space="0" w:color="auto"/>
      </w:divBdr>
    </w:div>
    <w:div w:id="1517577678">
      <w:bodyDiv w:val="1"/>
      <w:marLeft w:val="0"/>
      <w:marRight w:val="0"/>
      <w:marTop w:val="0"/>
      <w:marBottom w:val="0"/>
      <w:divBdr>
        <w:top w:val="none" w:sz="0" w:space="0" w:color="auto"/>
        <w:left w:val="none" w:sz="0" w:space="0" w:color="auto"/>
        <w:bottom w:val="none" w:sz="0" w:space="0" w:color="auto"/>
        <w:right w:val="none" w:sz="0" w:space="0" w:color="auto"/>
      </w:divBdr>
    </w:div>
    <w:div w:id="20443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misus@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2485-AC13-4B9C-A480-2C208154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9108</Words>
  <Characters>5192</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kabienta noteikumu projektam "Grozījumi Ministru kabineta 2014. gada 11. februāra noteikumos Nr. 93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dc:title>
  <dc:creator>I.Misus</dc:creator>
  <dc:description>I.Misus 67829852 irena.misus@iem.gov.lv</dc:description>
  <cp:lastModifiedBy>Linda Gersone</cp:lastModifiedBy>
  <cp:revision>4</cp:revision>
  <cp:lastPrinted>2016-07-25T08:31:00Z</cp:lastPrinted>
  <dcterms:created xsi:type="dcterms:W3CDTF">2016-07-25T08:31:00Z</dcterms:created>
  <dcterms:modified xsi:type="dcterms:W3CDTF">2016-07-26T07:29:00Z</dcterms:modified>
</cp:coreProperties>
</file>