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E" w:rsidRPr="00495AE6" w:rsidRDefault="0019233E" w:rsidP="0019233E">
      <w:pPr>
        <w:pStyle w:val="naislab"/>
        <w:spacing w:before="0" w:after="0"/>
        <w:jc w:val="center"/>
        <w:outlineLvl w:val="0"/>
        <w:rPr>
          <w:b/>
          <w:bCs/>
        </w:rPr>
      </w:pPr>
      <w:r w:rsidRPr="00495AE6">
        <w:rPr>
          <w:b/>
          <w:bCs/>
        </w:rPr>
        <w:t>Ministru kabineta rīkojuma projekta „</w:t>
      </w:r>
      <w:r w:rsidR="00A5492F" w:rsidRPr="00495AE6">
        <w:rPr>
          <w:b/>
          <w:bCs/>
        </w:rPr>
        <w:t>Grozījum</w:t>
      </w:r>
      <w:r w:rsidR="006C05DA" w:rsidRPr="00495AE6">
        <w:rPr>
          <w:b/>
          <w:bCs/>
        </w:rPr>
        <w:t>i</w:t>
      </w:r>
      <w:r w:rsidRPr="00495AE6">
        <w:rPr>
          <w:b/>
          <w:bCs/>
        </w:rPr>
        <w:t xml:space="preserve"> Ministru kabineta 2011.gada 27.jūlija rīkojumā Nr.347 </w:t>
      </w:r>
      <w:r w:rsidR="00313739" w:rsidRPr="00495AE6">
        <w:rPr>
          <w:b/>
          <w:bCs/>
        </w:rPr>
        <w:t>„</w:t>
      </w:r>
      <w:r w:rsidRPr="00495AE6">
        <w:rPr>
          <w:b/>
          <w:bCs/>
        </w:rPr>
        <w:t xml:space="preserve">Par informācijas sistēmas darbības koncepcijas aprakstu </w:t>
      </w:r>
      <w:r w:rsidR="00313739" w:rsidRPr="00495AE6">
        <w:rPr>
          <w:b/>
          <w:bCs/>
        </w:rPr>
        <w:t>„</w:t>
      </w:r>
      <w:r w:rsidRPr="00495AE6">
        <w:rPr>
          <w:b/>
          <w:bCs/>
        </w:rPr>
        <w:t>Pasu sistēmas un Vienotās migrācijas informācijas sistēmas attīstība elektronisko identifikācijas karšu un elektronisko uzturēšanās atļauju (karšu) izsniegšanai</w:t>
      </w:r>
      <w:r w:rsidR="00313739" w:rsidRPr="00495AE6">
        <w:rPr>
          <w:b/>
          <w:bCs/>
        </w:rPr>
        <w:t>””</w:t>
      </w:r>
      <w:r w:rsidRPr="00495AE6">
        <w:rPr>
          <w:b/>
          <w:bCs/>
        </w:rPr>
        <w:t xml:space="preserve"> sākotnējās ietekmes novērtējuma </w:t>
      </w:r>
      <w:smartTag w:uri="schemas-tilde-lv/tildestengine" w:element="veidnes">
        <w:smartTagPr>
          <w:attr w:name="id" w:val="-1"/>
          <w:attr w:name="baseform" w:val="ziņojums"/>
          <w:attr w:name="text" w:val="ziņojums"/>
        </w:smartTagPr>
        <w:r w:rsidRPr="00495AE6">
          <w:rPr>
            <w:b/>
            <w:bCs/>
          </w:rPr>
          <w:t>ziņojums</w:t>
        </w:r>
      </w:smartTag>
      <w:r w:rsidRPr="00495AE6">
        <w:rPr>
          <w:b/>
          <w:bCs/>
        </w:rPr>
        <w:t xml:space="preserve"> (anotācija)</w:t>
      </w:r>
    </w:p>
    <w:p w:rsidR="006C05DA" w:rsidRPr="00495AE6" w:rsidRDefault="006C05DA" w:rsidP="0019233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495AE6"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F50741" w:rsidRPr="00495AE6" w:rsidTr="00EC362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6C05DA">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F50741" w:rsidRPr="00EA3DBA" w:rsidRDefault="00EA3DBA" w:rsidP="00CB6C74">
            <w:pPr>
              <w:pStyle w:val="Heading3"/>
              <w:spacing w:after="0"/>
              <w:jc w:val="both"/>
              <w:rPr>
                <w:b w:val="0"/>
                <w:sz w:val="24"/>
                <w:szCs w:val="24"/>
                <w:lang w:eastAsia="en-US"/>
              </w:rPr>
            </w:pPr>
            <w:r w:rsidRPr="00EA3DBA">
              <w:rPr>
                <w:b w:val="0"/>
                <w:sz w:val="24"/>
                <w:szCs w:val="24"/>
                <w:lang w:eastAsia="en-US"/>
              </w:rPr>
              <w:t xml:space="preserve">Ministru kabineta </w:t>
            </w:r>
            <w:r>
              <w:rPr>
                <w:b w:val="0"/>
                <w:sz w:val="24"/>
                <w:szCs w:val="24"/>
                <w:lang w:eastAsia="en-US"/>
              </w:rPr>
              <w:t xml:space="preserve">2011.gada 27.jūlija rīkojuma Nr.347 </w:t>
            </w:r>
            <w:r w:rsidRPr="00EA3DBA">
              <w:rPr>
                <w:b w:val="0"/>
                <w:sz w:val="24"/>
                <w:szCs w:val="24"/>
                <w:lang w:eastAsia="en-US"/>
              </w:rPr>
              <w:t xml:space="preserve"> </w:t>
            </w:r>
            <w:r>
              <w:rPr>
                <w:b w:val="0"/>
                <w:sz w:val="24"/>
                <w:szCs w:val="24"/>
                <w:lang w:eastAsia="en-US"/>
              </w:rPr>
              <w:t>(prot. Nr.44 37.§) “</w:t>
            </w:r>
            <w:r w:rsidRPr="00EA3DBA">
              <w:rPr>
                <w:b w:val="0"/>
                <w:sz w:val="24"/>
                <w:szCs w:val="24"/>
                <w:lang w:eastAsia="en-US"/>
              </w:rPr>
              <w:t>Par informācijas sistēmas darbības koncepcijas aprakstu "Pasu sistēmas un Vienotās migrācijas informācijas sistēmas attīstība elektronisko identifikācijas karšu un elektronisko uzturēšanās atļauju (karšu) izsniegšanai"</w:t>
            </w:r>
            <w:r w:rsidR="00CB6C74">
              <w:rPr>
                <w:b w:val="0"/>
                <w:sz w:val="24"/>
                <w:szCs w:val="24"/>
                <w:lang w:eastAsia="en-US"/>
              </w:rPr>
              <w:t xml:space="preserve"> (turpmāk – Rīkojums)</w:t>
            </w:r>
            <w:r>
              <w:rPr>
                <w:b w:val="0"/>
                <w:sz w:val="24"/>
                <w:szCs w:val="24"/>
                <w:lang w:eastAsia="en-US"/>
              </w:rPr>
              <w:t xml:space="preserve"> </w:t>
            </w:r>
            <w:r w:rsidRPr="00EA3DBA">
              <w:rPr>
                <w:b w:val="0"/>
                <w:sz w:val="24"/>
                <w:szCs w:val="24"/>
                <w:lang w:eastAsia="en-US"/>
              </w:rPr>
              <w:t>6.</w:t>
            </w:r>
            <w:r w:rsidR="00CB6C74">
              <w:rPr>
                <w:b w:val="0"/>
                <w:sz w:val="24"/>
                <w:szCs w:val="24"/>
                <w:lang w:eastAsia="en-US"/>
              </w:rPr>
              <w:t>punkts, kas nosaka, ka</w:t>
            </w:r>
            <w:r w:rsidRPr="00EA3DBA">
              <w:rPr>
                <w:b w:val="0"/>
                <w:sz w:val="24"/>
                <w:szCs w:val="24"/>
                <w:lang w:eastAsia="en-US"/>
              </w:rPr>
              <w:t xml:space="preserve"> Iekšlietu ministrijai, ņemot vērā faktiskos pasu un personas apliecību izsniegšanas apjomus, kā arī citus ieņēmumu un izdevumu apmēru ietekmējošus faktorus, ja nepieciešams, precizēt šā rīkojuma 7.4., 7.5. un 7.6. apakšpunktā minēto izdevumu un 9. punktā minēto ieņēmumu apmēru, kā arī veikt ieņēmumu un izdevumu aprēķinus turpmākajiem gadiem</w:t>
            </w:r>
            <w:r w:rsidR="00CB6C74">
              <w:rPr>
                <w:b w:val="0"/>
                <w:sz w:val="24"/>
                <w:szCs w:val="24"/>
                <w:lang w:eastAsia="en-US"/>
              </w:rPr>
              <w:t>.</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972678" w:rsidRDefault="00972678" w:rsidP="00972678">
            <w:pPr>
              <w:jc w:val="both"/>
              <w:rPr>
                <w:rFonts w:ascii="Times New Roman" w:hAnsi="Times New Roman" w:cs="Times New Roman"/>
                <w:sz w:val="24"/>
                <w:szCs w:val="24"/>
              </w:rPr>
            </w:pPr>
            <w:r w:rsidRPr="00495AE6">
              <w:rPr>
                <w:rFonts w:ascii="Times New Roman" w:hAnsi="Times New Roman" w:cs="Times New Roman"/>
                <w:sz w:val="24"/>
                <w:szCs w:val="24"/>
              </w:rPr>
              <w:t xml:space="preserve">Saskaņā ar </w:t>
            </w:r>
            <w:r w:rsidR="00CB6C74">
              <w:rPr>
                <w:rFonts w:ascii="Times New Roman" w:hAnsi="Times New Roman" w:cs="Times New Roman"/>
                <w:sz w:val="24"/>
                <w:szCs w:val="24"/>
              </w:rPr>
              <w:t xml:space="preserve">Rīkojuma </w:t>
            </w:r>
            <w:r w:rsidRPr="00495AE6">
              <w:rPr>
                <w:rFonts w:ascii="Times New Roman" w:hAnsi="Times New Roman" w:cs="Times New Roman"/>
                <w:sz w:val="24"/>
                <w:szCs w:val="24"/>
              </w:rPr>
              <w:t xml:space="preserve">6.punktu Iekšlietu ministrijai dots uzdevums, ņemot vērā faktiskos pasu un personas apliecību izsniegšanas apjomus, kā arī citus ieņēmumu un izdevumu apmēru ietekmējošus faktorus, </w:t>
            </w:r>
            <w:r w:rsidR="00CB6C74">
              <w:rPr>
                <w:rFonts w:ascii="Times New Roman" w:hAnsi="Times New Roman" w:cs="Times New Roman"/>
                <w:sz w:val="24"/>
                <w:szCs w:val="24"/>
              </w:rPr>
              <w:t xml:space="preserve">precizēt Rīkojuma </w:t>
            </w:r>
            <w:r w:rsidR="00CB6C74" w:rsidRPr="00CB6C74">
              <w:rPr>
                <w:rFonts w:ascii="Times New Roman" w:hAnsi="Times New Roman" w:cs="Times New Roman"/>
                <w:sz w:val="24"/>
                <w:szCs w:val="24"/>
              </w:rPr>
              <w:t>7.4., 7.5. un 7.6. apakšpunktā minēto izdevumu un 9. punktā minēto ieņēmumu apmēru</w:t>
            </w:r>
            <w:r w:rsidR="00CB6C74">
              <w:rPr>
                <w:rFonts w:ascii="Times New Roman" w:hAnsi="Times New Roman" w:cs="Times New Roman"/>
                <w:sz w:val="24"/>
                <w:szCs w:val="24"/>
              </w:rPr>
              <w:t>, kā arī veikt ieņēmumu un izdevumu aprēķinus turpmākajiem gadiem.</w:t>
            </w:r>
          </w:p>
          <w:p w:rsidR="00CB6C74" w:rsidRDefault="00CB6C74" w:rsidP="00972678">
            <w:pPr>
              <w:jc w:val="both"/>
              <w:rPr>
                <w:rFonts w:ascii="Times New Roman" w:hAnsi="Times New Roman" w:cs="Times New Roman"/>
                <w:sz w:val="24"/>
                <w:szCs w:val="24"/>
              </w:rPr>
            </w:pPr>
            <w:r>
              <w:rPr>
                <w:rFonts w:ascii="Times New Roman" w:hAnsi="Times New Roman" w:cs="Times New Roman"/>
                <w:sz w:val="24"/>
                <w:szCs w:val="24"/>
              </w:rPr>
              <w:t>Izvērtējot faktiskos personu apliecinošu dokumentu izsniegšanas apjomus 2016.gada pirmajā pusgadā, kā arī citus faktorus, kas nākotnē var ietekmēt pieprasījumu pēc personu apliecino</w:t>
            </w:r>
            <w:r w:rsidR="00636196">
              <w:rPr>
                <w:rFonts w:ascii="Times New Roman" w:hAnsi="Times New Roman" w:cs="Times New Roman"/>
                <w:sz w:val="24"/>
                <w:szCs w:val="24"/>
              </w:rPr>
              <w:t xml:space="preserve">šiem dokumentiem, </w:t>
            </w:r>
            <w:r w:rsidR="009D2C20">
              <w:rPr>
                <w:rFonts w:ascii="Times New Roman" w:hAnsi="Times New Roman" w:cs="Times New Roman"/>
                <w:sz w:val="24"/>
                <w:szCs w:val="24"/>
              </w:rPr>
              <w:t>nepieciešams</w:t>
            </w:r>
            <w:r w:rsidR="00636196">
              <w:rPr>
                <w:rFonts w:ascii="Times New Roman" w:hAnsi="Times New Roman" w:cs="Times New Roman"/>
                <w:sz w:val="24"/>
                <w:szCs w:val="24"/>
              </w:rPr>
              <w:t xml:space="preserve"> precizēt Rīkojuma 9. punktā minētos prognozējamos ieņēmumu apmērus no klientu samaksātajām valsts nodevām par pasu un personas apliecību izsniegšanu 2017. un 2018.gadā, kā arī noteikt ieņēmumu apmēru 2019.gadā.</w:t>
            </w:r>
            <w:r w:rsidR="005D0016">
              <w:rPr>
                <w:rFonts w:ascii="Times New Roman" w:hAnsi="Times New Roman" w:cs="Times New Roman"/>
                <w:sz w:val="24"/>
                <w:szCs w:val="24"/>
              </w:rPr>
              <w:t xml:space="preserve"> Korekcijas ieņēmumu prognozēs saistītas ar to, ka pieprasījums pēc nepilsoņa pases izsniegšanas samazinās saistībā ar naturalizāciju un demogrāfijas tendencēm, vienlaikus faktiskais pieprasījums pēc trešās valsts pilsoņa personas apliec</w:t>
            </w:r>
            <w:r w:rsidR="00201221">
              <w:rPr>
                <w:rFonts w:ascii="Times New Roman" w:hAnsi="Times New Roman" w:cs="Times New Roman"/>
                <w:sz w:val="24"/>
                <w:szCs w:val="24"/>
              </w:rPr>
              <w:t xml:space="preserve">ības </w:t>
            </w:r>
            <w:r w:rsidR="005D0016">
              <w:rPr>
                <w:rFonts w:ascii="Times New Roman" w:hAnsi="Times New Roman" w:cs="Times New Roman"/>
                <w:sz w:val="24"/>
                <w:szCs w:val="24"/>
              </w:rPr>
              <w:t xml:space="preserve">ir augstāks nekā prognozētais, jo </w:t>
            </w:r>
            <w:r w:rsidR="00201221">
              <w:rPr>
                <w:rFonts w:ascii="Times New Roman" w:hAnsi="Times New Roman" w:cs="Times New Roman"/>
                <w:sz w:val="24"/>
                <w:szCs w:val="24"/>
              </w:rPr>
              <w:t xml:space="preserve">iepriekšējā prognozē netika vērtēts termiņuzturēšanās atļaujas kartes atjaunošanas biežums. Lai gan pilsoņu personas apliecību izsniegšanas apjoms 2016.gadā vēl joprojām atpaliek no prognozētā, </w:t>
            </w:r>
            <w:proofErr w:type="spellStart"/>
            <w:r w:rsidR="00201221">
              <w:rPr>
                <w:rFonts w:ascii="Times New Roman" w:hAnsi="Times New Roman" w:cs="Times New Roman"/>
                <w:sz w:val="24"/>
                <w:szCs w:val="24"/>
              </w:rPr>
              <w:t>eID</w:t>
            </w:r>
            <w:proofErr w:type="spellEnd"/>
            <w:r w:rsidR="00201221">
              <w:rPr>
                <w:rFonts w:ascii="Times New Roman" w:hAnsi="Times New Roman" w:cs="Times New Roman"/>
                <w:sz w:val="24"/>
                <w:szCs w:val="24"/>
              </w:rPr>
              <w:t xml:space="preserve"> karšu e-iespēju izmantošana</w:t>
            </w:r>
            <w:r w:rsidR="007C6035">
              <w:rPr>
                <w:rFonts w:ascii="Times New Roman" w:hAnsi="Times New Roman" w:cs="Times New Roman"/>
                <w:sz w:val="24"/>
                <w:szCs w:val="24"/>
              </w:rPr>
              <w:t xml:space="preserve"> piekļuvei</w:t>
            </w:r>
            <w:r w:rsidR="00201221">
              <w:rPr>
                <w:rFonts w:ascii="Times New Roman" w:hAnsi="Times New Roman" w:cs="Times New Roman"/>
                <w:sz w:val="24"/>
                <w:szCs w:val="24"/>
              </w:rPr>
              <w:t xml:space="preserve"> e-vesel</w:t>
            </w:r>
            <w:r w:rsidR="007C6035">
              <w:rPr>
                <w:rFonts w:ascii="Times New Roman" w:hAnsi="Times New Roman" w:cs="Times New Roman"/>
                <w:sz w:val="24"/>
                <w:szCs w:val="24"/>
              </w:rPr>
              <w:t xml:space="preserve">ības pakalpojumiem no 2017.gada, e-paraksta izplatības tendences un potenciālais pielietojums sabiedriskā transporta jomā (kompensēto </w:t>
            </w:r>
            <w:r w:rsidR="007C6035">
              <w:rPr>
                <w:rFonts w:ascii="Times New Roman" w:hAnsi="Times New Roman" w:cs="Times New Roman"/>
                <w:sz w:val="24"/>
                <w:szCs w:val="24"/>
              </w:rPr>
              <w:lastRenderedPageBreak/>
              <w:t xml:space="preserve">braucienu reģistrācija ar </w:t>
            </w:r>
            <w:proofErr w:type="spellStart"/>
            <w:r w:rsidR="007C6035">
              <w:rPr>
                <w:rFonts w:ascii="Times New Roman" w:hAnsi="Times New Roman" w:cs="Times New Roman"/>
                <w:sz w:val="24"/>
                <w:szCs w:val="24"/>
              </w:rPr>
              <w:t>eID</w:t>
            </w:r>
            <w:proofErr w:type="spellEnd"/>
            <w:r w:rsidR="007C6035">
              <w:rPr>
                <w:rFonts w:ascii="Times New Roman" w:hAnsi="Times New Roman" w:cs="Times New Roman"/>
                <w:sz w:val="24"/>
                <w:szCs w:val="24"/>
              </w:rPr>
              <w:t xml:space="preserve"> karti) kopumā ļauj pieturēties pie līdzšinējās prognozes turpmākajiem gadiem.</w:t>
            </w:r>
          </w:p>
          <w:p w:rsidR="00BE2B64" w:rsidRPr="00BE2B64" w:rsidRDefault="007C6035" w:rsidP="009D2C20">
            <w:pPr>
              <w:jc w:val="both"/>
              <w:rPr>
                <w:rFonts w:ascii="Times New Roman" w:hAnsi="Times New Roman" w:cs="Times New Roman"/>
                <w:sz w:val="24"/>
                <w:szCs w:val="24"/>
              </w:rPr>
            </w:pPr>
            <w:r>
              <w:rPr>
                <w:rFonts w:ascii="Times New Roman" w:hAnsi="Times New Roman" w:cs="Times New Roman"/>
                <w:sz w:val="24"/>
                <w:szCs w:val="24"/>
              </w:rPr>
              <w:t xml:space="preserve">Lai </w:t>
            </w:r>
            <w:r w:rsidRPr="007C6035">
              <w:rPr>
                <w:rFonts w:ascii="Times New Roman" w:hAnsi="Times New Roman" w:cs="Times New Roman"/>
                <w:sz w:val="24"/>
                <w:szCs w:val="24"/>
              </w:rPr>
              <w:t>likumprojektā “Par vidēja termiņa budžeta ietvaru 2017., 2018. un 2019.gadam”</w:t>
            </w:r>
            <w:r>
              <w:rPr>
                <w:rFonts w:ascii="Times New Roman" w:hAnsi="Times New Roman" w:cs="Times New Roman"/>
                <w:sz w:val="24"/>
                <w:szCs w:val="24"/>
              </w:rPr>
              <w:t xml:space="preserve"> </w:t>
            </w:r>
            <w:r w:rsidR="009D2C20">
              <w:rPr>
                <w:rFonts w:ascii="Times New Roman" w:hAnsi="Times New Roman" w:cs="Times New Roman"/>
                <w:sz w:val="24"/>
                <w:szCs w:val="24"/>
              </w:rPr>
              <w:t xml:space="preserve">iekļautu nepieciešamos izdevumus </w:t>
            </w:r>
            <w:r w:rsidR="00BE2B64" w:rsidRPr="00BE2B64">
              <w:rPr>
                <w:rFonts w:ascii="Times New Roman" w:hAnsi="Times New Roman" w:cs="Times New Roman"/>
                <w:sz w:val="24"/>
                <w:szCs w:val="24"/>
              </w:rPr>
              <w:t>Iekšlietu ministrijai ilgtermiņa saistības pasākumam "Eiropas Savienības prasībām atbilstošu pasu, elektronisko identifikācijas karšu un u</w:t>
            </w:r>
            <w:r w:rsidR="00BE2B64">
              <w:rPr>
                <w:rFonts w:ascii="Times New Roman" w:hAnsi="Times New Roman" w:cs="Times New Roman"/>
                <w:sz w:val="24"/>
                <w:szCs w:val="24"/>
              </w:rPr>
              <w:t>zturēšanās atļauju izsniegšana"</w:t>
            </w:r>
            <w:r>
              <w:rPr>
                <w:rFonts w:ascii="Times New Roman" w:hAnsi="Times New Roman" w:cs="Times New Roman"/>
                <w:sz w:val="24"/>
                <w:szCs w:val="24"/>
              </w:rPr>
              <w:t>, R</w:t>
            </w:r>
            <w:r w:rsidR="00BE2B64">
              <w:rPr>
                <w:rFonts w:ascii="Times New Roman" w:hAnsi="Times New Roman" w:cs="Times New Roman"/>
                <w:sz w:val="24"/>
                <w:szCs w:val="24"/>
              </w:rPr>
              <w:t>īkojuma projekts papildināts ar personu apliecinošu dokumentu izsniegšanai 2019.gadā nepieciešamo izdevumu apjomu. Salīdzinot ar 2018.gada izdevumiem, 2019.gadā plānotais izdevumu apjoms ir mazāks, jo nav plānots iegādāties pasu sagataves.</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9B1BC5" w:rsidP="00FD37D8">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Iekšlietu ministrija, </w:t>
            </w:r>
            <w:r w:rsidR="0064637A" w:rsidRPr="00495AE6">
              <w:rPr>
                <w:rFonts w:ascii="Times New Roman" w:eastAsia="Times New Roman" w:hAnsi="Times New Roman" w:cs="Times New Roman"/>
                <w:sz w:val="24"/>
                <w:szCs w:val="24"/>
                <w:lang w:eastAsia="lv-LV"/>
              </w:rPr>
              <w:t>Pilsonības un migrācijas lietu pārvalde</w:t>
            </w:r>
            <w:r w:rsidR="00D86935" w:rsidRPr="00495AE6">
              <w:rPr>
                <w:rFonts w:ascii="Times New Roman" w:eastAsia="Times New Roman" w:hAnsi="Times New Roman" w:cs="Times New Roman"/>
                <w:sz w:val="24"/>
                <w:szCs w:val="24"/>
                <w:lang w:eastAsia="lv-LV"/>
              </w:rPr>
              <w:t>.</w:t>
            </w:r>
          </w:p>
        </w:tc>
      </w:tr>
      <w:tr w:rsidR="00F50741" w:rsidRPr="00495AE6" w:rsidTr="00EC362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207436" w:rsidP="00207436">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263"/>
        <w:gridCol w:w="1418"/>
        <w:gridCol w:w="2268"/>
        <w:gridCol w:w="1701"/>
        <w:gridCol w:w="1417"/>
      </w:tblGrid>
      <w:tr w:rsidR="00BC08D6" w:rsidRPr="008E6CDC" w:rsidTr="00BC08D6">
        <w:trPr>
          <w:trHeight w:val="361"/>
          <w:jc w:val="center"/>
        </w:trPr>
        <w:tc>
          <w:tcPr>
            <w:tcW w:w="9776" w:type="dxa"/>
            <w:gridSpan w:val="6"/>
            <w:vAlign w:val="center"/>
          </w:tcPr>
          <w:p w:rsidR="00BC08D6" w:rsidRPr="00BC08D6" w:rsidRDefault="00BC08D6" w:rsidP="007D02DE">
            <w:pPr>
              <w:pStyle w:val="naisnod"/>
              <w:spacing w:before="0" w:beforeAutospacing="0" w:after="0" w:afterAutospacing="0"/>
              <w:jc w:val="center"/>
              <w:rPr>
                <w:b/>
                <w:i/>
              </w:rPr>
            </w:pPr>
            <w:r w:rsidRPr="00BC08D6">
              <w:br w:type="page"/>
            </w:r>
            <w:r w:rsidRPr="00BC08D6">
              <w:rPr>
                <w:b/>
              </w:rPr>
              <w:t>III. Tiesību akta projekta ietekme uz valsts budžetu un pašvaldību budžetiem</w:t>
            </w:r>
          </w:p>
        </w:tc>
      </w:tr>
      <w:tr w:rsidR="00BC08D6" w:rsidRPr="005128C9" w:rsidTr="00BC08D6">
        <w:trPr>
          <w:jc w:val="center"/>
        </w:trPr>
        <w:tc>
          <w:tcPr>
            <w:tcW w:w="1709" w:type="dxa"/>
            <w:vMerge w:val="restart"/>
            <w:vAlign w:val="center"/>
          </w:tcPr>
          <w:p w:rsidR="00BC08D6" w:rsidRPr="00BC08D6" w:rsidRDefault="00BC08D6" w:rsidP="007D02DE">
            <w:pPr>
              <w:pStyle w:val="naisf"/>
              <w:spacing w:before="0" w:after="0"/>
              <w:jc w:val="center"/>
              <w:rPr>
                <w:b/>
                <w:szCs w:val="24"/>
              </w:rPr>
            </w:pPr>
            <w:r w:rsidRPr="00BC08D6">
              <w:rPr>
                <w:b/>
                <w:szCs w:val="24"/>
              </w:rPr>
              <w:t>Rādītāji</w:t>
            </w:r>
          </w:p>
        </w:tc>
        <w:tc>
          <w:tcPr>
            <w:tcW w:w="2681" w:type="dxa"/>
            <w:gridSpan w:val="2"/>
            <w:vMerge w:val="restart"/>
            <w:vAlign w:val="center"/>
          </w:tcPr>
          <w:p w:rsidR="00BC08D6" w:rsidRPr="00BC08D6" w:rsidRDefault="00BC08D6" w:rsidP="007D02DE">
            <w:pPr>
              <w:pStyle w:val="naisf"/>
              <w:spacing w:before="0" w:after="0"/>
              <w:jc w:val="center"/>
              <w:rPr>
                <w:b/>
                <w:szCs w:val="24"/>
              </w:rPr>
            </w:pPr>
            <w:r w:rsidRPr="00BC08D6">
              <w:rPr>
                <w:b/>
                <w:szCs w:val="24"/>
              </w:rPr>
              <w:t>2016</w:t>
            </w:r>
          </w:p>
        </w:tc>
        <w:tc>
          <w:tcPr>
            <w:tcW w:w="5386" w:type="dxa"/>
            <w:gridSpan w:val="3"/>
            <w:vAlign w:val="center"/>
          </w:tcPr>
          <w:p w:rsidR="00BC08D6" w:rsidRPr="00BC08D6" w:rsidRDefault="00BC08D6" w:rsidP="007D02DE">
            <w:pPr>
              <w:pStyle w:val="naisf"/>
              <w:spacing w:before="0" w:after="0"/>
              <w:jc w:val="center"/>
              <w:rPr>
                <w:b/>
                <w:i/>
                <w:szCs w:val="24"/>
              </w:rPr>
            </w:pPr>
            <w:r w:rsidRPr="00BC08D6">
              <w:rPr>
                <w:szCs w:val="24"/>
              </w:rPr>
              <w:t>Turpmākie trīs gadi (</w:t>
            </w:r>
            <w:proofErr w:type="spellStart"/>
            <w:r w:rsidRPr="00BC08D6">
              <w:rPr>
                <w:i/>
                <w:szCs w:val="24"/>
              </w:rPr>
              <w:t>euro</w:t>
            </w:r>
            <w:proofErr w:type="spellEnd"/>
            <w:r w:rsidRPr="00BC08D6">
              <w:rPr>
                <w:szCs w:val="24"/>
              </w:rPr>
              <w:t>)</w:t>
            </w:r>
          </w:p>
        </w:tc>
      </w:tr>
      <w:tr w:rsidR="00BC08D6" w:rsidRPr="005128C9" w:rsidTr="00BC08D6">
        <w:trPr>
          <w:jc w:val="center"/>
        </w:trPr>
        <w:tc>
          <w:tcPr>
            <w:tcW w:w="1709" w:type="dxa"/>
            <w:vMerge/>
            <w:vAlign w:val="center"/>
          </w:tcPr>
          <w:p w:rsidR="00BC08D6" w:rsidRPr="00BC08D6" w:rsidRDefault="00BC08D6" w:rsidP="007D02DE">
            <w:pPr>
              <w:pStyle w:val="naisf"/>
              <w:spacing w:before="0" w:after="0"/>
              <w:jc w:val="center"/>
              <w:rPr>
                <w:b/>
                <w:i/>
                <w:szCs w:val="24"/>
              </w:rPr>
            </w:pPr>
          </w:p>
        </w:tc>
        <w:tc>
          <w:tcPr>
            <w:tcW w:w="2681" w:type="dxa"/>
            <w:gridSpan w:val="2"/>
            <w:vMerge/>
            <w:vAlign w:val="center"/>
          </w:tcPr>
          <w:p w:rsidR="00BC08D6" w:rsidRPr="00BC08D6" w:rsidRDefault="00BC08D6" w:rsidP="007D02DE">
            <w:pPr>
              <w:pStyle w:val="naisf"/>
              <w:spacing w:before="0" w:after="0"/>
              <w:jc w:val="center"/>
              <w:rPr>
                <w:b/>
                <w:i/>
                <w:szCs w:val="24"/>
              </w:rPr>
            </w:pPr>
          </w:p>
        </w:tc>
        <w:tc>
          <w:tcPr>
            <w:tcW w:w="2268" w:type="dxa"/>
            <w:vAlign w:val="center"/>
          </w:tcPr>
          <w:p w:rsidR="00BC08D6" w:rsidRPr="00BC08D6" w:rsidRDefault="00BC08D6" w:rsidP="007D02DE">
            <w:pPr>
              <w:pStyle w:val="naisf"/>
              <w:spacing w:before="0" w:after="0"/>
              <w:jc w:val="center"/>
              <w:rPr>
                <w:b/>
                <w:i/>
                <w:szCs w:val="24"/>
              </w:rPr>
            </w:pPr>
            <w:r w:rsidRPr="00BC08D6">
              <w:rPr>
                <w:b/>
                <w:bCs/>
                <w:szCs w:val="24"/>
              </w:rPr>
              <w:t>2017</w:t>
            </w:r>
          </w:p>
        </w:tc>
        <w:tc>
          <w:tcPr>
            <w:tcW w:w="1701" w:type="dxa"/>
            <w:vAlign w:val="center"/>
          </w:tcPr>
          <w:p w:rsidR="00BC08D6" w:rsidRPr="00BC08D6" w:rsidRDefault="00BC08D6" w:rsidP="007D02DE">
            <w:pPr>
              <w:pStyle w:val="naisf"/>
              <w:spacing w:before="0" w:after="0"/>
              <w:jc w:val="center"/>
              <w:rPr>
                <w:b/>
                <w:i/>
                <w:szCs w:val="24"/>
              </w:rPr>
            </w:pPr>
            <w:r w:rsidRPr="00BC08D6">
              <w:rPr>
                <w:b/>
                <w:bCs/>
                <w:szCs w:val="24"/>
              </w:rPr>
              <w:t>2018</w:t>
            </w:r>
          </w:p>
        </w:tc>
        <w:tc>
          <w:tcPr>
            <w:tcW w:w="1417" w:type="dxa"/>
            <w:vAlign w:val="center"/>
          </w:tcPr>
          <w:p w:rsidR="00BC08D6" w:rsidRPr="00BC08D6" w:rsidRDefault="00BC08D6" w:rsidP="007D02DE">
            <w:pPr>
              <w:pStyle w:val="naisf"/>
              <w:spacing w:before="0" w:after="0"/>
              <w:jc w:val="center"/>
              <w:rPr>
                <w:b/>
                <w:i/>
                <w:szCs w:val="24"/>
              </w:rPr>
            </w:pPr>
            <w:r w:rsidRPr="00BC08D6">
              <w:rPr>
                <w:b/>
                <w:bCs/>
                <w:szCs w:val="24"/>
              </w:rPr>
              <w:t>2019</w:t>
            </w:r>
          </w:p>
        </w:tc>
      </w:tr>
      <w:tr w:rsidR="00BC08D6" w:rsidRPr="005128C9" w:rsidTr="00BC08D6">
        <w:trPr>
          <w:jc w:val="center"/>
        </w:trPr>
        <w:tc>
          <w:tcPr>
            <w:tcW w:w="1709" w:type="dxa"/>
            <w:vMerge/>
            <w:vAlign w:val="center"/>
          </w:tcPr>
          <w:p w:rsidR="00BC08D6" w:rsidRPr="00BC08D6" w:rsidRDefault="00BC08D6" w:rsidP="007D02DE">
            <w:pPr>
              <w:pStyle w:val="naisf"/>
              <w:spacing w:before="0" w:after="0"/>
              <w:jc w:val="center"/>
              <w:rPr>
                <w:b/>
                <w:i/>
                <w:szCs w:val="24"/>
              </w:rPr>
            </w:pPr>
          </w:p>
        </w:tc>
        <w:tc>
          <w:tcPr>
            <w:tcW w:w="1263" w:type="dxa"/>
            <w:vAlign w:val="center"/>
          </w:tcPr>
          <w:p w:rsidR="00BC08D6" w:rsidRPr="00BC08D6" w:rsidRDefault="00BC08D6" w:rsidP="007D02DE">
            <w:pPr>
              <w:pStyle w:val="naisf"/>
              <w:spacing w:before="0" w:after="0"/>
              <w:jc w:val="center"/>
              <w:rPr>
                <w:b/>
                <w:i/>
                <w:szCs w:val="24"/>
              </w:rPr>
            </w:pPr>
            <w:r w:rsidRPr="00BC08D6">
              <w:rPr>
                <w:szCs w:val="24"/>
              </w:rPr>
              <w:t>saskaņā ar valsts budžetu kārtējam gadam</w:t>
            </w:r>
          </w:p>
        </w:tc>
        <w:tc>
          <w:tcPr>
            <w:tcW w:w="1418" w:type="dxa"/>
            <w:vAlign w:val="center"/>
          </w:tcPr>
          <w:p w:rsidR="00BC08D6" w:rsidRPr="00BC08D6" w:rsidRDefault="00BC08D6" w:rsidP="007D02DE">
            <w:pPr>
              <w:pStyle w:val="naisf"/>
              <w:spacing w:before="0" w:after="0"/>
              <w:jc w:val="center"/>
              <w:rPr>
                <w:b/>
                <w:i/>
                <w:szCs w:val="24"/>
              </w:rPr>
            </w:pPr>
            <w:r w:rsidRPr="00BC08D6">
              <w:rPr>
                <w:szCs w:val="24"/>
              </w:rPr>
              <w:t>izmaiņas kārtējā gadā, salīdzinot ar budžetu kārtējam gadam</w:t>
            </w:r>
          </w:p>
        </w:tc>
        <w:tc>
          <w:tcPr>
            <w:tcW w:w="2268" w:type="dxa"/>
            <w:vAlign w:val="center"/>
          </w:tcPr>
          <w:p w:rsidR="00BC08D6" w:rsidRPr="00BC08D6" w:rsidRDefault="00BC08D6" w:rsidP="007D02DE">
            <w:pPr>
              <w:pStyle w:val="naisf"/>
              <w:spacing w:before="0" w:after="0"/>
              <w:jc w:val="center"/>
              <w:rPr>
                <w:b/>
                <w:i/>
                <w:szCs w:val="24"/>
              </w:rPr>
            </w:pPr>
            <w:r w:rsidRPr="00BC08D6">
              <w:rPr>
                <w:szCs w:val="24"/>
              </w:rPr>
              <w:t>izmaiņas, salīdzinot ar kārtējo 2016. gadu</w:t>
            </w:r>
          </w:p>
        </w:tc>
        <w:tc>
          <w:tcPr>
            <w:tcW w:w="1701" w:type="dxa"/>
            <w:vAlign w:val="center"/>
          </w:tcPr>
          <w:p w:rsidR="00BC08D6" w:rsidRPr="00BC08D6" w:rsidRDefault="00BC08D6" w:rsidP="007D02DE">
            <w:pPr>
              <w:pStyle w:val="naisf"/>
              <w:spacing w:before="0" w:after="0"/>
              <w:jc w:val="center"/>
              <w:rPr>
                <w:b/>
                <w:i/>
                <w:szCs w:val="24"/>
              </w:rPr>
            </w:pPr>
            <w:r w:rsidRPr="00BC08D6">
              <w:rPr>
                <w:szCs w:val="24"/>
              </w:rPr>
              <w:t>izmaiņas, salīdzinot ar kārtējo 2016. gadu</w:t>
            </w:r>
          </w:p>
        </w:tc>
        <w:tc>
          <w:tcPr>
            <w:tcW w:w="1417" w:type="dxa"/>
            <w:vAlign w:val="center"/>
          </w:tcPr>
          <w:p w:rsidR="00BC08D6" w:rsidRPr="00BC08D6" w:rsidRDefault="00BC08D6" w:rsidP="007D02DE">
            <w:pPr>
              <w:pStyle w:val="naisf"/>
              <w:spacing w:before="0" w:after="0"/>
              <w:jc w:val="center"/>
              <w:rPr>
                <w:b/>
                <w:i/>
                <w:szCs w:val="24"/>
              </w:rPr>
            </w:pPr>
            <w:r w:rsidRPr="00BC08D6">
              <w:rPr>
                <w:szCs w:val="24"/>
              </w:rPr>
              <w:t>izmaiņas, salīdzinot ar kārtējo 2016. gadu</w:t>
            </w:r>
          </w:p>
        </w:tc>
      </w:tr>
      <w:tr w:rsidR="00BC08D6" w:rsidRPr="005128C9" w:rsidTr="00BC08D6">
        <w:trPr>
          <w:jc w:val="center"/>
        </w:trPr>
        <w:tc>
          <w:tcPr>
            <w:tcW w:w="1709" w:type="dxa"/>
            <w:vAlign w:val="center"/>
          </w:tcPr>
          <w:p w:rsidR="00BC08D6" w:rsidRPr="00BC08D6" w:rsidRDefault="00BC08D6" w:rsidP="007D02DE">
            <w:pPr>
              <w:pStyle w:val="naisf"/>
              <w:spacing w:before="0" w:after="0"/>
              <w:jc w:val="center"/>
              <w:rPr>
                <w:bCs/>
                <w:szCs w:val="24"/>
              </w:rPr>
            </w:pPr>
            <w:r w:rsidRPr="00BC08D6">
              <w:rPr>
                <w:bCs/>
                <w:szCs w:val="24"/>
              </w:rPr>
              <w:t>1</w:t>
            </w:r>
          </w:p>
        </w:tc>
        <w:tc>
          <w:tcPr>
            <w:tcW w:w="1263" w:type="dxa"/>
            <w:vAlign w:val="center"/>
          </w:tcPr>
          <w:p w:rsidR="00BC08D6" w:rsidRPr="00BC08D6" w:rsidRDefault="00BC08D6" w:rsidP="007D02DE">
            <w:pPr>
              <w:pStyle w:val="naisf"/>
              <w:spacing w:before="0" w:after="0"/>
              <w:jc w:val="center"/>
              <w:rPr>
                <w:bCs/>
                <w:szCs w:val="24"/>
              </w:rPr>
            </w:pPr>
            <w:r w:rsidRPr="00BC08D6">
              <w:rPr>
                <w:bCs/>
                <w:szCs w:val="24"/>
              </w:rPr>
              <w:t>2</w:t>
            </w:r>
          </w:p>
        </w:tc>
        <w:tc>
          <w:tcPr>
            <w:tcW w:w="1418" w:type="dxa"/>
            <w:vAlign w:val="center"/>
          </w:tcPr>
          <w:p w:rsidR="00BC08D6" w:rsidRPr="00BC08D6" w:rsidRDefault="00BC08D6" w:rsidP="007D02DE">
            <w:pPr>
              <w:pStyle w:val="naisf"/>
              <w:spacing w:before="0" w:after="0"/>
              <w:jc w:val="center"/>
              <w:rPr>
                <w:bCs/>
                <w:szCs w:val="24"/>
              </w:rPr>
            </w:pPr>
            <w:r w:rsidRPr="00BC08D6">
              <w:rPr>
                <w:bCs/>
                <w:szCs w:val="24"/>
              </w:rPr>
              <w:t>3</w:t>
            </w:r>
          </w:p>
        </w:tc>
        <w:tc>
          <w:tcPr>
            <w:tcW w:w="2268" w:type="dxa"/>
            <w:vAlign w:val="center"/>
          </w:tcPr>
          <w:p w:rsidR="00BC08D6" w:rsidRPr="00BC08D6" w:rsidRDefault="00BC08D6" w:rsidP="007D02DE">
            <w:pPr>
              <w:pStyle w:val="naisf"/>
              <w:spacing w:before="0" w:after="0"/>
              <w:jc w:val="center"/>
              <w:rPr>
                <w:bCs/>
                <w:szCs w:val="24"/>
              </w:rPr>
            </w:pPr>
            <w:r w:rsidRPr="00BC08D6">
              <w:rPr>
                <w:bCs/>
                <w:szCs w:val="24"/>
              </w:rPr>
              <w:t>4</w:t>
            </w:r>
          </w:p>
        </w:tc>
        <w:tc>
          <w:tcPr>
            <w:tcW w:w="1701" w:type="dxa"/>
            <w:vAlign w:val="center"/>
          </w:tcPr>
          <w:p w:rsidR="00BC08D6" w:rsidRPr="00BC08D6" w:rsidRDefault="00BC08D6" w:rsidP="007D02DE">
            <w:pPr>
              <w:pStyle w:val="naisf"/>
              <w:spacing w:before="0" w:after="0"/>
              <w:jc w:val="center"/>
              <w:rPr>
                <w:bCs/>
                <w:szCs w:val="24"/>
              </w:rPr>
            </w:pPr>
            <w:r w:rsidRPr="00BC08D6">
              <w:rPr>
                <w:bCs/>
                <w:szCs w:val="24"/>
              </w:rPr>
              <w:t>5</w:t>
            </w:r>
          </w:p>
        </w:tc>
        <w:tc>
          <w:tcPr>
            <w:tcW w:w="1417" w:type="dxa"/>
            <w:vAlign w:val="center"/>
          </w:tcPr>
          <w:p w:rsidR="00BC08D6" w:rsidRPr="00BC08D6" w:rsidRDefault="00BC08D6" w:rsidP="007D02DE">
            <w:pPr>
              <w:pStyle w:val="naisf"/>
              <w:spacing w:before="0" w:after="0"/>
              <w:jc w:val="center"/>
              <w:rPr>
                <w:bCs/>
                <w:szCs w:val="24"/>
              </w:rPr>
            </w:pPr>
            <w:r w:rsidRPr="00BC08D6">
              <w:rPr>
                <w:bCs/>
                <w:szCs w:val="24"/>
              </w:rPr>
              <w:t>6</w:t>
            </w:r>
          </w:p>
        </w:tc>
      </w:tr>
      <w:tr w:rsidR="00BC08D6" w:rsidRPr="00E7737A" w:rsidTr="00BC08D6">
        <w:trPr>
          <w:jc w:val="center"/>
        </w:trPr>
        <w:tc>
          <w:tcPr>
            <w:tcW w:w="1709" w:type="dxa"/>
          </w:tcPr>
          <w:p w:rsidR="00BC08D6" w:rsidRPr="00BC08D6" w:rsidRDefault="00BC08D6" w:rsidP="007D02DE">
            <w:pPr>
              <w:pStyle w:val="naisf"/>
              <w:spacing w:before="0" w:after="0"/>
              <w:rPr>
                <w:i/>
                <w:szCs w:val="24"/>
              </w:rPr>
            </w:pPr>
            <w:r w:rsidRPr="00BC08D6">
              <w:rPr>
                <w:szCs w:val="24"/>
              </w:rPr>
              <w:t>1. Budžeta ieņēmumi:</w:t>
            </w:r>
          </w:p>
        </w:tc>
        <w:tc>
          <w:tcPr>
            <w:tcW w:w="1263" w:type="dxa"/>
          </w:tcPr>
          <w:p w:rsidR="00BC08D6" w:rsidRPr="00BC08D6" w:rsidRDefault="00BC08D6" w:rsidP="007D02DE">
            <w:pPr>
              <w:pStyle w:val="naisf"/>
              <w:spacing w:before="0" w:after="0"/>
              <w:jc w:val="center"/>
              <w:rPr>
                <w:szCs w:val="24"/>
              </w:rPr>
            </w:pPr>
            <w:r w:rsidRPr="00BC08D6">
              <w:rPr>
                <w:szCs w:val="24"/>
              </w:rPr>
              <w:t>9 921 697</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-249 510</w:t>
            </w:r>
          </w:p>
        </w:tc>
        <w:tc>
          <w:tcPr>
            <w:tcW w:w="1701" w:type="dxa"/>
          </w:tcPr>
          <w:p w:rsidR="00BC08D6" w:rsidRPr="00BC08D6" w:rsidRDefault="00BC08D6" w:rsidP="007D02DE">
            <w:pPr>
              <w:pStyle w:val="naisf"/>
              <w:spacing w:before="0" w:after="0"/>
              <w:jc w:val="center"/>
              <w:rPr>
                <w:szCs w:val="24"/>
              </w:rPr>
            </w:pPr>
            <w:r w:rsidRPr="00BC08D6">
              <w:rPr>
                <w:szCs w:val="24"/>
              </w:rPr>
              <w:t>-1 321 906</w:t>
            </w:r>
          </w:p>
        </w:tc>
        <w:tc>
          <w:tcPr>
            <w:tcW w:w="1417" w:type="dxa"/>
          </w:tcPr>
          <w:p w:rsidR="00BC08D6" w:rsidRPr="00BC08D6" w:rsidRDefault="00BC08D6" w:rsidP="007D02DE">
            <w:pPr>
              <w:pStyle w:val="naisf"/>
              <w:spacing w:before="0" w:after="0"/>
              <w:jc w:val="center"/>
              <w:rPr>
                <w:szCs w:val="24"/>
              </w:rPr>
            </w:pPr>
            <w:r w:rsidRPr="00BC08D6">
              <w:rPr>
                <w:szCs w:val="24"/>
              </w:rPr>
              <w:t>-2 603 306</w:t>
            </w:r>
          </w:p>
        </w:tc>
      </w:tr>
      <w:tr w:rsidR="00BC08D6" w:rsidRPr="00E7737A" w:rsidTr="00BC08D6">
        <w:trPr>
          <w:jc w:val="center"/>
        </w:trPr>
        <w:tc>
          <w:tcPr>
            <w:tcW w:w="1709" w:type="dxa"/>
          </w:tcPr>
          <w:p w:rsidR="00BC08D6" w:rsidRPr="00BC08D6" w:rsidRDefault="00BC08D6" w:rsidP="007D02DE">
            <w:pPr>
              <w:pStyle w:val="naisf"/>
              <w:spacing w:before="0" w:after="0"/>
              <w:rPr>
                <w:i/>
                <w:szCs w:val="24"/>
              </w:rPr>
            </w:pPr>
            <w:r w:rsidRPr="00BC08D6">
              <w:rPr>
                <w:szCs w:val="24"/>
              </w:rPr>
              <w:t>1.1. valsts pamatbudžets, tai skaitā ieņēmumi no maksas pakalpojumiem un citi pašu ieņēmumi</w:t>
            </w:r>
          </w:p>
        </w:tc>
        <w:tc>
          <w:tcPr>
            <w:tcW w:w="1263" w:type="dxa"/>
          </w:tcPr>
          <w:p w:rsidR="00BC08D6" w:rsidRPr="00BC08D6" w:rsidRDefault="00BC08D6" w:rsidP="007D02DE">
            <w:pPr>
              <w:pStyle w:val="naisf"/>
              <w:spacing w:before="0" w:after="0"/>
              <w:jc w:val="center"/>
              <w:rPr>
                <w:szCs w:val="24"/>
              </w:rPr>
            </w:pPr>
            <w:r w:rsidRPr="00BC08D6">
              <w:rPr>
                <w:szCs w:val="24"/>
              </w:rPr>
              <w:t>9 921 697</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-249 510</w:t>
            </w:r>
          </w:p>
        </w:tc>
        <w:tc>
          <w:tcPr>
            <w:tcW w:w="1701" w:type="dxa"/>
          </w:tcPr>
          <w:p w:rsidR="00BC08D6" w:rsidRPr="00BC08D6" w:rsidRDefault="00BC08D6" w:rsidP="007D02DE">
            <w:pPr>
              <w:pStyle w:val="naisf"/>
              <w:spacing w:before="0" w:after="0"/>
              <w:jc w:val="center"/>
              <w:rPr>
                <w:szCs w:val="24"/>
              </w:rPr>
            </w:pPr>
            <w:r w:rsidRPr="00BC08D6">
              <w:rPr>
                <w:szCs w:val="24"/>
              </w:rPr>
              <w:t>-1 321 906</w:t>
            </w:r>
          </w:p>
        </w:tc>
        <w:tc>
          <w:tcPr>
            <w:tcW w:w="1417" w:type="dxa"/>
          </w:tcPr>
          <w:p w:rsidR="00BC08D6" w:rsidRPr="00BC08D6" w:rsidRDefault="00BC08D6" w:rsidP="007D02DE">
            <w:pPr>
              <w:pStyle w:val="naisf"/>
              <w:spacing w:before="0" w:after="0"/>
              <w:jc w:val="center"/>
              <w:rPr>
                <w:szCs w:val="24"/>
              </w:rPr>
            </w:pPr>
            <w:r w:rsidRPr="00BC08D6">
              <w:rPr>
                <w:szCs w:val="24"/>
              </w:rPr>
              <w:t>-2 603 306</w:t>
            </w:r>
          </w:p>
        </w:tc>
      </w:tr>
      <w:tr w:rsidR="00BC08D6" w:rsidRPr="00E7737A" w:rsidTr="00BC08D6">
        <w:trPr>
          <w:jc w:val="center"/>
        </w:trPr>
        <w:tc>
          <w:tcPr>
            <w:tcW w:w="1709" w:type="dxa"/>
          </w:tcPr>
          <w:p w:rsidR="00BC08D6" w:rsidRPr="00BC08D6" w:rsidRDefault="00BC08D6" w:rsidP="007D02DE">
            <w:pPr>
              <w:pStyle w:val="naisf"/>
              <w:spacing w:before="0" w:after="0"/>
              <w:rPr>
                <w:i/>
                <w:szCs w:val="24"/>
              </w:rPr>
            </w:pPr>
            <w:r w:rsidRPr="00BC08D6">
              <w:rPr>
                <w:szCs w:val="24"/>
              </w:rPr>
              <w:t>1.2. valsts speciālais budžets</w:t>
            </w:r>
          </w:p>
        </w:tc>
        <w:tc>
          <w:tcPr>
            <w:tcW w:w="1263" w:type="dxa"/>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tcPr>
          <w:p w:rsidR="00BC08D6" w:rsidRPr="00BC08D6" w:rsidRDefault="00BC08D6" w:rsidP="007D02DE">
            <w:pPr>
              <w:pStyle w:val="naisf"/>
              <w:spacing w:before="0" w:after="0"/>
              <w:rPr>
                <w:i/>
                <w:szCs w:val="24"/>
              </w:rPr>
            </w:pPr>
            <w:r w:rsidRPr="00BC08D6">
              <w:rPr>
                <w:szCs w:val="24"/>
              </w:rPr>
              <w:t>1.3. pašvaldību budžets</w:t>
            </w:r>
          </w:p>
        </w:tc>
        <w:tc>
          <w:tcPr>
            <w:tcW w:w="1263" w:type="dxa"/>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2. Budžeta izdevumi:</w:t>
            </w:r>
          </w:p>
        </w:tc>
        <w:tc>
          <w:tcPr>
            <w:tcW w:w="1263" w:type="dxa"/>
          </w:tcPr>
          <w:p w:rsidR="00BC08D6" w:rsidRPr="00BC08D6" w:rsidRDefault="00BC08D6" w:rsidP="007D02DE">
            <w:pPr>
              <w:pStyle w:val="naisf"/>
              <w:spacing w:before="0" w:after="0"/>
              <w:jc w:val="center"/>
              <w:rPr>
                <w:szCs w:val="24"/>
              </w:rPr>
            </w:pPr>
            <w:r w:rsidRPr="00BC08D6">
              <w:rPr>
                <w:szCs w:val="24"/>
              </w:rPr>
              <w:t>4 887 951</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rPr>
                <w:szCs w:val="24"/>
              </w:rPr>
            </w:pPr>
            <w:r w:rsidRPr="00BC08D6">
              <w:rPr>
                <w:szCs w:val="24"/>
              </w:rPr>
              <w:t>-1 277 760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lastRenderedPageBreak/>
              <w:t>2.1. valsts pamatbudžets</w:t>
            </w:r>
          </w:p>
        </w:tc>
        <w:tc>
          <w:tcPr>
            <w:tcW w:w="1263" w:type="dxa"/>
          </w:tcPr>
          <w:p w:rsidR="00BC08D6" w:rsidRPr="00BC08D6" w:rsidRDefault="00BC08D6" w:rsidP="007D02DE">
            <w:pPr>
              <w:pStyle w:val="naisf"/>
              <w:spacing w:before="0" w:after="0"/>
              <w:jc w:val="center"/>
              <w:rPr>
                <w:szCs w:val="24"/>
              </w:rPr>
            </w:pPr>
            <w:r w:rsidRPr="00BC08D6">
              <w:rPr>
                <w:szCs w:val="24"/>
              </w:rPr>
              <w:t>4 887 951</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-1 277 760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2.2. valsts speciālais budžets</w:t>
            </w:r>
          </w:p>
        </w:tc>
        <w:tc>
          <w:tcPr>
            <w:tcW w:w="1263" w:type="dxa"/>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 xml:space="preserve">2.3. pašvaldību budžets </w:t>
            </w:r>
          </w:p>
        </w:tc>
        <w:tc>
          <w:tcPr>
            <w:tcW w:w="1263" w:type="dxa"/>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3. Finansiālā ietekme:</w:t>
            </w:r>
          </w:p>
        </w:tc>
        <w:tc>
          <w:tcPr>
            <w:tcW w:w="1263" w:type="dxa"/>
            <w:shd w:val="clear" w:color="auto" w:fill="auto"/>
            <w:vAlign w:val="center"/>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-249 510</w:t>
            </w:r>
          </w:p>
        </w:tc>
        <w:tc>
          <w:tcPr>
            <w:tcW w:w="1701" w:type="dxa"/>
          </w:tcPr>
          <w:p w:rsidR="00BC08D6" w:rsidRPr="00BC08D6" w:rsidRDefault="00BC08D6" w:rsidP="007D02DE">
            <w:pPr>
              <w:pStyle w:val="naisf"/>
              <w:spacing w:before="0" w:after="0"/>
              <w:jc w:val="center"/>
              <w:rPr>
                <w:szCs w:val="24"/>
              </w:rPr>
            </w:pPr>
            <w:r w:rsidRPr="00BC08D6">
              <w:rPr>
                <w:szCs w:val="24"/>
              </w:rPr>
              <w:t>-1 321 906</w:t>
            </w:r>
          </w:p>
        </w:tc>
        <w:tc>
          <w:tcPr>
            <w:tcW w:w="1417" w:type="dxa"/>
          </w:tcPr>
          <w:p w:rsidR="00BC08D6" w:rsidRPr="00BC08D6" w:rsidRDefault="00BC08D6" w:rsidP="007D02DE">
            <w:pPr>
              <w:pStyle w:val="naisf"/>
              <w:spacing w:before="0" w:after="0"/>
              <w:jc w:val="center"/>
              <w:rPr>
                <w:szCs w:val="24"/>
              </w:rPr>
            </w:pPr>
            <w:r w:rsidRPr="00BC08D6">
              <w:rPr>
                <w:szCs w:val="24"/>
              </w:rPr>
              <w:t>-1 325 546</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3.1. valsts pamatbudžets</w:t>
            </w:r>
          </w:p>
        </w:tc>
        <w:tc>
          <w:tcPr>
            <w:tcW w:w="1263" w:type="dxa"/>
            <w:shd w:val="clear" w:color="auto" w:fill="auto"/>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-249 510</w:t>
            </w:r>
          </w:p>
        </w:tc>
        <w:tc>
          <w:tcPr>
            <w:tcW w:w="1701" w:type="dxa"/>
          </w:tcPr>
          <w:p w:rsidR="00BC08D6" w:rsidRPr="00BC08D6" w:rsidRDefault="00BC08D6" w:rsidP="007D02DE">
            <w:pPr>
              <w:pStyle w:val="naisf"/>
              <w:spacing w:before="0" w:after="0"/>
              <w:jc w:val="center"/>
              <w:rPr>
                <w:szCs w:val="24"/>
              </w:rPr>
            </w:pPr>
            <w:r w:rsidRPr="00BC08D6">
              <w:rPr>
                <w:szCs w:val="24"/>
              </w:rPr>
              <w:t>-1 321 906</w:t>
            </w:r>
          </w:p>
        </w:tc>
        <w:tc>
          <w:tcPr>
            <w:tcW w:w="1417" w:type="dxa"/>
          </w:tcPr>
          <w:p w:rsidR="00BC08D6" w:rsidRPr="00BC08D6" w:rsidRDefault="00BC08D6" w:rsidP="007D02DE">
            <w:pPr>
              <w:pStyle w:val="naisf"/>
              <w:spacing w:before="0" w:after="0"/>
              <w:jc w:val="center"/>
              <w:rPr>
                <w:szCs w:val="24"/>
              </w:rPr>
            </w:pPr>
            <w:r w:rsidRPr="00BC08D6">
              <w:rPr>
                <w:szCs w:val="24"/>
              </w:rPr>
              <w:t>-1 325 546</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3.2. speciālais budžets</w:t>
            </w:r>
          </w:p>
        </w:tc>
        <w:tc>
          <w:tcPr>
            <w:tcW w:w="1263" w:type="dxa"/>
            <w:shd w:val="clear" w:color="auto" w:fill="auto"/>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 xml:space="preserve">3.3. pašvaldību budžets </w:t>
            </w:r>
          </w:p>
        </w:tc>
        <w:tc>
          <w:tcPr>
            <w:tcW w:w="1263" w:type="dxa"/>
            <w:shd w:val="clear" w:color="auto" w:fill="auto"/>
          </w:tcPr>
          <w:p w:rsidR="00BC08D6" w:rsidRPr="00BC08D6" w:rsidRDefault="00BC08D6" w:rsidP="007D02DE">
            <w:pPr>
              <w:pStyle w:val="naisf"/>
              <w:spacing w:before="0" w:after="0"/>
              <w:jc w:val="center"/>
              <w:rPr>
                <w:szCs w:val="24"/>
              </w:rPr>
            </w:pPr>
            <w:r w:rsidRPr="00BC08D6">
              <w:rPr>
                <w:szCs w:val="24"/>
              </w:rPr>
              <w:t>0</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vMerge w:val="restart"/>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4. Finanšu līdzekļi papildu izdevumu finansēšanai (kompensējošu izdevumu samazinājumu norāda ar "+" zīmi)</w:t>
            </w:r>
          </w:p>
        </w:tc>
        <w:tc>
          <w:tcPr>
            <w:tcW w:w="1263" w:type="dxa"/>
            <w:vMerge w:val="restart"/>
          </w:tcPr>
          <w:p w:rsidR="00BC08D6" w:rsidRPr="00BC08D6" w:rsidRDefault="00BC08D6" w:rsidP="007D02DE">
            <w:pPr>
              <w:pStyle w:val="naisf"/>
              <w:spacing w:before="0" w:after="0"/>
              <w:jc w:val="center"/>
              <w:rPr>
                <w:i/>
                <w:szCs w:val="24"/>
              </w:rPr>
            </w:pPr>
            <w:r w:rsidRPr="00BC08D6">
              <w:rPr>
                <w:szCs w:val="24"/>
              </w:rPr>
              <w:t>X</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vMerge/>
          </w:tcPr>
          <w:p w:rsidR="00BC08D6" w:rsidRPr="00BC08D6" w:rsidRDefault="00BC08D6" w:rsidP="007D02DE">
            <w:pPr>
              <w:spacing w:after="0"/>
              <w:rPr>
                <w:rFonts w:ascii="Times New Roman" w:hAnsi="Times New Roman"/>
                <w:sz w:val="24"/>
                <w:szCs w:val="24"/>
              </w:rPr>
            </w:pPr>
          </w:p>
        </w:tc>
        <w:tc>
          <w:tcPr>
            <w:tcW w:w="1263" w:type="dxa"/>
            <w:vMerge/>
          </w:tcPr>
          <w:p w:rsidR="00BC08D6" w:rsidRPr="00BC08D6" w:rsidRDefault="00BC08D6" w:rsidP="007D02DE">
            <w:pPr>
              <w:pStyle w:val="naisf"/>
              <w:spacing w:before="0" w:after="0"/>
              <w:jc w:val="center"/>
              <w:rPr>
                <w:i/>
                <w:szCs w:val="24"/>
              </w:rPr>
            </w:pP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vMerge/>
          </w:tcPr>
          <w:p w:rsidR="00BC08D6" w:rsidRPr="00BC08D6" w:rsidRDefault="00BC08D6" w:rsidP="007D02DE">
            <w:pPr>
              <w:spacing w:after="0"/>
              <w:rPr>
                <w:rFonts w:ascii="Times New Roman" w:hAnsi="Times New Roman"/>
                <w:sz w:val="24"/>
                <w:szCs w:val="24"/>
              </w:rPr>
            </w:pPr>
          </w:p>
        </w:tc>
        <w:tc>
          <w:tcPr>
            <w:tcW w:w="1263" w:type="dxa"/>
            <w:vMerge/>
          </w:tcPr>
          <w:p w:rsidR="00BC08D6" w:rsidRPr="00BC08D6" w:rsidRDefault="00BC08D6" w:rsidP="007D02DE">
            <w:pPr>
              <w:pStyle w:val="naisf"/>
              <w:spacing w:before="0" w:after="0"/>
              <w:jc w:val="center"/>
              <w:rPr>
                <w:i/>
                <w:szCs w:val="24"/>
              </w:rPr>
            </w:pP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5. Precizēta finansiālā ietekme:</w:t>
            </w:r>
          </w:p>
        </w:tc>
        <w:tc>
          <w:tcPr>
            <w:tcW w:w="1263" w:type="dxa"/>
            <w:vMerge w:val="restart"/>
          </w:tcPr>
          <w:p w:rsidR="00BC08D6" w:rsidRPr="00BC08D6" w:rsidRDefault="00BC08D6" w:rsidP="007D02DE">
            <w:pPr>
              <w:pStyle w:val="naisf"/>
              <w:spacing w:before="0" w:after="0"/>
              <w:jc w:val="center"/>
              <w:rPr>
                <w:i/>
                <w:szCs w:val="24"/>
              </w:rPr>
            </w:pPr>
            <w:r w:rsidRPr="00BC08D6">
              <w:rPr>
                <w:szCs w:val="24"/>
              </w:rPr>
              <w:t>X</w:t>
            </w: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-249 510</w:t>
            </w:r>
          </w:p>
        </w:tc>
        <w:tc>
          <w:tcPr>
            <w:tcW w:w="1701" w:type="dxa"/>
          </w:tcPr>
          <w:p w:rsidR="00BC08D6" w:rsidRPr="00BC08D6" w:rsidRDefault="00BC08D6" w:rsidP="007D02DE">
            <w:pPr>
              <w:pStyle w:val="naisf"/>
              <w:spacing w:before="0" w:after="0"/>
              <w:jc w:val="center"/>
              <w:rPr>
                <w:szCs w:val="24"/>
              </w:rPr>
            </w:pPr>
            <w:r w:rsidRPr="00BC08D6">
              <w:rPr>
                <w:szCs w:val="24"/>
              </w:rPr>
              <w:t>-1 321 906</w:t>
            </w:r>
          </w:p>
        </w:tc>
        <w:tc>
          <w:tcPr>
            <w:tcW w:w="1417" w:type="dxa"/>
          </w:tcPr>
          <w:p w:rsidR="00BC08D6" w:rsidRPr="00BC08D6" w:rsidRDefault="00BC08D6" w:rsidP="007D02DE">
            <w:pPr>
              <w:pStyle w:val="naisf"/>
              <w:spacing w:before="0" w:after="0"/>
              <w:jc w:val="center"/>
              <w:rPr>
                <w:szCs w:val="24"/>
              </w:rPr>
            </w:pPr>
            <w:r w:rsidRPr="00BC08D6">
              <w:rPr>
                <w:szCs w:val="24"/>
              </w:rPr>
              <w:t>-1 325 546</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5.1. valsts pamatbudžets</w:t>
            </w:r>
          </w:p>
        </w:tc>
        <w:tc>
          <w:tcPr>
            <w:tcW w:w="1263" w:type="dxa"/>
            <w:vMerge/>
            <w:vAlign w:val="center"/>
          </w:tcPr>
          <w:p w:rsidR="00BC08D6" w:rsidRPr="00BC08D6" w:rsidRDefault="00BC08D6" w:rsidP="007D02DE">
            <w:pPr>
              <w:pStyle w:val="naisf"/>
              <w:spacing w:before="0" w:after="0"/>
              <w:jc w:val="center"/>
              <w:rPr>
                <w:i/>
                <w:szCs w:val="24"/>
              </w:rPr>
            </w:pP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-249 510</w:t>
            </w:r>
          </w:p>
        </w:tc>
        <w:tc>
          <w:tcPr>
            <w:tcW w:w="1701" w:type="dxa"/>
          </w:tcPr>
          <w:p w:rsidR="00BC08D6" w:rsidRPr="00BC08D6" w:rsidRDefault="00BC08D6" w:rsidP="007D02DE">
            <w:pPr>
              <w:pStyle w:val="naisf"/>
              <w:spacing w:before="0" w:after="0"/>
              <w:jc w:val="center"/>
              <w:rPr>
                <w:szCs w:val="24"/>
              </w:rPr>
            </w:pPr>
            <w:r w:rsidRPr="00BC08D6">
              <w:rPr>
                <w:szCs w:val="24"/>
              </w:rPr>
              <w:t>-1 321 906</w:t>
            </w:r>
          </w:p>
        </w:tc>
        <w:tc>
          <w:tcPr>
            <w:tcW w:w="1417" w:type="dxa"/>
          </w:tcPr>
          <w:p w:rsidR="00BC08D6" w:rsidRPr="00BC08D6" w:rsidRDefault="00BC08D6" w:rsidP="007D02DE">
            <w:pPr>
              <w:pStyle w:val="naisf"/>
              <w:spacing w:before="0" w:after="0"/>
              <w:jc w:val="center"/>
              <w:rPr>
                <w:szCs w:val="24"/>
              </w:rPr>
            </w:pPr>
            <w:r w:rsidRPr="00BC08D6">
              <w:rPr>
                <w:szCs w:val="24"/>
              </w:rPr>
              <w:t>-1 325 546</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5.2. speciālais budžets</w:t>
            </w:r>
          </w:p>
        </w:tc>
        <w:tc>
          <w:tcPr>
            <w:tcW w:w="1263" w:type="dxa"/>
            <w:vMerge/>
            <w:vAlign w:val="center"/>
          </w:tcPr>
          <w:p w:rsidR="00BC08D6" w:rsidRPr="00BC08D6" w:rsidRDefault="00BC08D6" w:rsidP="007D02DE">
            <w:pPr>
              <w:pStyle w:val="naisf"/>
              <w:spacing w:before="0" w:after="0"/>
              <w:jc w:val="center"/>
              <w:rPr>
                <w:i/>
                <w:szCs w:val="24"/>
              </w:rPr>
            </w:pP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E7737A"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 xml:space="preserve">5.3. pašvaldību budžets </w:t>
            </w:r>
          </w:p>
        </w:tc>
        <w:tc>
          <w:tcPr>
            <w:tcW w:w="1263" w:type="dxa"/>
            <w:vMerge/>
            <w:vAlign w:val="center"/>
          </w:tcPr>
          <w:p w:rsidR="00BC08D6" w:rsidRPr="00BC08D6" w:rsidRDefault="00BC08D6" w:rsidP="007D02DE">
            <w:pPr>
              <w:pStyle w:val="naisf"/>
              <w:spacing w:before="0" w:after="0"/>
              <w:jc w:val="center"/>
              <w:rPr>
                <w:i/>
                <w:szCs w:val="24"/>
              </w:rPr>
            </w:pPr>
          </w:p>
        </w:tc>
        <w:tc>
          <w:tcPr>
            <w:tcW w:w="1418" w:type="dxa"/>
          </w:tcPr>
          <w:p w:rsidR="00BC08D6" w:rsidRPr="00BC08D6" w:rsidRDefault="00BC08D6" w:rsidP="007D02DE">
            <w:pPr>
              <w:pStyle w:val="naisf"/>
              <w:spacing w:before="0" w:after="0"/>
              <w:jc w:val="center"/>
              <w:rPr>
                <w:szCs w:val="24"/>
              </w:rPr>
            </w:pPr>
            <w:r w:rsidRPr="00BC08D6">
              <w:rPr>
                <w:szCs w:val="24"/>
              </w:rPr>
              <w:t>0</w:t>
            </w:r>
          </w:p>
        </w:tc>
        <w:tc>
          <w:tcPr>
            <w:tcW w:w="2268" w:type="dxa"/>
          </w:tcPr>
          <w:p w:rsidR="00BC08D6" w:rsidRPr="00BC08D6" w:rsidRDefault="00BC08D6" w:rsidP="007D02DE">
            <w:pPr>
              <w:pStyle w:val="naisf"/>
              <w:spacing w:before="0" w:after="0"/>
              <w:jc w:val="center"/>
              <w:rPr>
                <w:szCs w:val="24"/>
              </w:rPr>
            </w:pPr>
            <w:r w:rsidRPr="00BC08D6">
              <w:rPr>
                <w:szCs w:val="24"/>
              </w:rPr>
              <w:t>0</w:t>
            </w:r>
          </w:p>
        </w:tc>
        <w:tc>
          <w:tcPr>
            <w:tcW w:w="1701" w:type="dxa"/>
          </w:tcPr>
          <w:p w:rsidR="00BC08D6" w:rsidRPr="00BC08D6" w:rsidRDefault="00BC08D6" w:rsidP="007D02DE">
            <w:pPr>
              <w:pStyle w:val="naisf"/>
              <w:spacing w:before="0" w:after="0"/>
              <w:jc w:val="center"/>
              <w:rPr>
                <w:szCs w:val="24"/>
              </w:rPr>
            </w:pPr>
            <w:r w:rsidRPr="00BC08D6">
              <w:rPr>
                <w:szCs w:val="24"/>
              </w:rPr>
              <w:t>0</w:t>
            </w:r>
          </w:p>
        </w:tc>
        <w:tc>
          <w:tcPr>
            <w:tcW w:w="1417" w:type="dxa"/>
          </w:tcPr>
          <w:p w:rsidR="00BC08D6" w:rsidRPr="00BC08D6" w:rsidRDefault="00BC08D6" w:rsidP="007D02DE">
            <w:pPr>
              <w:pStyle w:val="naisf"/>
              <w:spacing w:before="0" w:after="0"/>
              <w:jc w:val="center"/>
              <w:rPr>
                <w:szCs w:val="24"/>
              </w:rPr>
            </w:pPr>
            <w:r w:rsidRPr="00BC08D6">
              <w:rPr>
                <w:szCs w:val="24"/>
              </w:rPr>
              <w:t>0</w:t>
            </w:r>
          </w:p>
        </w:tc>
      </w:tr>
      <w:tr w:rsidR="00BC08D6" w:rsidRPr="002744F5"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6. Detalizēts ieņēmumu un izdevumu aprēķins (ja nepie</w:t>
            </w:r>
            <w:r w:rsidRPr="00BC08D6">
              <w:rPr>
                <w:rFonts w:ascii="Times New Roman" w:hAnsi="Times New Roman"/>
                <w:sz w:val="24"/>
                <w:szCs w:val="24"/>
              </w:rPr>
              <w:softHyphen/>
              <w:t>ciešams, detalizētu ieņēmumu un izdevumu aprēķinu var pie</w:t>
            </w:r>
            <w:r w:rsidRPr="00BC08D6">
              <w:rPr>
                <w:rFonts w:ascii="Times New Roman" w:hAnsi="Times New Roman"/>
                <w:sz w:val="24"/>
                <w:szCs w:val="24"/>
              </w:rPr>
              <w:softHyphen/>
              <w:t>vienot anotācijas pielikumā):</w:t>
            </w:r>
          </w:p>
        </w:tc>
        <w:tc>
          <w:tcPr>
            <w:tcW w:w="8067" w:type="dxa"/>
            <w:gridSpan w:val="5"/>
            <w:vMerge w:val="restart"/>
            <w:vAlign w:val="center"/>
          </w:tcPr>
          <w:p w:rsidR="00BC08D6" w:rsidRPr="00BC08D6" w:rsidRDefault="00BC08D6" w:rsidP="007D02DE">
            <w:pPr>
              <w:pStyle w:val="naisf"/>
              <w:spacing w:before="0" w:after="0"/>
              <w:rPr>
                <w:szCs w:val="24"/>
              </w:rPr>
            </w:pPr>
            <w:r w:rsidRPr="00BC08D6">
              <w:rPr>
                <w:szCs w:val="24"/>
              </w:rPr>
              <w:t>*projektam nav ietekme uz plānotajiem budžeta izdevumiem 2017. un 2018.gadā.</w:t>
            </w:r>
          </w:p>
          <w:p w:rsidR="00BC08D6" w:rsidRPr="00BC08D6" w:rsidRDefault="00BC08D6" w:rsidP="007D02DE">
            <w:pPr>
              <w:pStyle w:val="naisf"/>
              <w:spacing w:before="0" w:after="0"/>
              <w:rPr>
                <w:szCs w:val="24"/>
              </w:rPr>
            </w:pPr>
          </w:p>
          <w:tbl>
            <w:tblPr>
              <w:tblW w:w="7765" w:type="dxa"/>
              <w:tblLayout w:type="fixed"/>
              <w:tblLook w:val="04A0" w:firstRow="1" w:lastRow="0" w:firstColumn="1" w:lastColumn="0" w:noHBand="0" w:noVBand="1"/>
            </w:tblPr>
            <w:tblGrid>
              <w:gridCol w:w="1746"/>
              <w:gridCol w:w="1116"/>
              <w:gridCol w:w="1011"/>
              <w:gridCol w:w="1000"/>
              <w:gridCol w:w="1023"/>
              <w:gridCol w:w="916"/>
              <w:gridCol w:w="953"/>
            </w:tblGrid>
            <w:tr w:rsidR="00BC08D6" w:rsidRPr="00BC08D6" w:rsidTr="006F63CB">
              <w:trPr>
                <w:trHeight w:val="225"/>
              </w:trPr>
              <w:tc>
                <w:tcPr>
                  <w:tcW w:w="1746"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Rādītāji</w:t>
                  </w:r>
                </w:p>
              </w:tc>
              <w:tc>
                <w:tcPr>
                  <w:tcW w:w="2127" w:type="dxa"/>
                  <w:gridSpan w:val="2"/>
                  <w:tcBorders>
                    <w:top w:val="single" w:sz="4" w:space="0" w:color="BFBFBF"/>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2017.gads</w:t>
                  </w:r>
                </w:p>
              </w:tc>
              <w:tc>
                <w:tcPr>
                  <w:tcW w:w="2023" w:type="dxa"/>
                  <w:gridSpan w:val="2"/>
                  <w:tcBorders>
                    <w:top w:val="single" w:sz="4" w:space="0" w:color="BFBFBF"/>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2018.gads</w:t>
                  </w:r>
                </w:p>
              </w:tc>
              <w:tc>
                <w:tcPr>
                  <w:tcW w:w="1869" w:type="dxa"/>
                  <w:gridSpan w:val="2"/>
                  <w:tcBorders>
                    <w:top w:val="single" w:sz="4" w:space="0" w:color="BFBFBF"/>
                    <w:left w:val="nil"/>
                    <w:bottom w:val="single" w:sz="4" w:space="0" w:color="BFBFBF"/>
                    <w:right w:val="single" w:sz="4" w:space="0" w:color="BFBFBF"/>
                  </w:tcBorders>
                  <w:shd w:val="clear" w:color="auto" w:fill="auto"/>
                  <w:vAlign w:val="center"/>
                  <w:hideMark/>
                </w:tcPr>
                <w:p w:rsidR="00BC08D6" w:rsidRDefault="00BC08D6" w:rsidP="007D02DE">
                  <w:pPr>
                    <w:spacing w:after="0"/>
                    <w:jc w:val="center"/>
                    <w:rPr>
                      <w:rFonts w:ascii="Times New Roman" w:eastAsia="Times New Roman" w:hAnsi="Times New Roman"/>
                      <w:b/>
                      <w:bCs/>
                      <w:sz w:val="20"/>
                      <w:szCs w:val="20"/>
                      <w:lang w:eastAsia="lv-LV"/>
                    </w:rPr>
                  </w:pPr>
                </w:p>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2019.gads</w:t>
                  </w:r>
                </w:p>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 </w:t>
                  </w:r>
                </w:p>
              </w:tc>
            </w:tr>
            <w:tr w:rsidR="00BC08D6" w:rsidRPr="00BC08D6" w:rsidTr="00BC08D6">
              <w:trPr>
                <w:trHeight w:val="225"/>
              </w:trPr>
              <w:tc>
                <w:tcPr>
                  <w:tcW w:w="1746" w:type="dxa"/>
                  <w:vMerge/>
                  <w:tcBorders>
                    <w:top w:val="single" w:sz="4" w:space="0" w:color="BFBFBF"/>
                    <w:left w:val="single" w:sz="4" w:space="0" w:color="BFBFBF"/>
                    <w:bottom w:val="single" w:sz="4" w:space="0" w:color="BFBFBF"/>
                    <w:right w:val="single" w:sz="4" w:space="0" w:color="BFBFBF"/>
                  </w:tcBorders>
                  <w:vAlign w:val="center"/>
                  <w:hideMark/>
                </w:tcPr>
                <w:p w:rsidR="00BC08D6" w:rsidRPr="00BC08D6" w:rsidRDefault="00BC08D6" w:rsidP="007D02DE">
                  <w:pPr>
                    <w:spacing w:after="0"/>
                    <w:rPr>
                      <w:rFonts w:ascii="Times New Roman" w:eastAsia="Times New Roman" w:hAnsi="Times New Roman"/>
                      <w:sz w:val="20"/>
                      <w:szCs w:val="20"/>
                      <w:lang w:eastAsia="lv-LV"/>
                    </w:rPr>
                  </w:pP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Apstiprināts</w:t>
                  </w:r>
                </w:p>
              </w:tc>
              <w:tc>
                <w:tcPr>
                  <w:tcW w:w="1011"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Projekts</w:t>
                  </w:r>
                </w:p>
              </w:tc>
              <w:tc>
                <w:tcPr>
                  <w:tcW w:w="1000"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Apstiprināts</w:t>
                  </w:r>
                </w:p>
              </w:tc>
              <w:tc>
                <w:tcPr>
                  <w:tcW w:w="102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Projekts</w:t>
                  </w:r>
                </w:p>
              </w:tc>
              <w:tc>
                <w:tcPr>
                  <w:tcW w:w="9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Apstiprināts</w:t>
                  </w:r>
                </w:p>
              </w:tc>
              <w:tc>
                <w:tcPr>
                  <w:tcW w:w="95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Projekts</w:t>
                  </w:r>
                </w:p>
              </w:tc>
            </w:tr>
            <w:tr w:rsidR="00BC08D6" w:rsidRPr="00BC08D6" w:rsidTr="00BC08D6">
              <w:trPr>
                <w:trHeight w:val="300"/>
              </w:trPr>
              <w:tc>
                <w:tcPr>
                  <w:tcW w:w="1746" w:type="dxa"/>
                  <w:tcBorders>
                    <w:top w:val="nil"/>
                    <w:left w:val="single" w:sz="4" w:space="0" w:color="BFBFBF"/>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Ieņēmumi - kopā</w:t>
                  </w:r>
                </w:p>
              </w:tc>
              <w:tc>
                <w:tcPr>
                  <w:tcW w:w="1116"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9 652 669</w:t>
                  </w:r>
                </w:p>
              </w:tc>
              <w:tc>
                <w:tcPr>
                  <w:tcW w:w="1011"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9 672 187</w:t>
                  </w:r>
                </w:p>
              </w:tc>
              <w:tc>
                <w:tcPr>
                  <w:tcW w:w="1000"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8 569 214</w:t>
                  </w:r>
                </w:p>
              </w:tc>
              <w:tc>
                <w:tcPr>
                  <w:tcW w:w="1023"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8 599 791</w:t>
                  </w:r>
                </w:p>
              </w:tc>
              <w:tc>
                <w:tcPr>
                  <w:tcW w:w="916"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0</w:t>
                  </w:r>
                </w:p>
              </w:tc>
              <w:tc>
                <w:tcPr>
                  <w:tcW w:w="953"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7 318 391</w:t>
                  </w:r>
                </w:p>
              </w:tc>
            </w:tr>
            <w:tr w:rsidR="00BC08D6" w:rsidRPr="00BC08D6" w:rsidTr="00BC08D6">
              <w:trPr>
                <w:trHeight w:val="525"/>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right"/>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Nodeva par pases izsniegšanu</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5 733 250</w:t>
                  </w:r>
                </w:p>
              </w:tc>
              <w:tc>
                <w:tcPr>
                  <w:tcW w:w="1011"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5 516 670</w:t>
                  </w:r>
                </w:p>
              </w:tc>
              <w:tc>
                <w:tcPr>
                  <w:tcW w:w="1000"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3 763 486</w:t>
                  </w:r>
                </w:p>
              </w:tc>
              <w:tc>
                <w:tcPr>
                  <w:tcW w:w="1023"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3 512 168</w:t>
                  </w:r>
                </w:p>
              </w:tc>
              <w:tc>
                <w:tcPr>
                  <w:tcW w:w="916"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 </w:t>
                  </w:r>
                </w:p>
              </w:tc>
              <w:tc>
                <w:tcPr>
                  <w:tcW w:w="953"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3 315 969</w:t>
                  </w:r>
                </w:p>
              </w:tc>
            </w:tr>
            <w:tr w:rsidR="00BC08D6" w:rsidRPr="00BC08D6" w:rsidTr="00BC08D6">
              <w:trPr>
                <w:trHeight w:val="450"/>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right"/>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lastRenderedPageBreak/>
                    <w:t>Nodeva par personas apliecības izsniegšanu</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3 919 419</w:t>
                  </w:r>
                </w:p>
              </w:tc>
              <w:tc>
                <w:tcPr>
                  <w:tcW w:w="1011"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4 155 517</w:t>
                  </w:r>
                </w:p>
              </w:tc>
              <w:tc>
                <w:tcPr>
                  <w:tcW w:w="1000"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4 805 728</w:t>
                  </w:r>
                </w:p>
              </w:tc>
              <w:tc>
                <w:tcPr>
                  <w:tcW w:w="1023"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5 087 623</w:t>
                  </w:r>
                </w:p>
              </w:tc>
              <w:tc>
                <w:tcPr>
                  <w:tcW w:w="916"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 </w:t>
                  </w:r>
                </w:p>
              </w:tc>
              <w:tc>
                <w:tcPr>
                  <w:tcW w:w="953"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4 002 422</w:t>
                  </w:r>
                </w:p>
              </w:tc>
            </w:tr>
            <w:tr w:rsidR="00BC08D6" w:rsidRPr="00BC08D6" w:rsidTr="00BC08D6">
              <w:trPr>
                <w:trHeight w:val="525"/>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Ieņēmumi salīdzinot ar 2016.gada plānu</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 </w:t>
                  </w:r>
                </w:p>
              </w:tc>
              <w:tc>
                <w:tcPr>
                  <w:tcW w:w="1011"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-249 510</w:t>
                  </w:r>
                </w:p>
              </w:tc>
              <w:tc>
                <w:tcPr>
                  <w:tcW w:w="1000"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 </w:t>
                  </w:r>
                </w:p>
              </w:tc>
              <w:tc>
                <w:tcPr>
                  <w:tcW w:w="1023"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-1 321 906</w:t>
                  </w:r>
                </w:p>
              </w:tc>
              <w:tc>
                <w:tcPr>
                  <w:tcW w:w="916"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 </w:t>
                  </w:r>
                </w:p>
              </w:tc>
              <w:tc>
                <w:tcPr>
                  <w:tcW w:w="953" w:type="dxa"/>
                  <w:tcBorders>
                    <w:top w:val="nil"/>
                    <w:left w:val="nil"/>
                    <w:bottom w:val="single" w:sz="4" w:space="0" w:color="BFBFBF"/>
                    <w:right w:val="single" w:sz="4" w:space="0" w:color="BFBFBF"/>
                  </w:tcBorders>
                  <w:shd w:val="clear" w:color="000000" w:fill="FFFFFF"/>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-2 603 306</w:t>
                  </w:r>
                </w:p>
              </w:tc>
            </w:tr>
            <w:tr w:rsidR="00BC08D6" w:rsidRPr="00BC08D6" w:rsidTr="00BC08D6">
              <w:trPr>
                <w:trHeight w:val="1695"/>
              </w:trPr>
              <w:tc>
                <w:tcPr>
                  <w:tcW w:w="1746" w:type="dxa"/>
                  <w:tcBorders>
                    <w:top w:val="nil"/>
                    <w:left w:val="single" w:sz="4" w:space="0" w:color="BFBFBF"/>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Izdevumi - kopā</w:t>
                  </w:r>
                  <w:r w:rsidRPr="00BC08D6">
                    <w:rPr>
                      <w:rFonts w:ascii="Times New Roman" w:eastAsia="Times New Roman" w:hAnsi="Times New Roman"/>
                      <w:b/>
                      <w:bCs/>
                      <w:sz w:val="20"/>
                      <w:szCs w:val="20"/>
                      <w:lang w:eastAsia="lv-LV"/>
                    </w:rPr>
                    <w:br/>
                  </w:r>
                  <w:r w:rsidRPr="00BC08D6">
                    <w:rPr>
                      <w:rFonts w:ascii="Times New Roman" w:eastAsia="Times New Roman" w:hAnsi="Times New Roman"/>
                      <w:sz w:val="20"/>
                      <w:szCs w:val="20"/>
                      <w:lang w:eastAsia="lv-LV"/>
                    </w:rPr>
                    <w:t xml:space="preserve">Ilgtermiņa saistību pasākums “Eiropas Savienības prasībām atbilstošu pasu, elektronisko identifikācijas karšu un uzturēšanās atļauju izsniegšana” </w:t>
                  </w:r>
                </w:p>
              </w:tc>
              <w:tc>
                <w:tcPr>
                  <w:tcW w:w="1116"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5 768 831</w:t>
                  </w:r>
                </w:p>
              </w:tc>
              <w:tc>
                <w:tcPr>
                  <w:tcW w:w="1011"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5 768 831</w:t>
                  </w:r>
                </w:p>
              </w:tc>
              <w:tc>
                <w:tcPr>
                  <w:tcW w:w="1000"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5 675 244</w:t>
                  </w:r>
                </w:p>
              </w:tc>
              <w:tc>
                <w:tcPr>
                  <w:tcW w:w="1023"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5 675 244</w:t>
                  </w:r>
                </w:p>
              </w:tc>
              <w:tc>
                <w:tcPr>
                  <w:tcW w:w="916"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0</w:t>
                  </w:r>
                </w:p>
              </w:tc>
              <w:tc>
                <w:tcPr>
                  <w:tcW w:w="953" w:type="dxa"/>
                  <w:tcBorders>
                    <w:top w:val="nil"/>
                    <w:left w:val="nil"/>
                    <w:bottom w:val="single" w:sz="4" w:space="0" w:color="BFBFBF"/>
                    <w:right w:val="single" w:sz="4" w:space="0" w:color="BFBFBF"/>
                  </w:tcBorders>
                  <w:shd w:val="clear" w:color="000000" w:fill="D9D9D9"/>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3 610 191</w:t>
                  </w:r>
                </w:p>
              </w:tc>
            </w:tr>
            <w:tr w:rsidR="00BC08D6" w:rsidRPr="00BC08D6" w:rsidTr="00BC08D6">
              <w:trPr>
                <w:trHeight w:val="990"/>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right"/>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Izdevumi budžeta apakšprogrammā 11.01.00  "Pilsonības un migrācijas lietu pārvalde"</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5 597 768</w:t>
                  </w:r>
                </w:p>
              </w:tc>
              <w:tc>
                <w:tcPr>
                  <w:tcW w:w="1011"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5 597 768</w:t>
                  </w:r>
                </w:p>
              </w:tc>
              <w:tc>
                <w:tcPr>
                  <w:tcW w:w="1000"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5 504 181</w:t>
                  </w:r>
                </w:p>
              </w:tc>
              <w:tc>
                <w:tcPr>
                  <w:tcW w:w="102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5 504 181</w:t>
                  </w:r>
                </w:p>
              </w:tc>
              <w:tc>
                <w:tcPr>
                  <w:tcW w:w="9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 </w:t>
                  </w:r>
                </w:p>
              </w:tc>
              <w:tc>
                <w:tcPr>
                  <w:tcW w:w="95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3 439 128</w:t>
                  </w:r>
                </w:p>
              </w:tc>
            </w:tr>
            <w:tr w:rsidR="00BC08D6" w:rsidRPr="00BC08D6" w:rsidTr="00BC08D6">
              <w:trPr>
                <w:trHeight w:val="1230"/>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right"/>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Izdevumi budžeta apakšprogrammā 02.03.00 “Vienotās sakaru un informācijas sistēmas uzturēšana un vadība”</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171 063</w:t>
                  </w:r>
                </w:p>
              </w:tc>
              <w:tc>
                <w:tcPr>
                  <w:tcW w:w="1011"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171 063</w:t>
                  </w:r>
                </w:p>
              </w:tc>
              <w:tc>
                <w:tcPr>
                  <w:tcW w:w="1000"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171 063</w:t>
                  </w:r>
                </w:p>
              </w:tc>
              <w:tc>
                <w:tcPr>
                  <w:tcW w:w="102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171 063</w:t>
                  </w:r>
                </w:p>
              </w:tc>
              <w:tc>
                <w:tcPr>
                  <w:tcW w:w="9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 </w:t>
                  </w:r>
                </w:p>
              </w:tc>
              <w:tc>
                <w:tcPr>
                  <w:tcW w:w="95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sz w:val="20"/>
                      <w:szCs w:val="20"/>
                      <w:lang w:eastAsia="lv-LV"/>
                    </w:rPr>
                  </w:pPr>
                  <w:r w:rsidRPr="00BC08D6">
                    <w:rPr>
                      <w:rFonts w:ascii="Times New Roman" w:eastAsia="Times New Roman" w:hAnsi="Times New Roman"/>
                      <w:sz w:val="20"/>
                      <w:szCs w:val="20"/>
                      <w:lang w:eastAsia="lv-LV"/>
                    </w:rPr>
                    <w:t>171 063</w:t>
                  </w:r>
                </w:p>
              </w:tc>
            </w:tr>
            <w:tr w:rsidR="00BC08D6" w:rsidRPr="00BC08D6" w:rsidTr="00BC08D6">
              <w:trPr>
                <w:trHeight w:val="555"/>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Finansiālā ietekme (ieņēmumi - izdevumi)</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3 883 838</w:t>
                  </w:r>
                </w:p>
              </w:tc>
              <w:tc>
                <w:tcPr>
                  <w:tcW w:w="1011"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3 903 356</w:t>
                  </w:r>
                </w:p>
              </w:tc>
              <w:tc>
                <w:tcPr>
                  <w:tcW w:w="1000"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2 893 970</w:t>
                  </w:r>
                </w:p>
              </w:tc>
              <w:tc>
                <w:tcPr>
                  <w:tcW w:w="102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2 924 547</w:t>
                  </w:r>
                </w:p>
              </w:tc>
              <w:tc>
                <w:tcPr>
                  <w:tcW w:w="9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0</w:t>
                  </w:r>
                </w:p>
              </w:tc>
              <w:tc>
                <w:tcPr>
                  <w:tcW w:w="95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3 708 200</w:t>
                  </w:r>
                </w:p>
              </w:tc>
            </w:tr>
            <w:tr w:rsidR="00BC08D6" w:rsidRPr="00BC08D6" w:rsidTr="00BC08D6">
              <w:trPr>
                <w:trHeight w:val="645"/>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Izdevumi salīdzinot ar 2016.gada plānu</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 </w:t>
                  </w:r>
                </w:p>
              </w:tc>
              <w:tc>
                <w:tcPr>
                  <w:tcW w:w="1011"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880 880</w:t>
                  </w:r>
                </w:p>
              </w:tc>
              <w:tc>
                <w:tcPr>
                  <w:tcW w:w="1000"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 </w:t>
                  </w:r>
                </w:p>
              </w:tc>
              <w:tc>
                <w:tcPr>
                  <w:tcW w:w="102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787 293</w:t>
                  </w:r>
                </w:p>
              </w:tc>
              <w:tc>
                <w:tcPr>
                  <w:tcW w:w="9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b/>
                      <w:bCs/>
                      <w:sz w:val="20"/>
                      <w:szCs w:val="20"/>
                      <w:lang w:eastAsia="lv-LV"/>
                    </w:rPr>
                  </w:pPr>
                  <w:r w:rsidRPr="00BC08D6">
                    <w:rPr>
                      <w:rFonts w:ascii="Times New Roman" w:eastAsia="Times New Roman" w:hAnsi="Times New Roman"/>
                      <w:b/>
                      <w:bCs/>
                      <w:sz w:val="20"/>
                      <w:szCs w:val="20"/>
                      <w:lang w:eastAsia="lv-LV"/>
                    </w:rPr>
                    <w:t> </w:t>
                  </w:r>
                </w:p>
              </w:tc>
              <w:tc>
                <w:tcPr>
                  <w:tcW w:w="95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-1 277 760</w:t>
                  </w:r>
                </w:p>
              </w:tc>
            </w:tr>
            <w:tr w:rsidR="00BC08D6" w:rsidRPr="00BC08D6" w:rsidTr="00BC08D6">
              <w:trPr>
                <w:trHeight w:val="660"/>
              </w:trPr>
              <w:tc>
                <w:tcPr>
                  <w:tcW w:w="1746" w:type="dxa"/>
                  <w:tcBorders>
                    <w:top w:val="nil"/>
                    <w:left w:val="single" w:sz="4" w:space="0" w:color="BFBFBF"/>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Finansiālā ietekme salīdzinot ar 2016.gada plānu</w:t>
                  </w:r>
                </w:p>
              </w:tc>
              <w:tc>
                <w:tcPr>
                  <w:tcW w:w="11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 </w:t>
                  </w:r>
                </w:p>
              </w:tc>
              <w:tc>
                <w:tcPr>
                  <w:tcW w:w="1011"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-1 130 390</w:t>
                  </w:r>
                </w:p>
              </w:tc>
              <w:tc>
                <w:tcPr>
                  <w:tcW w:w="1000"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 </w:t>
                  </w:r>
                </w:p>
              </w:tc>
              <w:tc>
                <w:tcPr>
                  <w:tcW w:w="102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-2 109 199</w:t>
                  </w:r>
                </w:p>
              </w:tc>
              <w:tc>
                <w:tcPr>
                  <w:tcW w:w="916"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 </w:t>
                  </w:r>
                </w:p>
              </w:tc>
              <w:tc>
                <w:tcPr>
                  <w:tcW w:w="953" w:type="dxa"/>
                  <w:tcBorders>
                    <w:top w:val="nil"/>
                    <w:left w:val="nil"/>
                    <w:bottom w:val="single" w:sz="4" w:space="0" w:color="BFBFBF"/>
                    <w:right w:val="single" w:sz="4" w:space="0" w:color="BFBFBF"/>
                  </w:tcBorders>
                  <w:shd w:val="clear" w:color="auto" w:fill="auto"/>
                  <w:vAlign w:val="center"/>
                  <w:hideMark/>
                </w:tcPr>
                <w:p w:rsidR="00BC08D6" w:rsidRPr="00BC08D6" w:rsidRDefault="00BC08D6" w:rsidP="007D02DE">
                  <w:pPr>
                    <w:spacing w:after="0"/>
                    <w:jc w:val="center"/>
                    <w:rPr>
                      <w:rFonts w:ascii="Times New Roman" w:eastAsia="Times New Roman" w:hAnsi="Times New Roman"/>
                      <w:i/>
                      <w:iCs/>
                      <w:sz w:val="20"/>
                      <w:szCs w:val="20"/>
                      <w:lang w:eastAsia="lv-LV"/>
                    </w:rPr>
                  </w:pPr>
                  <w:r w:rsidRPr="00BC08D6">
                    <w:rPr>
                      <w:rFonts w:ascii="Times New Roman" w:eastAsia="Times New Roman" w:hAnsi="Times New Roman"/>
                      <w:i/>
                      <w:iCs/>
                      <w:sz w:val="20"/>
                      <w:szCs w:val="20"/>
                      <w:lang w:eastAsia="lv-LV"/>
                    </w:rPr>
                    <w:t>-1 325 546</w:t>
                  </w:r>
                </w:p>
              </w:tc>
            </w:tr>
          </w:tbl>
          <w:p w:rsidR="00BC08D6" w:rsidRPr="00BC08D6" w:rsidRDefault="00BC08D6" w:rsidP="007D02DE">
            <w:pPr>
              <w:pStyle w:val="naisf"/>
              <w:spacing w:before="0" w:after="0"/>
              <w:rPr>
                <w:szCs w:val="24"/>
              </w:rPr>
            </w:pPr>
          </w:p>
          <w:p w:rsidR="00BC08D6" w:rsidRPr="00BC08D6" w:rsidRDefault="00BC08D6" w:rsidP="007D02DE">
            <w:pPr>
              <w:pStyle w:val="naisf"/>
              <w:spacing w:before="0" w:after="0"/>
              <w:rPr>
                <w:szCs w:val="24"/>
              </w:rPr>
            </w:pPr>
            <w:r w:rsidRPr="00BC08D6">
              <w:rPr>
                <w:szCs w:val="24"/>
              </w:rPr>
              <w:t xml:space="preserve">Detalizēts ieņēmumu un izdevumu aprēķins iekļauts anotācijas 1. un 2.pielikumā. </w:t>
            </w:r>
          </w:p>
        </w:tc>
      </w:tr>
      <w:tr w:rsidR="00BC08D6" w:rsidRPr="005128C9" w:rsidTr="00BC08D6">
        <w:trPr>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lastRenderedPageBreak/>
              <w:t>6.1. detalizēts ieņēmumu aprēķins</w:t>
            </w:r>
          </w:p>
        </w:tc>
        <w:tc>
          <w:tcPr>
            <w:tcW w:w="8067" w:type="dxa"/>
            <w:gridSpan w:val="5"/>
            <w:vMerge/>
          </w:tcPr>
          <w:p w:rsidR="00BC08D6" w:rsidRPr="00BC08D6" w:rsidRDefault="00BC08D6" w:rsidP="007D02DE">
            <w:pPr>
              <w:pStyle w:val="naisf"/>
              <w:spacing w:before="0" w:after="0"/>
              <w:rPr>
                <w:b/>
                <w:i/>
                <w:szCs w:val="24"/>
              </w:rPr>
            </w:pPr>
          </w:p>
        </w:tc>
      </w:tr>
      <w:tr w:rsidR="00BC08D6" w:rsidRPr="005128C9" w:rsidTr="00BC08D6">
        <w:trPr>
          <w:trHeight w:val="6168"/>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lastRenderedPageBreak/>
              <w:t>6.2. detalizēts izdevumu aprēķins</w:t>
            </w:r>
          </w:p>
        </w:tc>
        <w:tc>
          <w:tcPr>
            <w:tcW w:w="8067" w:type="dxa"/>
            <w:gridSpan w:val="5"/>
            <w:vMerge/>
          </w:tcPr>
          <w:p w:rsidR="00BC08D6" w:rsidRPr="002149C0" w:rsidRDefault="00BC08D6" w:rsidP="007D02DE">
            <w:pPr>
              <w:pStyle w:val="naisf"/>
              <w:spacing w:before="0" w:after="0"/>
              <w:rPr>
                <w:b/>
                <w:i/>
                <w:sz w:val="22"/>
                <w:szCs w:val="22"/>
              </w:rPr>
            </w:pPr>
          </w:p>
        </w:tc>
      </w:tr>
      <w:tr w:rsidR="00BC08D6" w:rsidRPr="005128C9" w:rsidTr="00BC08D6">
        <w:trPr>
          <w:trHeight w:val="556"/>
          <w:jc w:val="center"/>
        </w:trPr>
        <w:tc>
          <w:tcPr>
            <w:tcW w:w="1709" w:type="dxa"/>
          </w:tcPr>
          <w:p w:rsidR="00BC08D6" w:rsidRPr="00BC08D6" w:rsidRDefault="00BC08D6" w:rsidP="007D02DE">
            <w:pPr>
              <w:spacing w:after="0"/>
              <w:rPr>
                <w:rFonts w:ascii="Times New Roman" w:hAnsi="Times New Roman"/>
                <w:sz w:val="24"/>
                <w:szCs w:val="24"/>
              </w:rPr>
            </w:pPr>
            <w:r w:rsidRPr="00BC08D6">
              <w:rPr>
                <w:rFonts w:ascii="Times New Roman" w:hAnsi="Times New Roman"/>
                <w:sz w:val="24"/>
                <w:szCs w:val="24"/>
              </w:rPr>
              <w:t>7. Cita informācija</w:t>
            </w:r>
          </w:p>
        </w:tc>
        <w:tc>
          <w:tcPr>
            <w:tcW w:w="8067" w:type="dxa"/>
            <w:gridSpan w:val="5"/>
          </w:tcPr>
          <w:p w:rsidR="00BC08D6" w:rsidRPr="00BC08D6" w:rsidRDefault="00BC08D6" w:rsidP="007D02DE">
            <w:pPr>
              <w:pStyle w:val="naisf"/>
              <w:tabs>
                <w:tab w:val="left" w:pos="4644"/>
              </w:tabs>
              <w:spacing w:before="0" w:after="0"/>
              <w:rPr>
                <w:szCs w:val="24"/>
              </w:rPr>
            </w:pPr>
            <w:r w:rsidRPr="00BC08D6">
              <w:rPr>
                <w:szCs w:val="24"/>
              </w:rPr>
              <w:t>Nav.</w:t>
            </w:r>
          </w:p>
        </w:tc>
      </w:tr>
    </w:tbl>
    <w:p w:rsidR="00BC08D6" w:rsidRDefault="00BC08D6" w:rsidP="00F50741">
      <w:pPr>
        <w:spacing w:after="0"/>
        <w:ind w:firstLine="300"/>
        <w:rPr>
          <w:rFonts w:ascii="Times New Roman" w:eastAsia="Times New Roman" w:hAnsi="Times New Roman" w:cs="Times New Roman"/>
          <w:sz w:val="24"/>
          <w:szCs w:val="24"/>
          <w:lang w:eastAsia="lv-LV"/>
        </w:rPr>
      </w:pPr>
    </w:p>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495AE6"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VII. Tiesību akta projekta izpildes nodrošināšana un tās ietekme uz institūcijām</w:t>
            </w:r>
          </w:p>
        </w:tc>
      </w:tr>
      <w:tr w:rsidR="008B6287" w:rsidRPr="00495AE6"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BC470A">
            <w:pPr>
              <w:ind w:left="57" w:right="57"/>
              <w:jc w:val="both"/>
              <w:rPr>
                <w:sz w:val="28"/>
              </w:rPr>
            </w:pPr>
            <w:r w:rsidRPr="00495AE6">
              <w:rPr>
                <w:rFonts w:ascii="Times New Roman" w:eastAsia="Times New Roman" w:hAnsi="Times New Roman" w:cs="Times New Roman"/>
                <w:sz w:val="24"/>
                <w:szCs w:val="24"/>
                <w:lang w:eastAsia="lv-LV"/>
              </w:rPr>
              <w:t>Pilsonības un migrācijas lietu pārvalde</w:t>
            </w:r>
            <w:r w:rsidR="0003343B" w:rsidRPr="00495AE6">
              <w:rPr>
                <w:rFonts w:ascii="Times New Roman" w:eastAsia="Times New Roman" w:hAnsi="Times New Roman" w:cs="Times New Roman"/>
                <w:sz w:val="24"/>
                <w:szCs w:val="24"/>
                <w:lang w:eastAsia="lv-LV"/>
              </w:rPr>
              <w:t>.</w:t>
            </w:r>
          </w:p>
        </w:tc>
      </w:tr>
      <w:tr w:rsidR="008B6287" w:rsidRPr="00495AE6"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2.</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Projekta izpildes ietekme uz pārvaldes funkcijām un institucionālo struktūru. </w:t>
            </w:r>
          </w:p>
          <w:p w:rsidR="008B6287" w:rsidRPr="00495AE6" w:rsidRDefault="008B6287" w:rsidP="008B6287">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BC470A">
            <w:pPr>
              <w:ind w:right="57"/>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Pilsonības un migrācijas lietu pārvalde veiks savas funkcijas, kas noteiktas normatīvajos aktos.</w:t>
            </w:r>
          </w:p>
          <w:p w:rsidR="008B6287" w:rsidRPr="00495AE6" w:rsidRDefault="008B6287" w:rsidP="00BC470A">
            <w:pPr>
              <w:ind w:right="57"/>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Saistībā ar Rīkojuma projekta izpildi nav plānots radīt jaunas valsts pārvaldes institūcijas, likvidēt esošās valsts pārvaldes institūcijas, vai reorganizēt esošās valsts pārvaldes institūcijas.</w:t>
            </w:r>
          </w:p>
        </w:tc>
      </w:tr>
      <w:tr w:rsidR="008B6287" w:rsidRPr="00495AE6"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BC470A">
            <w:pPr>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95AE6">
              <w:rPr>
                <w:rFonts w:ascii="Times New Roman" w:eastAsia="Times New Roman" w:hAnsi="Times New Roman" w:cs="Times New Roman"/>
                <w:sz w:val="24"/>
                <w:szCs w:val="24"/>
                <w:lang w:eastAsia="lv-LV"/>
              </w:rPr>
              <w:t>www.vestnesis.lv</w:t>
            </w:r>
            <w:proofErr w:type="spellEnd"/>
            <w:r w:rsidRPr="00495AE6">
              <w:rPr>
                <w:rFonts w:ascii="Times New Roman" w:eastAsia="Times New Roman" w:hAnsi="Times New Roman" w:cs="Times New Roman"/>
                <w:sz w:val="24"/>
                <w:szCs w:val="24"/>
                <w:lang w:eastAsia="lv-LV"/>
              </w:rPr>
              <w:t>.</w:t>
            </w:r>
          </w:p>
        </w:tc>
      </w:tr>
    </w:tbl>
    <w:p w:rsidR="006C05DA" w:rsidRPr="00495AE6" w:rsidRDefault="006C05DA" w:rsidP="00AE4348">
      <w:pPr>
        <w:pStyle w:val="naisf"/>
        <w:tabs>
          <w:tab w:val="left" w:pos="6710"/>
        </w:tabs>
        <w:spacing w:before="0" w:after="120"/>
        <w:rPr>
          <w:szCs w:val="24"/>
        </w:rPr>
      </w:pPr>
    </w:p>
    <w:p w:rsidR="00AE4348" w:rsidRPr="00495AE6" w:rsidRDefault="00AE4348" w:rsidP="00AE4348">
      <w:pPr>
        <w:pStyle w:val="naisf"/>
        <w:tabs>
          <w:tab w:val="left" w:pos="6710"/>
        </w:tabs>
        <w:spacing w:before="0" w:after="120"/>
        <w:rPr>
          <w:szCs w:val="24"/>
        </w:rPr>
      </w:pPr>
      <w:r w:rsidRPr="00495AE6">
        <w:rPr>
          <w:szCs w:val="24"/>
        </w:rPr>
        <w:t xml:space="preserve">Anotācijas </w:t>
      </w:r>
      <w:r w:rsidR="00163CCE" w:rsidRPr="00495AE6">
        <w:rPr>
          <w:szCs w:val="24"/>
        </w:rPr>
        <w:t xml:space="preserve">II, </w:t>
      </w:r>
      <w:r w:rsidRPr="00495AE6">
        <w:rPr>
          <w:szCs w:val="24"/>
        </w:rPr>
        <w:t>IV, V un VI</w:t>
      </w:r>
      <w:r w:rsidR="00DA3726" w:rsidRPr="00495AE6">
        <w:rPr>
          <w:szCs w:val="24"/>
        </w:rPr>
        <w:t xml:space="preserve"> sadaļa</w:t>
      </w:r>
      <w:r w:rsidRPr="00495AE6">
        <w:rPr>
          <w:szCs w:val="24"/>
        </w:rPr>
        <w:t xml:space="preserve"> – projekts šīs jomas neskar.</w:t>
      </w:r>
    </w:p>
    <w:p w:rsidR="00DA3726" w:rsidRPr="00495AE6" w:rsidRDefault="00DA3726" w:rsidP="00DA3726">
      <w:pPr>
        <w:tabs>
          <w:tab w:val="left" w:pos="6521"/>
        </w:tabs>
        <w:jc w:val="both"/>
        <w:rPr>
          <w:rFonts w:ascii="Times New Roman" w:eastAsia="Times New Roman" w:hAnsi="Times New Roman" w:cs="Times New Roman"/>
          <w:sz w:val="28"/>
          <w:szCs w:val="28"/>
          <w:lang w:eastAsia="lv-LV"/>
        </w:rPr>
      </w:pPr>
    </w:p>
    <w:p w:rsidR="00DA3726" w:rsidRPr="00495AE6" w:rsidRDefault="00DA3726" w:rsidP="00DA3726">
      <w:pPr>
        <w:tabs>
          <w:tab w:val="left" w:pos="6521"/>
        </w:tabs>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Iekšlietu ministrs</w:t>
      </w:r>
      <w:r w:rsidRPr="00495AE6">
        <w:rPr>
          <w:rFonts w:ascii="Times New Roman" w:eastAsia="Times New Roman" w:hAnsi="Times New Roman" w:cs="Times New Roman"/>
          <w:sz w:val="24"/>
          <w:szCs w:val="24"/>
          <w:lang w:eastAsia="lv-LV"/>
        </w:rPr>
        <w:tab/>
        <w:t>R.Kozlovskis</w:t>
      </w:r>
    </w:p>
    <w:p w:rsidR="00DA3726" w:rsidRPr="00495AE6" w:rsidRDefault="00DA3726" w:rsidP="00DA3726">
      <w:pPr>
        <w:pStyle w:val="naisf"/>
        <w:rPr>
          <w:szCs w:val="24"/>
        </w:rPr>
      </w:pPr>
    </w:p>
    <w:p w:rsidR="00DA3726" w:rsidRPr="00495AE6" w:rsidRDefault="00DA3726" w:rsidP="00DA3726">
      <w:pPr>
        <w:pStyle w:val="naisf"/>
        <w:rPr>
          <w:szCs w:val="24"/>
        </w:rPr>
      </w:pPr>
      <w:r w:rsidRPr="00495AE6">
        <w:rPr>
          <w:szCs w:val="24"/>
        </w:rPr>
        <w:t>Vīza: valsts sekretāre</w:t>
      </w:r>
      <w:r w:rsidRPr="00495AE6">
        <w:rPr>
          <w:szCs w:val="24"/>
        </w:rPr>
        <w:tab/>
      </w:r>
      <w:r w:rsidRPr="00495AE6">
        <w:rPr>
          <w:szCs w:val="24"/>
        </w:rPr>
        <w:tab/>
      </w:r>
      <w:r w:rsidRPr="00495AE6">
        <w:rPr>
          <w:szCs w:val="24"/>
        </w:rPr>
        <w:tab/>
      </w:r>
      <w:r w:rsidRPr="00495AE6">
        <w:rPr>
          <w:szCs w:val="24"/>
        </w:rPr>
        <w:tab/>
      </w:r>
      <w:r w:rsidRPr="00495AE6">
        <w:rPr>
          <w:szCs w:val="24"/>
        </w:rPr>
        <w:tab/>
      </w:r>
      <w:r w:rsidR="009C6554" w:rsidRPr="00495AE6">
        <w:rPr>
          <w:szCs w:val="24"/>
        </w:rPr>
        <w:tab/>
      </w:r>
      <w:r w:rsidR="009C6554" w:rsidRPr="00495AE6">
        <w:rPr>
          <w:szCs w:val="24"/>
        </w:rPr>
        <w:tab/>
      </w:r>
      <w:r w:rsidR="0059714C" w:rsidRPr="00495AE6">
        <w:rPr>
          <w:szCs w:val="24"/>
        </w:rPr>
        <w:t>I. Pētersone–</w:t>
      </w:r>
      <w:r w:rsidRPr="00495AE6">
        <w:rPr>
          <w:szCs w:val="24"/>
        </w:rPr>
        <w:t>Godmane</w:t>
      </w:r>
    </w:p>
    <w:p w:rsidR="00395C12" w:rsidRPr="00495AE6" w:rsidRDefault="00395C12" w:rsidP="00DA3726">
      <w:pPr>
        <w:pStyle w:val="HTMLPreformatted"/>
        <w:jc w:val="both"/>
        <w:rPr>
          <w:rFonts w:ascii="Times New Roman" w:hAnsi="Times New Roman" w:cs="Times New Roman"/>
          <w:lang w:val="de-DE" w:eastAsia="en-US"/>
        </w:rPr>
      </w:pPr>
    </w:p>
    <w:p w:rsidR="00395C12" w:rsidRPr="00495AE6" w:rsidRDefault="00395C12" w:rsidP="00DA3726">
      <w:pPr>
        <w:pStyle w:val="HTMLPreformatted"/>
        <w:jc w:val="both"/>
        <w:rPr>
          <w:rFonts w:ascii="Times New Roman" w:hAnsi="Times New Roman" w:cs="Times New Roman"/>
          <w:lang w:val="de-DE" w:eastAsia="en-US"/>
        </w:rPr>
      </w:pPr>
    </w:p>
    <w:p w:rsidR="00881FD2" w:rsidRDefault="0016014D" w:rsidP="0016014D">
      <w:pPr>
        <w:pStyle w:val="naisf"/>
        <w:spacing w:before="0" w:after="0"/>
        <w:rPr>
          <w:sz w:val="20"/>
        </w:rPr>
      </w:pPr>
      <w:r>
        <w:rPr>
          <w:sz w:val="20"/>
        </w:rPr>
        <w:t>2</w:t>
      </w:r>
      <w:r w:rsidR="00BC08D6">
        <w:rPr>
          <w:sz w:val="20"/>
        </w:rPr>
        <w:t>9</w:t>
      </w:r>
      <w:r>
        <w:rPr>
          <w:sz w:val="20"/>
        </w:rPr>
        <w:t xml:space="preserve">.07.2016. </w:t>
      </w:r>
      <w:r w:rsidR="00BC08D6">
        <w:rPr>
          <w:sz w:val="20"/>
        </w:rPr>
        <w:t>1</w:t>
      </w:r>
      <w:r w:rsidR="00205100">
        <w:rPr>
          <w:sz w:val="20"/>
        </w:rPr>
        <w:t>3:38</w:t>
      </w:r>
    </w:p>
    <w:p w:rsidR="0016014D" w:rsidRPr="00495AE6" w:rsidRDefault="00BC08D6" w:rsidP="0016014D">
      <w:pPr>
        <w:pStyle w:val="naisf"/>
        <w:spacing w:before="0" w:after="0"/>
        <w:rPr>
          <w:sz w:val="20"/>
        </w:rPr>
      </w:pPr>
      <w:r>
        <w:rPr>
          <w:sz w:val="20"/>
        </w:rPr>
        <w:t>1</w:t>
      </w:r>
      <w:r w:rsidR="00205100">
        <w:rPr>
          <w:sz w:val="20"/>
        </w:rPr>
        <w:t xml:space="preserve"> 076</w:t>
      </w:r>
    </w:p>
    <w:p w:rsidR="00DA3726" w:rsidRPr="00495AE6" w:rsidRDefault="00DA3726" w:rsidP="00DA3726">
      <w:pPr>
        <w:pStyle w:val="HTMLPreformatted"/>
        <w:jc w:val="both"/>
        <w:rPr>
          <w:rFonts w:ascii="Times New Roman" w:hAnsi="Times New Roman" w:cs="Times New Roman"/>
          <w:lang w:val="de-DE" w:eastAsia="en-US"/>
        </w:rPr>
      </w:pPr>
      <w:r w:rsidRPr="00495AE6">
        <w:rPr>
          <w:rFonts w:ascii="Times New Roman" w:hAnsi="Times New Roman" w:cs="Times New Roman"/>
          <w:lang w:val="de-DE" w:eastAsia="en-US"/>
        </w:rPr>
        <w:t>Treiguts, 67219556</w:t>
      </w:r>
    </w:p>
    <w:p w:rsidR="00854269" w:rsidRDefault="00534F68" w:rsidP="0016014D">
      <w:pPr>
        <w:spacing w:after="0"/>
        <w:jc w:val="both"/>
        <w:rPr>
          <w:rFonts w:ascii="Times New Roman" w:eastAsia="Times New Roman" w:hAnsi="Times New Roman" w:cs="Times New Roman"/>
          <w:sz w:val="20"/>
          <w:szCs w:val="20"/>
          <w:lang w:val="de-DE"/>
        </w:rPr>
      </w:pPr>
      <w:hyperlink r:id="rId8" w:history="1">
        <w:r w:rsidR="00306015" w:rsidRPr="005C075A">
          <w:rPr>
            <w:rStyle w:val="Hyperlink"/>
            <w:rFonts w:ascii="Times New Roman" w:eastAsia="Times New Roman" w:hAnsi="Times New Roman" w:cs="Times New Roman"/>
            <w:sz w:val="20"/>
            <w:szCs w:val="20"/>
            <w:lang w:val="de-DE"/>
          </w:rPr>
          <w:t>inguss.treiguts@pmlp.gov.lv</w:t>
        </w:r>
      </w:hyperlink>
    </w:p>
    <w:p w:rsidR="00306015" w:rsidRDefault="00306015" w:rsidP="0016014D">
      <w:pPr>
        <w:spacing w:after="0"/>
        <w:jc w:val="both"/>
        <w:rPr>
          <w:rFonts w:ascii="Times New Roman" w:eastAsia="Times New Roman" w:hAnsi="Times New Roman" w:cs="Times New Roman"/>
          <w:sz w:val="20"/>
          <w:szCs w:val="20"/>
          <w:lang w:val="de-DE"/>
        </w:rPr>
      </w:pPr>
    </w:p>
    <w:p w:rsidR="00306015" w:rsidRDefault="00F66D59" w:rsidP="0016014D">
      <w:pPr>
        <w:spacing w:after="0"/>
        <w:jc w:val="both"/>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Brīvniece</w:t>
      </w:r>
      <w:r w:rsidR="00306015">
        <w:rPr>
          <w:rFonts w:ascii="Times New Roman" w:eastAsia="Times New Roman" w:hAnsi="Times New Roman" w:cs="Times New Roman"/>
          <w:sz w:val="20"/>
          <w:szCs w:val="20"/>
          <w:lang w:val="de-DE"/>
        </w:rPr>
        <w:t>, 6721</w:t>
      </w:r>
      <w:r>
        <w:rPr>
          <w:rFonts w:ascii="Times New Roman" w:eastAsia="Times New Roman" w:hAnsi="Times New Roman" w:cs="Times New Roman"/>
          <w:sz w:val="20"/>
          <w:szCs w:val="20"/>
          <w:lang w:val="de-DE"/>
        </w:rPr>
        <w:t>9453</w:t>
      </w:r>
    </w:p>
    <w:bookmarkStart w:id="0" w:name="_GoBack"/>
    <w:bookmarkEnd w:id="0"/>
    <w:p w:rsidR="00306015" w:rsidRPr="0016014D" w:rsidRDefault="00B3278B" w:rsidP="0016014D">
      <w:pPr>
        <w:spacing w:after="0"/>
        <w:jc w:val="both"/>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fldChar w:fldCharType="begin"/>
      </w:r>
      <w:r>
        <w:rPr>
          <w:rFonts w:ascii="Times New Roman" w:eastAsia="Times New Roman" w:hAnsi="Times New Roman" w:cs="Times New Roman"/>
          <w:sz w:val="20"/>
          <w:szCs w:val="20"/>
          <w:lang w:val="de-DE"/>
        </w:rPr>
        <w:instrText xml:space="preserve"> HYPERLINK "mailto:</w:instrText>
      </w:r>
      <w:r w:rsidRPr="00B3278B">
        <w:rPr>
          <w:rFonts w:ascii="Times New Roman" w:eastAsia="Times New Roman" w:hAnsi="Times New Roman" w:cs="Times New Roman"/>
          <w:sz w:val="20"/>
          <w:szCs w:val="20"/>
          <w:lang w:val="de-DE"/>
        </w:rPr>
        <w:instrText>ramona.brivniece@pmlp.gov.lv</w:instrText>
      </w:r>
      <w:r>
        <w:rPr>
          <w:rFonts w:ascii="Times New Roman" w:eastAsia="Times New Roman" w:hAnsi="Times New Roman" w:cs="Times New Roman"/>
          <w:sz w:val="20"/>
          <w:szCs w:val="20"/>
          <w:lang w:val="de-DE"/>
        </w:rPr>
        <w:instrText xml:space="preserve">" </w:instrText>
      </w:r>
      <w:r>
        <w:rPr>
          <w:rFonts w:ascii="Times New Roman" w:eastAsia="Times New Roman" w:hAnsi="Times New Roman" w:cs="Times New Roman"/>
          <w:sz w:val="20"/>
          <w:szCs w:val="20"/>
          <w:lang w:val="de-DE"/>
        </w:rPr>
        <w:fldChar w:fldCharType="separate"/>
      </w:r>
      <w:r w:rsidRPr="00B7211E">
        <w:rPr>
          <w:rStyle w:val="Hyperlink"/>
          <w:rFonts w:ascii="Times New Roman" w:eastAsia="Times New Roman" w:hAnsi="Times New Roman" w:cs="Times New Roman"/>
          <w:sz w:val="20"/>
          <w:szCs w:val="20"/>
          <w:lang w:val="de-DE"/>
        </w:rPr>
        <w:t>ramona.brivniece@pmlp.gov.lv</w:t>
      </w:r>
      <w:r>
        <w:rPr>
          <w:rFonts w:ascii="Times New Roman" w:eastAsia="Times New Roman" w:hAnsi="Times New Roman" w:cs="Times New Roman"/>
          <w:sz w:val="20"/>
          <w:szCs w:val="20"/>
          <w:lang w:val="de-DE"/>
        </w:rPr>
        <w:fldChar w:fldCharType="end"/>
      </w:r>
      <w:r w:rsidR="00306015">
        <w:rPr>
          <w:rFonts w:ascii="Times New Roman" w:eastAsia="Times New Roman" w:hAnsi="Times New Roman" w:cs="Times New Roman"/>
          <w:sz w:val="20"/>
          <w:szCs w:val="20"/>
          <w:lang w:val="de-DE"/>
        </w:rPr>
        <w:t xml:space="preserve"> </w:t>
      </w:r>
    </w:p>
    <w:sectPr w:rsidR="00306015" w:rsidRPr="0016014D" w:rsidSect="000A69A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68" w:rsidRDefault="00534F68" w:rsidP="00CE3E2E">
      <w:pPr>
        <w:spacing w:after="0"/>
      </w:pPr>
      <w:r>
        <w:separator/>
      </w:r>
    </w:p>
  </w:endnote>
  <w:endnote w:type="continuationSeparator" w:id="0">
    <w:p w:rsidR="00534F68" w:rsidRDefault="00534F68"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A" w:rsidRDefault="00EA3DBA" w:rsidP="004D2098">
    <w:pP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sidR="00F66D59">
      <w:rPr>
        <w:rFonts w:ascii="Times New Roman" w:hAnsi="Times New Roman" w:cs="Times New Roman"/>
        <w:sz w:val="20"/>
        <w:szCs w:val="20"/>
      </w:rPr>
      <w:fldChar w:fldCharType="separate"/>
    </w:r>
    <w:r w:rsidR="00B3278B">
      <w:rPr>
        <w:rFonts w:ascii="Times New Roman" w:hAnsi="Times New Roman" w:cs="Times New Roman"/>
        <w:noProof/>
        <w:sz w:val="20"/>
        <w:szCs w:val="20"/>
      </w:rPr>
      <w:t>IEMAnot_290716_rik347</w:t>
    </w:r>
    <w:r>
      <w:rPr>
        <w:rFonts w:ascii="Times New Roman" w:hAnsi="Times New Roman" w:cs="Times New Roman"/>
        <w:sz w:val="20"/>
        <w:szCs w:val="20"/>
      </w:rPr>
      <w:fldChar w:fldCharType="end"/>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w:t>
    </w:r>
    <w:proofErr w:type="gramStart"/>
    <w:r w:rsidRPr="00E9638B">
      <w:rPr>
        <w:rFonts w:ascii="Times New Roman" w:hAnsi="Times New Roman" w:cs="Times New Roman"/>
        <w:bCs/>
        <w:sz w:val="20"/>
        <w:szCs w:val="20"/>
      </w:rPr>
      <w:t>2011.gada</w:t>
    </w:r>
    <w:proofErr w:type="gramEnd"/>
    <w:r w:rsidRPr="00E9638B">
      <w:rPr>
        <w:rFonts w:ascii="Times New Roman" w:hAnsi="Times New Roman" w:cs="Times New Roman"/>
        <w:bCs/>
        <w:sz w:val="20"/>
        <w:szCs w:val="20"/>
      </w:rPr>
      <w:t xml:space="preserve">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rsidR="00EA3DBA" w:rsidRDefault="00EA3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BA" w:rsidRPr="0016014D" w:rsidRDefault="00EA3DBA" w:rsidP="00A5492F">
    <w:pPr>
      <w:jc w:val="both"/>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3278B">
      <w:rPr>
        <w:rFonts w:ascii="Times New Roman" w:hAnsi="Times New Roman" w:cs="Times New Roman"/>
        <w:noProof/>
        <w:sz w:val="20"/>
        <w:szCs w:val="20"/>
      </w:rPr>
      <w:t>IEMAnot_290716_rik347</w:t>
    </w:r>
    <w:r>
      <w:rPr>
        <w:rFonts w:ascii="Times New Roman" w:hAnsi="Times New Roman" w:cs="Times New Roman"/>
        <w:sz w:val="20"/>
        <w:szCs w:val="20"/>
      </w:rPr>
      <w:fldChar w:fldCharType="end"/>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w:t>
    </w:r>
    <w:proofErr w:type="gramStart"/>
    <w:r w:rsidRPr="00E9638B">
      <w:rPr>
        <w:rFonts w:ascii="Times New Roman" w:hAnsi="Times New Roman" w:cs="Times New Roman"/>
        <w:bCs/>
        <w:sz w:val="20"/>
        <w:szCs w:val="20"/>
      </w:rPr>
      <w:t>2011.gada</w:t>
    </w:r>
    <w:proofErr w:type="gramEnd"/>
    <w:r w:rsidRPr="00E9638B">
      <w:rPr>
        <w:rFonts w:ascii="Times New Roman" w:hAnsi="Times New Roman" w:cs="Times New Roman"/>
        <w:bCs/>
        <w:sz w:val="20"/>
        <w:szCs w:val="20"/>
      </w:rPr>
      <w:t xml:space="preserve">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rsidR="00EA3DBA" w:rsidRDefault="00EA3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68" w:rsidRDefault="00534F68" w:rsidP="00CE3E2E">
      <w:pPr>
        <w:spacing w:after="0"/>
      </w:pPr>
      <w:r>
        <w:separator/>
      </w:r>
    </w:p>
  </w:footnote>
  <w:footnote w:type="continuationSeparator" w:id="0">
    <w:p w:rsidR="00534F68" w:rsidRDefault="00534F68"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EA3DBA" w:rsidRDefault="00EA3DBA">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354052">
          <w:rPr>
            <w:rFonts w:ascii="Times New Roman" w:hAnsi="Times New Roman" w:cs="Times New Roman"/>
            <w:noProof/>
            <w:sz w:val="20"/>
            <w:szCs w:val="20"/>
          </w:rPr>
          <w:t>4</w:t>
        </w:r>
        <w:r w:rsidRPr="00CE3E2E">
          <w:rPr>
            <w:rFonts w:ascii="Times New Roman" w:hAnsi="Times New Roman" w:cs="Times New Roman"/>
            <w:sz w:val="20"/>
            <w:szCs w:val="20"/>
          </w:rPr>
          <w:fldChar w:fldCharType="end"/>
        </w:r>
      </w:p>
    </w:sdtContent>
  </w:sdt>
  <w:p w:rsidR="00EA3DBA" w:rsidRDefault="00EA3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22093"/>
    <w:rsid w:val="00025362"/>
    <w:rsid w:val="0002583B"/>
    <w:rsid w:val="000263C2"/>
    <w:rsid w:val="0003343B"/>
    <w:rsid w:val="0003750F"/>
    <w:rsid w:val="000411C0"/>
    <w:rsid w:val="000438C8"/>
    <w:rsid w:val="00060BC7"/>
    <w:rsid w:val="00065271"/>
    <w:rsid w:val="00067883"/>
    <w:rsid w:val="00067D79"/>
    <w:rsid w:val="00071229"/>
    <w:rsid w:val="000737E8"/>
    <w:rsid w:val="00073EF9"/>
    <w:rsid w:val="000808C1"/>
    <w:rsid w:val="000856E3"/>
    <w:rsid w:val="000A4C28"/>
    <w:rsid w:val="000A69AC"/>
    <w:rsid w:val="000B0A2C"/>
    <w:rsid w:val="000B30A8"/>
    <w:rsid w:val="000B4F8A"/>
    <w:rsid w:val="000B5285"/>
    <w:rsid w:val="000B70E3"/>
    <w:rsid w:val="000C4CE7"/>
    <w:rsid w:val="000D2EA1"/>
    <w:rsid w:val="000D469D"/>
    <w:rsid w:val="000F029B"/>
    <w:rsid w:val="000F67DF"/>
    <w:rsid w:val="00101287"/>
    <w:rsid w:val="00116174"/>
    <w:rsid w:val="00116EB3"/>
    <w:rsid w:val="001374AA"/>
    <w:rsid w:val="001474BC"/>
    <w:rsid w:val="00151421"/>
    <w:rsid w:val="0015495B"/>
    <w:rsid w:val="00155EE8"/>
    <w:rsid w:val="0016014D"/>
    <w:rsid w:val="00163CCE"/>
    <w:rsid w:val="001657E9"/>
    <w:rsid w:val="001744C5"/>
    <w:rsid w:val="00175EC7"/>
    <w:rsid w:val="00177324"/>
    <w:rsid w:val="0018065F"/>
    <w:rsid w:val="0019233E"/>
    <w:rsid w:val="00197F69"/>
    <w:rsid w:val="001A26AB"/>
    <w:rsid w:val="001A5962"/>
    <w:rsid w:val="001B478E"/>
    <w:rsid w:val="001B659D"/>
    <w:rsid w:val="001B7300"/>
    <w:rsid w:val="001C0E05"/>
    <w:rsid w:val="001C0FD3"/>
    <w:rsid w:val="001C7D41"/>
    <w:rsid w:val="001D2D81"/>
    <w:rsid w:val="001E03BD"/>
    <w:rsid w:val="001F05B8"/>
    <w:rsid w:val="001F0A2E"/>
    <w:rsid w:val="001F34E8"/>
    <w:rsid w:val="001F57A8"/>
    <w:rsid w:val="001F59F8"/>
    <w:rsid w:val="00201221"/>
    <w:rsid w:val="0020418C"/>
    <w:rsid w:val="00205100"/>
    <w:rsid w:val="0020516A"/>
    <w:rsid w:val="00207436"/>
    <w:rsid w:val="00217049"/>
    <w:rsid w:val="0022623D"/>
    <w:rsid w:val="002277DE"/>
    <w:rsid w:val="00231332"/>
    <w:rsid w:val="00232E0C"/>
    <w:rsid w:val="00240A17"/>
    <w:rsid w:val="002420C4"/>
    <w:rsid w:val="00245443"/>
    <w:rsid w:val="00255AE0"/>
    <w:rsid w:val="00260D74"/>
    <w:rsid w:val="00262AFE"/>
    <w:rsid w:val="00273C93"/>
    <w:rsid w:val="00281CF0"/>
    <w:rsid w:val="00281EA1"/>
    <w:rsid w:val="002834C6"/>
    <w:rsid w:val="00291BC6"/>
    <w:rsid w:val="002A4727"/>
    <w:rsid w:val="002B42F1"/>
    <w:rsid w:val="002B6979"/>
    <w:rsid w:val="002C3356"/>
    <w:rsid w:val="002E1AEF"/>
    <w:rsid w:val="002E463E"/>
    <w:rsid w:val="002E548F"/>
    <w:rsid w:val="002E58CB"/>
    <w:rsid w:val="002F7061"/>
    <w:rsid w:val="002F7890"/>
    <w:rsid w:val="00306015"/>
    <w:rsid w:val="00313739"/>
    <w:rsid w:val="00322552"/>
    <w:rsid w:val="00323E32"/>
    <w:rsid w:val="00325561"/>
    <w:rsid w:val="00335B6F"/>
    <w:rsid w:val="00345B29"/>
    <w:rsid w:val="00354052"/>
    <w:rsid w:val="00355D79"/>
    <w:rsid w:val="00356FAB"/>
    <w:rsid w:val="00363A74"/>
    <w:rsid w:val="00375295"/>
    <w:rsid w:val="00391DFF"/>
    <w:rsid w:val="00394F03"/>
    <w:rsid w:val="00395C12"/>
    <w:rsid w:val="003A0AEE"/>
    <w:rsid w:val="003C459E"/>
    <w:rsid w:val="003E0E70"/>
    <w:rsid w:val="003E24ED"/>
    <w:rsid w:val="003F13F6"/>
    <w:rsid w:val="003F42FB"/>
    <w:rsid w:val="003F470A"/>
    <w:rsid w:val="003F5377"/>
    <w:rsid w:val="00405918"/>
    <w:rsid w:val="004252C6"/>
    <w:rsid w:val="004269D4"/>
    <w:rsid w:val="00432936"/>
    <w:rsid w:val="00447ABF"/>
    <w:rsid w:val="004602F2"/>
    <w:rsid w:val="0046230E"/>
    <w:rsid w:val="00462B7B"/>
    <w:rsid w:val="004639BA"/>
    <w:rsid w:val="00473692"/>
    <w:rsid w:val="004904DF"/>
    <w:rsid w:val="004932D9"/>
    <w:rsid w:val="00495AE6"/>
    <w:rsid w:val="00497F89"/>
    <w:rsid w:val="004C1F8F"/>
    <w:rsid w:val="004D2098"/>
    <w:rsid w:val="004D3B6D"/>
    <w:rsid w:val="004D4A15"/>
    <w:rsid w:val="004D764F"/>
    <w:rsid w:val="004E10B9"/>
    <w:rsid w:val="004E2CBA"/>
    <w:rsid w:val="004E78DA"/>
    <w:rsid w:val="00500BD2"/>
    <w:rsid w:val="00507A25"/>
    <w:rsid w:val="005244DA"/>
    <w:rsid w:val="005245D8"/>
    <w:rsid w:val="00525932"/>
    <w:rsid w:val="00534F68"/>
    <w:rsid w:val="005359A6"/>
    <w:rsid w:val="00555F17"/>
    <w:rsid w:val="00561D77"/>
    <w:rsid w:val="00583FC7"/>
    <w:rsid w:val="0059714C"/>
    <w:rsid w:val="005A20C4"/>
    <w:rsid w:val="005A7392"/>
    <w:rsid w:val="005C17F2"/>
    <w:rsid w:val="005D0016"/>
    <w:rsid w:val="005D1244"/>
    <w:rsid w:val="005D2490"/>
    <w:rsid w:val="005D4E3F"/>
    <w:rsid w:val="005E3165"/>
    <w:rsid w:val="005E60B5"/>
    <w:rsid w:val="005F077E"/>
    <w:rsid w:val="006101F6"/>
    <w:rsid w:val="0061110A"/>
    <w:rsid w:val="0062033C"/>
    <w:rsid w:val="00634AF6"/>
    <w:rsid w:val="00636196"/>
    <w:rsid w:val="00641D06"/>
    <w:rsid w:val="006428B7"/>
    <w:rsid w:val="0064637A"/>
    <w:rsid w:val="006634A9"/>
    <w:rsid w:val="00672282"/>
    <w:rsid w:val="00683839"/>
    <w:rsid w:val="00684E3B"/>
    <w:rsid w:val="00686AB6"/>
    <w:rsid w:val="006931F8"/>
    <w:rsid w:val="00697E46"/>
    <w:rsid w:val="006A0061"/>
    <w:rsid w:val="006B1495"/>
    <w:rsid w:val="006B591F"/>
    <w:rsid w:val="006C05DA"/>
    <w:rsid w:val="006C4C5B"/>
    <w:rsid w:val="006D2D0C"/>
    <w:rsid w:val="006D327E"/>
    <w:rsid w:val="006D3645"/>
    <w:rsid w:val="006D68DC"/>
    <w:rsid w:val="006E1FC4"/>
    <w:rsid w:val="006F118E"/>
    <w:rsid w:val="006F4DD5"/>
    <w:rsid w:val="00704E54"/>
    <w:rsid w:val="00707813"/>
    <w:rsid w:val="00710F6B"/>
    <w:rsid w:val="00714815"/>
    <w:rsid w:val="007215FE"/>
    <w:rsid w:val="00751BE7"/>
    <w:rsid w:val="007539CC"/>
    <w:rsid w:val="007704B0"/>
    <w:rsid w:val="007939F8"/>
    <w:rsid w:val="007955C1"/>
    <w:rsid w:val="007B0AE8"/>
    <w:rsid w:val="007C6035"/>
    <w:rsid w:val="007E3F51"/>
    <w:rsid w:val="007E59FE"/>
    <w:rsid w:val="007E7082"/>
    <w:rsid w:val="007F39EF"/>
    <w:rsid w:val="00810EE9"/>
    <w:rsid w:val="00812793"/>
    <w:rsid w:val="00813A0E"/>
    <w:rsid w:val="0081523D"/>
    <w:rsid w:val="00816FBE"/>
    <w:rsid w:val="00821DFF"/>
    <w:rsid w:val="00827873"/>
    <w:rsid w:val="00827F7E"/>
    <w:rsid w:val="00834F44"/>
    <w:rsid w:val="008451F6"/>
    <w:rsid w:val="008471C5"/>
    <w:rsid w:val="00854269"/>
    <w:rsid w:val="008556F9"/>
    <w:rsid w:val="00856E77"/>
    <w:rsid w:val="00876052"/>
    <w:rsid w:val="0088034A"/>
    <w:rsid w:val="00881488"/>
    <w:rsid w:val="00881FD2"/>
    <w:rsid w:val="00884993"/>
    <w:rsid w:val="008977AB"/>
    <w:rsid w:val="008A51C1"/>
    <w:rsid w:val="008B184E"/>
    <w:rsid w:val="008B4588"/>
    <w:rsid w:val="008B4912"/>
    <w:rsid w:val="008B4B45"/>
    <w:rsid w:val="008B6287"/>
    <w:rsid w:val="008D37EB"/>
    <w:rsid w:val="008D3882"/>
    <w:rsid w:val="008D7F0D"/>
    <w:rsid w:val="008E7B5C"/>
    <w:rsid w:val="008F07AD"/>
    <w:rsid w:val="008F0DAF"/>
    <w:rsid w:val="0090114C"/>
    <w:rsid w:val="00903BFC"/>
    <w:rsid w:val="00904241"/>
    <w:rsid w:val="00914613"/>
    <w:rsid w:val="00916D11"/>
    <w:rsid w:val="00920361"/>
    <w:rsid w:val="00922B56"/>
    <w:rsid w:val="00933E87"/>
    <w:rsid w:val="0094300D"/>
    <w:rsid w:val="00957E20"/>
    <w:rsid w:val="00972678"/>
    <w:rsid w:val="00991347"/>
    <w:rsid w:val="009B1BC5"/>
    <w:rsid w:val="009B33F9"/>
    <w:rsid w:val="009C151B"/>
    <w:rsid w:val="009C2423"/>
    <w:rsid w:val="009C6554"/>
    <w:rsid w:val="009D126D"/>
    <w:rsid w:val="009D2C20"/>
    <w:rsid w:val="009F1D41"/>
    <w:rsid w:val="009F4309"/>
    <w:rsid w:val="009F5159"/>
    <w:rsid w:val="00A12E3C"/>
    <w:rsid w:val="00A27853"/>
    <w:rsid w:val="00A3228B"/>
    <w:rsid w:val="00A35FAC"/>
    <w:rsid w:val="00A46EBA"/>
    <w:rsid w:val="00A5492F"/>
    <w:rsid w:val="00A73BC2"/>
    <w:rsid w:val="00A83444"/>
    <w:rsid w:val="00A92E79"/>
    <w:rsid w:val="00A94801"/>
    <w:rsid w:val="00A97FEA"/>
    <w:rsid w:val="00AA6B36"/>
    <w:rsid w:val="00AB20B0"/>
    <w:rsid w:val="00AB3FDA"/>
    <w:rsid w:val="00AB45B4"/>
    <w:rsid w:val="00AE0B4E"/>
    <w:rsid w:val="00AE37ED"/>
    <w:rsid w:val="00AE4348"/>
    <w:rsid w:val="00AE7752"/>
    <w:rsid w:val="00B00F18"/>
    <w:rsid w:val="00B036AF"/>
    <w:rsid w:val="00B068D3"/>
    <w:rsid w:val="00B155BE"/>
    <w:rsid w:val="00B2095B"/>
    <w:rsid w:val="00B24B88"/>
    <w:rsid w:val="00B3278B"/>
    <w:rsid w:val="00B37B3D"/>
    <w:rsid w:val="00B40074"/>
    <w:rsid w:val="00B4436D"/>
    <w:rsid w:val="00B4439A"/>
    <w:rsid w:val="00B44B86"/>
    <w:rsid w:val="00B46358"/>
    <w:rsid w:val="00B4639F"/>
    <w:rsid w:val="00B65FD6"/>
    <w:rsid w:val="00B70B51"/>
    <w:rsid w:val="00B7190E"/>
    <w:rsid w:val="00B75F0A"/>
    <w:rsid w:val="00B84FF7"/>
    <w:rsid w:val="00B930D7"/>
    <w:rsid w:val="00B9587D"/>
    <w:rsid w:val="00B97928"/>
    <w:rsid w:val="00BB5C24"/>
    <w:rsid w:val="00BC08D6"/>
    <w:rsid w:val="00BC470A"/>
    <w:rsid w:val="00BD10BE"/>
    <w:rsid w:val="00BD1639"/>
    <w:rsid w:val="00BD6DF9"/>
    <w:rsid w:val="00BE2B64"/>
    <w:rsid w:val="00C003FB"/>
    <w:rsid w:val="00C00685"/>
    <w:rsid w:val="00C01F08"/>
    <w:rsid w:val="00C0688F"/>
    <w:rsid w:val="00C16033"/>
    <w:rsid w:val="00C3288C"/>
    <w:rsid w:val="00C44367"/>
    <w:rsid w:val="00C71ADE"/>
    <w:rsid w:val="00C73CEA"/>
    <w:rsid w:val="00C90BA8"/>
    <w:rsid w:val="00C955BF"/>
    <w:rsid w:val="00CA151D"/>
    <w:rsid w:val="00CA3508"/>
    <w:rsid w:val="00CB6C74"/>
    <w:rsid w:val="00CC1C7E"/>
    <w:rsid w:val="00CC7737"/>
    <w:rsid w:val="00CD4A79"/>
    <w:rsid w:val="00CE3E2E"/>
    <w:rsid w:val="00D0346D"/>
    <w:rsid w:val="00D10645"/>
    <w:rsid w:val="00D12969"/>
    <w:rsid w:val="00D265EC"/>
    <w:rsid w:val="00D26FBE"/>
    <w:rsid w:val="00D31554"/>
    <w:rsid w:val="00D3627D"/>
    <w:rsid w:val="00D45CD5"/>
    <w:rsid w:val="00D45E7F"/>
    <w:rsid w:val="00D703E2"/>
    <w:rsid w:val="00D75AB3"/>
    <w:rsid w:val="00D7663E"/>
    <w:rsid w:val="00D86935"/>
    <w:rsid w:val="00D91EBA"/>
    <w:rsid w:val="00D96828"/>
    <w:rsid w:val="00D976A9"/>
    <w:rsid w:val="00DA3726"/>
    <w:rsid w:val="00DA4CF0"/>
    <w:rsid w:val="00DA7733"/>
    <w:rsid w:val="00DB4B3E"/>
    <w:rsid w:val="00DB536F"/>
    <w:rsid w:val="00DC60B6"/>
    <w:rsid w:val="00DD1E93"/>
    <w:rsid w:val="00DE32F1"/>
    <w:rsid w:val="00DF1019"/>
    <w:rsid w:val="00DF6FA9"/>
    <w:rsid w:val="00E00A48"/>
    <w:rsid w:val="00E072D7"/>
    <w:rsid w:val="00E15561"/>
    <w:rsid w:val="00E22418"/>
    <w:rsid w:val="00E22953"/>
    <w:rsid w:val="00E23740"/>
    <w:rsid w:val="00E3541C"/>
    <w:rsid w:val="00E44EE3"/>
    <w:rsid w:val="00E54B2D"/>
    <w:rsid w:val="00E63D17"/>
    <w:rsid w:val="00E751D7"/>
    <w:rsid w:val="00E7611B"/>
    <w:rsid w:val="00E76EBF"/>
    <w:rsid w:val="00E872AF"/>
    <w:rsid w:val="00E90D46"/>
    <w:rsid w:val="00E9638B"/>
    <w:rsid w:val="00EA274D"/>
    <w:rsid w:val="00EA3DBA"/>
    <w:rsid w:val="00EC3625"/>
    <w:rsid w:val="00ED0232"/>
    <w:rsid w:val="00ED6B65"/>
    <w:rsid w:val="00EE5C93"/>
    <w:rsid w:val="00F03BB2"/>
    <w:rsid w:val="00F22F3A"/>
    <w:rsid w:val="00F30CFC"/>
    <w:rsid w:val="00F35417"/>
    <w:rsid w:val="00F45127"/>
    <w:rsid w:val="00F50741"/>
    <w:rsid w:val="00F52DD8"/>
    <w:rsid w:val="00F57719"/>
    <w:rsid w:val="00F64599"/>
    <w:rsid w:val="00F6464A"/>
    <w:rsid w:val="00F6513D"/>
    <w:rsid w:val="00F66D59"/>
    <w:rsid w:val="00F758DC"/>
    <w:rsid w:val="00F83584"/>
    <w:rsid w:val="00F86723"/>
    <w:rsid w:val="00F91BB8"/>
    <w:rsid w:val="00F963C7"/>
    <w:rsid w:val="00FA28B5"/>
    <w:rsid w:val="00FA3403"/>
    <w:rsid w:val="00FA35F8"/>
    <w:rsid w:val="00FA6BEE"/>
    <w:rsid w:val="00FC15A8"/>
    <w:rsid w:val="00FC7895"/>
    <w:rsid w:val="00FD37D8"/>
    <w:rsid w:val="00FF2607"/>
    <w:rsid w:val="00FF46B0"/>
    <w:rsid w:val="00FF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C8F0C1FF-A795-45C6-B296-74D8F66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3">
    <w:name w:val="heading 3"/>
    <w:basedOn w:val="Normal"/>
    <w:link w:val="Heading3Char"/>
    <w:uiPriority w:val="9"/>
    <w:qFormat/>
    <w:rsid w:val="006101F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paragraph" w:styleId="NormalWeb">
    <w:name w:val="Normal (Web)"/>
    <w:basedOn w:val="Normal"/>
    <w:uiPriority w:val="99"/>
    <w:unhideWhenUsed/>
    <w:rsid w:val="00363A74"/>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939F8"/>
    <w:pPr>
      <w:spacing w:line="480" w:lineRule="auto"/>
    </w:pPr>
  </w:style>
  <w:style w:type="character" w:customStyle="1" w:styleId="BodyText2Char">
    <w:name w:val="Body Text 2 Char"/>
    <w:basedOn w:val="DefaultParagraphFont"/>
    <w:link w:val="BodyText2"/>
    <w:uiPriority w:val="99"/>
    <w:semiHidden/>
    <w:rsid w:val="007939F8"/>
  </w:style>
  <w:style w:type="paragraph" w:styleId="NoSpacing">
    <w:name w:val="No Spacing"/>
    <w:uiPriority w:val="1"/>
    <w:qFormat/>
    <w:rsid w:val="007939F8"/>
    <w:pPr>
      <w:spacing w:after="0"/>
    </w:pPr>
  </w:style>
  <w:style w:type="character" w:customStyle="1" w:styleId="Heading3Char">
    <w:name w:val="Heading 3 Char"/>
    <w:basedOn w:val="DefaultParagraphFont"/>
    <w:link w:val="Heading3"/>
    <w:uiPriority w:val="9"/>
    <w:rsid w:val="006101F6"/>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072D7"/>
    <w:rPr>
      <w:color w:val="0000FF"/>
      <w:u w:val="single"/>
    </w:rPr>
  </w:style>
  <w:style w:type="paragraph" w:customStyle="1" w:styleId="naisnod">
    <w:name w:val="naisnod"/>
    <w:basedOn w:val="Normal"/>
    <w:rsid w:val="00BC08D6"/>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019">
      <w:bodyDiv w:val="1"/>
      <w:marLeft w:val="0"/>
      <w:marRight w:val="0"/>
      <w:marTop w:val="0"/>
      <w:marBottom w:val="0"/>
      <w:divBdr>
        <w:top w:val="none" w:sz="0" w:space="0" w:color="auto"/>
        <w:left w:val="none" w:sz="0" w:space="0" w:color="auto"/>
        <w:bottom w:val="none" w:sz="0" w:space="0" w:color="auto"/>
        <w:right w:val="none" w:sz="0" w:space="0" w:color="auto"/>
      </w:divBdr>
    </w:div>
    <w:div w:id="231427722">
      <w:bodyDiv w:val="1"/>
      <w:marLeft w:val="0"/>
      <w:marRight w:val="0"/>
      <w:marTop w:val="0"/>
      <w:marBottom w:val="0"/>
      <w:divBdr>
        <w:top w:val="none" w:sz="0" w:space="0" w:color="auto"/>
        <w:left w:val="none" w:sz="0" w:space="0" w:color="auto"/>
        <w:bottom w:val="none" w:sz="0" w:space="0" w:color="auto"/>
        <w:right w:val="none" w:sz="0" w:space="0" w:color="auto"/>
      </w:divBdr>
    </w:div>
    <w:div w:id="397947151">
      <w:bodyDiv w:val="1"/>
      <w:marLeft w:val="0"/>
      <w:marRight w:val="0"/>
      <w:marTop w:val="0"/>
      <w:marBottom w:val="0"/>
      <w:divBdr>
        <w:top w:val="none" w:sz="0" w:space="0" w:color="auto"/>
        <w:left w:val="none" w:sz="0" w:space="0" w:color="auto"/>
        <w:bottom w:val="none" w:sz="0" w:space="0" w:color="auto"/>
        <w:right w:val="none" w:sz="0" w:space="0" w:color="auto"/>
      </w:divBdr>
    </w:div>
    <w:div w:id="411704336">
      <w:bodyDiv w:val="1"/>
      <w:marLeft w:val="0"/>
      <w:marRight w:val="0"/>
      <w:marTop w:val="0"/>
      <w:marBottom w:val="0"/>
      <w:divBdr>
        <w:top w:val="none" w:sz="0" w:space="0" w:color="auto"/>
        <w:left w:val="none" w:sz="0" w:space="0" w:color="auto"/>
        <w:bottom w:val="none" w:sz="0" w:space="0" w:color="auto"/>
        <w:right w:val="none" w:sz="0" w:space="0" w:color="auto"/>
      </w:divBdr>
    </w:div>
    <w:div w:id="582765374">
      <w:bodyDiv w:val="1"/>
      <w:marLeft w:val="0"/>
      <w:marRight w:val="0"/>
      <w:marTop w:val="0"/>
      <w:marBottom w:val="0"/>
      <w:divBdr>
        <w:top w:val="none" w:sz="0" w:space="0" w:color="auto"/>
        <w:left w:val="none" w:sz="0" w:space="0" w:color="auto"/>
        <w:bottom w:val="none" w:sz="0" w:space="0" w:color="auto"/>
        <w:right w:val="none" w:sz="0" w:space="0" w:color="auto"/>
      </w:divBdr>
    </w:div>
    <w:div w:id="592053701">
      <w:bodyDiv w:val="1"/>
      <w:marLeft w:val="0"/>
      <w:marRight w:val="0"/>
      <w:marTop w:val="0"/>
      <w:marBottom w:val="0"/>
      <w:divBdr>
        <w:top w:val="none" w:sz="0" w:space="0" w:color="auto"/>
        <w:left w:val="none" w:sz="0" w:space="0" w:color="auto"/>
        <w:bottom w:val="none" w:sz="0" w:space="0" w:color="auto"/>
        <w:right w:val="none" w:sz="0" w:space="0" w:color="auto"/>
      </w:divBdr>
    </w:div>
    <w:div w:id="836186777">
      <w:bodyDiv w:val="1"/>
      <w:marLeft w:val="0"/>
      <w:marRight w:val="0"/>
      <w:marTop w:val="0"/>
      <w:marBottom w:val="0"/>
      <w:divBdr>
        <w:top w:val="none" w:sz="0" w:space="0" w:color="auto"/>
        <w:left w:val="none" w:sz="0" w:space="0" w:color="auto"/>
        <w:bottom w:val="none" w:sz="0" w:space="0" w:color="auto"/>
        <w:right w:val="none" w:sz="0" w:space="0" w:color="auto"/>
      </w:divBdr>
    </w:div>
    <w:div w:id="965156432">
      <w:bodyDiv w:val="1"/>
      <w:marLeft w:val="0"/>
      <w:marRight w:val="0"/>
      <w:marTop w:val="0"/>
      <w:marBottom w:val="0"/>
      <w:divBdr>
        <w:top w:val="none" w:sz="0" w:space="0" w:color="auto"/>
        <w:left w:val="none" w:sz="0" w:space="0" w:color="auto"/>
        <w:bottom w:val="none" w:sz="0" w:space="0" w:color="auto"/>
        <w:right w:val="none" w:sz="0" w:space="0" w:color="auto"/>
      </w:divBdr>
    </w:div>
    <w:div w:id="1044790464">
      <w:bodyDiv w:val="1"/>
      <w:marLeft w:val="0"/>
      <w:marRight w:val="0"/>
      <w:marTop w:val="0"/>
      <w:marBottom w:val="0"/>
      <w:divBdr>
        <w:top w:val="none" w:sz="0" w:space="0" w:color="auto"/>
        <w:left w:val="none" w:sz="0" w:space="0" w:color="auto"/>
        <w:bottom w:val="none" w:sz="0" w:space="0" w:color="auto"/>
        <w:right w:val="none" w:sz="0" w:space="0" w:color="auto"/>
      </w:divBdr>
    </w:div>
    <w:div w:id="1094935533">
      <w:bodyDiv w:val="1"/>
      <w:marLeft w:val="0"/>
      <w:marRight w:val="0"/>
      <w:marTop w:val="0"/>
      <w:marBottom w:val="0"/>
      <w:divBdr>
        <w:top w:val="none" w:sz="0" w:space="0" w:color="auto"/>
        <w:left w:val="none" w:sz="0" w:space="0" w:color="auto"/>
        <w:bottom w:val="none" w:sz="0" w:space="0" w:color="auto"/>
        <w:right w:val="none" w:sz="0" w:space="0" w:color="auto"/>
      </w:divBdr>
    </w:div>
    <w:div w:id="1145465911">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61081766">
      <w:bodyDiv w:val="1"/>
      <w:marLeft w:val="0"/>
      <w:marRight w:val="0"/>
      <w:marTop w:val="0"/>
      <w:marBottom w:val="0"/>
      <w:divBdr>
        <w:top w:val="none" w:sz="0" w:space="0" w:color="auto"/>
        <w:left w:val="none" w:sz="0" w:space="0" w:color="auto"/>
        <w:bottom w:val="none" w:sz="0" w:space="0" w:color="auto"/>
        <w:right w:val="none" w:sz="0" w:space="0" w:color="auto"/>
      </w:divBdr>
    </w:div>
    <w:div w:id="1544100462">
      <w:bodyDiv w:val="1"/>
      <w:marLeft w:val="0"/>
      <w:marRight w:val="0"/>
      <w:marTop w:val="0"/>
      <w:marBottom w:val="0"/>
      <w:divBdr>
        <w:top w:val="none" w:sz="0" w:space="0" w:color="auto"/>
        <w:left w:val="none" w:sz="0" w:space="0" w:color="auto"/>
        <w:bottom w:val="none" w:sz="0" w:space="0" w:color="auto"/>
        <w:right w:val="none" w:sz="0" w:space="0" w:color="auto"/>
      </w:divBdr>
    </w:div>
    <w:div w:id="1580561306">
      <w:bodyDiv w:val="1"/>
      <w:marLeft w:val="0"/>
      <w:marRight w:val="0"/>
      <w:marTop w:val="0"/>
      <w:marBottom w:val="0"/>
      <w:divBdr>
        <w:top w:val="none" w:sz="0" w:space="0" w:color="auto"/>
        <w:left w:val="none" w:sz="0" w:space="0" w:color="auto"/>
        <w:bottom w:val="none" w:sz="0" w:space="0" w:color="auto"/>
        <w:right w:val="none" w:sz="0" w:space="0" w:color="auto"/>
      </w:divBdr>
    </w:div>
    <w:div w:id="1586718033">
      <w:bodyDiv w:val="1"/>
      <w:marLeft w:val="0"/>
      <w:marRight w:val="0"/>
      <w:marTop w:val="0"/>
      <w:marBottom w:val="0"/>
      <w:divBdr>
        <w:top w:val="none" w:sz="0" w:space="0" w:color="auto"/>
        <w:left w:val="none" w:sz="0" w:space="0" w:color="auto"/>
        <w:bottom w:val="none" w:sz="0" w:space="0" w:color="auto"/>
        <w:right w:val="none" w:sz="0" w:space="0" w:color="auto"/>
      </w:divBdr>
    </w:div>
    <w:div w:id="1747410049">
      <w:bodyDiv w:val="1"/>
      <w:marLeft w:val="0"/>
      <w:marRight w:val="0"/>
      <w:marTop w:val="0"/>
      <w:marBottom w:val="0"/>
      <w:divBdr>
        <w:top w:val="none" w:sz="0" w:space="0" w:color="auto"/>
        <w:left w:val="none" w:sz="0" w:space="0" w:color="auto"/>
        <w:bottom w:val="none" w:sz="0" w:space="0" w:color="auto"/>
        <w:right w:val="none" w:sz="0" w:space="0" w:color="auto"/>
      </w:divBdr>
    </w:div>
    <w:div w:id="1778089871">
      <w:bodyDiv w:val="1"/>
      <w:marLeft w:val="0"/>
      <w:marRight w:val="0"/>
      <w:marTop w:val="0"/>
      <w:marBottom w:val="0"/>
      <w:divBdr>
        <w:top w:val="none" w:sz="0" w:space="0" w:color="auto"/>
        <w:left w:val="none" w:sz="0" w:space="0" w:color="auto"/>
        <w:bottom w:val="none" w:sz="0" w:space="0" w:color="auto"/>
        <w:right w:val="none" w:sz="0" w:space="0" w:color="auto"/>
      </w:divBdr>
    </w:div>
    <w:div w:id="1784568053">
      <w:bodyDiv w:val="1"/>
      <w:marLeft w:val="0"/>
      <w:marRight w:val="0"/>
      <w:marTop w:val="0"/>
      <w:marBottom w:val="0"/>
      <w:divBdr>
        <w:top w:val="none" w:sz="0" w:space="0" w:color="auto"/>
        <w:left w:val="none" w:sz="0" w:space="0" w:color="auto"/>
        <w:bottom w:val="none" w:sz="0" w:space="0" w:color="auto"/>
        <w:right w:val="none" w:sz="0" w:space="0" w:color="auto"/>
      </w:divBdr>
    </w:div>
    <w:div w:id="1938521348">
      <w:bodyDiv w:val="1"/>
      <w:marLeft w:val="0"/>
      <w:marRight w:val="0"/>
      <w:marTop w:val="0"/>
      <w:marBottom w:val="0"/>
      <w:divBdr>
        <w:top w:val="none" w:sz="0" w:space="0" w:color="auto"/>
        <w:left w:val="none" w:sz="0" w:space="0" w:color="auto"/>
        <w:bottom w:val="none" w:sz="0" w:space="0" w:color="auto"/>
        <w:right w:val="none" w:sz="0" w:space="0" w:color="auto"/>
      </w:divBdr>
    </w:div>
    <w:div w:id="1953707497">
      <w:bodyDiv w:val="1"/>
      <w:marLeft w:val="0"/>
      <w:marRight w:val="0"/>
      <w:marTop w:val="0"/>
      <w:marBottom w:val="0"/>
      <w:divBdr>
        <w:top w:val="none" w:sz="0" w:space="0" w:color="auto"/>
        <w:left w:val="none" w:sz="0" w:space="0" w:color="auto"/>
        <w:bottom w:val="none" w:sz="0" w:space="0" w:color="auto"/>
        <w:right w:val="none" w:sz="0" w:space="0" w:color="auto"/>
      </w:divBdr>
    </w:div>
    <w:div w:id="1979191146">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ss.treiguts@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0326-9EA5-4616-9C9D-1A13A906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4924</Words>
  <Characters>2808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Kristine Stone</cp:lastModifiedBy>
  <cp:revision>11</cp:revision>
  <cp:lastPrinted>2016-08-05T11:04:00Z</cp:lastPrinted>
  <dcterms:created xsi:type="dcterms:W3CDTF">2016-07-25T06:52:00Z</dcterms:created>
  <dcterms:modified xsi:type="dcterms:W3CDTF">2016-08-05T11:35:00Z</dcterms:modified>
</cp:coreProperties>
</file>