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E0DCA" w14:textId="1BE40517" w:rsidR="00681597" w:rsidRPr="00D273A5" w:rsidRDefault="00681597" w:rsidP="00681597">
      <w:pPr>
        <w:spacing w:before="120" w:after="120"/>
        <w:ind w:firstLine="720"/>
        <w:contextualSpacing/>
        <w:jc w:val="center"/>
        <w:rPr>
          <w:b/>
          <w:bCs/>
          <w:sz w:val="28"/>
          <w:szCs w:val="28"/>
        </w:rPr>
      </w:pPr>
      <w:bookmarkStart w:id="0" w:name="_GoBack"/>
      <w:bookmarkEnd w:id="0"/>
      <w:r w:rsidRPr="00C2761A">
        <w:rPr>
          <w:b/>
          <w:sz w:val="28"/>
          <w:szCs w:val="28"/>
        </w:rPr>
        <w:t>Ministru kabineta noteikumu projekta</w:t>
      </w:r>
      <w:r w:rsidRPr="00D273A5">
        <w:rPr>
          <w:b/>
          <w:bCs/>
          <w:sz w:val="28"/>
          <w:szCs w:val="28"/>
        </w:rPr>
        <w:t xml:space="preserve"> </w:t>
      </w:r>
      <w:r w:rsidRPr="00D273A5">
        <w:rPr>
          <w:b/>
          <w:sz w:val="28"/>
          <w:szCs w:val="28"/>
        </w:rPr>
        <w:t>"</w:t>
      </w:r>
      <w:r w:rsidRPr="00D273A5">
        <w:rPr>
          <w:b/>
          <w:bCs/>
          <w:sz w:val="28"/>
          <w:szCs w:val="28"/>
        </w:rPr>
        <w:t xml:space="preserve">Darbības programmas </w:t>
      </w:r>
      <w:r w:rsidRPr="00D273A5">
        <w:rPr>
          <w:b/>
          <w:sz w:val="28"/>
          <w:szCs w:val="28"/>
        </w:rPr>
        <w:t>"</w:t>
      </w:r>
      <w:r w:rsidRPr="00D273A5">
        <w:rPr>
          <w:b/>
          <w:bCs/>
          <w:sz w:val="28"/>
          <w:szCs w:val="28"/>
        </w:rPr>
        <w:t>Izaugsme un nodarbinātība</w:t>
      </w:r>
      <w:r w:rsidRPr="00D273A5">
        <w:rPr>
          <w:b/>
          <w:sz w:val="28"/>
          <w:szCs w:val="28"/>
        </w:rPr>
        <w:t>"</w:t>
      </w:r>
      <w:r w:rsidRPr="00D273A5">
        <w:rPr>
          <w:b/>
          <w:bCs/>
          <w:sz w:val="28"/>
          <w:szCs w:val="28"/>
        </w:rPr>
        <w:t xml:space="preserve"> 1.1.1. specifiskā atbalsta mērķa </w:t>
      </w:r>
      <w:r w:rsidRPr="00D273A5">
        <w:rPr>
          <w:b/>
          <w:sz w:val="28"/>
          <w:szCs w:val="28"/>
        </w:rPr>
        <w:t>"</w:t>
      </w:r>
      <w:r w:rsidRPr="00D273A5">
        <w:rPr>
          <w:b/>
          <w:bCs/>
          <w:sz w:val="28"/>
          <w:szCs w:val="28"/>
        </w:rPr>
        <w:t>Palielināt Latvijas zinātnisko institūciju pētniecisko un inovatīvo kapacitāti un spēju piesaistīt ārējo finansējumu, ieguldot cilvēkresursos un infrastruktūrā</w:t>
      </w:r>
      <w:r w:rsidRPr="00D273A5">
        <w:rPr>
          <w:b/>
          <w:sz w:val="28"/>
          <w:szCs w:val="28"/>
        </w:rPr>
        <w:t>"</w:t>
      </w:r>
      <w:r w:rsidRPr="00D273A5">
        <w:rPr>
          <w:b/>
          <w:bCs/>
          <w:sz w:val="28"/>
          <w:szCs w:val="28"/>
        </w:rPr>
        <w:t xml:space="preserve"> 1.1.1.4. pasākuma </w:t>
      </w:r>
      <w:r w:rsidRPr="00D273A5">
        <w:rPr>
          <w:b/>
          <w:sz w:val="28"/>
          <w:szCs w:val="28"/>
        </w:rPr>
        <w:t>"</w:t>
      </w:r>
      <w:r w:rsidR="002C5F7F" w:rsidRPr="002C5F7F">
        <w:rPr>
          <w:b/>
          <w:bCs/>
          <w:sz w:val="28"/>
          <w:szCs w:val="28"/>
        </w:rPr>
        <w:t xml:space="preserve">P&amp;A </w:t>
      </w:r>
      <w:r w:rsidRPr="00D273A5">
        <w:rPr>
          <w:b/>
          <w:bCs/>
          <w:sz w:val="28"/>
          <w:szCs w:val="28"/>
        </w:rPr>
        <w:t>infrastruktūras attīstīšana Viedās specializācijas jomās un zinātnisko institūciju institucionālās kapacitātes stiprināšana</w:t>
      </w:r>
      <w:r w:rsidRPr="00D273A5">
        <w:rPr>
          <w:b/>
          <w:sz w:val="28"/>
          <w:szCs w:val="28"/>
        </w:rPr>
        <w:t>"</w:t>
      </w:r>
      <w:r w:rsidRPr="00D273A5">
        <w:rPr>
          <w:b/>
          <w:bCs/>
          <w:sz w:val="28"/>
          <w:szCs w:val="28"/>
        </w:rPr>
        <w:t xml:space="preserve"> īstenošanas noteikumi</w:t>
      </w:r>
      <w:r w:rsidRPr="00D273A5">
        <w:rPr>
          <w:b/>
          <w:sz w:val="28"/>
          <w:szCs w:val="28"/>
        </w:rPr>
        <w:t>"</w:t>
      </w:r>
      <w:r>
        <w:rPr>
          <w:b/>
          <w:sz w:val="28"/>
          <w:szCs w:val="28"/>
        </w:rPr>
        <w:t xml:space="preserve"> </w:t>
      </w:r>
      <w:r w:rsidRPr="00C2761A">
        <w:rPr>
          <w:b/>
          <w:sz w:val="28"/>
          <w:szCs w:val="28"/>
        </w:rPr>
        <w:t>sākotnējās ietekmes novērtējuma ziņojums (anotācija)</w:t>
      </w:r>
    </w:p>
    <w:p w14:paraId="6E73C0FE" w14:textId="77777777" w:rsidR="002764B8" w:rsidRPr="00C2761A" w:rsidRDefault="002764B8" w:rsidP="00DE4771">
      <w:pPr>
        <w:jc w:val="center"/>
        <w:rPr>
          <w:b/>
          <w:bCs/>
          <w:sz w:val="28"/>
          <w:szCs w:val="28"/>
        </w:rPr>
      </w:pPr>
    </w:p>
    <w:tbl>
      <w:tblPr>
        <w:tblW w:w="4994" w:type="pct"/>
        <w:tblInd w:w="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92"/>
        <w:gridCol w:w="1399"/>
        <w:gridCol w:w="40"/>
        <w:gridCol w:w="6896"/>
      </w:tblGrid>
      <w:tr w:rsidR="0072604C" w:rsidRPr="00F04366" w14:paraId="7BAE2C85" w14:textId="77777777" w:rsidTr="00A72419">
        <w:tc>
          <w:tcPr>
            <w:tcW w:w="5000" w:type="pct"/>
            <w:gridSpan w:val="4"/>
            <w:tcBorders>
              <w:top w:val="single" w:sz="4" w:space="0" w:color="auto"/>
              <w:left w:val="single" w:sz="4" w:space="0" w:color="auto"/>
              <w:bottom w:val="outset" w:sz="6" w:space="0" w:color="000000"/>
              <w:right w:val="single" w:sz="4" w:space="0" w:color="auto"/>
            </w:tcBorders>
            <w:vAlign w:val="center"/>
          </w:tcPr>
          <w:p w14:paraId="69BFBC78" w14:textId="77777777" w:rsidR="0072604C" w:rsidRPr="00F04366" w:rsidRDefault="0072604C" w:rsidP="00F04366">
            <w:pPr>
              <w:jc w:val="center"/>
              <w:rPr>
                <w:b/>
                <w:bCs/>
              </w:rPr>
            </w:pPr>
            <w:r w:rsidRPr="00F04366">
              <w:rPr>
                <w:b/>
                <w:bCs/>
              </w:rPr>
              <w:t>I. Tiesību akta projekta izstrādes nepieciešamība</w:t>
            </w:r>
          </w:p>
        </w:tc>
      </w:tr>
      <w:tr w:rsidR="0072604C" w:rsidRPr="00F04366" w14:paraId="1E2D14D6" w14:textId="77777777" w:rsidTr="00A72419">
        <w:tc>
          <w:tcPr>
            <w:tcW w:w="169" w:type="pct"/>
            <w:tcBorders>
              <w:top w:val="outset" w:sz="6" w:space="0" w:color="000000"/>
              <w:left w:val="outset" w:sz="6" w:space="0" w:color="000000"/>
              <w:bottom w:val="outset" w:sz="6" w:space="0" w:color="000000"/>
              <w:right w:val="outset" w:sz="6" w:space="0" w:color="000000"/>
            </w:tcBorders>
          </w:tcPr>
          <w:p w14:paraId="63EEDDDB" w14:textId="77777777" w:rsidR="0072604C" w:rsidRPr="00F04366" w:rsidRDefault="0072604C" w:rsidP="00F04366">
            <w:r w:rsidRPr="00F04366">
              <w:t>1.</w:t>
            </w:r>
          </w:p>
        </w:tc>
        <w:tc>
          <w:tcPr>
            <w:tcW w:w="811" w:type="pct"/>
            <w:tcBorders>
              <w:top w:val="outset" w:sz="6" w:space="0" w:color="000000"/>
              <w:left w:val="outset" w:sz="6" w:space="0" w:color="000000"/>
              <w:bottom w:val="outset" w:sz="6" w:space="0" w:color="000000"/>
              <w:right w:val="outset" w:sz="6" w:space="0" w:color="000000"/>
            </w:tcBorders>
          </w:tcPr>
          <w:p w14:paraId="5DC1F7FE" w14:textId="77777777" w:rsidR="0072604C" w:rsidRPr="00F04366" w:rsidRDefault="0072604C" w:rsidP="00F04366">
            <w:r w:rsidRPr="00F04366">
              <w:t>Pamatojums</w:t>
            </w:r>
          </w:p>
        </w:tc>
        <w:tc>
          <w:tcPr>
            <w:tcW w:w="4020" w:type="pct"/>
            <w:gridSpan w:val="2"/>
            <w:tcBorders>
              <w:top w:val="outset" w:sz="6" w:space="0" w:color="000000"/>
              <w:left w:val="outset" w:sz="6" w:space="0" w:color="000000"/>
              <w:bottom w:val="outset" w:sz="6" w:space="0" w:color="000000"/>
              <w:right w:val="outset" w:sz="6" w:space="0" w:color="000000"/>
            </w:tcBorders>
          </w:tcPr>
          <w:p w14:paraId="7553B884" w14:textId="6AA4BA97" w:rsidR="00FA593C" w:rsidRPr="00F04366" w:rsidRDefault="00FA593C" w:rsidP="00F04366">
            <w:pPr>
              <w:pStyle w:val="ListParagraph"/>
              <w:ind w:left="0"/>
              <w:rPr>
                <w:color w:val="000000"/>
                <w:szCs w:val="24"/>
              </w:rPr>
            </w:pPr>
            <w:r w:rsidRPr="00F04366">
              <w:rPr>
                <w:color w:val="000000"/>
                <w:szCs w:val="24"/>
              </w:rPr>
              <w:t xml:space="preserve">Ministru kabineta (turpmāk – MK) noteikumu projekts </w:t>
            </w:r>
            <w:r w:rsidR="00681597" w:rsidRPr="00F04366">
              <w:rPr>
                <w:szCs w:val="24"/>
              </w:rPr>
              <w:t>"</w:t>
            </w:r>
            <w:r w:rsidR="00681597" w:rsidRPr="00F04366">
              <w:rPr>
                <w:bCs/>
                <w:szCs w:val="24"/>
              </w:rPr>
              <w:t xml:space="preserve">Darbības programmas </w:t>
            </w:r>
            <w:r w:rsidR="00681597" w:rsidRPr="00F04366">
              <w:rPr>
                <w:szCs w:val="24"/>
              </w:rPr>
              <w:t>"</w:t>
            </w:r>
            <w:r w:rsidR="00681597" w:rsidRPr="00F04366">
              <w:rPr>
                <w:bCs/>
                <w:szCs w:val="24"/>
              </w:rPr>
              <w:t>Izaugsme un nodarbinātība</w:t>
            </w:r>
            <w:r w:rsidR="00681597" w:rsidRPr="00F04366">
              <w:rPr>
                <w:szCs w:val="24"/>
              </w:rPr>
              <w:t>"</w:t>
            </w:r>
            <w:r w:rsidR="00681597" w:rsidRPr="00F04366">
              <w:rPr>
                <w:bCs/>
                <w:szCs w:val="24"/>
              </w:rPr>
              <w:t xml:space="preserve"> 1.1.1. specifiskā atbalsta mērķa </w:t>
            </w:r>
            <w:r w:rsidR="00681597" w:rsidRPr="00F04366">
              <w:rPr>
                <w:szCs w:val="24"/>
              </w:rPr>
              <w:t>"</w:t>
            </w:r>
            <w:r w:rsidR="00681597" w:rsidRPr="00F04366">
              <w:rPr>
                <w:bCs/>
                <w:szCs w:val="24"/>
              </w:rPr>
              <w:t>Palielināt Latvijas zinātnisko institūciju pētniecisko un inovatīvo kapacitāti un spēju piesaistīt ārējo finansējumu, ieguldot cilvēkresursos un infrastruktūrā</w:t>
            </w:r>
            <w:r w:rsidR="00681597" w:rsidRPr="00F04366">
              <w:rPr>
                <w:szCs w:val="24"/>
              </w:rPr>
              <w:t>"</w:t>
            </w:r>
            <w:r w:rsidR="00681597" w:rsidRPr="00F04366">
              <w:rPr>
                <w:bCs/>
                <w:szCs w:val="24"/>
              </w:rPr>
              <w:t xml:space="preserve"> 1.1.1.4. pasākuma </w:t>
            </w:r>
            <w:r w:rsidR="00681597" w:rsidRPr="00F04366">
              <w:rPr>
                <w:szCs w:val="24"/>
              </w:rPr>
              <w:t>"</w:t>
            </w:r>
            <w:r w:rsidR="00681597" w:rsidRPr="00F04366">
              <w:rPr>
                <w:bCs/>
                <w:szCs w:val="24"/>
              </w:rPr>
              <w:t>P</w:t>
            </w:r>
            <w:r w:rsidR="007A7989" w:rsidRPr="00F04366">
              <w:rPr>
                <w:bCs/>
                <w:szCs w:val="24"/>
              </w:rPr>
              <w:t>ētniecības</w:t>
            </w:r>
            <w:r w:rsidR="00681597" w:rsidRPr="00F04366">
              <w:rPr>
                <w:bCs/>
                <w:szCs w:val="24"/>
              </w:rPr>
              <w:t xml:space="preserve"> infrastruktūras attīstīšana Viedās specializācijas jomās un zinātnisko institūciju institucionālās kapacitātes stiprināšana</w:t>
            </w:r>
            <w:r w:rsidR="00681597" w:rsidRPr="00F04366">
              <w:rPr>
                <w:szCs w:val="24"/>
              </w:rPr>
              <w:t>"</w:t>
            </w:r>
            <w:r w:rsidR="00681597" w:rsidRPr="00F04366">
              <w:rPr>
                <w:bCs/>
                <w:szCs w:val="24"/>
              </w:rPr>
              <w:t xml:space="preserve"> īstenošanas noteikumi</w:t>
            </w:r>
            <w:r w:rsidR="00681597" w:rsidRPr="00F04366">
              <w:rPr>
                <w:szCs w:val="24"/>
              </w:rPr>
              <w:t>"</w:t>
            </w:r>
            <w:r w:rsidR="00681597" w:rsidRPr="00F04366">
              <w:rPr>
                <w:b/>
                <w:szCs w:val="24"/>
              </w:rPr>
              <w:t xml:space="preserve"> </w:t>
            </w:r>
            <w:r w:rsidR="00F075EC" w:rsidRPr="00F04366">
              <w:rPr>
                <w:szCs w:val="24"/>
              </w:rPr>
              <w:t>(turpmāk – noteikumu projekts) sagatavots saskaņā ar</w:t>
            </w:r>
            <w:r w:rsidRPr="00F04366">
              <w:rPr>
                <w:color w:val="000000"/>
                <w:szCs w:val="24"/>
              </w:rPr>
              <w:t>:</w:t>
            </w:r>
          </w:p>
          <w:p w14:paraId="27DA99B7" w14:textId="5E3F9691" w:rsidR="00FA593C" w:rsidRPr="00F04366" w:rsidRDefault="00FA593C" w:rsidP="00F04366">
            <w:pPr>
              <w:pStyle w:val="ListParagraph"/>
              <w:numPr>
                <w:ilvl w:val="0"/>
                <w:numId w:val="1"/>
              </w:numPr>
              <w:rPr>
                <w:color w:val="000000"/>
                <w:szCs w:val="24"/>
              </w:rPr>
            </w:pPr>
            <w:r w:rsidRPr="00F04366">
              <w:rPr>
                <w:szCs w:val="24"/>
                <w:lang w:eastAsia="lv-LV"/>
              </w:rPr>
              <w:t>Eiropas Savienības</w:t>
            </w:r>
            <w:r w:rsidR="00F06970" w:rsidRPr="00F04366">
              <w:rPr>
                <w:szCs w:val="24"/>
                <w:lang w:eastAsia="lv-LV"/>
              </w:rPr>
              <w:t xml:space="preserve"> </w:t>
            </w:r>
            <w:r w:rsidRPr="00F04366">
              <w:rPr>
                <w:szCs w:val="24"/>
                <w:lang w:eastAsia="lv-LV"/>
              </w:rPr>
              <w:t xml:space="preserve">struktūrfondu un Kohēzijas fonda </w:t>
            </w:r>
            <w:r w:rsidR="00F075EC" w:rsidRPr="00F04366">
              <w:rPr>
                <w:szCs w:val="24"/>
                <w:lang w:eastAsia="lv-LV"/>
              </w:rPr>
              <w:t xml:space="preserve">2014.– 2020.gada plānošanas perioda vadības likuma </w:t>
            </w:r>
            <w:r w:rsidR="00FA567A" w:rsidRPr="00F04366">
              <w:rPr>
                <w:bCs/>
                <w:color w:val="000000"/>
                <w:szCs w:val="24"/>
              </w:rPr>
              <w:t xml:space="preserve">20.panta </w:t>
            </w:r>
            <w:r w:rsidR="00732323" w:rsidRPr="00F04366">
              <w:rPr>
                <w:bCs/>
                <w:color w:val="000000"/>
                <w:szCs w:val="24"/>
              </w:rPr>
              <w:t xml:space="preserve">6. un </w:t>
            </w:r>
            <w:r w:rsidR="00FA567A" w:rsidRPr="00F04366">
              <w:rPr>
                <w:bCs/>
                <w:color w:val="000000"/>
                <w:szCs w:val="24"/>
              </w:rPr>
              <w:t>13.punktu</w:t>
            </w:r>
            <w:r w:rsidR="006C268C" w:rsidRPr="00F04366">
              <w:rPr>
                <w:bCs/>
                <w:color w:val="000000"/>
                <w:szCs w:val="24"/>
              </w:rPr>
              <w:t>;</w:t>
            </w:r>
          </w:p>
          <w:p w14:paraId="0847BB67" w14:textId="77777777" w:rsidR="00AC3B6B" w:rsidRPr="00F04366" w:rsidRDefault="00FA567A" w:rsidP="00F04366">
            <w:pPr>
              <w:pStyle w:val="ListParagraph"/>
              <w:numPr>
                <w:ilvl w:val="0"/>
                <w:numId w:val="1"/>
              </w:numPr>
              <w:rPr>
                <w:color w:val="000000"/>
                <w:szCs w:val="24"/>
              </w:rPr>
            </w:pPr>
            <w:r w:rsidRPr="00F04366">
              <w:rPr>
                <w:color w:val="000000"/>
                <w:szCs w:val="24"/>
                <w:shd w:val="clear" w:color="auto" w:fill="FFFFFF"/>
              </w:rPr>
              <w:t xml:space="preserve">Ministru Prezidenta 2014.gada 21.jūlija rezolūciju Nr.12/2014-JUR-151, kura nosaka līdz 2017.gada 1.decembrim atbilstoši kompetencei sagatavot un noteiktā kārtībā iesniegt MK </w:t>
            </w:r>
            <w:r w:rsidR="00AC3B6B" w:rsidRPr="00F04366">
              <w:rPr>
                <w:szCs w:val="24"/>
              </w:rPr>
              <w:t xml:space="preserve">specifiskā atbalsta mērķa īstenošanas noteikumus; </w:t>
            </w:r>
          </w:p>
          <w:p w14:paraId="42ED218E" w14:textId="20397CC8" w:rsidR="00B969D7" w:rsidRPr="00F04366" w:rsidRDefault="00AC3B6B" w:rsidP="00F04366">
            <w:pPr>
              <w:pStyle w:val="ListParagraph"/>
              <w:numPr>
                <w:ilvl w:val="0"/>
                <w:numId w:val="1"/>
              </w:numPr>
              <w:rPr>
                <w:szCs w:val="24"/>
              </w:rPr>
            </w:pPr>
            <w:r w:rsidRPr="00F04366">
              <w:rPr>
                <w:szCs w:val="24"/>
              </w:rPr>
              <w:t xml:space="preserve">Eiropas Savienības fondu un Kohēzijas politikas 2014.-2020.gada plānošanas perioda darbības programmu </w:t>
            </w:r>
            <w:r w:rsidR="008F77FF" w:rsidRPr="00F04366">
              <w:rPr>
                <w:szCs w:val="24"/>
              </w:rPr>
              <w:t>"</w:t>
            </w:r>
            <w:r w:rsidRPr="00F04366">
              <w:rPr>
                <w:szCs w:val="24"/>
              </w:rPr>
              <w:t>Izaugsme un nodarbinātība</w:t>
            </w:r>
            <w:r w:rsidR="008F77FF" w:rsidRPr="00F04366">
              <w:rPr>
                <w:szCs w:val="24"/>
              </w:rPr>
              <w:t>"</w:t>
            </w:r>
            <w:r w:rsidRPr="00F04366">
              <w:rPr>
                <w:szCs w:val="24"/>
              </w:rPr>
              <w:t>, kas  apstiprināta Eiropas Komisijā 2014.gada 11.novembrī.</w:t>
            </w:r>
            <w:r w:rsidRPr="00F04366">
              <w:rPr>
                <w:color w:val="000000"/>
                <w:szCs w:val="24"/>
              </w:rPr>
              <w:t xml:space="preserve"> </w:t>
            </w:r>
          </w:p>
        </w:tc>
      </w:tr>
      <w:tr w:rsidR="0072604C" w:rsidRPr="00F04366" w14:paraId="79607B68" w14:textId="77777777" w:rsidTr="00A72419">
        <w:tc>
          <w:tcPr>
            <w:tcW w:w="169" w:type="pct"/>
            <w:tcBorders>
              <w:top w:val="outset" w:sz="6" w:space="0" w:color="000000"/>
              <w:left w:val="outset" w:sz="6" w:space="0" w:color="000000"/>
              <w:bottom w:val="outset" w:sz="6" w:space="0" w:color="000000"/>
              <w:right w:val="outset" w:sz="6" w:space="0" w:color="000000"/>
            </w:tcBorders>
          </w:tcPr>
          <w:p w14:paraId="42851DD3" w14:textId="77777777" w:rsidR="0072604C" w:rsidRPr="00F04366" w:rsidRDefault="0072604C" w:rsidP="00F04366">
            <w:r w:rsidRPr="00F04366">
              <w:t>2.</w:t>
            </w:r>
          </w:p>
        </w:tc>
        <w:tc>
          <w:tcPr>
            <w:tcW w:w="811" w:type="pct"/>
            <w:tcBorders>
              <w:top w:val="outset" w:sz="6" w:space="0" w:color="000000"/>
              <w:left w:val="outset" w:sz="6" w:space="0" w:color="000000"/>
              <w:bottom w:val="outset" w:sz="6" w:space="0" w:color="000000"/>
              <w:right w:val="outset" w:sz="6" w:space="0" w:color="000000"/>
            </w:tcBorders>
          </w:tcPr>
          <w:p w14:paraId="07D5F774" w14:textId="77777777" w:rsidR="0072604C" w:rsidRPr="00F04366" w:rsidRDefault="00997B78" w:rsidP="00F04366">
            <w:r w:rsidRPr="00F04366">
              <w:t>Pašreizējā situācija un problēmas, kuru risināšanai tiesību akta projekts izstrādāts, tiesiskā regulējuma mērķis un būtība</w:t>
            </w:r>
          </w:p>
        </w:tc>
        <w:tc>
          <w:tcPr>
            <w:tcW w:w="4020" w:type="pct"/>
            <w:gridSpan w:val="2"/>
            <w:tcBorders>
              <w:top w:val="outset" w:sz="6" w:space="0" w:color="000000"/>
              <w:left w:val="outset" w:sz="6" w:space="0" w:color="000000"/>
              <w:bottom w:val="outset" w:sz="6" w:space="0" w:color="000000"/>
              <w:right w:val="outset" w:sz="6" w:space="0" w:color="000000"/>
            </w:tcBorders>
          </w:tcPr>
          <w:p w14:paraId="3682E1C7" w14:textId="32772E02" w:rsidR="000A3D00" w:rsidRPr="007E49FA" w:rsidRDefault="000A3D00" w:rsidP="00F04366">
            <w:pPr>
              <w:pStyle w:val="Normal1"/>
              <w:ind w:firstLine="304"/>
              <w:jc w:val="both"/>
              <w:rPr>
                <w:rFonts w:ascii="Times New Roman" w:hAnsi="Times New Roman" w:cs="Times New Roman"/>
                <w:sz w:val="24"/>
                <w:szCs w:val="24"/>
              </w:rPr>
            </w:pPr>
            <w:r w:rsidRPr="007E49FA">
              <w:rPr>
                <w:rFonts w:ascii="Times New Roman" w:hAnsi="Times New Roman" w:cs="Times New Roman"/>
                <w:sz w:val="24"/>
                <w:szCs w:val="24"/>
              </w:rPr>
              <w:t>Latvijas viedās specializācijas stratēģija paredz pētniecības, tehnoloģiju attīstības un inovācijas kapacitātes paaugstināšanu ar mērķi veicināt tautsaimniecības transformāciju, sekmējot izaugsmi gan tradicionālajās tautsaimniecības nozarēs, gan nozarēs ar augstu nākotnes izaugsmes potenciālu un nozarēs ar nozīmīgu horizontālu ietekmi. Latvijas viedās specializācijas stratēģijas mērķu sasniegšanai resursi tiks koncentrēti kvalitatīva cilvēkkapitāla pieauguma nodrošināšanai, kā arī atbilstošas pētniecības, tai skaitā tehnoloģiju attīstības un inovāciju, infrastruktūras izveidei un modernizācijai jomās, kurās tautsaimniecībai ir vislielākais izaugsmes potenciāls.</w:t>
            </w:r>
          </w:p>
          <w:p w14:paraId="561C5174" w14:textId="7C812A1A" w:rsidR="000A3D00" w:rsidRPr="007E49FA" w:rsidRDefault="000A3D00" w:rsidP="00F04366">
            <w:pPr>
              <w:pStyle w:val="Normal1"/>
              <w:ind w:firstLine="304"/>
              <w:jc w:val="both"/>
              <w:rPr>
                <w:rFonts w:ascii="Times New Roman" w:hAnsi="Times New Roman" w:cs="Times New Roman"/>
                <w:sz w:val="24"/>
                <w:szCs w:val="24"/>
              </w:rPr>
            </w:pPr>
            <w:r w:rsidRPr="007E49FA">
              <w:rPr>
                <w:rFonts w:ascii="Times New Roman" w:hAnsi="Times New Roman" w:cs="Times New Roman"/>
                <w:sz w:val="24"/>
                <w:szCs w:val="24"/>
              </w:rPr>
              <w:t>Lai zinātniskās institūcijas varētu nodrošināt tautsaimniecības attīstībai nepieciešamo zināšanu bāzi un vienlaikus piedāvāt jaunus tehnoloģiskos risinājumus, nepieciešams vienlaikus ieguldīt spēcīgāko zinātnisko institūciju pētniecības infrastruktūras turpmākā attīstībā</w:t>
            </w:r>
            <w:r w:rsidR="007A7989" w:rsidRPr="007E49FA">
              <w:rPr>
                <w:rFonts w:ascii="Times New Roman" w:hAnsi="Times New Roman" w:cs="Times New Roman"/>
                <w:sz w:val="24"/>
                <w:szCs w:val="24"/>
              </w:rPr>
              <w:t>.</w:t>
            </w:r>
          </w:p>
          <w:p w14:paraId="176DB7E5" w14:textId="4880326F" w:rsidR="00D74804" w:rsidRPr="007E49FA" w:rsidRDefault="00D74804" w:rsidP="00F04366">
            <w:pPr>
              <w:pStyle w:val="Normal1"/>
              <w:ind w:firstLine="304"/>
              <w:jc w:val="both"/>
              <w:rPr>
                <w:rFonts w:ascii="Times New Roman" w:hAnsi="Times New Roman" w:cs="Times New Roman"/>
                <w:color w:val="auto"/>
                <w:sz w:val="24"/>
                <w:szCs w:val="24"/>
              </w:rPr>
            </w:pPr>
            <w:r w:rsidRPr="007E49FA">
              <w:rPr>
                <w:rFonts w:ascii="Times New Roman" w:hAnsi="Times New Roman" w:cs="Times New Roman"/>
                <w:color w:val="auto"/>
                <w:sz w:val="24"/>
                <w:szCs w:val="24"/>
              </w:rPr>
              <w:lastRenderedPageBreak/>
              <w:t>Atbilstoši plānošanas dokumentos noteiktajam priekšnoteikums E</w:t>
            </w:r>
            <w:r w:rsidR="00F06970" w:rsidRPr="007E49FA">
              <w:rPr>
                <w:rFonts w:ascii="Times New Roman" w:hAnsi="Times New Roman" w:cs="Times New Roman"/>
                <w:color w:val="auto"/>
                <w:sz w:val="24"/>
                <w:szCs w:val="24"/>
              </w:rPr>
              <w:t>iropas Savienības (turpmāk – ES)</w:t>
            </w:r>
            <w:r w:rsidRPr="007E49FA">
              <w:rPr>
                <w:rFonts w:ascii="Times New Roman" w:hAnsi="Times New Roman" w:cs="Times New Roman"/>
                <w:color w:val="auto"/>
                <w:sz w:val="24"/>
                <w:szCs w:val="24"/>
              </w:rPr>
              <w:t xml:space="preserve"> struktūrfondu 2014.</w:t>
            </w:r>
            <w:r w:rsidR="008F77FF" w:rsidRPr="007E49FA">
              <w:rPr>
                <w:rFonts w:ascii="Times New Roman" w:hAnsi="Times New Roman" w:cs="Times New Roman"/>
                <w:color w:val="auto"/>
                <w:sz w:val="24"/>
                <w:szCs w:val="24"/>
              </w:rPr>
              <w:t>–</w:t>
            </w:r>
            <w:r w:rsidRPr="007E49FA">
              <w:rPr>
                <w:rFonts w:ascii="Times New Roman" w:hAnsi="Times New Roman" w:cs="Times New Roman"/>
                <w:color w:val="auto"/>
                <w:sz w:val="24"/>
                <w:szCs w:val="24"/>
              </w:rPr>
              <w:t xml:space="preserve">2020.gada plānošanas perioda ieguldījumiem ir zinātnisko institūciju konsolidācijas īstenošana un konkurētspējīgāko zinātnisko institūciju rīcībspējas uzlabošana atbilstoši </w:t>
            </w:r>
            <w:r w:rsidRPr="007E49FA">
              <w:rPr>
                <w:rFonts w:ascii="Times New Roman" w:hAnsi="Times New Roman" w:cs="Times New Roman"/>
                <w:sz w:val="24"/>
                <w:szCs w:val="24"/>
              </w:rPr>
              <w:t>Latvijas zinātnes starptautiskā izvērtējuma</w:t>
            </w:r>
            <w:r w:rsidRPr="007E49FA" w:rsidDel="006050DF">
              <w:rPr>
                <w:rFonts w:ascii="Times New Roman" w:hAnsi="Times New Roman" w:cs="Times New Roman"/>
                <w:color w:val="auto"/>
                <w:sz w:val="24"/>
                <w:szCs w:val="24"/>
              </w:rPr>
              <w:t xml:space="preserve"> </w:t>
            </w:r>
            <w:r w:rsidRPr="007E49FA">
              <w:rPr>
                <w:rFonts w:ascii="Times New Roman" w:hAnsi="Times New Roman" w:cs="Times New Roman"/>
                <w:color w:val="auto"/>
                <w:sz w:val="24"/>
                <w:szCs w:val="24"/>
              </w:rPr>
              <w:t xml:space="preserve">rekomendācijām un zinātnes strukturālo reformu plāniem, un sniedzot ieguldījumu Latvijas viedās specializācijas stratēģijas mērķu sasniegšanai un specializācijas jomu attīstībai. </w:t>
            </w:r>
          </w:p>
          <w:p w14:paraId="67347D1E" w14:textId="03A1D7BC" w:rsidR="00D74804" w:rsidRPr="007E49FA" w:rsidRDefault="00D74804" w:rsidP="00F04366">
            <w:pPr>
              <w:pStyle w:val="Normal1"/>
              <w:ind w:firstLine="304"/>
              <w:jc w:val="both"/>
              <w:rPr>
                <w:rFonts w:ascii="Times New Roman" w:hAnsi="Times New Roman" w:cs="Times New Roman"/>
                <w:color w:val="auto"/>
                <w:sz w:val="24"/>
                <w:szCs w:val="24"/>
              </w:rPr>
            </w:pPr>
            <w:r w:rsidRPr="007E49FA">
              <w:rPr>
                <w:rFonts w:ascii="Times New Roman" w:hAnsi="Times New Roman" w:cs="Times New Roman"/>
                <w:color w:val="auto"/>
                <w:sz w:val="24"/>
                <w:szCs w:val="24"/>
              </w:rPr>
              <w:t>ES struktūrfondu 2014.</w:t>
            </w:r>
            <w:r w:rsidR="008F77FF" w:rsidRPr="007E49FA">
              <w:rPr>
                <w:rFonts w:ascii="Times New Roman" w:hAnsi="Times New Roman" w:cs="Times New Roman"/>
                <w:color w:val="auto"/>
                <w:sz w:val="24"/>
                <w:szCs w:val="24"/>
              </w:rPr>
              <w:t>–</w:t>
            </w:r>
            <w:r w:rsidRPr="007E49FA">
              <w:rPr>
                <w:rFonts w:ascii="Times New Roman" w:hAnsi="Times New Roman" w:cs="Times New Roman"/>
                <w:color w:val="auto"/>
                <w:sz w:val="24"/>
                <w:szCs w:val="24"/>
              </w:rPr>
              <w:t>2020. gada plānošanas perioda investīcij</w:t>
            </w:r>
            <w:r w:rsidR="00F07A83" w:rsidRPr="007E49FA">
              <w:rPr>
                <w:rFonts w:ascii="Times New Roman" w:hAnsi="Times New Roman" w:cs="Times New Roman"/>
                <w:color w:val="auto"/>
                <w:sz w:val="24"/>
                <w:szCs w:val="24"/>
              </w:rPr>
              <w:t>as</w:t>
            </w:r>
            <w:r w:rsidRPr="007E49FA">
              <w:rPr>
                <w:rFonts w:ascii="Times New Roman" w:hAnsi="Times New Roman" w:cs="Times New Roman"/>
                <w:color w:val="auto"/>
                <w:sz w:val="24"/>
                <w:szCs w:val="24"/>
              </w:rPr>
              <w:t xml:space="preserve"> pētniecības infrastruktūrā </w:t>
            </w:r>
            <w:r w:rsidR="00F07A83" w:rsidRPr="007E49FA">
              <w:rPr>
                <w:rFonts w:ascii="Times New Roman" w:hAnsi="Times New Roman" w:cs="Times New Roman"/>
                <w:color w:val="auto"/>
                <w:sz w:val="24"/>
                <w:szCs w:val="24"/>
              </w:rPr>
              <w:t>sekmē šādu plānošanas dokumentos noteikto mērķu sasniegšanu</w:t>
            </w:r>
            <w:r w:rsidRPr="007E49FA">
              <w:rPr>
                <w:rFonts w:ascii="Times New Roman" w:hAnsi="Times New Roman" w:cs="Times New Roman"/>
                <w:color w:val="auto"/>
                <w:sz w:val="24"/>
                <w:szCs w:val="24"/>
              </w:rPr>
              <w:t>:</w:t>
            </w:r>
          </w:p>
          <w:p w14:paraId="63B0D930" w14:textId="68A26F00" w:rsidR="00D74804" w:rsidRPr="007E49FA" w:rsidRDefault="00D74804" w:rsidP="00F04366">
            <w:pPr>
              <w:pStyle w:val="Normal1"/>
              <w:numPr>
                <w:ilvl w:val="0"/>
                <w:numId w:val="6"/>
              </w:numPr>
              <w:ind w:left="587"/>
              <w:jc w:val="both"/>
              <w:rPr>
                <w:rFonts w:ascii="Times New Roman" w:hAnsi="Times New Roman" w:cs="Times New Roman"/>
                <w:sz w:val="24"/>
                <w:szCs w:val="24"/>
              </w:rPr>
            </w:pPr>
            <w:r w:rsidRPr="007E49FA">
              <w:rPr>
                <w:rFonts w:ascii="Times New Roman" w:hAnsi="Times New Roman" w:cs="Times New Roman"/>
                <w:sz w:val="24"/>
                <w:szCs w:val="24"/>
              </w:rPr>
              <w:t xml:space="preserve">Latvijas </w:t>
            </w:r>
            <w:r w:rsidRPr="007E49FA">
              <w:rPr>
                <w:rFonts w:ascii="Times New Roman" w:hAnsi="Times New Roman" w:cs="Times New Roman"/>
                <w:bCs/>
                <w:sz w:val="24"/>
                <w:szCs w:val="24"/>
              </w:rPr>
              <w:t>zinātnes izcilība un starptautiskā konkurētspēja</w:t>
            </w:r>
            <w:r w:rsidRPr="007E49FA">
              <w:rPr>
                <w:rFonts w:ascii="Times New Roman" w:hAnsi="Times New Roman" w:cs="Times New Roman"/>
                <w:sz w:val="24"/>
                <w:szCs w:val="24"/>
              </w:rPr>
              <w:t xml:space="preserve">, tai skaitā reģionā pieejamā </w:t>
            </w:r>
            <w:r w:rsidR="00F07A83" w:rsidRPr="007E49FA">
              <w:rPr>
                <w:rFonts w:ascii="Times New Roman" w:hAnsi="Times New Roman" w:cs="Times New Roman"/>
                <w:sz w:val="24"/>
                <w:szCs w:val="24"/>
              </w:rPr>
              <w:t>pētniecības</w:t>
            </w:r>
            <w:r w:rsidRPr="007E49FA">
              <w:rPr>
                <w:rFonts w:ascii="Times New Roman" w:hAnsi="Times New Roman" w:cs="Times New Roman"/>
                <w:sz w:val="24"/>
                <w:szCs w:val="24"/>
              </w:rPr>
              <w:t xml:space="preserve"> infrastruktūras </w:t>
            </w:r>
            <w:r w:rsidRPr="007E49FA">
              <w:rPr>
                <w:rFonts w:ascii="Times New Roman" w:hAnsi="Times New Roman" w:cs="Times New Roman"/>
                <w:bCs/>
                <w:sz w:val="24"/>
                <w:szCs w:val="24"/>
              </w:rPr>
              <w:t xml:space="preserve">jauda; </w:t>
            </w:r>
          </w:p>
          <w:p w14:paraId="1288F8DB" w14:textId="0AD667BC" w:rsidR="00D74804" w:rsidRPr="007E49FA" w:rsidRDefault="00D74804" w:rsidP="00F04366">
            <w:pPr>
              <w:pStyle w:val="Normal1"/>
              <w:numPr>
                <w:ilvl w:val="0"/>
                <w:numId w:val="6"/>
              </w:numPr>
              <w:ind w:left="587"/>
              <w:jc w:val="both"/>
              <w:rPr>
                <w:rFonts w:ascii="Times New Roman" w:hAnsi="Times New Roman" w:cs="Times New Roman"/>
                <w:sz w:val="24"/>
                <w:szCs w:val="24"/>
              </w:rPr>
            </w:pPr>
            <w:r w:rsidRPr="007E49FA">
              <w:rPr>
                <w:rFonts w:ascii="Times New Roman" w:hAnsi="Times New Roman" w:cs="Times New Roman"/>
                <w:sz w:val="24"/>
                <w:szCs w:val="24"/>
              </w:rPr>
              <w:t>Latvijas</w:t>
            </w:r>
            <w:r w:rsidRPr="007E49FA">
              <w:rPr>
                <w:rFonts w:ascii="Times New Roman" w:hAnsi="Times New Roman" w:cs="Times New Roman"/>
                <w:bCs/>
                <w:sz w:val="24"/>
                <w:szCs w:val="24"/>
              </w:rPr>
              <w:t xml:space="preserve"> tautsaimniecības transformācijai</w:t>
            </w:r>
            <w:r w:rsidRPr="007E49FA">
              <w:rPr>
                <w:rFonts w:ascii="Times New Roman" w:hAnsi="Times New Roman" w:cs="Times New Roman"/>
                <w:sz w:val="24"/>
                <w:szCs w:val="24"/>
              </w:rPr>
              <w:t xml:space="preserve"> nepieciešamo zināšanu bāze</w:t>
            </w:r>
            <w:r w:rsidR="00F07A83" w:rsidRPr="007E49FA">
              <w:rPr>
                <w:rFonts w:ascii="Times New Roman" w:hAnsi="Times New Roman" w:cs="Times New Roman"/>
                <w:sz w:val="24"/>
                <w:szCs w:val="24"/>
              </w:rPr>
              <w:t>s</w:t>
            </w:r>
            <w:r w:rsidRPr="007E49FA">
              <w:rPr>
                <w:rFonts w:ascii="Times New Roman" w:hAnsi="Times New Roman" w:cs="Times New Roman"/>
                <w:sz w:val="24"/>
                <w:szCs w:val="24"/>
              </w:rPr>
              <w:t xml:space="preserve"> un cilvēkkapitāl</w:t>
            </w:r>
            <w:r w:rsidR="00F07A83" w:rsidRPr="007E49FA">
              <w:rPr>
                <w:rFonts w:ascii="Times New Roman" w:hAnsi="Times New Roman" w:cs="Times New Roman"/>
                <w:sz w:val="24"/>
                <w:szCs w:val="24"/>
              </w:rPr>
              <w:t>a palielināšana</w:t>
            </w:r>
            <w:r w:rsidRPr="007E49FA">
              <w:rPr>
                <w:rFonts w:ascii="Times New Roman" w:hAnsi="Times New Roman" w:cs="Times New Roman"/>
                <w:sz w:val="24"/>
                <w:szCs w:val="24"/>
              </w:rPr>
              <w:t>;</w:t>
            </w:r>
          </w:p>
          <w:p w14:paraId="2BBFAB0C" w14:textId="5E56417B" w:rsidR="00D74804" w:rsidRPr="007E49FA" w:rsidRDefault="00D74804" w:rsidP="00F04366">
            <w:pPr>
              <w:pStyle w:val="Normal1"/>
              <w:numPr>
                <w:ilvl w:val="0"/>
                <w:numId w:val="6"/>
              </w:numPr>
              <w:ind w:left="587" w:hanging="357"/>
              <w:jc w:val="both"/>
              <w:rPr>
                <w:rFonts w:ascii="Times New Roman" w:hAnsi="Times New Roman" w:cs="Times New Roman"/>
                <w:sz w:val="24"/>
                <w:szCs w:val="24"/>
              </w:rPr>
            </w:pPr>
            <w:r w:rsidRPr="007E49FA">
              <w:rPr>
                <w:rFonts w:ascii="Times New Roman" w:hAnsi="Times New Roman" w:cs="Times New Roman"/>
                <w:bCs/>
                <w:sz w:val="24"/>
                <w:szCs w:val="24"/>
              </w:rPr>
              <w:t>zinātnes resursu integrācija un konsolidācija.</w:t>
            </w:r>
          </w:p>
          <w:p w14:paraId="081711E4" w14:textId="77777777" w:rsidR="00F04366" w:rsidRPr="007E49FA" w:rsidRDefault="00F04366" w:rsidP="00F04366">
            <w:pPr>
              <w:pStyle w:val="Normal1"/>
              <w:ind w:firstLine="304"/>
              <w:jc w:val="both"/>
              <w:rPr>
                <w:rFonts w:ascii="Times New Roman" w:hAnsi="Times New Roman" w:cs="Times New Roman"/>
                <w:sz w:val="24"/>
                <w:szCs w:val="24"/>
              </w:rPr>
            </w:pPr>
          </w:p>
          <w:p w14:paraId="7311BBC1" w14:textId="77777777" w:rsidR="00D74804" w:rsidRPr="007E49FA" w:rsidRDefault="00D74804" w:rsidP="00F04366">
            <w:pPr>
              <w:pStyle w:val="Normal1"/>
              <w:ind w:firstLine="304"/>
              <w:jc w:val="both"/>
              <w:rPr>
                <w:rFonts w:ascii="Times New Roman" w:hAnsi="Times New Roman" w:cs="Times New Roman"/>
                <w:sz w:val="24"/>
                <w:szCs w:val="24"/>
              </w:rPr>
            </w:pPr>
            <w:r w:rsidRPr="007E49FA">
              <w:rPr>
                <w:rFonts w:ascii="Times New Roman" w:hAnsi="Times New Roman" w:cs="Times New Roman"/>
                <w:sz w:val="24"/>
                <w:szCs w:val="24"/>
              </w:rPr>
              <w:t xml:space="preserve">1.1.1.4. pasākuma ietvaros paredzēts izstrādāt tādus pētniecības infrastruktūras attīstības nosacījumus, kas palielinās Latvijas zinātnes izcilību un starptautisko konkurētspēju, tautsaimniecības transformācijai nepieciešamo zināšanu bāzi, vienlaikus sekmējot zinātnisko institūciju iesaisti starptautiskos sadarbības tīklos, kā arī veicinot pētniecības infrastruktūras izmantošanu inovatīvu produktu prototipu izstrādei, tādējādi nodrošinot sabiedrības un tautsaimniecības problēmu risināšanu. </w:t>
            </w:r>
          </w:p>
          <w:p w14:paraId="0A5CD77F" w14:textId="77777777" w:rsidR="00D5773E" w:rsidRPr="007E49FA" w:rsidRDefault="00D5773E" w:rsidP="00F04366">
            <w:pPr>
              <w:pStyle w:val="Default"/>
              <w:jc w:val="both"/>
              <w:rPr>
                <w:color w:val="auto"/>
              </w:rPr>
            </w:pPr>
          </w:p>
          <w:p w14:paraId="26C3EAB2" w14:textId="77777777" w:rsidR="000C2D4B" w:rsidRPr="007E49FA" w:rsidRDefault="00D74804" w:rsidP="00F04366">
            <w:pPr>
              <w:pStyle w:val="Default"/>
              <w:ind w:firstLine="304"/>
              <w:jc w:val="both"/>
              <w:rPr>
                <w:color w:val="auto"/>
              </w:rPr>
            </w:pPr>
            <w:r w:rsidRPr="007E49FA">
              <w:rPr>
                <w:bCs/>
              </w:rPr>
              <w:t>1</w:t>
            </w:r>
            <w:r w:rsidR="000C2D4B" w:rsidRPr="007E49FA">
              <w:rPr>
                <w:bCs/>
              </w:rPr>
              <w:t>.1.1.4. pasākuma m</w:t>
            </w:r>
            <w:r w:rsidR="000C2D4B" w:rsidRPr="007E49FA">
              <w:rPr>
                <w:color w:val="auto"/>
              </w:rPr>
              <w:t>ērķis ir sniegt atbalstu:</w:t>
            </w:r>
          </w:p>
          <w:p w14:paraId="450F740C" w14:textId="01B78DE8" w:rsidR="000C2D4B" w:rsidRPr="00F8160B" w:rsidRDefault="000C2D4B" w:rsidP="00DE5FB5">
            <w:pPr>
              <w:pStyle w:val="Default"/>
              <w:numPr>
                <w:ilvl w:val="0"/>
                <w:numId w:val="2"/>
              </w:numPr>
              <w:jc w:val="both"/>
            </w:pPr>
            <w:r w:rsidRPr="007E49FA">
              <w:t xml:space="preserve">pētniecības infrastruktūras izveidei, pilnveidei vai attīstībai Latvijas viedās specializācijas stratēģijas jomās, balstoties uz izmaksu–ieguvumu analīzi, kas pamato </w:t>
            </w:r>
            <w:r w:rsidR="00F07A83" w:rsidRPr="007E49FA">
              <w:t xml:space="preserve">projektu finansiālo ilgtspēju un </w:t>
            </w:r>
            <w:r w:rsidRPr="007E49FA">
              <w:t>investīciju sociālekonomisko atdevi</w:t>
            </w:r>
            <w:r w:rsidR="00912041">
              <w:t xml:space="preserve">. Izmaksu-ieguvumu analīzē piemēro </w:t>
            </w:r>
            <w:r w:rsidR="00912041" w:rsidRPr="00F8160B">
              <w:t>aktuālās makroekonomikas prognozes</w:t>
            </w:r>
            <w:r w:rsidR="00912041">
              <w:t xml:space="preserve">, kas pieejamas tīmekļa vietnē: </w:t>
            </w:r>
            <w:r w:rsidR="00DE5FB5" w:rsidRPr="00DE5FB5">
              <w:t>http://www.fm.gov.lv/lv/sadalas/ppp/tiesibu_akti/makroekonomiskie_pienemumi_un_prognozes/</w:t>
            </w:r>
            <w:r w:rsidR="00912041">
              <w:t xml:space="preserve"> </w:t>
            </w:r>
            <w:r w:rsidRPr="007E49FA">
              <w:t>;</w:t>
            </w:r>
          </w:p>
          <w:p w14:paraId="7CE3D1D6" w14:textId="3B48C7FD" w:rsidR="00D5773E" w:rsidRPr="007E49FA" w:rsidRDefault="000C2D4B" w:rsidP="00F04366">
            <w:pPr>
              <w:pStyle w:val="Default"/>
              <w:numPr>
                <w:ilvl w:val="0"/>
                <w:numId w:val="2"/>
              </w:numPr>
              <w:ind w:left="446" w:hanging="351"/>
              <w:jc w:val="both"/>
              <w:rPr>
                <w:color w:val="auto"/>
              </w:rPr>
            </w:pPr>
            <w:r w:rsidRPr="007E49FA">
              <w:t>zinātnisko institūciju institucionālās kapacitātes stiprināšanai, ieviešot zinātnisko institūciju darbības kvalitātes starptautiskā novērtējuma rekomendācijas konkurētspējas palielināšanai starptautiskā līmenī un mērķtiecīgiem zinātnisko institūciju apvienošanās pasākumiem</w:t>
            </w:r>
            <w:r w:rsidR="00CD3AC9" w:rsidRPr="007E49FA">
              <w:t>, tostarp ņemot vērā līdzšinējo sniegto atbalstu institucionālās kapacitātes stiprināšanai ES struktūrfondu plānošanas periodā 2007.</w:t>
            </w:r>
            <w:r w:rsidR="008F77FF" w:rsidRPr="007E49FA">
              <w:t>–</w:t>
            </w:r>
            <w:r w:rsidR="00CD3AC9" w:rsidRPr="007E49FA">
              <w:t>2013.gadam 2.1.1.3.3.</w:t>
            </w:r>
            <w:r w:rsidR="008F77FF" w:rsidRPr="007E49FA">
              <w:t> </w:t>
            </w:r>
            <w:r w:rsidR="00CD3AC9" w:rsidRPr="007E49FA">
              <w:t xml:space="preserve">apakšaktivitātes </w:t>
            </w:r>
            <w:r w:rsidR="008F77FF" w:rsidRPr="007E49FA">
              <w:t>"</w:t>
            </w:r>
            <w:r w:rsidR="00CD3AC9" w:rsidRPr="007E49FA">
              <w:t>Zinātnisko institūciju institucionālās kapacitātes attīstība</w:t>
            </w:r>
            <w:r w:rsidR="008F77FF" w:rsidRPr="007E49FA">
              <w:t>"</w:t>
            </w:r>
            <w:r w:rsidR="00CD3AC9" w:rsidRPr="007E49FA">
              <w:t xml:space="preserve"> ietvaros.</w:t>
            </w:r>
          </w:p>
          <w:p w14:paraId="4AF60B02" w14:textId="77777777" w:rsidR="00D5773E" w:rsidRPr="007E49FA" w:rsidRDefault="00D5773E" w:rsidP="00F04366">
            <w:pPr>
              <w:pStyle w:val="Default"/>
              <w:jc w:val="both"/>
              <w:rPr>
                <w:color w:val="auto"/>
              </w:rPr>
            </w:pPr>
          </w:p>
          <w:p w14:paraId="6EA49FEF" w14:textId="176B5410" w:rsidR="000D4344" w:rsidRDefault="00D5773E" w:rsidP="00F8160B">
            <w:pPr>
              <w:pStyle w:val="Default"/>
              <w:ind w:firstLine="304"/>
              <w:jc w:val="both"/>
              <w:rPr>
                <w:color w:val="auto"/>
              </w:rPr>
            </w:pPr>
            <w:r w:rsidRPr="007E49FA">
              <w:rPr>
                <w:color w:val="auto"/>
              </w:rPr>
              <w:lastRenderedPageBreak/>
              <w:t xml:space="preserve">1.1.1.4. pasākuma kopējais </w:t>
            </w:r>
            <w:r w:rsidR="00CD3AC9" w:rsidRPr="007E49FA">
              <w:rPr>
                <w:color w:val="auto"/>
              </w:rPr>
              <w:t xml:space="preserve">publiskais </w:t>
            </w:r>
            <w:r w:rsidRPr="007E49FA">
              <w:rPr>
                <w:color w:val="auto"/>
              </w:rPr>
              <w:t xml:space="preserve">attiecināmais finansējums ir </w:t>
            </w:r>
            <w:r w:rsidR="00F06970" w:rsidRPr="007E49FA">
              <w:rPr>
                <w:color w:val="auto"/>
              </w:rPr>
              <w:t>120 252 616</w:t>
            </w:r>
            <w:r w:rsidRPr="007E49FA">
              <w:rPr>
                <w:color w:val="auto"/>
              </w:rPr>
              <w:t xml:space="preserve"> </w:t>
            </w:r>
            <w:r w:rsidRPr="007E49FA">
              <w:rPr>
                <w:i/>
                <w:color w:val="auto"/>
              </w:rPr>
              <w:t>euro</w:t>
            </w:r>
            <w:r w:rsidRPr="007E49FA">
              <w:rPr>
                <w:lang w:bidi="lo-LA"/>
              </w:rPr>
              <w:t xml:space="preserve">, tai skaitā </w:t>
            </w:r>
            <w:r w:rsidRPr="007E49FA">
              <w:t xml:space="preserve">Eiropas Reģionālās attīstības fonda (turpmāk </w:t>
            </w:r>
            <w:r w:rsidR="00CD3AC9" w:rsidRPr="007E49FA">
              <w:t>–</w:t>
            </w:r>
            <w:r w:rsidRPr="007E49FA">
              <w:t xml:space="preserve"> </w:t>
            </w:r>
            <w:r w:rsidRPr="007E49FA">
              <w:rPr>
                <w:lang w:bidi="lo-LA"/>
              </w:rPr>
              <w:t>ERAF</w:t>
            </w:r>
            <w:r w:rsidR="00CD3AC9" w:rsidRPr="007E49FA">
              <w:rPr>
                <w:lang w:bidi="lo-LA"/>
              </w:rPr>
              <w:t>)</w:t>
            </w:r>
            <w:r w:rsidRPr="007E49FA">
              <w:rPr>
                <w:color w:val="auto"/>
              </w:rPr>
              <w:t xml:space="preserve"> finansējums</w:t>
            </w:r>
            <w:r w:rsidR="00CD3AC9" w:rsidRPr="007E49FA">
              <w:rPr>
                <w:color w:val="auto"/>
              </w:rPr>
              <w:t xml:space="preserve"> </w:t>
            </w:r>
            <w:r w:rsidR="00F06970" w:rsidRPr="007E49FA">
              <w:rPr>
                <w:color w:val="auto"/>
              </w:rPr>
              <w:t>102 964 724</w:t>
            </w:r>
            <w:r w:rsidRPr="007E49FA">
              <w:rPr>
                <w:color w:val="auto"/>
              </w:rPr>
              <w:t xml:space="preserve"> </w:t>
            </w:r>
            <w:r w:rsidRPr="007E49FA">
              <w:rPr>
                <w:i/>
                <w:color w:val="auto"/>
              </w:rPr>
              <w:t>euro</w:t>
            </w:r>
            <w:r w:rsidRPr="007E49FA">
              <w:rPr>
                <w:color w:val="auto"/>
              </w:rPr>
              <w:t xml:space="preserve"> un valsts budžeta finansējums 17 287 892 </w:t>
            </w:r>
            <w:r w:rsidRPr="007E49FA">
              <w:rPr>
                <w:i/>
                <w:color w:val="auto"/>
              </w:rPr>
              <w:t>euro</w:t>
            </w:r>
            <w:r w:rsidR="00533365">
              <w:rPr>
                <w:i/>
                <w:color w:val="auto"/>
              </w:rPr>
              <w:t xml:space="preserve">, </w:t>
            </w:r>
            <w:r w:rsidR="00533365" w:rsidRPr="00F8160B">
              <w:rPr>
                <w:color w:val="auto"/>
              </w:rPr>
              <w:t xml:space="preserve">ja EK apstiprina </w:t>
            </w:r>
            <w:r w:rsidR="009605CB" w:rsidRPr="00F8160B">
              <w:rPr>
                <w:color w:val="auto"/>
              </w:rPr>
              <w:t xml:space="preserve">un piešķir finansējumu </w:t>
            </w:r>
            <w:r w:rsidR="00533365" w:rsidRPr="007E49FA">
              <w:t>ES pētniecības un inovāciju pamatprogrammas „Apvārsnis 2020” apakšprogrammas „WIDESPREAD 1-2014: Teaming” projekta „Viedo materiālu pētījumu un tehnoloģiju pārneses ekselences centrs – CAMART</w:t>
            </w:r>
            <w:r w:rsidR="00533365">
              <w:t>2</w:t>
            </w:r>
            <w:r w:rsidR="00533365" w:rsidRPr="007E49FA">
              <w:t>” (The Excellence Centre of Advanced Material Research and Technology Transfer) (turpmāk – CAMART2</w:t>
            </w:r>
            <w:r w:rsidR="009605CB">
              <w:t xml:space="preserve">) </w:t>
            </w:r>
            <w:r w:rsidR="00533365">
              <w:t xml:space="preserve"> projekt</w:t>
            </w:r>
            <w:r w:rsidR="009605CB">
              <w:t>am</w:t>
            </w:r>
            <w:r w:rsidRPr="007E49FA">
              <w:rPr>
                <w:color w:val="auto"/>
              </w:rPr>
              <w:t xml:space="preserve">. </w:t>
            </w:r>
          </w:p>
          <w:p w14:paraId="72E7C9DA" w14:textId="77777777" w:rsidR="008A3365" w:rsidRPr="008A3365" w:rsidRDefault="008A3365" w:rsidP="008A3365">
            <w:pPr>
              <w:pStyle w:val="Default"/>
              <w:ind w:firstLine="304"/>
              <w:jc w:val="both"/>
              <w:rPr>
                <w:color w:val="auto"/>
              </w:rPr>
            </w:pPr>
            <w:bookmarkStart w:id="1" w:name="_Ref458436718"/>
            <w:bookmarkStart w:id="2" w:name="_Ref457207520"/>
            <w:r w:rsidRPr="008A3365">
              <w:rPr>
                <w:color w:val="auto"/>
              </w:rPr>
              <w:t xml:space="preserve">Ja Eiropas Komisijas Pētniecības izpildaģentūra apstiprina Eiropas Savienības pētniecības un inovāciju pamatprogrammas "Apvārsnis 2020" apakšprogrammas "WIDESPREAD 1-2014: Teaming" projekta "Viedo materiālu pētījumu un tehnoloģiju pārneses ekselences centrs – CAMART²" (The Excellence Centre of Advanced Material Research and Technology Transfer) </w:t>
            </w:r>
            <w:bookmarkEnd w:id="1"/>
            <w:r w:rsidRPr="008A3365">
              <w:rPr>
                <w:color w:val="auto"/>
              </w:rPr>
              <w:t>projektu (turpmāk – CAMART2 projekts) un piešķir finansējumu CAMART2 projekta īstenošanai, šo noteikumu 12.7. apakšpunktā minētā projekta iesniedzēja projekta kopējās attiecināmās izmaksas ir 15 320 196 euro, ko veido publiskais finansējums 13 320 196 euro (tai skaitā Eiropas Reģionālās attīstības fonda finansējums – 12 072 166 euro un valsts budžeta līdzfinansējums – 1 248 030 euro) apmērā un nacionālais privātais līdzfinansējums 2 000 000 euro apmērā.</w:t>
            </w:r>
          </w:p>
          <w:bookmarkEnd w:id="2"/>
          <w:p w14:paraId="553F27D4" w14:textId="77777777" w:rsidR="008A3365" w:rsidRDefault="008A3365" w:rsidP="00F8160B">
            <w:pPr>
              <w:pStyle w:val="Default"/>
              <w:ind w:firstLine="304"/>
              <w:jc w:val="both"/>
            </w:pPr>
          </w:p>
          <w:p w14:paraId="54423AC8" w14:textId="407910CC" w:rsidR="000D4344" w:rsidRPr="00F8160B" w:rsidRDefault="009605CB" w:rsidP="00F8160B">
            <w:pPr>
              <w:pStyle w:val="Default"/>
              <w:ind w:firstLine="304"/>
              <w:jc w:val="both"/>
            </w:pPr>
            <w:r>
              <w:rPr>
                <w:color w:val="auto"/>
              </w:rPr>
              <w:t>Ja Camart2 projekts netiek apstiprināts</w:t>
            </w:r>
            <w:r w:rsidR="00BA118F">
              <w:rPr>
                <w:color w:val="auto"/>
              </w:rPr>
              <w:t>,</w:t>
            </w:r>
            <w:r>
              <w:rPr>
                <w:color w:val="auto"/>
              </w:rPr>
              <w:t xml:space="preserve"> 1.1.1.4.pasākuma ietvaros kopējais attiecināmais publiskais finansējums </w:t>
            </w:r>
            <w:bookmarkStart w:id="3" w:name="_Ref458166020"/>
            <w:r w:rsidR="000D4344" w:rsidRPr="00F8160B">
              <w:t xml:space="preserve">115 252 616 euro, tai skaitā Eiropas Reģionālās attīstības fonda finansējums – 97 964 724 </w:t>
            </w:r>
            <w:r w:rsidR="000D4344" w:rsidRPr="00F8160B">
              <w:rPr>
                <w:i/>
              </w:rPr>
              <w:t>euro</w:t>
            </w:r>
            <w:r w:rsidR="000D4344" w:rsidRPr="00F8160B">
              <w:t xml:space="preserve"> un valsts budžeta līdzfinansējums – 17 287 892 </w:t>
            </w:r>
            <w:r w:rsidR="000D4344" w:rsidRPr="00F8160B">
              <w:rPr>
                <w:i/>
              </w:rPr>
              <w:t>euro</w:t>
            </w:r>
            <w:r w:rsidR="000D4344" w:rsidRPr="00F8160B">
              <w:t xml:space="preserve">, šo noteikumu </w:t>
            </w:r>
            <w:r w:rsidR="000D4344" w:rsidRPr="00F8160B">
              <w:fldChar w:fldCharType="begin"/>
            </w:r>
            <w:r w:rsidR="000D4344" w:rsidRPr="00F8160B">
              <w:instrText xml:space="preserve"> REF _Ref453059319 \r \h  \* MERGEFORMAT </w:instrText>
            </w:r>
            <w:r w:rsidR="000D4344" w:rsidRPr="00F8160B">
              <w:fldChar w:fldCharType="separate"/>
            </w:r>
            <w:r w:rsidR="000D4344" w:rsidRPr="00F8160B">
              <w:t>16.7</w:t>
            </w:r>
            <w:r w:rsidR="000D4344" w:rsidRPr="00F8160B">
              <w:fldChar w:fldCharType="end"/>
            </w:r>
            <w:r w:rsidR="000D4344" w:rsidRPr="00F8160B">
              <w:t>. apakšpunktā minētajā gadījumā;</w:t>
            </w:r>
            <w:bookmarkEnd w:id="3"/>
          </w:p>
          <w:p w14:paraId="770EB5C9" w14:textId="5CFF4F00" w:rsidR="009605CB" w:rsidRPr="007E49FA" w:rsidRDefault="009605CB" w:rsidP="00F04366">
            <w:pPr>
              <w:pStyle w:val="Default"/>
              <w:ind w:firstLine="304"/>
              <w:jc w:val="both"/>
            </w:pPr>
          </w:p>
          <w:p w14:paraId="70730CFF" w14:textId="2C6A450D" w:rsidR="00F06970" w:rsidRPr="007E49FA" w:rsidRDefault="00F06970" w:rsidP="00F04366">
            <w:pPr>
              <w:pStyle w:val="Default"/>
              <w:ind w:firstLine="306"/>
              <w:jc w:val="both"/>
            </w:pPr>
            <w:r w:rsidRPr="007E49FA">
              <w:t>Saskaņā ar 2016.</w:t>
            </w:r>
            <w:r w:rsidR="00D14F27">
              <w:t> </w:t>
            </w:r>
            <w:r w:rsidRPr="007E49FA">
              <w:t>gada 24.</w:t>
            </w:r>
            <w:r w:rsidR="00D14F27">
              <w:t> </w:t>
            </w:r>
            <w:r w:rsidRPr="007E49FA">
              <w:t>maija MK sēdes protokola Nr.</w:t>
            </w:r>
            <w:r w:rsidR="00D14F27">
              <w:t> </w:t>
            </w:r>
            <w:r w:rsidRPr="007E49FA">
              <w:t>25 26.</w:t>
            </w:r>
            <w:r w:rsidR="00D14F27">
              <w:t> </w:t>
            </w:r>
            <w:r w:rsidRPr="007E49FA">
              <w:t xml:space="preserve">§ nolemto, Latvijas Universitātes Cietvielu fizikas institūtam (turpmāk – LU CFI) CAMART2 projekta otrās fāzes apstiprināšanas gadījumā </w:t>
            </w:r>
            <w:r w:rsidR="005F459D" w:rsidRPr="007E49FA">
              <w:t>pieejamais</w:t>
            </w:r>
            <w:r w:rsidRPr="007E49FA">
              <w:t xml:space="preserve"> kopējais attiecināmais publiskais finansējums nepārsniedz 13 320 196 </w:t>
            </w:r>
            <w:r w:rsidRPr="007E49FA">
              <w:rPr>
                <w:i/>
              </w:rPr>
              <w:t>euro</w:t>
            </w:r>
            <w:r w:rsidRPr="007E49FA">
              <w:t xml:space="preserve">, ko veido 1.1.1.4. pasākuma ietvaros pieejams publiskais (ERAF un valsts budžeta) finansējums 8 320 196  </w:t>
            </w:r>
            <w:r w:rsidRPr="007E49FA">
              <w:rPr>
                <w:i/>
              </w:rPr>
              <w:t>euro</w:t>
            </w:r>
            <w:r w:rsidRPr="007E49FA">
              <w:t xml:space="preserve"> apmērā un no 1.2.1.</w:t>
            </w:r>
            <w:r w:rsidR="008743F6" w:rsidRPr="007E49FA">
              <w:t> </w:t>
            </w:r>
            <w:r w:rsidRPr="007E49FA">
              <w:t>specifiskā atbalsta mērķa „Palielināt privātā sektora investīcijas P&amp;A”</w:t>
            </w:r>
            <w:r w:rsidR="008743F6" w:rsidRPr="007E49FA">
              <w:t xml:space="preserve"> </w:t>
            </w:r>
            <w:r w:rsidRPr="007E49FA">
              <w:t xml:space="preserve"> 1.2.1.1.</w:t>
            </w:r>
            <w:r w:rsidR="008743F6" w:rsidRPr="007E49FA">
              <w:t> </w:t>
            </w:r>
            <w:r w:rsidRPr="007E49FA">
              <w:t>pasākuma “Atbalsts jaunu produktu un tehnoloģiju izstrādei kompetences centru ietvaros”</w:t>
            </w:r>
            <w:r w:rsidR="008743F6" w:rsidRPr="007E49FA">
              <w:t xml:space="preserve"> (turpmāk – 1.2.1.1. pasākums)</w:t>
            </w:r>
            <w:r w:rsidRPr="007E49FA">
              <w:t xml:space="preserve">  trešās atlases kārtas pārdalītais publiskais (ERAF) finansējums 5 000 000 </w:t>
            </w:r>
            <w:r w:rsidRPr="007E49FA">
              <w:rPr>
                <w:i/>
              </w:rPr>
              <w:t>euro</w:t>
            </w:r>
            <w:r w:rsidRPr="007E49FA">
              <w:t xml:space="preserve"> apmērā. </w:t>
            </w:r>
          </w:p>
          <w:p w14:paraId="356CA436" w14:textId="7BE193C2" w:rsidR="00F06970" w:rsidRPr="007E49FA" w:rsidRDefault="00F06970" w:rsidP="00F04366">
            <w:pPr>
              <w:pStyle w:val="Default"/>
              <w:ind w:firstLine="304"/>
              <w:jc w:val="both"/>
            </w:pPr>
            <w:r w:rsidRPr="007E49FA">
              <w:t xml:space="preserve">Gadījumā, ja CAMART2 projekts netiek apstiprināts </w:t>
            </w:r>
            <w:r w:rsidR="005F459D" w:rsidRPr="007E49FA">
              <w:t>LU CFI 1.1.</w:t>
            </w:r>
            <w:r w:rsidR="008743F6" w:rsidRPr="007E49FA">
              <w:t>1.4. </w:t>
            </w:r>
            <w:r w:rsidR="008743F6" w:rsidRPr="00DE5FB5">
              <w:t xml:space="preserve">pasākuma projekta īstenošanai pieejams publiskais  finansējums </w:t>
            </w:r>
            <w:r w:rsidR="00B84B35" w:rsidRPr="00F8160B">
              <w:t>13 320 196</w:t>
            </w:r>
            <w:r w:rsidR="008743F6" w:rsidRPr="00DE5FB5">
              <w:t xml:space="preserve">  </w:t>
            </w:r>
            <w:r w:rsidR="008743F6" w:rsidRPr="00DE5FB5">
              <w:rPr>
                <w:i/>
              </w:rPr>
              <w:t>euro</w:t>
            </w:r>
            <w:r w:rsidR="008743F6" w:rsidRPr="00DE5FB5">
              <w:t xml:space="preserve"> apmērā</w:t>
            </w:r>
            <w:r w:rsidR="00C75089" w:rsidRPr="00DE5FB5">
              <w:t xml:space="preserve"> (tai skaitā Eiropas Reģionālās attīstības fonda </w:t>
            </w:r>
            <w:r w:rsidR="00C75089" w:rsidRPr="00F8160B">
              <w:t xml:space="preserve">finansējums – </w:t>
            </w:r>
            <w:r w:rsidR="00B84B35" w:rsidRPr="00F8160B">
              <w:t xml:space="preserve">12 072 166 </w:t>
            </w:r>
            <w:r w:rsidR="00C75089" w:rsidRPr="00F8160B">
              <w:rPr>
                <w:i/>
              </w:rPr>
              <w:t>euro</w:t>
            </w:r>
            <w:r w:rsidR="00C75089" w:rsidRPr="00F8160B">
              <w:t xml:space="preserve"> un valsts budžeta līdzfinansējums – </w:t>
            </w:r>
            <w:r w:rsidR="00DE5FB5" w:rsidRPr="00F8160B">
              <w:t>1 </w:t>
            </w:r>
            <w:r w:rsidR="00B84B35" w:rsidRPr="00F8160B">
              <w:t>248</w:t>
            </w:r>
            <w:r w:rsidR="00DE5FB5" w:rsidRPr="00F8160B">
              <w:t> </w:t>
            </w:r>
            <w:r w:rsidR="00B84B35" w:rsidRPr="00F8160B">
              <w:t>030</w:t>
            </w:r>
            <w:r w:rsidR="00C75089" w:rsidRPr="007E49FA">
              <w:t xml:space="preserve"> </w:t>
            </w:r>
            <w:r w:rsidR="00C75089" w:rsidRPr="007E49FA">
              <w:rPr>
                <w:i/>
              </w:rPr>
              <w:t>euro</w:t>
            </w:r>
            <w:r w:rsidR="00C75089" w:rsidRPr="007E49FA">
              <w:t>)</w:t>
            </w:r>
            <w:r w:rsidR="008743F6" w:rsidRPr="007E49FA">
              <w:t xml:space="preserve">. Savukārt 5 000 000 </w:t>
            </w:r>
            <w:r w:rsidR="008743F6" w:rsidRPr="007E49FA">
              <w:rPr>
                <w:i/>
              </w:rPr>
              <w:t>euro</w:t>
            </w:r>
            <w:r w:rsidR="008743F6" w:rsidRPr="007E49FA">
              <w:t xml:space="preserve"> tiek pārdalīti 1.2.1.1. pasākuma trešās atlases kārtas īstenošanai.</w:t>
            </w:r>
          </w:p>
          <w:p w14:paraId="66FC0BB6" w14:textId="1E769BD8" w:rsidR="008743F6" w:rsidRPr="007E49FA" w:rsidRDefault="008743F6" w:rsidP="00F04366">
            <w:pPr>
              <w:pStyle w:val="Default"/>
              <w:ind w:firstLine="285"/>
              <w:jc w:val="both"/>
            </w:pPr>
            <w:r w:rsidRPr="007E49FA">
              <w:t xml:space="preserve"> Snieguma rezerves finansējums 1.1.1.4. pasākuma ietvaros netiek plānots (to plānots segt 1.1.1.5. pasākuma ietvaros).</w:t>
            </w:r>
            <w:r w:rsidRPr="007E49FA">
              <w:rPr>
                <w:color w:val="auto"/>
              </w:rPr>
              <w:t xml:space="preserve"> </w:t>
            </w:r>
            <w:r w:rsidRPr="007E49FA">
              <w:t>Savukārt no 1.2.1.1. pasākuma pārdalītā finansējuma snieguma rezervi plānots segt 1.2.1.2. pasākum</w:t>
            </w:r>
            <w:r w:rsidR="00F07A83" w:rsidRPr="007E49FA">
              <w:t>a</w:t>
            </w:r>
            <w:r w:rsidRPr="007E49FA">
              <w:t xml:space="preserve"> “Atbalsts tehnoloģiju pārneses sistēmas pilnveidošanai”</w:t>
            </w:r>
            <w:r w:rsidR="00F07A83" w:rsidRPr="007E49FA">
              <w:t xml:space="preserve"> ietvaros</w:t>
            </w:r>
            <w:r w:rsidRPr="007E49FA">
              <w:t>.</w:t>
            </w:r>
          </w:p>
          <w:p w14:paraId="5A699723" w14:textId="77777777" w:rsidR="008743F6" w:rsidRPr="007E49FA" w:rsidRDefault="008743F6" w:rsidP="00F04366">
            <w:pPr>
              <w:pStyle w:val="Default"/>
              <w:jc w:val="both"/>
              <w:rPr>
                <w:color w:val="auto"/>
              </w:rPr>
            </w:pPr>
          </w:p>
          <w:p w14:paraId="089CB6FA" w14:textId="608045DB" w:rsidR="00D5773E" w:rsidRPr="007E49FA" w:rsidRDefault="000C2D4B" w:rsidP="00F04366">
            <w:pPr>
              <w:pStyle w:val="Default"/>
              <w:ind w:firstLine="285"/>
              <w:jc w:val="both"/>
              <w:rPr>
                <w:bCs/>
              </w:rPr>
            </w:pPr>
            <w:r w:rsidRPr="007E49FA">
              <w:rPr>
                <w:bCs/>
              </w:rPr>
              <w:t>Atbalsts pētniecības infrastruktūras attīstībai un zinātnisko institūciju institucionālās kapacitātes stiprināšanai tiks piešķirts ierobežotas projektu iesniegumu atlases veidā zinātniskajām institūcijām, kas atbilst pētniecības organizācijas definīcijai.</w:t>
            </w:r>
          </w:p>
          <w:p w14:paraId="7F2442AC" w14:textId="77777777" w:rsidR="00D74804" w:rsidRPr="007E49FA" w:rsidRDefault="00D74804" w:rsidP="00F04366">
            <w:pPr>
              <w:pStyle w:val="Default"/>
              <w:jc w:val="both"/>
              <w:rPr>
                <w:bCs/>
              </w:rPr>
            </w:pPr>
          </w:p>
          <w:p w14:paraId="2D1EC6FB" w14:textId="77777777" w:rsidR="000C2D4B" w:rsidRPr="007E49FA" w:rsidRDefault="000C2D4B" w:rsidP="00F04366">
            <w:pPr>
              <w:pStyle w:val="Default"/>
              <w:tabs>
                <w:tab w:val="left" w:pos="567"/>
              </w:tabs>
              <w:ind w:firstLine="304"/>
              <w:jc w:val="both"/>
              <w:rPr>
                <w:bCs/>
              </w:rPr>
            </w:pPr>
            <w:r w:rsidRPr="007E49FA">
              <w:rPr>
                <w:bCs/>
              </w:rPr>
              <w:t>1.1.1.4. pasākuma ietvaros atbalstu pētniecības infrastruktūrai plānots sniegt, ja pētniecības infrastruktūra:</w:t>
            </w:r>
          </w:p>
          <w:p w14:paraId="10C466D3" w14:textId="77777777" w:rsidR="000C2D4B" w:rsidRPr="007E49FA" w:rsidRDefault="000C2D4B" w:rsidP="00F04366">
            <w:pPr>
              <w:pStyle w:val="ListParagraph"/>
              <w:numPr>
                <w:ilvl w:val="0"/>
                <w:numId w:val="5"/>
              </w:numPr>
              <w:ind w:left="587" w:hanging="425"/>
              <w:rPr>
                <w:szCs w:val="24"/>
              </w:rPr>
            </w:pPr>
            <w:r w:rsidRPr="007E49FA">
              <w:rPr>
                <w:szCs w:val="24"/>
              </w:rPr>
              <w:t>sniedz ieguldījumu Latvijas viedās specializācijas stratēģijas mērķu sasniegšanā, izaugsmes prioritāšu īstenošanā un specializācijas jomu attīstībā, kā arī starpdisciplinaritātes īstenošanā;</w:t>
            </w:r>
          </w:p>
          <w:p w14:paraId="59A965BF" w14:textId="791BAC87" w:rsidR="000C2D4B" w:rsidRPr="007E49FA" w:rsidRDefault="000C2D4B" w:rsidP="00F04366">
            <w:pPr>
              <w:pStyle w:val="ListParagraph"/>
              <w:numPr>
                <w:ilvl w:val="0"/>
                <w:numId w:val="5"/>
              </w:numPr>
              <w:ind w:left="587" w:hanging="425"/>
              <w:rPr>
                <w:szCs w:val="24"/>
              </w:rPr>
            </w:pPr>
            <w:r w:rsidRPr="007E49FA">
              <w:rPr>
                <w:szCs w:val="24"/>
              </w:rPr>
              <w:t xml:space="preserve">atbilst zinātniskās institūcijas izstrādātajai un ar Izglītības un zinātnes ministriju un attiecīgās nozares ministriju (ja attiecināms) saskaņotajai Attīstības stratēģijai 2020. gadam un </w:t>
            </w:r>
            <w:r w:rsidR="00876B0C" w:rsidRPr="007E49FA">
              <w:rPr>
                <w:szCs w:val="24"/>
              </w:rPr>
              <w:t>vidēja termiņa</w:t>
            </w:r>
            <w:r w:rsidRPr="007E49FA">
              <w:rPr>
                <w:szCs w:val="24"/>
              </w:rPr>
              <w:t xml:space="preserve"> pētniecības programmai, kurā tai skaitā norādīta informācija par zinātniskās institūcijas plānoto cilvēkresursu un pētniecības infrastruktūras attīstību; </w:t>
            </w:r>
          </w:p>
          <w:p w14:paraId="52B139F6" w14:textId="3EEE2EA2" w:rsidR="000C2D4B" w:rsidRPr="007E49FA" w:rsidRDefault="000C2D4B" w:rsidP="00F04366">
            <w:pPr>
              <w:pStyle w:val="ListParagraph"/>
              <w:numPr>
                <w:ilvl w:val="0"/>
                <w:numId w:val="5"/>
              </w:numPr>
              <w:ind w:left="587" w:hanging="425"/>
              <w:rPr>
                <w:szCs w:val="24"/>
              </w:rPr>
            </w:pPr>
            <w:r w:rsidRPr="007E49FA">
              <w:rPr>
                <w:szCs w:val="24"/>
              </w:rPr>
              <w:t xml:space="preserve">nodrošina sinerģiju un papildinātību ar ES struktūrfondu 2007.–2013. gada plānošanas perioda ietvaros veiktajiem ieguldījumiem </w:t>
            </w:r>
            <w:r w:rsidR="00D91954" w:rsidRPr="007E49FA">
              <w:rPr>
                <w:szCs w:val="24"/>
              </w:rPr>
              <w:t xml:space="preserve">valsts nozīmes pētniecības centru </w:t>
            </w:r>
            <w:r w:rsidRPr="007E49FA">
              <w:rPr>
                <w:szCs w:val="24"/>
              </w:rPr>
              <w:t>infrastruktūras modernizācijā, kā arī citiem ieguldījumiem pētniecības infrastruktūras modernizācijai un pilnveidei;</w:t>
            </w:r>
          </w:p>
          <w:p w14:paraId="74096995" w14:textId="75A0EF30" w:rsidR="000C2D4B" w:rsidRPr="007E49FA" w:rsidRDefault="000C2D4B" w:rsidP="00F04366">
            <w:pPr>
              <w:pStyle w:val="ListParagraph"/>
              <w:numPr>
                <w:ilvl w:val="0"/>
                <w:numId w:val="5"/>
              </w:numPr>
              <w:ind w:left="587" w:hanging="425"/>
              <w:rPr>
                <w:szCs w:val="24"/>
              </w:rPr>
            </w:pPr>
            <w:r w:rsidRPr="007E49FA">
              <w:rPr>
                <w:szCs w:val="24"/>
              </w:rPr>
              <w:t>nodrošina atvērtu piekļuv</w:t>
            </w:r>
            <w:r w:rsidR="00D91954" w:rsidRPr="007E49FA">
              <w:rPr>
                <w:szCs w:val="24"/>
              </w:rPr>
              <w:t>i</w:t>
            </w:r>
            <w:r w:rsidRPr="007E49FA">
              <w:rPr>
                <w:szCs w:val="24"/>
              </w:rPr>
              <w:t xml:space="preserve"> pētniecības infrastruktūras resursiem citām zinātniskajām institūcijām, uzņēmējdarbības sektora pārstāvjiem un citiem interesentiem, tai skaitā ārvalstu institūcijām, kas veic pētniecisko darbību zinātniskās institūcijas pārstāvētajās vai saistītajās zinātnes nozarēs;</w:t>
            </w:r>
          </w:p>
          <w:p w14:paraId="28246374" w14:textId="77777777" w:rsidR="000C2D4B" w:rsidRPr="007E49FA" w:rsidRDefault="000C2D4B" w:rsidP="00F04366">
            <w:pPr>
              <w:pStyle w:val="ListParagraph"/>
              <w:numPr>
                <w:ilvl w:val="0"/>
                <w:numId w:val="5"/>
              </w:numPr>
              <w:ind w:left="587" w:hanging="425"/>
              <w:rPr>
                <w:szCs w:val="24"/>
              </w:rPr>
            </w:pPr>
            <w:r w:rsidRPr="007E49FA">
              <w:rPr>
                <w:szCs w:val="24"/>
              </w:rPr>
              <w:t>pētniecības infrastruktūras attīstību pamato izstrādātā sociāli ekonomiskā analīze, kas pamato ekonomisko ietekmi un ieguldījumu tehnoloģiju pārneses atbalstam un jaunu produktu un pakalpojumu izstrādei;</w:t>
            </w:r>
          </w:p>
          <w:p w14:paraId="2F28A969" w14:textId="77777777" w:rsidR="000C2D4B" w:rsidRPr="007E49FA" w:rsidRDefault="000C2D4B" w:rsidP="00F04366">
            <w:pPr>
              <w:pStyle w:val="ListParagraph"/>
              <w:numPr>
                <w:ilvl w:val="0"/>
                <w:numId w:val="5"/>
              </w:numPr>
              <w:tabs>
                <w:tab w:val="left" w:pos="567"/>
              </w:tabs>
              <w:ind w:left="587" w:hanging="425"/>
              <w:rPr>
                <w:bCs/>
                <w:szCs w:val="24"/>
              </w:rPr>
            </w:pPr>
            <w:r w:rsidRPr="007E49FA">
              <w:rPr>
                <w:szCs w:val="24"/>
              </w:rPr>
              <w:t>projekts ir Baltijas valstu, Baltijas jūras valstu reģiona vai Eiropas nozīmes.</w:t>
            </w:r>
          </w:p>
          <w:p w14:paraId="45F7F0F1" w14:textId="77777777" w:rsidR="00D74804" w:rsidRPr="007E49FA" w:rsidRDefault="00D74804" w:rsidP="00F04366">
            <w:pPr>
              <w:pStyle w:val="Default"/>
              <w:jc w:val="both"/>
              <w:rPr>
                <w:color w:val="auto"/>
              </w:rPr>
            </w:pPr>
          </w:p>
          <w:p w14:paraId="53E3388C" w14:textId="4E92C11B" w:rsidR="00D74804" w:rsidRPr="007E49FA" w:rsidRDefault="00D74804" w:rsidP="00F04366">
            <w:pPr>
              <w:pStyle w:val="Default"/>
              <w:ind w:firstLine="304"/>
              <w:jc w:val="both"/>
            </w:pPr>
            <w:r w:rsidRPr="007E49FA">
              <w:rPr>
                <w:color w:val="auto"/>
              </w:rPr>
              <w:t xml:space="preserve">1.1.1.4. pasākuma ietvaros kopā paredzēts sniegt atbalstu </w:t>
            </w:r>
            <w:r w:rsidR="00373A0D" w:rsidRPr="007E49FA">
              <w:rPr>
                <w:color w:val="auto"/>
              </w:rPr>
              <w:t>1</w:t>
            </w:r>
            <w:r w:rsidR="000A1F47" w:rsidRPr="007E49FA">
              <w:rPr>
                <w:color w:val="auto"/>
              </w:rPr>
              <w:t>4</w:t>
            </w:r>
            <w:r w:rsidR="00373A0D" w:rsidRPr="007E49FA">
              <w:rPr>
                <w:color w:val="auto"/>
              </w:rPr>
              <w:t xml:space="preserve"> </w:t>
            </w:r>
            <w:r w:rsidRPr="007E49FA">
              <w:rPr>
                <w:color w:val="auto"/>
              </w:rPr>
              <w:t xml:space="preserve">projektu iesniedzējiem, kas īsteno pētniecību </w:t>
            </w:r>
            <w:r w:rsidRPr="007E49FA">
              <w:t xml:space="preserve">vienā vai vairākās Latvijas viedās specializācijas jomās (zināšanu ietilpīga bioekonomika; biomedicīna, medicīnas tehnoloģijas, biofarmācija un biotehnoloģijas; viedie materiāli, tehnoloģijas un inženiersistēmas; viedā enerģētika; informācijas un komunikācijas tehnoloģijas). </w:t>
            </w:r>
          </w:p>
          <w:p w14:paraId="4EFD3B62" w14:textId="77777777" w:rsidR="000C2D4B" w:rsidRPr="007E49FA" w:rsidRDefault="000C2D4B" w:rsidP="00F04366">
            <w:pPr>
              <w:pStyle w:val="Default"/>
              <w:tabs>
                <w:tab w:val="left" w:pos="567"/>
              </w:tabs>
              <w:jc w:val="both"/>
              <w:rPr>
                <w:bCs/>
              </w:rPr>
            </w:pPr>
          </w:p>
          <w:p w14:paraId="63DC0759" w14:textId="6F0705F1" w:rsidR="000C2D4B" w:rsidRPr="007E49FA" w:rsidRDefault="000C2D4B" w:rsidP="00F04366">
            <w:pPr>
              <w:pStyle w:val="Default"/>
              <w:tabs>
                <w:tab w:val="left" w:pos="567"/>
              </w:tabs>
              <w:ind w:firstLine="304"/>
              <w:jc w:val="both"/>
              <w:rPr>
                <w:bCs/>
              </w:rPr>
            </w:pPr>
            <w:r w:rsidRPr="007E49FA">
              <w:rPr>
                <w:bCs/>
              </w:rPr>
              <w:t>Potenciālie finansējuma saņēmēji projektu varēs īstenot individuāli vai sadarbībā ar zinātniskajām institūcijām</w:t>
            </w:r>
            <w:r w:rsidR="000A1F47" w:rsidRPr="007E49FA">
              <w:rPr>
                <w:bCs/>
              </w:rPr>
              <w:t xml:space="preserve"> un komersantiem</w:t>
            </w:r>
            <w:r w:rsidR="00BE0B49" w:rsidRPr="007E49FA">
              <w:rPr>
                <w:bCs/>
              </w:rPr>
              <w:t>, ar kur</w:t>
            </w:r>
            <w:r w:rsidR="000A1F47" w:rsidRPr="007E49FA">
              <w:rPr>
                <w:bCs/>
              </w:rPr>
              <w:t>iem</w:t>
            </w:r>
            <w:r w:rsidR="00BE0B49" w:rsidRPr="007E49FA">
              <w:rPr>
                <w:bCs/>
              </w:rPr>
              <w:t xml:space="preserve"> plānots īstenot pētniecības resursu konsolidācijas pasākumus. </w:t>
            </w:r>
            <w:r w:rsidR="009D25EE" w:rsidRPr="007E49FA">
              <w:rPr>
                <w:bCs/>
              </w:rPr>
              <w:t>Finansējuma saņēmējs var īstenot</w:t>
            </w:r>
            <w:r w:rsidRPr="007E49FA">
              <w:rPr>
                <w:bCs/>
              </w:rPr>
              <w:t>:</w:t>
            </w:r>
          </w:p>
          <w:p w14:paraId="0B12DEFE" w14:textId="61271099" w:rsidR="000C2D4B" w:rsidRPr="007E49FA" w:rsidRDefault="000C2D4B" w:rsidP="00F04366">
            <w:pPr>
              <w:pStyle w:val="Default"/>
              <w:numPr>
                <w:ilvl w:val="0"/>
                <w:numId w:val="3"/>
              </w:numPr>
              <w:tabs>
                <w:tab w:val="left" w:pos="567"/>
              </w:tabs>
              <w:jc w:val="both"/>
              <w:rPr>
                <w:bCs/>
              </w:rPr>
            </w:pPr>
            <w:r w:rsidRPr="007E49FA">
              <w:rPr>
                <w:bCs/>
              </w:rPr>
              <w:t xml:space="preserve"> ar saimniecisko darbību nesaistīt</w:t>
            </w:r>
            <w:r w:rsidR="009D25EE" w:rsidRPr="007E49FA">
              <w:rPr>
                <w:bCs/>
              </w:rPr>
              <w:t>u</w:t>
            </w:r>
            <w:r w:rsidRPr="007E49FA">
              <w:rPr>
                <w:bCs/>
              </w:rPr>
              <w:t xml:space="preserve"> projekt</w:t>
            </w:r>
            <w:r w:rsidR="009D25EE" w:rsidRPr="007E49FA">
              <w:rPr>
                <w:bCs/>
              </w:rPr>
              <w:t>u</w:t>
            </w:r>
            <w:r w:rsidRPr="007E49FA">
              <w:rPr>
                <w:bCs/>
              </w:rPr>
              <w:t>;</w:t>
            </w:r>
          </w:p>
          <w:p w14:paraId="6E015AD6" w14:textId="5535FB00" w:rsidR="000C2D4B" w:rsidRPr="007E49FA" w:rsidRDefault="000C2D4B" w:rsidP="00F04366">
            <w:pPr>
              <w:pStyle w:val="Default"/>
              <w:numPr>
                <w:ilvl w:val="0"/>
                <w:numId w:val="3"/>
              </w:numPr>
              <w:tabs>
                <w:tab w:val="left" w:pos="567"/>
              </w:tabs>
              <w:jc w:val="both"/>
              <w:rPr>
                <w:bCs/>
              </w:rPr>
            </w:pPr>
            <w:r w:rsidRPr="007E49FA">
              <w:rPr>
                <w:bCs/>
              </w:rPr>
              <w:t xml:space="preserve"> kombinēta atbalsta veida projekt</w:t>
            </w:r>
            <w:r w:rsidR="009D25EE" w:rsidRPr="007E49FA">
              <w:rPr>
                <w:bCs/>
              </w:rPr>
              <w:t>u</w:t>
            </w:r>
            <w:r w:rsidRPr="007E49FA">
              <w:rPr>
                <w:bCs/>
              </w:rPr>
              <w:t>, kas ietver:</w:t>
            </w:r>
          </w:p>
          <w:p w14:paraId="4506B628" w14:textId="66A4E9C4" w:rsidR="000C2D4B" w:rsidRPr="007E49FA" w:rsidRDefault="000C2D4B" w:rsidP="00F04366">
            <w:pPr>
              <w:pStyle w:val="Default"/>
              <w:numPr>
                <w:ilvl w:val="0"/>
                <w:numId w:val="4"/>
              </w:numPr>
              <w:tabs>
                <w:tab w:val="left" w:pos="567"/>
              </w:tabs>
              <w:ind w:left="871" w:hanging="284"/>
              <w:jc w:val="both"/>
              <w:rPr>
                <w:bCs/>
              </w:rPr>
            </w:pPr>
            <w:r w:rsidRPr="007E49FA">
              <w:rPr>
                <w:bCs/>
              </w:rPr>
              <w:t xml:space="preserve">ar saimniecisko darbību nesaistītu </w:t>
            </w:r>
            <w:r w:rsidR="00F07A83" w:rsidRPr="007E49FA">
              <w:rPr>
                <w:bCs/>
              </w:rPr>
              <w:t>projekta daļu</w:t>
            </w:r>
            <w:r w:rsidRPr="007E49FA">
              <w:rPr>
                <w:bCs/>
              </w:rPr>
              <w:t>;</w:t>
            </w:r>
          </w:p>
          <w:p w14:paraId="2D870475" w14:textId="45553DD7" w:rsidR="000C2D4B" w:rsidRPr="007E49FA" w:rsidRDefault="000C2D4B" w:rsidP="00F04366">
            <w:pPr>
              <w:pStyle w:val="Default"/>
              <w:numPr>
                <w:ilvl w:val="0"/>
                <w:numId w:val="4"/>
              </w:numPr>
              <w:ind w:left="871" w:hanging="284"/>
              <w:jc w:val="both"/>
            </w:pPr>
            <w:r w:rsidRPr="007E49FA">
              <w:rPr>
                <w:bCs/>
              </w:rPr>
              <w:t xml:space="preserve">ar saimniecisko darbību saistītu </w:t>
            </w:r>
            <w:r w:rsidR="00F07A83" w:rsidRPr="007E49FA">
              <w:rPr>
                <w:bCs/>
              </w:rPr>
              <w:t>projekta daļu</w:t>
            </w:r>
            <w:r w:rsidRPr="007E49FA">
              <w:rPr>
                <w:bCs/>
              </w:rPr>
              <w:t xml:space="preserve">, kam atbalsts tiks sniegts saskaņā ar </w:t>
            </w:r>
            <w:r w:rsidR="005C3D85" w:rsidRPr="007E49FA">
              <w:rPr>
                <w:bCs/>
              </w:rPr>
              <w:t xml:space="preserve">Eiropas Komisijas 2014. gada 17. jūnija Regulas Nr. 651/2014, ar ko noteiktas atbalsta kategorijas atzīst par saderīgām ar iekšējo tirgu, piemērojot Līguma 107. un 108. pantu (turpmāk – Komisijas regula Nr. 651/2014) </w:t>
            </w:r>
            <w:r w:rsidRPr="007E49FA">
              <w:rPr>
                <w:bCs/>
              </w:rPr>
              <w:t>26.</w:t>
            </w:r>
            <w:r w:rsidR="008F77FF" w:rsidRPr="007E49FA">
              <w:rPr>
                <w:bCs/>
              </w:rPr>
              <w:t> </w:t>
            </w:r>
            <w:r w:rsidR="0019216E" w:rsidRPr="007E49FA">
              <w:rPr>
                <w:bCs/>
              </w:rPr>
              <w:t>p</w:t>
            </w:r>
            <w:r w:rsidRPr="007E49FA">
              <w:rPr>
                <w:bCs/>
              </w:rPr>
              <w:t>antu</w:t>
            </w:r>
            <w:r w:rsidR="00BE0B49" w:rsidRPr="007E49FA">
              <w:rPr>
                <w:bCs/>
              </w:rPr>
              <w:t>;</w:t>
            </w:r>
          </w:p>
          <w:p w14:paraId="7F863B32" w14:textId="77777777" w:rsidR="00BA118F" w:rsidRDefault="00576A85" w:rsidP="00F04366">
            <w:pPr>
              <w:pStyle w:val="Default"/>
              <w:ind w:firstLine="304"/>
              <w:jc w:val="both"/>
              <w:rPr>
                <w:color w:val="auto"/>
              </w:rPr>
            </w:pPr>
            <w:r w:rsidRPr="00F8160B">
              <w:rPr>
                <w:color w:val="auto"/>
              </w:rPr>
              <w:t>Ar saimniecisko darbību nesaistīta projekta īstenošanai noteikta atbalsta intensitāte 95% apmērā, tajā skaitā ERAF finansējums 85% un valsts budžeta finansējums – 1</w:t>
            </w:r>
            <w:r w:rsidR="00533365" w:rsidRPr="00F8160B">
              <w:rPr>
                <w:color w:val="auto"/>
              </w:rPr>
              <w:t>0</w:t>
            </w:r>
            <w:r w:rsidRPr="00F8160B">
              <w:rPr>
                <w:color w:val="auto"/>
              </w:rPr>
              <w:t>%. Nepieciešamo līdzfinansējumu, ar saimniecisko darbību nesaistīta projekta īstenošanai, 5% apmērā potenciālais finansējuma saņēmējs nodrošina no savā rīcībā esošajiem līdzekļiem</w:t>
            </w:r>
            <w:r w:rsidRPr="007E49FA">
              <w:rPr>
                <w:color w:val="auto"/>
              </w:rPr>
              <w:t xml:space="preserve">, </w:t>
            </w:r>
            <w:r w:rsidR="000C2D4B" w:rsidRPr="007E49FA">
              <w:rPr>
                <w:color w:val="auto"/>
              </w:rPr>
              <w:t xml:space="preserve">tai skaitā no tā saimnieciskās darbības, kredītresursu līdzekļiem un citiem finanšu resursiem. </w:t>
            </w:r>
          </w:p>
          <w:p w14:paraId="1272F518" w14:textId="1BA4A533" w:rsidR="00793532" w:rsidRDefault="00793532" w:rsidP="00F04366">
            <w:pPr>
              <w:pStyle w:val="Default"/>
              <w:ind w:firstLine="304"/>
              <w:jc w:val="both"/>
              <w:rPr>
                <w:color w:val="auto"/>
              </w:rPr>
            </w:pPr>
            <w:r w:rsidRPr="007E49FA">
              <w:rPr>
                <w:color w:val="auto"/>
              </w:rPr>
              <w:t>Kombinēta atbalsta veida projekta</w:t>
            </w:r>
            <w:r>
              <w:rPr>
                <w:color w:val="auto"/>
              </w:rPr>
              <w:t xml:space="preserve"> publiskā finansējuma intensitāti nosaka atbilstoši MK noteikumu 3.pielikumā noteiktajai metodikai.</w:t>
            </w:r>
          </w:p>
          <w:p w14:paraId="6046E3E8" w14:textId="5B99EC3E" w:rsidR="000C2D4B" w:rsidRDefault="00F07A83" w:rsidP="00F04366">
            <w:pPr>
              <w:pStyle w:val="Default"/>
              <w:ind w:firstLine="304"/>
              <w:jc w:val="both"/>
              <w:rPr>
                <w:color w:val="auto"/>
              </w:rPr>
            </w:pPr>
            <w:r w:rsidRPr="007E49FA">
              <w:rPr>
                <w:color w:val="auto"/>
              </w:rPr>
              <w:t xml:space="preserve">Kombinēta atbalsta veida </w:t>
            </w:r>
            <w:r w:rsidR="000C2D4B" w:rsidRPr="007E49FA">
              <w:rPr>
                <w:color w:val="auto"/>
              </w:rPr>
              <w:t xml:space="preserve">projekta </w:t>
            </w:r>
            <w:r w:rsidRPr="007E49FA">
              <w:rPr>
                <w:color w:val="auto"/>
              </w:rPr>
              <w:t xml:space="preserve">saimnieciskās daļas </w:t>
            </w:r>
            <w:r w:rsidR="000C2D4B" w:rsidRPr="007E49FA">
              <w:rPr>
                <w:color w:val="auto"/>
              </w:rPr>
              <w:t>īstenošanai nepieciešamo līdzfinansējumu nodrošina no finansējuma saņēmēja</w:t>
            </w:r>
            <w:r w:rsidR="00E6616B" w:rsidRPr="007E49FA">
              <w:rPr>
                <w:color w:val="auto"/>
              </w:rPr>
              <w:t xml:space="preserve"> un sadarbības partnera (ja attiecināms)</w:t>
            </w:r>
            <w:r w:rsidR="000C2D4B" w:rsidRPr="007E49FA">
              <w:rPr>
                <w:color w:val="auto"/>
              </w:rPr>
              <w:t xml:space="preserve"> rīcībā esošajiem līdzekļiem vai kredītresursu līdzekļiem un citiem finanšu resursiem, par kuriem nav saņemts nekāds publiskais atbalsts, tai skaitā nav saņemts nekāds valsts vai pašvaldību galvojums vai valsts vai pašvaldību kredīts uz atvieglojuma nosacījumiem.</w:t>
            </w:r>
          </w:p>
          <w:p w14:paraId="4B2C2DFA" w14:textId="7E416136" w:rsidR="003A55D1" w:rsidRPr="003A55D1" w:rsidRDefault="003A55D1" w:rsidP="003A55D1">
            <w:pPr>
              <w:pStyle w:val="Default"/>
              <w:ind w:firstLine="304"/>
              <w:jc w:val="both"/>
              <w:rPr>
                <w:color w:val="auto"/>
              </w:rPr>
            </w:pPr>
            <w:r w:rsidRPr="007E49FA">
              <w:rPr>
                <w:color w:val="auto"/>
              </w:rPr>
              <w:t xml:space="preserve">Kombinēta atbalsta veida projekta </w:t>
            </w:r>
            <w:r w:rsidRPr="003A55D1">
              <w:rPr>
                <w:color w:val="auto"/>
              </w:rPr>
              <w:t xml:space="preserve">ar saimniecisko darbību saistītās projekta daļas ietvaros, lai izpildītu </w:t>
            </w:r>
            <w:r w:rsidR="009A6B81">
              <w:rPr>
                <w:color w:val="auto"/>
              </w:rPr>
              <w:t>–</w:t>
            </w:r>
            <w:r w:rsidRPr="003A55D1">
              <w:rPr>
                <w:color w:val="auto"/>
              </w:rPr>
              <w:t>ošās ietekmes nosacījumu, visas darbības (tai skaitā būvdarbu tehniskās dokumentācijas izstrāde) jāuzsāk pēc projekta pieteikuma iesniegšanas.</w:t>
            </w:r>
          </w:p>
          <w:p w14:paraId="05ADEF3D" w14:textId="77777777" w:rsidR="003A55D1" w:rsidRPr="007E49FA" w:rsidRDefault="003A55D1" w:rsidP="00F04366">
            <w:pPr>
              <w:pStyle w:val="Default"/>
              <w:ind w:firstLine="304"/>
              <w:jc w:val="both"/>
              <w:rPr>
                <w:color w:val="auto"/>
              </w:rPr>
            </w:pPr>
          </w:p>
          <w:p w14:paraId="1AA22994" w14:textId="5990BEF4" w:rsidR="000F46F8" w:rsidRPr="007E49FA" w:rsidRDefault="000F46F8" w:rsidP="00F04366">
            <w:pPr>
              <w:tabs>
                <w:tab w:val="left" w:pos="993"/>
              </w:tabs>
              <w:jc w:val="both"/>
            </w:pPr>
            <w:bookmarkStart w:id="4" w:name="_Ref452716681"/>
            <w:r w:rsidRPr="007E49FA">
              <w:t xml:space="preserve">Pasākuma ietvaros </w:t>
            </w:r>
            <w:r w:rsidR="00F07A83" w:rsidRPr="007E49FA">
              <w:t>atbalstu sniedz šādām darbībām</w:t>
            </w:r>
            <w:r w:rsidRPr="007E49FA">
              <w:t>:</w:t>
            </w:r>
            <w:bookmarkEnd w:id="4"/>
          </w:p>
          <w:p w14:paraId="5A21D4A0" w14:textId="77777777" w:rsidR="000F46F8" w:rsidRPr="007E49FA" w:rsidRDefault="000F46F8" w:rsidP="00F04366">
            <w:pPr>
              <w:pStyle w:val="ListParagraph"/>
              <w:numPr>
                <w:ilvl w:val="0"/>
                <w:numId w:val="8"/>
              </w:numPr>
              <w:tabs>
                <w:tab w:val="left" w:pos="993"/>
                <w:tab w:val="left" w:pos="1276"/>
              </w:tabs>
              <w:rPr>
                <w:szCs w:val="24"/>
              </w:rPr>
            </w:pPr>
            <w:bookmarkStart w:id="5" w:name="_Ref447888697"/>
            <w:bookmarkStart w:id="6" w:name="_Ref401840278"/>
            <w:r w:rsidRPr="007E49FA">
              <w:rPr>
                <w:szCs w:val="24"/>
              </w:rPr>
              <w:t>projekta tehniskā priekšizpēte;</w:t>
            </w:r>
            <w:bookmarkEnd w:id="5"/>
          </w:p>
          <w:p w14:paraId="5EE6F15D" w14:textId="77777777" w:rsidR="000F46F8" w:rsidRPr="007E49FA" w:rsidRDefault="000F46F8" w:rsidP="00F04366">
            <w:pPr>
              <w:pStyle w:val="ListParagraph"/>
              <w:numPr>
                <w:ilvl w:val="0"/>
                <w:numId w:val="8"/>
              </w:numPr>
              <w:tabs>
                <w:tab w:val="left" w:pos="993"/>
                <w:tab w:val="left" w:pos="1276"/>
              </w:tabs>
              <w:rPr>
                <w:szCs w:val="24"/>
              </w:rPr>
            </w:pPr>
            <w:bookmarkStart w:id="7" w:name="_Ref452647670"/>
            <w:bookmarkEnd w:id="6"/>
            <w:r w:rsidRPr="007E49FA">
              <w:rPr>
                <w:szCs w:val="24"/>
              </w:rPr>
              <w:t>pētniecības infrastruktūras attīstība;</w:t>
            </w:r>
            <w:bookmarkEnd w:id="7"/>
          </w:p>
          <w:p w14:paraId="5CC6648F" w14:textId="77777777" w:rsidR="000F46F8" w:rsidRPr="007E49FA" w:rsidRDefault="000F46F8" w:rsidP="00F04366">
            <w:pPr>
              <w:pStyle w:val="ListParagraph"/>
              <w:numPr>
                <w:ilvl w:val="0"/>
                <w:numId w:val="8"/>
              </w:numPr>
              <w:tabs>
                <w:tab w:val="left" w:pos="1276"/>
              </w:tabs>
              <w:rPr>
                <w:szCs w:val="24"/>
              </w:rPr>
            </w:pPr>
            <w:r w:rsidRPr="007E49FA">
              <w:rPr>
                <w:szCs w:val="24"/>
              </w:rPr>
              <w:t>institucionālās kapacitātes attīstība;</w:t>
            </w:r>
          </w:p>
          <w:p w14:paraId="420CB1BE" w14:textId="77777777" w:rsidR="000F46F8" w:rsidRPr="007E49FA" w:rsidRDefault="000F46F8" w:rsidP="00F04366">
            <w:pPr>
              <w:pStyle w:val="ListParagraph"/>
              <w:numPr>
                <w:ilvl w:val="0"/>
                <w:numId w:val="8"/>
              </w:numPr>
              <w:tabs>
                <w:tab w:val="left" w:pos="1276"/>
              </w:tabs>
              <w:rPr>
                <w:szCs w:val="24"/>
              </w:rPr>
            </w:pPr>
            <w:r w:rsidRPr="007E49FA">
              <w:rPr>
                <w:szCs w:val="24"/>
              </w:rPr>
              <w:t>projekta īstenošanas informācijas un publicitātes pasākumi;</w:t>
            </w:r>
          </w:p>
          <w:p w14:paraId="7C0BA029" w14:textId="77777777" w:rsidR="000F46F8" w:rsidRPr="007E49FA" w:rsidRDefault="000F46F8" w:rsidP="00F04366">
            <w:pPr>
              <w:pStyle w:val="ListParagraph"/>
              <w:numPr>
                <w:ilvl w:val="0"/>
                <w:numId w:val="8"/>
              </w:numPr>
              <w:tabs>
                <w:tab w:val="left" w:pos="1276"/>
              </w:tabs>
              <w:rPr>
                <w:szCs w:val="24"/>
              </w:rPr>
            </w:pPr>
            <w:bookmarkStart w:id="8" w:name="_Ref452724979"/>
            <w:r w:rsidRPr="007E49FA">
              <w:rPr>
                <w:szCs w:val="24"/>
              </w:rPr>
              <w:t>projekta vadība un īstenošana.</w:t>
            </w:r>
            <w:bookmarkEnd w:id="8"/>
          </w:p>
          <w:p w14:paraId="74BF15ED" w14:textId="77777777" w:rsidR="00097DB4" w:rsidRPr="007E49FA" w:rsidRDefault="00097DB4" w:rsidP="00F04366">
            <w:pPr>
              <w:pStyle w:val="ListParagraph"/>
              <w:ind w:left="0" w:firstLine="567"/>
              <w:rPr>
                <w:szCs w:val="24"/>
              </w:rPr>
            </w:pPr>
          </w:p>
          <w:p w14:paraId="66F58A14" w14:textId="17EE7A0E" w:rsidR="00097DB4" w:rsidRPr="007E49FA" w:rsidRDefault="00097DB4" w:rsidP="00F04366">
            <w:pPr>
              <w:pStyle w:val="ListParagraph"/>
              <w:ind w:left="0" w:firstLine="567"/>
              <w:rPr>
                <w:szCs w:val="24"/>
              </w:rPr>
            </w:pPr>
            <w:r w:rsidRPr="007E49FA">
              <w:rPr>
                <w:szCs w:val="24"/>
              </w:rPr>
              <w:t xml:space="preserve">Zinātniskās institūcijas, kas 1.1.1.4. pasākuma ietvaros plāno veikt jaunu ēku būvniecību, to pamato balstoties uz zinātniskās institūcijas attīstības stratēģijās iekļautajiem infrastruktūras attīstības plāniem, kurus </w:t>
            </w:r>
            <w:r w:rsidR="00533365">
              <w:rPr>
                <w:szCs w:val="24"/>
              </w:rPr>
              <w:t>sa</w:t>
            </w:r>
            <w:r w:rsidRPr="007E49FA">
              <w:rPr>
                <w:szCs w:val="24"/>
              </w:rPr>
              <w:t xml:space="preserve">skaņo ar </w:t>
            </w:r>
            <w:r w:rsidR="00793532">
              <w:rPr>
                <w:szCs w:val="24"/>
              </w:rPr>
              <w:t>attiecīgo nozaru asociācijām</w:t>
            </w:r>
            <w:r w:rsidRPr="007E49FA">
              <w:rPr>
                <w:szCs w:val="24"/>
              </w:rPr>
              <w:t>.</w:t>
            </w:r>
          </w:p>
          <w:p w14:paraId="61B91E2E" w14:textId="77777777" w:rsidR="00097DB4" w:rsidRDefault="00097DB4" w:rsidP="00F04366">
            <w:pPr>
              <w:pStyle w:val="ListParagraph"/>
              <w:ind w:left="0" w:firstLine="567"/>
              <w:rPr>
                <w:szCs w:val="24"/>
              </w:rPr>
            </w:pPr>
          </w:p>
          <w:p w14:paraId="7381BCA3" w14:textId="77777777" w:rsidR="007B7FE7" w:rsidRPr="00F8160B" w:rsidRDefault="005E30F1" w:rsidP="00F04366">
            <w:pPr>
              <w:pStyle w:val="ListParagraph"/>
              <w:ind w:left="0" w:firstLine="567"/>
              <w:rPr>
                <w:szCs w:val="24"/>
              </w:rPr>
            </w:pPr>
            <w:r w:rsidRPr="00F8160B">
              <w:rPr>
                <w:szCs w:val="24"/>
              </w:rPr>
              <w:t>Zinātniskās institūcijas</w:t>
            </w:r>
            <w:r w:rsidR="00765A20" w:rsidRPr="00F8160B">
              <w:rPr>
                <w:szCs w:val="24"/>
              </w:rPr>
              <w:t xml:space="preserve"> (LU un RTU)</w:t>
            </w:r>
            <w:r w:rsidRPr="00F8160B">
              <w:rPr>
                <w:szCs w:val="24"/>
              </w:rPr>
              <w:t xml:space="preserve">, kuru projekta kopējais  publiskais finansējums pārsniedz 20 milj. </w:t>
            </w:r>
            <w:r w:rsidRPr="00F8160B">
              <w:rPr>
                <w:i/>
                <w:szCs w:val="24"/>
              </w:rPr>
              <w:t>euro</w:t>
            </w:r>
            <w:r w:rsidRPr="00F8160B">
              <w:rPr>
                <w:szCs w:val="24"/>
              </w:rPr>
              <w:t xml:space="preserve"> nodrošina, ka publiskais atbalsts vienai pētniecības infrastruktūrai nepārsniedz Komisijas regulas Nr. </w:t>
            </w:r>
            <w:hyperlink r:id="rId8" w:tgtFrame="_blank" w:history="1">
              <w:r w:rsidRPr="00F8160B">
                <w:rPr>
                  <w:szCs w:val="24"/>
                </w:rPr>
                <w:t>651/2014</w:t>
              </w:r>
            </w:hyperlink>
            <w:r w:rsidRPr="00F8160B">
              <w:rPr>
                <w:szCs w:val="24"/>
              </w:rPr>
              <w:t xml:space="preserve"> 4. panta 1. punkta "j" apakšpunktā noteikto paziņošanas robežvērtību, jo 1.1.1.4.pasākuma ietvaros plāno īstenot ar saimniecisku darbību nesaistītu projektu. </w:t>
            </w:r>
          </w:p>
          <w:p w14:paraId="7768AD79" w14:textId="532EA9D5" w:rsidR="007B7FE7" w:rsidRPr="00F8160B" w:rsidRDefault="005E30F1" w:rsidP="00F04366">
            <w:pPr>
              <w:pStyle w:val="ListParagraph"/>
              <w:ind w:left="0" w:firstLine="567"/>
              <w:rPr>
                <w:szCs w:val="24"/>
              </w:rPr>
            </w:pPr>
            <w:r w:rsidRPr="00F8160B">
              <w:rPr>
                <w:szCs w:val="24"/>
              </w:rPr>
              <w:t>Vienlaikus zinātnisk</w:t>
            </w:r>
            <w:r w:rsidR="00470AF8" w:rsidRPr="00F8160B">
              <w:rPr>
                <w:szCs w:val="24"/>
              </w:rPr>
              <w:t>ās</w:t>
            </w:r>
            <w:r w:rsidRPr="00F8160B">
              <w:rPr>
                <w:szCs w:val="24"/>
              </w:rPr>
              <w:t xml:space="preserve"> institūcij</w:t>
            </w:r>
            <w:r w:rsidR="00470AF8" w:rsidRPr="00F8160B">
              <w:rPr>
                <w:szCs w:val="24"/>
              </w:rPr>
              <w:t>as</w:t>
            </w:r>
            <w:r w:rsidRPr="00F8160B">
              <w:rPr>
                <w:szCs w:val="24"/>
              </w:rPr>
              <w:t xml:space="preserve"> finanšu vad</w:t>
            </w:r>
            <w:r w:rsidR="00470AF8" w:rsidRPr="00F8160B">
              <w:rPr>
                <w:szCs w:val="24"/>
              </w:rPr>
              <w:t>ī</w:t>
            </w:r>
            <w:r w:rsidRPr="00F8160B">
              <w:rPr>
                <w:szCs w:val="24"/>
              </w:rPr>
              <w:t>bas un grāmatvedības politikas aprakstā</w:t>
            </w:r>
            <w:r w:rsidR="00765A20" w:rsidRPr="00F8160B">
              <w:rPr>
                <w:szCs w:val="24"/>
              </w:rPr>
              <w:t>, kas pamato zinātniskās institūcijas atbilstību pētniecības organizācijas definīcijai,</w:t>
            </w:r>
            <w:r w:rsidRPr="00F8160B">
              <w:rPr>
                <w:szCs w:val="24"/>
              </w:rPr>
              <w:t xml:space="preserve"> iekļauj</w:t>
            </w:r>
            <w:r w:rsidR="007B7FE7" w:rsidRPr="00F8160B">
              <w:rPr>
                <w:szCs w:val="24"/>
              </w:rPr>
              <w:t>:</w:t>
            </w:r>
          </w:p>
          <w:p w14:paraId="73797BAF" w14:textId="7D48F8E7" w:rsidR="007B7FE7" w:rsidRPr="00F8160B" w:rsidRDefault="007B7FE7" w:rsidP="00F04366">
            <w:pPr>
              <w:pStyle w:val="ListParagraph"/>
              <w:ind w:left="0" w:firstLine="567"/>
              <w:rPr>
                <w:szCs w:val="24"/>
              </w:rPr>
            </w:pPr>
            <w:r w:rsidRPr="00F8160B">
              <w:rPr>
                <w:szCs w:val="24"/>
              </w:rPr>
              <w:t>1. </w:t>
            </w:r>
            <w:r w:rsidR="005E30F1" w:rsidRPr="00F8160B">
              <w:rPr>
                <w:szCs w:val="24"/>
              </w:rPr>
              <w:t xml:space="preserve">detalizētu informāciju par saimnieciskās darbības jaudas (kapacitātes) </w:t>
            </w:r>
            <w:r w:rsidR="00470AF8" w:rsidRPr="00F8160B">
              <w:rPr>
                <w:szCs w:val="24"/>
              </w:rPr>
              <w:t xml:space="preserve">aprēķinu metodiku, </w:t>
            </w:r>
            <w:r w:rsidRPr="00F8160B">
              <w:rPr>
                <w:szCs w:val="24"/>
              </w:rPr>
              <w:t>kur</w:t>
            </w:r>
            <w:r w:rsidR="00470AF8" w:rsidRPr="00F8160B">
              <w:rPr>
                <w:szCs w:val="24"/>
              </w:rPr>
              <w:t xml:space="preserve"> apraksta principus, k</w:t>
            </w:r>
            <w:r w:rsidRPr="00F8160B">
              <w:rPr>
                <w:szCs w:val="24"/>
              </w:rPr>
              <w:t>urus piemēro,</w:t>
            </w:r>
            <w:r w:rsidR="00470AF8" w:rsidRPr="00F8160B">
              <w:rPr>
                <w:szCs w:val="24"/>
              </w:rPr>
              <w:t xml:space="preserve"> kontrolē</w:t>
            </w:r>
            <w:r w:rsidRPr="00F8160B">
              <w:rPr>
                <w:szCs w:val="24"/>
              </w:rPr>
              <w:t>jot</w:t>
            </w:r>
            <w:r w:rsidR="00470AF8" w:rsidRPr="00F8160B">
              <w:rPr>
                <w:szCs w:val="24"/>
              </w:rPr>
              <w:t xml:space="preserve"> resursu izlietojumu saimniecisku darbību īstenošanai</w:t>
            </w:r>
            <w:r w:rsidR="00765A20" w:rsidRPr="00F8160B">
              <w:rPr>
                <w:szCs w:val="24"/>
              </w:rPr>
              <w:t xml:space="preserve"> un veic</w:t>
            </w:r>
            <w:r w:rsidRPr="00F8160B">
              <w:rPr>
                <w:szCs w:val="24"/>
              </w:rPr>
              <w:t>ot</w:t>
            </w:r>
            <w:r w:rsidR="00765A20" w:rsidRPr="00F8160B">
              <w:rPr>
                <w:szCs w:val="24"/>
              </w:rPr>
              <w:t xml:space="preserve"> nepieciešamās darbības, lai nodrošinātu noteikumu projekta </w:t>
            </w:r>
            <w:r w:rsidRPr="00F8160B">
              <w:rPr>
                <w:szCs w:val="24"/>
              </w:rPr>
              <w:t>19., 47. punkta, 55.3.apakšpunkta nosacījumus;</w:t>
            </w:r>
          </w:p>
          <w:p w14:paraId="64C8FB16" w14:textId="77777777" w:rsidR="00966975" w:rsidRPr="00F8160B" w:rsidRDefault="007B7FE7" w:rsidP="00966975">
            <w:pPr>
              <w:pStyle w:val="ListParagraph"/>
              <w:ind w:left="0" w:firstLine="567"/>
              <w:rPr>
                <w:szCs w:val="24"/>
              </w:rPr>
            </w:pPr>
            <w:r w:rsidRPr="00F8160B">
              <w:rPr>
                <w:szCs w:val="24"/>
              </w:rPr>
              <w:t xml:space="preserve">2. </w:t>
            </w:r>
            <w:r w:rsidR="00966975" w:rsidRPr="00F8160B">
              <w:rPr>
                <w:szCs w:val="24"/>
              </w:rPr>
              <w:t>kārtību, kādā nodrošina piekļuvi jaunizveidotai pētniecības infrastruktūrai, nodrošinot, ka:</w:t>
            </w:r>
          </w:p>
          <w:p w14:paraId="48A5E42B" w14:textId="35A016C0" w:rsidR="00966975" w:rsidRPr="00F8160B" w:rsidRDefault="00966975" w:rsidP="00966975">
            <w:pPr>
              <w:pStyle w:val="ListParagraph"/>
              <w:ind w:left="0" w:firstLine="567"/>
              <w:rPr>
                <w:szCs w:val="24"/>
              </w:rPr>
            </w:pPr>
            <w:r w:rsidRPr="00F8160B">
              <w:rPr>
                <w:szCs w:val="24"/>
              </w:rPr>
              <w:t xml:space="preserve">- piekļuvi nodrošina vairākiem lietotājiem, to piešķir pārredzamā un nediskriminējošā veidā. Informāciju par jaunizveidoto pētniecības infrastruktūru ievieto </w:t>
            </w:r>
            <w:r w:rsidRPr="00F8160B">
              <w:rPr>
                <w:i/>
                <w:szCs w:val="24"/>
              </w:rPr>
              <w:t>UseScience</w:t>
            </w:r>
            <w:r w:rsidRPr="00F8160B">
              <w:rPr>
                <w:szCs w:val="24"/>
              </w:rPr>
              <w:t xml:space="preserve"> datu bāzē un institūcijas tīmekļa vietnē;</w:t>
            </w:r>
          </w:p>
          <w:p w14:paraId="79284881" w14:textId="4FF6FFF1" w:rsidR="002B14B2" w:rsidRPr="00F8160B" w:rsidRDefault="00966975" w:rsidP="00966975">
            <w:pPr>
              <w:pStyle w:val="ListParagraph"/>
              <w:ind w:left="0" w:firstLine="567"/>
              <w:rPr>
                <w:szCs w:val="24"/>
              </w:rPr>
            </w:pPr>
            <w:r w:rsidRPr="00F8160B">
              <w:rPr>
                <w:szCs w:val="24"/>
              </w:rPr>
              <w:t>-  komersantiem</w:t>
            </w:r>
            <w:r w:rsidR="003F67BF" w:rsidRPr="00F8160B">
              <w:rPr>
                <w:szCs w:val="24"/>
              </w:rPr>
              <w:t xml:space="preserve"> (līdzējs)</w:t>
            </w:r>
            <w:r w:rsidRPr="00F8160B">
              <w:rPr>
                <w:szCs w:val="24"/>
              </w:rPr>
              <w:t xml:space="preserve">, kuri ir finansējuši vismaz 10 procentus no pētniecības infrastruktūras ieguldījumu izmaksām, piešķir piekļuvi ar izdevīgākiem nosacījumiem atbilstoši Komisijas regulas Nr. </w:t>
            </w:r>
            <w:hyperlink r:id="rId9" w:tgtFrame="_blank" w:history="1">
              <w:r w:rsidRPr="00F8160B">
                <w:rPr>
                  <w:szCs w:val="24"/>
                </w:rPr>
                <w:t>651/2014</w:t>
              </w:r>
            </w:hyperlink>
            <w:r w:rsidRPr="00F8160B">
              <w:rPr>
                <w:szCs w:val="24"/>
              </w:rPr>
              <w:t xml:space="preserve"> 26. panta 4. pu</w:t>
            </w:r>
            <w:r w:rsidR="002B14B2" w:rsidRPr="00F8160B">
              <w:rPr>
                <w:szCs w:val="24"/>
              </w:rPr>
              <w:t>n</w:t>
            </w:r>
            <w:r w:rsidRPr="00F8160B">
              <w:rPr>
                <w:szCs w:val="24"/>
              </w:rPr>
              <w:t xml:space="preserve">ktam. </w:t>
            </w:r>
          </w:p>
          <w:p w14:paraId="28EC892B" w14:textId="19726311" w:rsidR="002B14B2" w:rsidRPr="00F8160B" w:rsidRDefault="002B14B2" w:rsidP="00966975">
            <w:pPr>
              <w:pStyle w:val="ListParagraph"/>
              <w:ind w:left="0" w:firstLine="567"/>
              <w:rPr>
                <w:szCs w:val="24"/>
              </w:rPr>
            </w:pPr>
            <w:r w:rsidRPr="00F8160B">
              <w:rPr>
                <w:szCs w:val="24"/>
              </w:rPr>
              <w:t>Institūcijas tīmekļa vietnē sniedz detalizētu informāciju par:</w:t>
            </w:r>
          </w:p>
          <w:p w14:paraId="544F53B9" w14:textId="46D45247" w:rsidR="002B14B2" w:rsidRPr="00F8160B" w:rsidRDefault="002B14B2" w:rsidP="00966975">
            <w:pPr>
              <w:pStyle w:val="ListParagraph"/>
              <w:ind w:left="0" w:firstLine="567"/>
              <w:rPr>
                <w:szCs w:val="24"/>
              </w:rPr>
            </w:pPr>
            <w:r w:rsidRPr="00F8160B">
              <w:rPr>
                <w:szCs w:val="24"/>
              </w:rPr>
              <w:t xml:space="preserve">– piekļuves nosacījumiem, kurus izstrādā, ņemot vērā </w:t>
            </w:r>
            <w:r w:rsidR="003F67BF" w:rsidRPr="00F8160B">
              <w:rPr>
                <w:szCs w:val="24"/>
              </w:rPr>
              <w:t>līdzēja (komersanta)</w:t>
            </w:r>
            <w:r w:rsidRPr="00F8160B">
              <w:rPr>
                <w:szCs w:val="24"/>
              </w:rPr>
              <w:t xml:space="preserve"> ieguldījumu daļas apmēru;</w:t>
            </w:r>
          </w:p>
          <w:p w14:paraId="7BB87B5B" w14:textId="5F3FC648" w:rsidR="002B14B2" w:rsidRPr="00F8160B" w:rsidRDefault="002B14B2" w:rsidP="00966975">
            <w:pPr>
              <w:pStyle w:val="ListParagraph"/>
              <w:ind w:left="0" w:firstLine="567"/>
              <w:rPr>
                <w:szCs w:val="24"/>
              </w:rPr>
            </w:pPr>
            <w:r w:rsidRPr="00F8160B">
              <w:rPr>
                <w:szCs w:val="24"/>
              </w:rPr>
              <w:t>– līdzējiem, kas jau noslēguši līgumu par piekļuvi jaunizveidotajai pētniecības infrastruktūrai.</w:t>
            </w:r>
          </w:p>
          <w:p w14:paraId="5A229A81" w14:textId="33931E2A" w:rsidR="003F67BF" w:rsidRPr="00F8160B" w:rsidRDefault="003F67BF" w:rsidP="00966975">
            <w:pPr>
              <w:pStyle w:val="ListParagraph"/>
              <w:ind w:left="0" w:firstLine="567"/>
              <w:rPr>
                <w:szCs w:val="24"/>
              </w:rPr>
            </w:pPr>
            <w:r w:rsidRPr="00F8160B">
              <w:rPr>
                <w:szCs w:val="24"/>
              </w:rPr>
              <w:t>1.1.1.4.pasākumā projekta tehniskās priekšizpētes ietvaros izstrādā pētniecības infrastruktūras lietotāju stratēģiju, kurā tai skaitā sniedz informāciju par jautājumiem, kas saistīti ar intelektuālā īpašuma tiesību sadalījumu, savstarpējo norēķinu kārtību, pētniecības infrastruktūras pieejas nosacījumiem un noslodzes sadalījumu, iegūto zināšanu un datu izmantošanas nosacījumiem.</w:t>
            </w:r>
          </w:p>
          <w:p w14:paraId="650C3270" w14:textId="5B3E628C" w:rsidR="00457A1C" w:rsidRPr="007E49FA" w:rsidRDefault="00457A1C" w:rsidP="00F04366">
            <w:pPr>
              <w:ind w:firstLine="304"/>
              <w:jc w:val="both"/>
            </w:pPr>
            <w:r w:rsidRPr="007E49FA">
              <w:t xml:space="preserve">Plānotais projektu ilgums </w:t>
            </w:r>
            <w:r w:rsidR="00F464E7" w:rsidRPr="007E49FA">
              <w:t>48 mēneši no projekta uzsākšanas datuma</w:t>
            </w:r>
            <w:r w:rsidR="00C51429" w:rsidRPr="007E49FA">
              <w:t>, bet ne ilgāk</w:t>
            </w:r>
            <w:r w:rsidR="00BF6BC5" w:rsidRPr="007E49FA">
              <w:t xml:space="preserve"> kā līdz 2023.</w:t>
            </w:r>
            <w:r w:rsidR="008F77FF" w:rsidRPr="007E49FA">
              <w:t> </w:t>
            </w:r>
            <w:r w:rsidR="00BF6BC5" w:rsidRPr="007E49FA">
              <w:t>gada 30.</w:t>
            </w:r>
            <w:r w:rsidR="008F77FF" w:rsidRPr="007E49FA">
              <w:t> </w:t>
            </w:r>
            <w:r w:rsidR="00BF6BC5" w:rsidRPr="007E49FA">
              <w:t>novembrim.</w:t>
            </w:r>
          </w:p>
          <w:p w14:paraId="1FF7E21C" w14:textId="77777777" w:rsidR="00BF6BC5" w:rsidRPr="007E49FA" w:rsidRDefault="00BF6BC5" w:rsidP="00F04366">
            <w:pPr>
              <w:ind w:firstLine="720"/>
              <w:jc w:val="both"/>
            </w:pPr>
          </w:p>
          <w:p w14:paraId="03AA0379" w14:textId="07E1D798" w:rsidR="00D73044" w:rsidRPr="007E49FA" w:rsidRDefault="00BF6BC5" w:rsidP="00F04366">
            <w:pPr>
              <w:ind w:firstLine="304"/>
              <w:jc w:val="both"/>
            </w:pPr>
            <w:r w:rsidRPr="007E49FA">
              <w:t>1.1.1.</w:t>
            </w:r>
            <w:r w:rsidR="008A3BD2" w:rsidRPr="007E49FA">
              <w:t>4</w:t>
            </w:r>
            <w:r w:rsidR="00D73044" w:rsidRPr="007E49FA">
              <w:t>.</w:t>
            </w:r>
            <w:r w:rsidR="008F77FF" w:rsidRPr="007E49FA">
              <w:t> </w:t>
            </w:r>
            <w:r w:rsidR="00593F61" w:rsidRPr="007E49FA">
              <w:t>p</w:t>
            </w:r>
            <w:r w:rsidRPr="007E49FA">
              <w:t xml:space="preserve">asākuma </w:t>
            </w:r>
            <w:r w:rsidR="00D73044" w:rsidRPr="007E49FA">
              <w:t xml:space="preserve">ietvaros sasniedzami šādi uzraudzības rādītāji: </w:t>
            </w:r>
          </w:p>
          <w:p w14:paraId="2C53EE62" w14:textId="1B8AD591" w:rsidR="00BF6BC5" w:rsidRPr="007E49FA" w:rsidRDefault="00BF6BC5" w:rsidP="00F04366">
            <w:pPr>
              <w:pStyle w:val="ListParagraph"/>
              <w:numPr>
                <w:ilvl w:val="0"/>
                <w:numId w:val="7"/>
              </w:numPr>
              <w:tabs>
                <w:tab w:val="left" w:pos="1134"/>
              </w:tabs>
              <w:ind w:left="446"/>
              <w:rPr>
                <w:bCs/>
                <w:spacing w:val="-2"/>
                <w:szCs w:val="24"/>
              </w:rPr>
            </w:pPr>
            <w:bookmarkStart w:id="9" w:name="_Ref424227073"/>
            <w:r w:rsidRPr="007E49FA">
              <w:rPr>
                <w:bCs/>
                <w:spacing w:val="-2"/>
                <w:szCs w:val="24"/>
              </w:rPr>
              <w:t xml:space="preserve">iznākuma rādītājs </w:t>
            </w:r>
            <w:r w:rsidRPr="007E49FA">
              <w:rPr>
                <w:szCs w:val="24"/>
              </w:rPr>
              <w:t>–</w:t>
            </w:r>
            <w:r w:rsidRPr="007E49FA">
              <w:rPr>
                <w:bCs/>
                <w:spacing w:val="-2"/>
                <w:szCs w:val="24"/>
              </w:rPr>
              <w:t xml:space="preserve"> līdz </w:t>
            </w:r>
            <w:r w:rsidRPr="007E49FA">
              <w:rPr>
                <w:szCs w:val="24"/>
              </w:rPr>
              <w:t xml:space="preserve">2023. gada 31. decembrim </w:t>
            </w:r>
            <w:r w:rsidRPr="007E49FA">
              <w:rPr>
                <w:bCs/>
                <w:spacing w:val="-2"/>
                <w:szCs w:val="24"/>
              </w:rPr>
              <w:t>to pētnieku skaits, kuri strādā uzlabotos pētniecības infrastruktūras objektos</w:t>
            </w:r>
            <w:bookmarkEnd w:id="9"/>
            <w:r w:rsidRPr="007E49FA">
              <w:rPr>
                <w:bCs/>
                <w:spacing w:val="-2"/>
                <w:szCs w:val="24"/>
              </w:rPr>
              <w:t xml:space="preserve"> – 2 163</w:t>
            </w:r>
            <w:r w:rsidR="000126F3" w:rsidRPr="007E49FA">
              <w:rPr>
                <w:rStyle w:val="FootnoteReference"/>
                <w:bCs/>
                <w:spacing w:val="-2"/>
                <w:szCs w:val="24"/>
              </w:rPr>
              <w:footnoteReference w:id="1"/>
            </w:r>
            <w:r w:rsidRPr="007E49FA">
              <w:rPr>
                <w:bCs/>
                <w:spacing w:val="-2"/>
                <w:szCs w:val="24"/>
              </w:rPr>
              <w:t>;</w:t>
            </w:r>
          </w:p>
          <w:p w14:paraId="2AECECA3" w14:textId="689779EA" w:rsidR="00BF6BC5" w:rsidRPr="00F8160B" w:rsidRDefault="00BF6BC5" w:rsidP="00F04366">
            <w:pPr>
              <w:pStyle w:val="ListParagraph"/>
              <w:numPr>
                <w:ilvl w:val="0"/>
                <w:numId w:val="7"/>
              </w:numPr>
              <w:tabs>
                <w:tab w:val="left" w:pos="1134"/>
              </w:tabs>
              <w:ind w:left="446"/>
              <w:rPr>
                <w:szCs w:val="24"/>
              </w:rPr>
            </w:pPr>
            <w:r w:rsidRPr="007E49FA">
              <w:rPr>
                <w:szCs w:val="24"/>
              </w:rPr>
              <w:t xml:space="preserve">finanšu rādītājs – līdz 2018. gada 31. decembrim sertificēti izdevumi 17 499 122 </w:t>
            </w:r>
            <w:r w:rsidRPr="007E49FA">
              <w:rPr>
                <w:i/>
                <w:szCs w:val="24"/>
              </w:rPr>
              <w:t>euro</w:t>
            </w:r>
            <w:r w:rsidRPr="007E49FA">
              <w:rPr>
                <w:i/>
                <w:iCs/>
                <w:szCs w:val="24"/>
              </w:rPr>
              <w:t xml:space="preserve"> </w:t>
            </w:r>
            <w:r w:rsidRPr="007E49FA">
              <w:rPr>
                <w:szCs w:val="24"/>
              </w:rPr>
              <w:t>apmērā</w:t>
            </w:r>
            <w:r w:rsidR="002C79A3">
              <w:rPr>
                <w:szCs w:val="24"/>
              </w:rPr>
              <w:t xml:space="preserve">, </w:t>
            </w:r>
            <w:r w:rsidR="002C79A3" w:rsidRPr="00F8160B">
              <w:rPr>
                <w:szCs w:val="24"/>
              </w:rPr>
              <w:t>tai skaitā līdz 2018. gada 31. decembrim izsludināti iepirkuma konkursi 30 procentu apmērā no kopējā plānoto darbu apjoma</w:t>
            </w:r>
            <w:r w:rsidRPr="007E49FA">
              <w:rPr>
                <w:szCs w:val="24"/>
              </w:rPr>
              <w:t xml:space="preserve">; </w:t>
            </w:r>
          </w:p>
          <w:p w14:paraId="5E3EE42F" w14:textId="313EC311" w:rsidR="00BF6BC5" w:rsidRPr="007E49FA" w:rsidRDefault="00BF6BC5" w:rsidP="00F04366">
            <w:pPr>
              <w:pStyle w:val="ListParagraph"/>
              <w:numPr>
                <w:ilvl w:val="0"/>
                <w:numId w:val="7"/>
              </w:numPr>
              <w:tabs>
                <w:tab w:val="left" w:pos="1134"/>
              </w:tabs>
              <w:ind w:left="446"/>
              <w:rPr>
                <w:bCs/>
                <w:spacing w:val="-2"/>
                <w:szCs w:val="24"/>
              </w:rPr>
            </w:pPr>
            <w:r w:rsidRPr="007E49FA">
              <w:rPr>
                <w:szCs w:val="24"/>
              </w:rPr>
              <w:t>sni</w:t>
            </w:r>
            <w:r w:rsidR="00593F61" w:rsidRPr="007E49FA">
              <w:rPr>
                <w:szCs w:val="24"/>
              </w:rPr>
              <w:t>egts</w:t>
            </w:r>
            <w:r w:rsidRPr="007E49FA">
              <w:rPr>
                <w:szCs w:val="24"/>
              </w:rPr>
              <w:t xml:space="preserve"> ieguldījum</w:t>
            </w:r>
            <w:r w:rsidR="00593F61" w:rsidRPr="007E49FA">
              <w:rPr>
                <w:szCs w:val="24"/>
              </w:rPr>
              <w:t>s</w:t>
            </w:r>
            <w:r w:rsidRPr="007E49FA">
              <w:rPr>
                <w:szCs w:val="24"/>
              </w:rPr>
              <w:t xml:space="preserve"> šādu kopējo specifiskā atbalsta mērķa rezultātu rādītāju sasniegšanā:</w:t>
            </w:r>
          </w:p>
          <w:p w14:paraId="2DC4B70B" w14:textId="3C055811" w:rsidR="00BF6BC5" w:rsidRPr="007E49FA" w:rsidRDefault="00BF6BC5" w:rsidP="00F04366">
            <w:pPr>
              <w:pStyle w:val="ListParagraph"/>
              <w:numPr>
                <w:ilvl w:val="1"/>
                <w:numId w:val="7"/>
              </w:numPr>
              <w:tabs>
                <w:tab w:val="left" w:pos="1134"/>
                <w:tab w:val="left" w:pos="1418"/>
              </w:tabs>
              <w:ind w:hanging="491"/>
              <w:rPr>
                <w:bCs/>
                <w:spacing w:val="-2"/>
                <w:szCs w:val="24"/>
              </w:rPr>
            </w:pPr>
            <w:r w:rsidRPr="007E49FA">
              <w:rPr>
                <w:szCs w:val="24"/>
              </w:rPr>
              <w:t>vidējais zinātnisko publikāciju skaits uz vienu zinātniskā personāla pilna darba laika ekvivalentu gadā – 0,48</w:t>
            </w:r>
            <w:r w:rsidR="000126F3" w:rsidRPr="007E49FA">
              <w:rPr>
                <w:rStyle w:val="FootnoteReference"/>
                <w:szCs w:val="24"/>
              </w:rPr>
              <w:footnoteReference w:id="2"/>
            </w:r>
            <w:r w:rsidRPr="007E49FA">
              <w:rPr>
                <w:szCs w:val="24"/>
              </w:rPr>
              <w:t>;</w:t>
            </w:r>
          </w:p>
          <w:p w14:paraId="33ECE4BF" w14:textId="77777777" w:rsidR="002C79A3" w:rsidRPr="00F8160B" w:rsidRDefault="00BF6BC5" w:rsidP="00F04366">
            <w:pPr>
              <w:pStyle w:val="ListParagraph"/>
              <w:numPr>
                <w:ilvl w:val="1"/>
                <w:numId w:val="7"/>
              </w:numPr>
              <w:ind w:hanging="491"/>
              <w:rPr>
                <w:color w:val="FF0000"/>
                <w:szCs w:val="24"/>
              </w:rPr>
            </w:pPr>
            <w:r w:rsidRPr="007E49FA">
              <w:rPr>
                <w:szCs w:val="24"/>
              </w:rPr>
              <w:t>valsts un augstākās izglītības sektora piesaistītais ārējais finansējums zinātniski pētnieciskajam darbam – 160</w:t>
            </w:r>
            <w:r w:rsidR="008F77FF" w:rsidRPr="007E49FA">
              <w:rPr>
                <w:szCs w:val="24"/>
              </w:rPr>
              <w:t> </w:t>
            </w:r>
            <w:r w:rsidRPr="007E49FA">
              <w:rPr>
                <w:szCs w:val="24"/>
              </w:rPr>
              <w:t>600 000</w:t>
            </w:r>
            <w:r w:rsidRPr="007E49FA">
              <w:rPr>
                <w:rStyle w:val="apple-converted-space"/>
                <w:szCs w:val="24"/>
              </w:rPr>
              <w:t> </w:t>
            </w:r>
            <w:r w:rsidRPr="007E49FA">
              <w:rPr>
                <w:i/>
                <w:iCs/>
                <w:szCs w:val="24"/>
              </w:rPr>
              <w:t>euro</w:t>
            </w:r>
            <w:r w:rsidR="000126F3" w:rsidRPr="007E49FA">
              <w:rPr>
                <w:rStyle w:val="FootnoteReference"/>
                <w:i/>
                <w:iCs/>
                <w:szCs w:val="24"/>
              </w:rPr>
              <w:footnoteReference w:id="3"/>
            </w:r>
            <w:r w:rsidR="002C79A3">
              <w:rPr>
                <w:i/>
                <w:iCs/>
                <w:szCs w:val="24"/>
              </w:rPr>
              <w:t>;</w:t>
            </w:r>
          </w:p>
          <w:p w14:paraId="7B5EC446" w14:textId="3F0459C3" w:rsidR="002C79A3" w:rsidRDefault="002C79A3" w:rsidP="00F8160B">
            <w:pPr>
              <w:pStyle w:val="ListParagraph"/>
              <w:numPr>
                <w:ilvl w:val="0"/>
                <w:numId w:val="7"/>
              </w:numPr>
              <w:tabs>
                <w:tab w:val="left" w:pos="1134"/>
              </w:tabs>
              <w:ind w:left="446"/>
              <w:rPr>
                <w:szCs w:val="24"/>
              </w:rPr>
            </w:pPr>
            <w:r w:rsidRPr="00F8160B">
              <w:rPr>
                <w:szCs w:val="24"/>
              </w:rPr>
              <w:t>specifiskais iznākumu rādītājs - zinātnisko institūciju, kas līdz 2023. gada 31. decembrim atbilstoši ar Izglītības un zinātnes ministriju saskaņotajā institūcijas Stratēģijā noteiktajam ieviesušas zinātniskās institūcijas pārvaldības, tai skaitā rezultātu vadības, cilvēkresursu un pētniecības resursu pārvaldības uzlabojumus, skaits – 14</w:t>
            </w:r>
            <w:r w:rsidR="00592C6A" w:rsidRPr="00F8160B">
              <w:rPr>
                <w:szCs w:val="24"/>
              </w:rPr>
              <w:t>.</w:t>
            </w:r>
          </w:p>
          <w:p w14:paraId="6DA421D2" w14:textId="1DA31DC2" w:rsidR="002C79A3" w:rsidRPr="00F8160B" w:rsidRDefault="002C79A3" w:rsidP="00F8160B">
            <w:pPr>
              <w:ind w:firstLine="304"/>
              <w:jc w:val="both"/>
            </w:pPr>
            <w:r>
              <w:t xml:space="preserve">Atbildīgā iestāde veiks precizējumus rādītāju pasē, nosakot, ka 4.punktā minēto </w:t>
            </w:r>
            <w:r w:rsidRPr="0033721C">
              <w:t>specifisk</w:t>
            </w:r>
            <w:r>
              <w:t>o</w:t>
            </w:r>
            <w:r w:rsidRPr="0033721C">
              <w:t xml:space="preserve"> iznākum</w:t>
            </w:r>
            <w:r>
              <w:t>a</w:t>
            </w:r>
            <w:r w:rsidRPr="0033721C">
              <w:t xml:space="preserve"> rādītāj</w:t>
            </w:r>
            <w:r>
              <w:t xml:space="preserve">u vērtē, ņemot vērā </w:t>
            </w:r>
            <w:r w:rsidRPr="00F8160B">
              <w:t>izveidot</w:t>
            </w:r>
            <w:r w:rsidR="00912041">
              <w:t>ās</w:t>
            </w:r>
            <w:r w:rsidRPr="00F8160B">
              <w:t xml:space="preserve"> </w:t>
            </w:r>
            <w:r w:rsidR="00912041">
              <w:t xml:space="preserve">pētniecības </w:t>
            </w:r>
            <w:r w:rsidRPr="00F8160B">
              <w:t>infrastruktūra</w:t>
            </w:r>
            <w:r w:rsidR="00912041">
              <w:t>s</w:t>
            </w:r>
            <w:r w:rsidRPr="00F8160B">
              <w:t xml:space="preserve"> ieguldījumu šādu mērķu sasniegšanā zinātniskās izcilības un konkurētspējas stiprināšanai:</w:t>
            </w:r>
          </w:p>
          <w:p w14:paraId="4CB270EC" w14:textId="2207901F" w:rsidR="002C79A3" w:rsidRPr="00F8160B" w:rsidRDefault="00912041" w:rsidP="00F8160B">
            <w:pPr>
              <w:pStyle w:val="ListParagraph"/>
              <w:ind w:left="0" w:firstLine="567"/>
              <w:rPr>
                <w:szCs w:val="24"/>
              </w:rPr>
            </w:pPr>
            <w:r>
              <w:rPr>
                <w:szCs w:val="24"/>
              </w:rPr>
              <w:t>– </w:t>
            </w:r>
            <w:r w:rsidR="002C79A3" w:rsidRPr="00F8160B">
              <w:rPr>
                <w:szCs w:val="24"/>
              </w:rPr>
              <w:t>vadošu ārvalstu pētnieku vai ekspertu piesaistīšan</w:t>
            </w:r>
            <w:r>
              <w:rPr>
                <w:szCs w:val="24"/>
              </w:rPr>
              <w:t>a</w:t>
            </w:r>
            <w:r w:rsidR="002C79A3" w:rsidRPr="00F8160B">
              <w:rPr>
                <w:szCs w:val="24"/>
              </w:rPr>
              <w:t xml:space="preserve"> projekta iesniedzēja un sadarbības partnera (ja attiecināms) pētnieciskās darbības īstenošanā un starptautiskās sadarbības stiprināšanā;</w:t>
            </w:r>
          </w:p>
          <w:p w14:paraId="74A2DC7B" w14:textId="4749AE93" w:rsidR="002C79A3" w:rsidRPr="00F8160B" w:rsidRDefault="00912041" w:rsidP="00F8160B">
            <w:pPr>
              <w:pStyle w:val="ListParagraph"/>
              <w:ind w:left="0" w:firstLine="567"/>
              <w:rPr>
                <w:szCs w:val="24"/>
              </w:rPr>
            </w:pPr>
            <w:r>
              <w:rPr>
                <w:szCs w:val="24"/>
              </w:rPr>
              <w:t>– </w:t>
            </w:r>
            <w:r w:rsidR="002C79A3" w:rsidRPr="00F8160B">
              <w:rPr>
                <w:szCs w:val="24"/>
              </w:rPr>
              <w:t>vadošās pozīcijas nacionālā vai starptautiskā konkurencē un izcilu pētniecisko rezultātu sasniegšan</w:t>
            </w:r>
            <w:r>
              <w:rPr>
                <w:szCs w:val="24"/>
              </w:rPr>
              <w:t>a</w:t>
            </w:r>
            <w:r w:rsidR="002C79A3" w:rsidRPr="00F8160B">
              <w:rPr>
                <w:szCs w:val="24"/>
              </w:rPr>
              <w:t>;</w:t>
            </w:r>
          </w:p>
          <w:p w14:paraId="26F15737" w14:textId="10C384CA" w:rsidR="002C79A3" w:rsidRPr="00F8160B" w:rsidRDefault="00912041" w:rsidP="00F8160B">
            <w:pPr>
              <w:pStyle w:val="ListParagraph"/>
              <w:ind w:left="0" w:firstLine="567"/>
              <w:rPr>
                <w:szCs w:val="24"/>
              </w:rPr>
            </w:pPr>
            <w:r>
              <w:rPr>
                <w:szCs w:val="24"/>
              </w:rPr>
              <w:t>– </w:t>
            </w:r>
            <w:r w:rsidR="002C79A3" w:rsidRPr="00F8160B">
              <w:rPr>
                <w:szCs w:val="24"/>
              </w:rPr>
              <w:t>jaunu vietējo un starptautisko sadarbības tīklu paplašināšan</w:t>
            </w:r>
            <w:r>
              <w:rPr>
                <w:szCs w:val="24"/>
              </w:rPr>
              <w:t>a</w:t>
            </w:r>
            <w:r w:rsidR="002C79A3" w:rsidRPr="00F8160B">
              <w:rPr>
                <w:szCs w:val="24"/>
              </w:rPr>
              <w:t>, tostarp stratēģiskās sadarbības ar tehnoloģiju jomā vadošajiem nacionāliem un ārvalstu uzņēmumiem stiprināšan</w:t>
            </w:r>
            <w:r>
              <w:rPr>
                <w:szCs w:val="24"/>
              </w:rPr>
              <w:t>a</w:t>
            </w:r>
            <w:r w:rsidR="002C79A3" w:rsidRPr="00F8160B">
              <w:rPr>
                <w:szCs w:val="24"/>
              </w:rPr>
              <w:t>;</w:t>
            </w:r>
          </w:p>
          <w:p w14:paraId="13ABAEA0" w14:textId="5BA42228" w:rsidR="002C79A3" w:rsidRPr="00F8160B" w:rsidRDefault="002C79A3" w:rsidP="00F8160B">
            <w:pPr>
              <w:pStyle w:val="ListParagraph"/>
              <w:ind w:left="0" w:firstLine="567"/>
              <w:rPr>
                <w:szCs w:val="24"/>
              </w:rPr>
            </w:pPr>
            <w:r w:rsidRPr="00F8160B">
              <w:rPr>
                <w:szCs w:val="24"/>
              </w:rPr>
              <w:t>specializētu pētniecības pakalpojumu, kas pieprasa specifiskas kompetences, attīstīb</w:t>
            </w:r>
            <w:r w:rsidR="00912041">
              <w:rPr>
                <w:szCs w:val="24"/>
              </w:rPr>
              <w:t>a</w:t>
            </w:r>
            <w:r w:rsidRPr="00F8160B">
              <w:rPr>
                <w:szCs w:val="24"/>
              </w:rPr>
              <w:t xml:space="preserve"> (ja attiecināms);</w:t>
            </w:r>
          </w:p>
          <w:p w14:paraId="3C56FB34" w14:textId="2439690B" w:rsidR="002C79A3" w:rsidRPr="00F8160B" w:rsidRDefault="002C79A3" w:rsidP="00F8160B">
            <w:pPr>
              <w:pStyle w:val="ListParagraph"/>
              <w:ind w:left="0" w:firstLine="567"/>
              <w:rPr>
                <w:szCs w:val="24"/>
              </w:rPr>
            </w:pPr>
            <w:r w:rsidRPr="00F8160B">
              <w:rPr>
                <w:szCs w:val="24"/>
              </w:rPr>
              <w:t>projekta iesniedzēja un sadarbības partnera (ja attiecināms) finansējuma avotu diversifikācij</w:t>
            </w:r>
            <w:r w:rsidR="00912041">
              <w:rPr>
                <w:szCs w:val="24"/>
              </w:rPr>
              <w:t>a</w:t>
            </w:r>
            <w:r w:rsidRPr="00F8160B">
              <w:rPr>
                <w:szCs w:val="24"/>
              </w:rPr>
              <w:t>, privātā un ārvalstu finansējuma piesaistes apjoma palielināšan</w:t>
            </w:r>
            <w:r w:rsidR="00912041">
              <w:rPr>
                <w:szCs w:val="24"/>
              </w:rPr>
              <w:t>a</w:t>
            </w:r>
            <w:r w:rsidRPr="00F8160B">
              <w:rPr>
                <w:szCs w:val="24"/>
              </w:rPr>
              <w:t>;</w:t>
            </w:r>
          </w:p>
          <w:p w14:paraId="24F46AAE" w14:textId="73CC4F63" w:rsidR="002C79A3" w:rsidRPr="00F8160B" w:rsidRDefault="002C79A3" w:rsidP="00F8160B">
            <w:pPr>
              <w:pStyle w:val="ListParagraph"/>
              <w:ind w:left="0" w:firstLine="567"/>
              <w:rPr>
                <w:szCs w:val="24"/>
              </w:rPr>
            </w:pPr>
            <w:r w:rsidRPr="00F8160B">
              <w:rPr>
                <w:szCs w:val="24"/>
              </w:rPr>
              <w:t>starpdisciplināru pētījumu īstenošanas attīstīb</w:t>
            </w:r>
            <w:r w:rsidR="00912041">
              <w:rPr>
                <w:szCs w:val="24"/>
              </w:rPr>
              <w:t>a</w:t>
            </w:r>
            <w:r w:rsidRPr="00F8160B">
              <w:rPr>
                <w:szCs w:val="24"/>
              </w:rPr>
              <w:t>.</w:t>
            </w:r>
          </w:p>
          <w:p w14:paraId="45842755" w14:textId="77777777" w:rsidR="00D74804" w:rsidRPr="007E49FA" w:rsidRDefault="00D74804" w:rsidP="00F04366">
            <w:pPr>
              <w:ind w:firstLine="720"/>
              <w:contextualSpacing/>
              <w:jc w:val="both"/>
            </w:pPr>
          </w:p>
          <w:p w14:paraId="79E5D319" w14:textId="2EBC9B75" w:rsidR="00D74804" w:rsidRPr="007E49FA" w:rsidRDefault="00D74804" w:rsidP="00F04366">
            <w:pPr>
              <w:tabs>
                <w:tab w:val="left" w:pos="567"/>
              </w:tabs>
              <w:ind w:firstLine="304"/>
              <w:jc w:val="both"/>
            </w:pPr>
            <w:r w:rsidRPr="007E49FA">
              <w:t xml:space="preserve">1.1.1.4. pasākuma ietvaros plānotās darbības papildinās līdz šim veiktos ieguldījumus 2007.–2013. gada plānošanas perioda 2.1.1.3.1. apakšaktivitātes </w:t>
            </w:r>
            <w:r w:rsidR="008F77FF" w:rsidRPr="007E49FA">
              <w:t>"</w:t>
            </w:r>
            <w:r w:rsidRPr="007E49FA">
              <w:t>Zinātnes infrastruktūras attīstība</w:t>
            </w:r>
            <w:r w:rsidR="008F77FF" w:rsidRPr="007E49FA">
              <w:t>"</w:t>
            </w:r>
            <w:r w:rsidRPr="007E49FA">
              <w:t xml:space="preserve"> un 2.1.1.3.3. apakšaktivitātes </w:t>
            </w:r>
            <w:r w:rsidR="008F77FF" w:rsidRPr="007E49FA">
              <w:t>"</w:t>
            </w:r>
            <w:r w:rsidRPr="007E49FA">
              <w:t xml:space="preserve">Zinātnisko institūciju </w:t>
            </w:r>
            <w:hyperlink r:id="rId10" w:history="1">
              <w:r w:rsidRPr="007E49FA">
                <w:t>institucionālās kapacitātes attīstība</w:t>
              </w:r>
            </w:hyperlink>
            <w:r w:rsidR="008F77FF" w:rsidRPr="007E49FA">
              <w:t>"</w:t>
            </w:r>
            <w:r w:rsidRPr="007E49FA">
              <w:t xml:space="preserve"> projektu ietvaros. </w:t>
            </w:r>
          </w:p>
          <w:p w14:paraId="00E06384" w14:textId="77777777" w:rsidR="00DA52BA" w:rsidRPr="007E49FA" w:rsidRDefault="00D74804" w:rsidP="00F04366">
            <w:pPr>
              <w:tabs>
                <w:tab w:val="left" w:pos="567"/>
              </w:tabs>
              <w:jc w:val="both"/>
            </w:pPr>
            <w:r w:rsidRPr="007E49FA">
              <w:tab/>
            </w:r>
          </w:p>
          <w:p w14:paraId="3B567520" w14:textId="0BD87E4B" w:rsidR="00D74804" w:rsidRPr="007E49FA" w:rsidRDefault="00D74804" w:rsidP="00F04366">
            <w:pPr>
              <w:tabs>
                <w:tab w:val="left" w:pos="567"/>
              </w:tabs>
              <w:ind w:firstLine="304"/>
              <w:jc w:val="both"/>
            </w:pPr>
            <w:r w:rsidRPr="007E49FA">
              <w:t xml:space="preserve">Sinerģija un demarkācija tiks nodrošināta ar 8.1.1. SAM </w:t>
            </w:r>
            <w:r w:rsidR="008F77FF" w:rsidRPr="007E49FA">
              <w:t>"</w:t>
            </w:r>
            <w:r w:rsidRPr="007E49FA">
              <w:t>Palielināt modernizēto STEM, tajā skaitā medicīnas un radošās industrijas, studiju programmu skaitu</w:t>
            </w:r>
            <w:r w:rsidR="008F77FF" w:rsidRPr="007E49FA">
              <w:t>"</w:t>
            </w:r>
            <w:r w:rsidRPr="007E49FA">
              <w:t xml:space="preserve">, kura ietvaros plānots modernizēt materiāltehnisko bāzi augstākās izglītības iestādēs, kas nepieciešama studiju programmu īstenošanai un zinātnisko darbību veikšanai. Augstākās izglītības institūciju studiju procesa nodrošināšanai pilnveidotās infrastruktūras pamata lietotāji būs augstāko izglītības institūciju studējošie un akadēmiskais personāls. Savukārt 1.1.1.4. pasākuma ietvaros pilnveidotās infrastruktūras pamata lietotāji būs zinātniskie darbinieki. </w:t>
            </w:r>
          </w:p>
          <w:p w14:paraId="7ED832FA" w14:textId="246789C9" w:rsidR="00D74804" w:rsidRPr="007E49FA" w:rsidRDefault="00D74804" w:rsidP="00F04366">
            <w:pPr>
              <w:tabs>
                <w:tab w:val="left" w:pos="567"/>
              </w:tabs>
              <w:ind w:firstLine="304"/>
              <w:jc w:val="both"/>
            </w:pPr>
            <w:r w:rsidRPr="007E49FA">
              <w:t xml:space="preserve">Vienlaikus sinerģija un demarkācija, ievērojot to, ka daļa no augstākās izglītības institūcijām ir arī zinātniskās institūcijas, tiks nodrošināta ar 8.2.3. SAM </w:t>
            </w:r>
            <w:r w:rsidR="008F77FF" w:rsidRPr="007E49FA">
              <w:t>"</w:t>
            </w:r>
            <w:r w:rsidRPr="007E49FA">
              <w:t>Nodrošināt labāku pārvaldību augstākās izglītības institūcijās</w:t>
            </w:r>
            <w:r w:rsidR="008F77FF" w:rsidRPr="007E49FA">
              <w:t>"</w:t>
            </w:r>
            <w:r w:rsidRPr="007E49FA">
              <w:t>, kura ietvaros atbalstu plānots sniegt augstāko izglītības institūciju, tajā skaitā koledžu, pārvaldības pilnveidošanai, ar mērķi konsolidēt un efektīvi izmantot pieejamos augstāko izglītības iestāžu resursus, veicināt studiju programmu izcilību un konkurētspēju, kā arī stiprināt akadēmiskā personāla kapacitāti.</w:t>
            </w:r>
          </w:p>
          <w:p w14:paraId="47288AC5" w14:textId="7D387352" w:rsidR="00147B95" w:rsidRPr="007E49FA" w:rsidRDefault="00D74804" w:rsidP="00F04366">
            <w:pPr>
              <w:tabs>
                <w:tab w:val="left" w:pos="567"/>
              </w:tabs>
              <w:ind w:firstLine="304"/>
              <w:jc w:val="both"/>
            </w:pPr>
            <w:r w:rsidRPr="007E49FA">
              <w:t>2014.–2020. gada plānošanas periodā tiks nodrošināta pētniecības infrastruktūras attīstības pasākuma sinerģija ar E</w:t>
            </w:r>
            <w:r w:rsidR="00593F61" w:rsidRPr="007E49FA">
              <w:t>konomikas ministrijas</w:t>
            </w:r>
            <w:r w:rsidRPr="007E49FA">
              <w:t xml:space="preserve"> pārziņā esošo 1.2.1.1. pasākumu </w:t>
            </w:r>
            <w:r w:rsidR="008F77FF" w:rsidRPr="007E49FA">
              <w:t>"</w:t>
            </w:r>
            <w:r w:rsidRPr="007E49FA">
              <w:t>Atbalsts jaunu produktu un tehnoloģiju izstrādei kompetences centru ietvaros</w:t>
            </w:r>
            <w:r w:rsidR="008F77FF" w:rsidRPr="007E49FA">
              <w:t>"</w:t>
            </w:r>
            <w:r w:rsidRPr="007E49FA">
              <w:t xml:space="preserve"> un 1.2.1.4. pasākumu </w:t>
            </w:r>
            <w:r w:rsidR="008F77FF" w:rsidRPr="007E49FA">
              <w:t>"</w:t>
            </w:r>
            <w:r w:rsidRPr="007E49FA">
              <w:t>Atbalsts jaunu produktu ieviešanai ražošanā</w:t>
            </w:r>
            <w:r w:rsidR="008F77FF" w:rsidRPr="007E49FA">
              <w:t>"</w:t>
            </w:r>
            <w:r w:rsidRPr="007E49FA">
              <w:t>, kā arī V</w:t>
            </w:r>
            <w:r w:rsidR="00593F61" w:rsidRPr="007E49FA">
              <w:t xml:space="preserve">ides aizsardzības un reģionālās attīstības ministrijas </w:t>
            </w:r>
            <w:r w:rsidRPr="007E49FA">
              <w:t xml:space="preserve">pārziņā esošo 3.3.1. SAM </w:t>
            </w:r>
            <w:r w:rsidR="008F77FF" w:rsidRPr="007E49FA">
              <w:t>"</w:t>
            </w:r>
            <w:r w:rsidRPr="007E49FA">
              <w:t>Palielināt privāto investīciju apjomu reģionos, veicot ieguldījumus uzņēmējdarbības attīstībai atbilstoši pašvaldību attīstības programmās noteiktajai teritoriju ekonomiskajai specializācijai un balstoties uz vietējo uzņēmēju vajadzībām</w:t>
            </w:r>
            <w:r w:rsidR="008F77FF" w:rsidRPr="007E49FA">
              <w:t>"</w:t>
            </w:r>
            <w:r w:rsidRPr="007E49FA">
              <w:t>, kura ietvaros atbalstu plānots sniegt uzņēmējdarbību veicinošai publiskai infrastruktūrai Latvijas plānošanas reģionos.</w:t>
            </w:r>
          </w:p>
        </w:tc>
      </w:tr>
      <w:tr w:rsidR="0072604C" w:rsidRPr="00F04366" w14:paraId="777852DD" w14:textId="77777777" w:rsidTr="00A72419">
        <w:tc>
          <w:tcPr>
            <w:tcW w:w="169" w:type="pct"/>
            <w:tcBorders>
              <w:top w:val="outset" w:sz="6" w:space="0" w:color="000000"/>
              <w:left w:val="outset" w:sz="6" w:space="0" w:color="000000"/>
              <w:bottom w:val="outset" w:sz="6" w:space="0" w:color="000000"/>
              <w:right w:val="outset" w:sz="6" w:space="0" w:color="000000"/>
            </w:tcBorders>
          </w:tcPr>
          <w:p w14:paraId="056B4ECE" w14:textId="2268DBAC" w:rsidR="0072604C" w:rsidRPr="00F04366" w:rsidRDefault="00B77F92" w:rsidP="00F04366">
            <w:r w:rsidRPr="00F04366">
              <w:lastRenderedPageBreak/>
              <w:t>3.</w:t>
            </w:r>
          </w:p>
        </w:tc>
        <w:tc>
          <w:tcPr>
            <w:tcW w:w="811" w:type="pct"/>
            <w:tcBorders>
              <w:top w:val="outset" w:sz="6" w:space="0" w:color="000000"/>
              <w:left w:val="outset" w:sz="6" w:space="0" w:color="000000"/>
              <w:bottom w:val="outset" w:sz="6" w:space="0" w:color="000000"/>
              <w:right w:val="outset" w:sz="6" w:space="0" w:color="000000"/>
            </w:tcBorders>
          </w:tcPr>
          <w:p w14:paraId="00BAD86E" w14:textId="77777777" w:rsidR="0072604C" w:rsidRPr="00F04366" w:rsidRDefault="0072604C" w:rsidP="00F04366">
            <w:r w:rsidRPr="00F04366">
              <w:t>Projekta izstrādē iesaistītās institūcijas</w:t>
            </w:r>
          </w:p>
        </w:tc>
        <w:tc>
          <w:tcPr>
            <w:tcW w:w="4020" w:type="pct"/>
            <w:gridSpan w:val="2"/>
            <w:tcBorders>
              <w:top w:val="outset" w:sz="6" w:space="0" w:color="000000"/>
              <w:left w:val="outset" w:sz="6" w:space="0" w:color="000000"/>
              <w:bottom w:val="outset" w:sz="6" w:space="0" w:color="000000"/>
              <w:right w:val="outset" w:sz="6" w:space="0" w:color="000000"/>
            </w:tcBorders>
          </w:tcPr>
          <w:p w14:paraId="1B0DB227" w14:textId="77777777" w:rsidR="00720F8B" w:rsidRPr="00F04366" w:rsidRDefault="00EF394B" w:rsidP="00F04366">
            <w:pPr>
              <w:jc w:val="both"/>
              <w:rPr>
                <w:bCs/>
                <w:iCs/>
              </w:rPr>
            </w:pPr>
            <w:r w:rsidRPr="00F04366">
              <w:rPr>
                <w:bCs/>
                <w:iCs/>
              </w:rPr>
              <w:t>Izglītības un zinātnes ministrija.</w:t>
            </w:r>
          </w:p>
        </w:tc>
      </w:tr>
      <w:tr w:rsidR="0072604C" w:rsidRPr="00F04366" w14:paraId="109AE363" w14:textId="77777777" w:rsidTr="00A72419">
        <w:trPr>
          <w:trHeight w:val="35"/>
        </w:trPr>
        <w:tc>
          <w:tcPr>
            <w:tcW w:w="169" w:type="pct"/>
            <w:tcBorders>
              <w:top w:val="outset" w:sz="6" w:space="0" w:color="000000"/>
              <w:left w:val="outset" w:sz="6" w:space="0" w:color="000000"/>
              <w:bottom w:val="outset" w:sz="6" w:space="0" w:color="000000"/>
              <w:right w:val="outset" w:sz="6" w:space="0" w:color="000000"/>
            </w:tcBorders>
          </w:tcPr>
          <w:p w14:paraId="5E0FE5AD" w14:textId="77777777" w:rsidR="0072604C" w:rsidRPr="00F04366" w:rsidRDefault="00B77F92" w:rsidP="00F04366">
            <w:r w:rsidRPr="00F04366">
              <w:t>4</w:t>
            </w:r>
            <w:r w:rsidR="0072604C" w:rsidRPr="00F04366">
              <w:t>.</w:t>
            </w:r>
          </w:p>
        </w:tc>
        <w:tc>
          <w:tcPr>
            <w:tcW w:w="811" w:type="pct"/>
            <w:tcBorders>
              <w:top w:val="outset" w:sz="6" w:space="0" w:color="000000"/>
              <w:left w:val="outset" w:sz="6" w:space="0" w:color="000000"/>
              <w:bottom w:val="outset" w:sz="6" w:space="0" w:color="000000"/>
              <w:right w:val="outset" w:sz="6" w:space="0" w:color="000000"/>
            </w:tcBorders>
          </w:tcPr>
          <w:p w14:paraId="22EB09F9" w14:textId="77777777" w:rsidR="0072604C" w:rsidRPr="00F04366" w:rsidRDefault="0072604C" w:rsidP="00F04366">
            <w:r w:rsidRPr="00F04366">
              <w:t>Cita informācija</w:t>
            </w:r>
          </w:p>
        </w:tc>
        <w:tc>
          <w:tcPr>
            <w:tcW w:w="4020" w:type="pct"/>
            <w:gridSpan w:val="2"/>
            <w:tcBorders>
              <w:top w:val="outset" w:sz="6" w:space="0" w:color="000000"/>
              <w:left w:val="outset" w:sz="6" w:space="0" w:color="000000"/>
              <w:bottom w:val="outset" w:sz="6" w:space="0" w:color="000000"/>
              <w:right w:val="outset" w:sz="6" w:space="0" w:color="000000"/>
            </w:tcBorders>
          </w:tcPr>
          <w:p w14:paraId="2DEA4D0E" w14:textId="77777777" w:rsidR="0072604C" w:rsidRPr="00F04366" w:rsidRDefault="002061A6" w:rsidP="00F04366">
            <w:pPr>
              <w:jc w:val="both"/>
              <w:rPr>
                <w:bCs/>
                <w:iCs/>
              </w:rPr>
            </w:pPr>
            <w:r w:rsidRPr="00F04366">
              <w:t>Nav.</w:t>
            </w:r>
          </w:p>
        </w:tc>
      </w:tr>
      <w:tr w:rsidR="0072604C" w:rsidRPr="00F04366" w14:paraId="4B1D9B6B" w14:textId="77777777" w:rsidTr="00A72419">
        <w:tc>
          <w:tcPr>
            <w:tcW w:w="5000" w:type="pct"/>
            <w:gridSpan w:val="4"/>
            <w:tcBorders>
              <w:top w:val="single" w:sz="4" w:space="0" w:color="auto"/>
              <w:left w:val="single" w:sz="4" w:space="0" w:color="auto"/>
              <w:bottom w:val="outset" w:sz="6" w:space="0" w:color="000000"/>
              <w:right w:val="single" w:sz="4" w:space="0" w:color="auto"/>
            </w:tcBorders>
            <w:vAlign w:val="center"/>
          </w:tcPr>
          <w:p w14:paraId="21120384" w14:textId="77777777" w:rsidR="0072604C" w:rsidRPr="00F04366" w:rsidRDefault="00B77F92" w:rsidP="00F04366">
            <w:pPr>
              <w:jc w:val="center"/>
              <w:rPr>
                <w:b/>
                <w:bCs/>
              </w:rPr>
            </w:pPr>
            <w:r w:rsidRPr="00F04366">
              <w:rPr>
                <w:b/>
              </w:rPr>
              <w:t>II. Tiesību akta projekta ietekme uz sabiedrību, tautsaimniecības attīstību un administratīvo slogu</w:t>
            </w:r>
          </w:p>
        </w:tc>
      </w:tr>
      <w:tr w:rsidR="0072604C" w:rsidRPr="00F04366" w14:paraId="758FC785" w14:textId="77777777" w:rsidTr="00A72419">
        <w:tc>
          <w:tcPr>
            <w:tcW w:w="169" w:type="pct"/>
            <w:tcBorders>
              <w:top w:val="outset" w:sz="6" w:space="0" w:color="000000"/>
              <w:left w:val="outset" w:sz="6" w:space="0" w:color="000000"/>
              <w:bottom w:val="outset" w:sz="6" w:space="0" w:color="000000"/>
              <w:right w:val="outset" w:sz="6" w:space="0" w:color="000000"/>
            </w:tcBorders>
          </w:tcPr>
          <w:p w14:paraId="49E0481D" w14:textId="77777777" w:rsidR="0072604C" w:rsidRPr="00F04366" w:rsidRDefault="0072604C" w:rsidP="00F04366">
            <w:pPr>
              <w:jc w:val="center"/>
            </w:pPr>
            <w:r w:rsidRPr="00F04366">
              <w:t>1.</w:t>
            </w:r>
          </w:p>
        </w:tc>
        <w:tc>
          <w:tcPr>
            <w:tcW w:w="834" w:type="pct"/>
            <w:gridSpan w:val="2"/>
            <w:tcBorders>
              <w:top w:val="outset" w:sz="6" w:space="0" w:color="000000"/>
              <w:left w:val="outset" w:sz="6" w:space="0" w:color="000000"/>
              <w:bottom w:val="outset" w:sz="6" w:space="0" w:color="000000"/>
              <w:right w:val="outset" w:sz="6" w:space="0" w:color="000000"/>
            </w:tcBorders>
          </w:tcPr>
          <w:p w14:paraId="3C3B5E1F" w14:textId="77777777" w:rsidR="0072604C" w:rsidRPr="00F04366" w:rsidRDefault="00B77F92" w:rsidP="00F04366">
            <w:r w:rsidRPr="00F04366">
              <w:t>Sabiedrības mērķgrupas, kuras tiesiskais regulējums ietekmē vai varētu ietekmēt</w:t>
            </w:r>
          </w:p>
        </w:tc>
        <w:tc>
          <w:tcPr>
            <w:tcW w:w="3997" w:type="pct"/>
            <w:tcBorders>
              <w:top w:val="outset" w:sz="6" w:space="0" w:color="000000"/>
              <w:left w:val="outset" w:sz="6" w:space="0" w:color="000000"/>
              <w:bottom w:val="outset" w:sz="6" w:space="0" w:color="000000"/>
              <w:right w:val="outset" w:sz="6" w:space="0" w:color="000000"/>
            </w:tcBorders>
          </w:tcPr>
          <w:p w14:paraId="4C96A015" w14:textId="77777777" w:rsidR="00641087" w:rsidRPr="00F04366" w:rsidRDefault="00641087" w:rsidP="00F04366">
            <w:pPr>
              <w:tabs>
                <w:tab w:val="left" w:pos="993"/>
              </w:tabs>
              <w:rPr>
                <w:bCs/>
                <w:spacing w:val="-2"/>
              </w:rPr>
            </w:pPr>
            <w:r w:rsidRPr="00F04366">
              <w:rPr>
                <w:bCs/>
                <w:spacing w:val="-2"/>
              </w:rPr>
              <w:t>Zinātnisko institūciju reģistrā reģistrētas zinātniskās institūcijas,  pētniecībā nodarbinātais personāls, komersanti.</w:t>
            </w:r>
          </w:p>
          <w:p w14:paraId="498810C8" w14:textId="77777777" w:rsidR="00641087" w:rsidRPr="00F04366" w:rsidRDefault="00641087" w:rsidP="00F04366">
            <w:pPr>
              <w:tabs>
                <w:tab w:val="left" w:pos="1134"/>
              </w:tabs>
              <w:ind w:left="720"/>
              <w:rPr>
                <w:bCs/>
                <w:spacing w:val="-2"/>
              </w:rPr>
            </w:pPr>
          </w:p>
          <w:p w14:paraId="03F8A99E" w14:textId="77777777" w:rsidR="00EB327C" w:rsidRPr="00F04366" w:rsidRDefault="00EB327C" w:rsidP="00F04366"/>
        </w:tc>
      </w:tr>
      <w:tr w:rsidR="00B77F92" w:rsidRPr="00F04366" w14:paraId="7D5E89B4" w14:textId="77777777" w:rsidTr="00A72419">
        <w:tc>
          <w:tcPr>
            <w:tcW w:w="169" w:type="pct"/>
            <w:tcBorders>
              <w:top w:val="outset" w:sz="6" w:space="0" w:color="000000"/>
              <w:left w:val="outset" w:sz="6" w:space="0" w:color="000000"/>
              <w:bottom w:val="outset" w:sz="6" w:space="0" w:color="000000"/>
              <w:right w:val="outset" w:sz="6" w:space="0" w:color="000000"/>
            </w:tcBorders>
          </w:tcPr>
          <w:p w14:paraId="27E63134" w14:textId="77777777" w:rsidR="00B77F92" w:rsidRPr="00F04366" w:rsidRDefault="00B77F92" w:rsidP="00F04366">
            <w:pPr>
              <w:ind w:left="57" w:right="57"/>
              <w:jc w:val="center"/>
            </w:pPr>
            <w:r w:rsidRPr="00F04366">
              <w:t>2.</w:t>
            </w:r>
          </w:p>
        </w:tc>
        <w:tc>
          <w:tcPr>
            <w:tcW w:w="834" w:type="pct"/>
            <w:gridSpan w:val="2"/>
            <w:tcBorders>
              <w:top w:val="outset" w:sz="6" w:space="0" w:color="000000"/>
              <w:left w:val="outset" w:sz="6" w:space="0" w:color="000000"/>
              <w:bottom w:val="outset" w:sz="6" w:space="0" w:color="000000"/>
              <w:right w:val="outset" w:sz="6" w:space="0" w:color="000000"/>
            </w:tcBorders>
          </w:tcPr>
          <w:p w14:paraId="44FA6358" w14:textId="77777777" w:rsidR="00B77F92" w:rsidRPr="00F04366" w:rsidRDefault="00B77F92" w:rsidP="00F04366">
            <w:pPr>
              <w:ind w:left="57" w:right="57"/>
            </w:pPr>
            <w:r w:rsidRPr="00F04366">
              <w:t>Tiesiskā regulējuma ietekme uz tautsaimniecību un administratīvo slogu</w:t>
            </w:r>
          </w:p>
        </w:tc>
        <w:tc>
          <w:tcPr>
            <w:tcW w:w="3997" w:type="pct"/>
            <w:tcBorders>
              <w:top w:val="outset" w:sz="6" w:space="0" w:color="000000"/>
              <w:left w:val="outset" w:sz="6" w:space="0" w:color="000000"/>
              <w:bottom w:val="outset" w:sz="6" w:space="0" w:color="000000"/>
              <w:right w:val="outset" w:sz="6" w:space="0" w:color="000000"/>
            </w:tcBorders>
          </w:tcPr>
          <w:p w14:paraId="54C1FD6F" w14:textId="77777777" w:rsidR="004E78D9" w:rsidRPr="00F04366" w:rsidRDefault="004E78D9" w:rsidP="00F04366">
            <w:pPr>
              <w:ind w:right="142"/>
              <w:contextualSpacing/>
              <w:jc w:val="both"/>
            </w:pPr>
            <w:r w:rsidRPr="00F04366">
              <w:rPr>
                <w:rFonts w:eastAsia="Calibri"/>
                <w:color w:val="000000"/>
              </w:rPr>
              <w:t xml:space="preserve">Noteikumu projekta tiesiskais regulējums ietekmēs uzņēmējdarbības vides, pētniecības un inovācijas attīstību, un sniegs pozitīvu ietekmi </w:t>
            </w:r>
            <w:r w:rsidR="005C3D85" w:rsidRPr="00F04366">
              <w:rPr>
                <w:rFonts w:eastAsia="Calibri"/>
                <w:color w:val="000000"/>
              </w:rPr>
              <w:t>projekta iesniedzējiem un labuma guvējiem</w:t>
            </w:r>
            <w:r w:rsidRPr="00F04366">
              <w:rPr>
                <w:rFonts w:eastAsia="Calibri"/>
                <w:color w:val="000000"/>
              </w:rPr>
              <w:t xml:space="preserve"> (zinātniskajām institūcijām un komersantiem), jo tiek nodrošināta iespēja saņemt ERAF atbalstu </w:t>
            </w:r>
            <w:r w:rsidR="005C3D85" w:rsidRPr="00F04366">
              <w:rPr>
                <w:rFonts w:eastAsia="Calibri"/>
                <w:color w:val="000000"/>
              </w:rPr>
              <w:t>pētniecības infrastruktūras pilnveidei un zinātnisko institūciju institucionālās kapacitātes stiprināšanai</w:t>
            </w:r>
            <w:r w:rsidRPr="00F04366">
              <w:rPr>
                <w:rFonts w:eastAsia="Calibri"/>
                <w:color w:val="000000"/>
              </w:rPr>
              <w:t xml:space="preserve">, tādējādi sekmējot </w:t>
            </w:r>
            <w:r w:rsidR="005C3D85" w:rsidRPr="00F04366">
              <w:rPr>
                <w:rFonts w:eastAsia="Calibri"/>
                <w:color w:val="000000"/>
              </w:rPr>
              <w:t>Latvijas zinātnes izcilības un starptautiskās konkurētspējas, tai skaitā reģionā pieejamā attiecīgās jomas infrastruktūras jaudas palielināšanos, un Latvijas tautsaimniecības transformācijai nepieciešamās zināšanu bāzes un cilvēkkapitāla attīstību.</w:t>
            </w:r>
          </w:p>
          <w:p w14:paraId="31247CB1" w14:textId="77777777" w:rsidR="004E78D9" w:rsidRPr="00F04366" w:rsidRDefault="004E78D9" w:rsidP="00F04366">
            <w:pPr>
              <w:tabs>
                <w:tab w:val="left" w:pos="993"/>
                <w:tab w:val="left" w:pos="1276"/>
              </w:tabs>
              <w:ind w:right="200"/>
              <w:rPr>
                <w:bCs/>
              </w:rPr>
            </w:pPr>
          </w:p>
          <w:p w14:paraId="5FD06552" w14:textId="77777777" w:rsidR="004E78D9" w:rsidRPr="00F04366" w:rsidRDefault="004E78D9" w:rsidP="00F04366">
            <w:pPr>
              <w:rPr>
                <w:b/>
              </w:rPr>
            </w:pPr>
            <w:r w:rsidRPr="00F04366">
              <w:rPr>
                <w:b/>
              </w:rPr>
              <w:t>Ietekme uz makroekonomisko vidi:</w:t>
            </w:r>
          </w:p>
          <w:p w14:paraId="58CBDE84" w14:textId="10E67784" w:rsidR="004E78D9" w:rsidRPr="00F04366" w:rsidRDefault="004E78D9" w:rsidP="00F04366">
            <w:pPr>
              <w:jc w:val="both"/>
            </w:pPr>
            <w:r w:rsidRPr="00F04366">
              <w:t>1.1.1.4.</w:t>
            </w:r>
            <w:r w:rsidR="008F77FF" w:rsidRPr="00F04366">
              <w:t> </w:t>
            </w:r>
            <w:r w:rsidRPr="00F04366">
              <w:t>pasākuma īstenošana netiešā veidā pozitīvi ietekmēs makroekonomisko vidi</w:t>
            </w:r>
            <w:r w:rsidR="008A3455" w:rsidRPr="00F04366">
              <w:t xml:space="preserve">, jo investīcijas pētniecībā veicinās valsts ekonomikas izaugsmi un attīstību. Tā kā </w:t>
            </w:r>
            <w:r w:rsidRPr="00F04366">
              <w:t>1.1.1.4.</w:t>
            </w:r>
            <w:r w:rsidR="008F77FF" w:rsidRPr="00F04366">
              <w:t> </w:t>
            </w:r>
            <w:r w:rsidRPr="00F04366">
              <w:t xml:space="preserve">pasākuma īstenošanas </w:t>
            </w:r>
            <w:r w:rsidR="008A3455" w:rsidRPr="00F04366">
              <w:t xml:space="preserve">ietvaros paredzēts izstrādāt tādus pētniecības infrastruktūras attīstības nosacījumus, kas palielinās Latvijas zinātnes izcilību un starptautisko konkurētspēju, tautsaimniecības transformācijai nepieciešamo zināšanu bāzi, tā rezultātā tiks veicināta Latvijas starptautiskā konkurētspēja un ekonomikas izaugsme.  </w:t>
            </w:r>
          </w:p>
          <w:p w14:paraId="20246517" w14:textId="77777777" w:rsidR="004E78D9" w:rsidRPr="00F04366" w:rsidRDefault="004E78D9" w:rsidP="00F04366">
            <w:pPr>
              <w:contextualSpacing/>
              <w:jc w:val="both"/>
            </w:pPr>
          </w:p>
          <w:p w14:paraId="2F46F5DA" w14:textId="77777777" w:rsidR="004E78D9" w:rsidRPr="00F04366" w:rsidRDefault="004E78D9" w:rsidP="00F04366">
            <w:pPr>
              <w:jc w:val="both"/>
              <w:rPr>
                <w:b/>
              </w:rPr>
            </w:pPr>
            <w:r w:rsidRPr="00F04366">
              <w:rPr>
                <w:b/>
              </w:rPr>
              <w:t xml:space="preserve">Ietekme uz administratīvajām procedūrām un to izmaksām: </w:t>
            </w:r>
          </w:p>
          <w:p w14:paraId="50528582" w14:textId="77777777" w:rsidR="004E78D9" w:rsidRPr="00F04366" w:rsidRDefault="004E78D9" w:rsidP="00F04366">
            <w:pPr>
              <w:shd w:val="clear" w:color="auto" w:fill="FFFFFF"/>
              <w:ind w:right="113"/>
              <w:jc w:val="both"/>
            </w:pPr>
            <w:r w:rsidRPr="00F04366">
              <w:t>Kopumā sabiedrības grupām un institūcijām noteikumu projekta tiesiskais regulējums nemaina tiesības un pienākumus, kā arī veicamās darbības.</w:t>
            </w:r>
          </w:p>
          <w:p w14:paraId="08D8B9DA" w14:textId="642362E3" w:rsidR="00B77F92" w:rsidRPr="00F04366" w:rsidRDefault="004E78D9" w:rsidP="00F04366">
            <w:pPr>
              <w:contextualSpacing/>
              <w:jc w:val="both"/>
            </w:pPr>
            <w:r w:rsidRPr="00F04366">
              <w:t>1.1.1.4.</w:t>
            </w:r>
            <w:r w:rsidR="007A2E45" w:rsidRPr="00F04366">
              <w:t> </w:t>
            </w:r>
            <w:r w:rsidRPr="00F04366">
              <w:t>pasākuma ietvaros finansējuma saņēmējs un pētniecības</w:t>
            </w:r>
            <w:r w:rsidRPr="00F04366">
              <w:rPr>
                <w:b/>
              </w:rPr>
              <w:t xml:space="preserve"> </w:t>
            </w:r>
            <w:r w:rsidRPr="00F04366">
              <w:t xml:space="preserve">pieteikuma iesniedzējs nodrošina MK noteikumu projekta </w:t>
            </w:r>
            <w:r w:rsidR="005C3D85" w:rsidRPr="00F04366">
              <w:t>54. 55. un 56</w:t>
            </w:r>
            <w:r w:rsidRPr="00F04366">
              <w:t>.punktā minēto informācijas sniegšanu un datu uzkrāšanu.</w:t>
            </w:r>
          </w:p>
        </w:tc>
      </w:tr>
      <w:tr w:rsidR="00B77F92" w:rsidRPr="00F04366" w14:paraId="1F403705" w14:textId="77777777" w:rsidTr="00A72419">
        <w:tc>
          <w:tcPr>
            <w:tcW w:w="169" w:type="pct"/>
            <w:tcBorders>
              <w:top w:val="outset" w:sz="6" w:space="0" w:color="000000"/>
              <w:left w:val="outset" w:sz="6" w:space="0" w:color="000000"/>
              <w:bottom w:val="outset" w:sz="6" w:space="0" w:color="000000"/>
              <w:right w:val="outset" w:sz="6" w:space="0" w:color="000000"/>
            </w:tcBorders>
          </w:tcPr>
          <w:p w14:paraId="2ED5B05C" w14:textId="77777777" w:rsidR="00B77F92" w:rsidRPr="00F04366" w:rsidRDefault="00B77F92" w:rsidP="00F04366">
            <w:pPr>
              <w:ind w:left="57" w:right="57"/>
              <w:jc w:val="center"/>
            </w:pPr>
            <w:r w:rsidRPr="00F04366">
              <w:t>3.</w:t>
            </w:r>
          </w:p>
        </w:tc>
        <w:tc>
          <w:tcPr>
            <w:tcW w:w="834" w:type="pct"/>
            <w:gridSpan w:val="2"/>
            <w:tcBorders>
              <w:top w:val="outset" w:sz="6" w:space="0" w:color="000000"/>
              <w:left w:val="outset" w:sz="6" w:space="0" w:color="000000"/>
              <w:bottom w:val="outset" w:sz="6" w:space="0" w:color="000000"/>
              <w:right w:val="outset" w:sz="6" w:space="0" w:color="000000"/>
            </w:tcBorders>
          </w:tcPr>
          <w:p w14:paraId="56DB7789" w14:textId="77777777" w:rsidR="00B77F92" w:rsidRPr="00F04366" w:rsidRDefault="00B77F92" w:rsidP="00F04366">
            <w:pPr>
              <w:ind w:left="57" w:right="57"/>
            </w:pPr>
            <w:r w:rsidRPr="00F04366">
              <w:t>Administratīvo izmaksu monetārs novērtējums</w:t>
            </w:r>
          </w:p>
        </w:tc>
        <w:tc>
          <w:tcPr>
            <w:tcW w:w="3997" w:type="pct"/>
            <w:tcBorders>
              <w:top w:val="outset" w:sz="6" w:space="0" w:color="000000"/>
              <w:left w:val="outset" w:sz="6" w:space="0" w:color="000000"/>
              <w:bottom w:val="outset" w:sz="6" w:space="0" w:color="000000"/>
              <w:right w:val="outset" w:sz="6" w:space="0" w:color="000000"/>
            </w:tcBorders>
          </w:tcPr>
          <w:p w14:paraId="3C85B2DD" w14:textId="79AD19AE" w:rsidR="005C3D85" w:rsidRPr="00F04366" w:rsidRDefault="00503DBE" w:rsidP="00F04366">
            <w:pPr>
              <w:shd w:val="clear" w:color="auto" w:fill="FFFFFF"/>
              <w:ind w:left="57" w:right="113"/>
              <w:jc w:val="both"/>
            </w:pPr>
            <w:r w:rsidRPr="00F04366">
              <w:t xml:space="preserve">- </w:t>
            </w:r>
            <w:r w:rsidR="007A2E45" w:rsidRPr="00F04366">
              <w:t>I</w:t>
            </w:r>
            <w:r w:rsidRPr="00F04366">
              <w:t>evietojot tīmekļa vietnē informāciju par piešķirto atbalstu: (darbaspēka atlīdzības vidējā likme * laiks, kas nepieciešams informācijas ievietošanai tīmekļvietnē) * (projektā īstenošanas personāla skaits, kas ievieto informāciju * informācijas sniegšanas biežums visā projekta īstenošanas laikā) = (5,09*0,5) * (1*</w:t>
            </w:r>
            <w:r w:rsidR="00986EC3" w:rsidRPr="00F04366">
              <w:t>1</w:t>
            </w:r>
            <w:r w:rsidRPr="00F04366">
              <w:t>) = 2,545 *</w:t>
            </w:r>
            <w:r w:rsidR="00986EC3" w:rsidRPr="00F04366">
              <w:t>1</w:t>
            </w:r>
            <w:r w:rsidRPr="00F04366">
              <w:t xml:space="preserve"> = </w:t>
            </w:r>
            <w:r w:rsidR="00986EC3" w:rsidRPr="00F04366">
              <w:t>2,54</w:t>
            </w:r>
            <w:r w:rsidRPr="00F04366">
              <w:t xml:space="preserve"> </w:t>
            </w:r>
            <w:r w:rsidRPr="00F04366">
              <w:rPr>
                <w:i/>
              </w:rPr>
              <w:t>euro</w:t>
            </w:r>
            <w:r w:rsidR="00986EC3" w:rsidRPr="00F04366">
              <w:t>;</w:t>
            </w:r>
          </w:p>
          <w:p w14:paraId="702B97EE" w14:textId="00BF2306" w:rsidR="00503DBE" w:rsidRPr="00F04366" w:rsidRDefault="00503DBE" w:rsidP="00F04366">
            <w:pPr>
              <w:shd w:val="clear" w:color="auto" w:fill="FFFFFF"/>
              <w:ind w:left="57" w:right="113"/>
              <w:jc w:val="both"/>
            </w:pPr>
            <w:r w:rsidRPr="00F04366">
              <w:t xml:space="preserve">- ievietojot informāciju tīmekļa vietnē par </w:t>
            </w:r>
            <w:r w:rsidR="00986EC3" w:rsidRPr="00F04366">
              <w:t>1.1.1.4. pasākuma projekta</w:t>
            </w:r>
            <w:r w:rsidRPr="00F04366">
              <w:t xml:space="preserve"> īstenošanu: (darbaspēka atlīdzības vidējā likme * laiks, kas nepieciešams informācijas ievietošanai tīmekļvietnē) * (pētniecības pieteikuma īstenošanas personāla skaits, kas ievieto informāciju * informācijas sniegšanas biežums visā pētniecības pieteikuma īstenoš</w:t>
            </w:r>
            <w:r w:rsidR="00986EC3" w:rsidRPr="00F04366">
              <w:t>anas laikā) = (5,09*0,5) * (1*16) = 2,545 *16</w:t>
            </w:r>
            <w:r w:rsidRPr="00F04366">
              <w:t xml:space="preserve"> = </w:t>
            </w:r>
            <w:r w:rsidR="00986EC3" w:rsidRPr="00F04366">
              <w:t>40,72</w:t>
            </w:r>
            <w:r w:rsidRPr="00F04366">
              <w:t xml:space="preserve"> </w:t>
            </w:r>
            <w:r w:rsidRPr="00F04366">
              <w:rPr>
                <w:i/>
              </w:rPr>
              <w:t>euro</w:t>
            </w:r>
            <w:r w:rsidR="00986EC3" w:rsidRPr="00F04366">
              <w:t>;</w:t>
            </w:r>
          </w:p>
          <w:p w14:paraId="537088E2" w14:textId="77777777" w:rsidR="00B77F92" w:rsidRPr="00F04366" w:rsidRDefault="00503DBE" w:rsidP="00F04366">
            <w:pPr>
              <w:ind w:left="111" w:right="57"/>
              <w:jc w:val="both"/>
              <w:rPr>
                <w:iCs/>
              </w:rPr>
            </w:pPr>
            <w:r w:rsidRPr="00F04366">
              <w:t>Administratīvo izmaksu monetārs novērtējums par ar datu uzkrāšanu/ievadīšanu, informācijas sagatavošanu un informācijas ievietošanu tīmekļa vietnē saistītajiem izdevumiem ir veikts indikatīvi.</w:t>
            </w:r>
          </w:p>
        </w:tc>
      </w:tr>
      <w:tr w:rsidR="00B77F92" w:rsidRPr="00F04366" w14:paraId="534E4C10" w14:textId="77777777" w:rsidTr="00A72419">
        <w:tc>
          <w:tcPr>
            <w:tcW w:w="169" w:type="pct"/>
            <w:tcBorders>
              <w:top w:val="outset" w:sz="6" w:space="0" w:color="000000"/>
              <w:left w:val="outset" w:sz="6" w:space="0" w:color="000000"/>
              <w:bottom w:val="outset" w:sz="6" w:space="0" w:color="000000"/>
              <w:right w:val="outset" w:sz="6" w:space="0" w:color="000000"/>
            </w:tcBorders>
          </w:tcPr>
          <w:p w14:paraId="7D8B8A63" w14:textId="77777777" w:rsidR="00B77F92" w:rsidRPr="00F04366" w:rsidRDefault="00B77F92" w:rsidP="00F04366">
            <w:pPr>
              <w:ind w:left="57" w:right="57"/>
              <w:jc w:val="center"/>
            </w:pPr>
            <w:r w:rsidRPr="00F04366">
              <w:t>4.</w:t>
            </w:r>
          </w:p>
        </w:tc>
        <w:tc>
          <w:tcPr>
            <w:tcW w:w="834" w:type="pct"/>
            <w:gridSpan w:val="2"/>
            <w:tcBorders>
              <w:top w:val="outset" w:sz="6" w:space="0" w:color="000000"/>
              <w:left w:val="outset" w:sz="6" w:space="0" w:color="000000"/>
              <w:bottom w:val="outset" w:sz="6" w:space="0" w:color="000000"/>
              <w:right w:val="outset" w:sz="6" w:space="0" w:color="000000"/>
            </w:tcBorders>
          </w:tcPr>
          <w:p w14:paraId="6D48F46B" w14:textId="77777777" w:rsidR="00B77F92" w:rsidRPr="00F04366" w:rsidRDefault="00B77F92" w:rsidP="00F04366">
            <w:pPr>
              <w:ind w:left="57" w:right="57"/>
            </w:pPr>
            <w:r w:rsidRPr="00F04366">
              <w:t> Cita informācija</w:t>
            </w:r>
          </w:p>
        </w:tc>
        <w:tc>
          <w:tcPr>
            <w:tcW w:w="3997" w:type="pct"/>
            <w:tcBorders>
              <w:top w:val="outset" w:sz="6" w:space="0" w:color="000000"/>
              <w:left w:val="outset" w:sz="6" w:space="0" w:color="000000"/>
              <w:bottom w:val="outset" w:sz="6" w:space="0" w:color="000000"/>
              <w:right w:val="outset" w:sz="6" w:space="0" w:color="000000"/>
            </w:tcBorders>
          </w:tcPr>
          <w:p w14:paraId="69BB3F8B" w14:textId="18F7C56D" w:rsidR="000A1F47" w:rsidRPr="007E49FA" w:rsidRDefault="008D1F94" w:rsidP="00F04366">
            <w:pPr>
              <w:jc w:val="both"/>
            </w:pPr>
            <w:r w:rsidRPr="007E49FA">
              <w:t xml:space="preserve">1.1.1.4. pasākumam ir noteikta netieša pozitīva ietekme uz horizontālo prioritāti </w:t>
            </w:r>
            <w:r w:rsidR="007A2E45" w:rsidRPr="007E49FA">
              <w:t>"</w:t>
            </w:r>
            <w:r w:rsidRPr="007E49FA">
              <w:t>Ilgtspējīga attīstība</w:t>
            </w:r>
            <w:r w:rsidR="007A2E45" w:rsidRPr="007E49FA">
              <w:t>"</w:t>
            </w:r>
            <w:r w:rsidRPr="007E49FA">
              <w:t xml:space="preserve">, tādējādi kritēriju komplekts ir papildināts ar papildus kvalitātes kritērijiem par horizontālām </w:t>
            </w:r>
            <w:r w:rsidR="005B70A6" w:rsidRPr="007E49FA">
              <w:t>prioritātēm</w:t>
            </w:r>
            <w:r w:rsidRPr="007E49FA">
              <w:t>, kuru ietvaros, projektu iesniedzējiem, sniedzot atbilstošo informāciju par šīs prioritātes principu ievērošanu un tās veicināš</w:t>
            </w:r>
            <w:r w:rsidR="000A1F47" w:rsidRPr="007E49FA">
              <w:t>anu, būs iespēja iegūt papildus</w:t>
            </w:r>
            <w:r w:rsidRPr="007E49FA">
              <w:t xml:space="preserve"> punktus katrā no noteiktajiem kvalitātes kritērijiem. </w:t>
            </w:r>
          </w:p>
          <w:p w14:paraId="78AE570B" w14:textId="1851660B" w:rsidR="005B70A6" w:rsidRPr="007E49FA" w:rsidRDefault="008D1F94" w:rsidP="00F04366">
            <w:pPr>
              <w:jc w:val="both"/>
            </w:pPr>
            <w:r w:rsidRPr="007E49FA">
              <w:t xml:space="preserve">Horizontālās prioritātes </w:t>
            </w:r>
            <w:r w:rsidR="007A2E45" w:rsidRPr="007E49FA">
              <w:t>"</w:t>
            </w:r>
            <w:r w:rsidRPr="007E49FA">
              <w:t>Ilgtspējīga attīstība</w:t>
            </w:r>
            <w:r w:rsidR="007A2E45" w:rsidRPr="007E49FA">
              <w:t>"</w:t>
            </w:r>
            <w:r w:rsidRPr="007E49FA">
              <w:t xml:space="preserve"> ietvaros, atbilstoši Vides aizsardzības un reģionālās attīstības izstrādātajai metodikai, tiek vērtēti </w:t>
            </w:r>
            <w:r w:rsidR="005B70A6" w:rsidRPr="007E49FA">
              <w:t xml:space="preserve">šādi principi - </w:t>
            </w:r>
            <w:r w:rsidR="00476D4A" w:rsidRPr="007E49FA">
              <w:t>zaļā iepirkuma izmantošana un</w:t>
            </w:r>
            <w:r w:rsidR="005B70A6" w:rsidRPr="007E49FA">
              <w:t xml:space="preserve"> </w:t>
            </w:r>
            <w:r w:rsidR="000A1F47" w:rsidRPr="007E49FA">
              <w:t>videi draudzīgu vai energoefektīvu tehnoloģiju</w:t>
            </w:r>
            <w:r w:rsidR="00476D4A" w:rsidRPr="007E49FA">
              <w:t xml:space="preserve"> ieviešana, kā arī</w:t>
            </w:r>
            <w:r w:rsidR="000A1F47" w:rsidRPr="007E49FA">
              <w:t xml:space="preserve"> </w:t>
            </w:r>
            <w:r w:rsidR="005B70A6" w:rsidRPr="007E49FA">
              <w:t>siltumnīcefekta g</w:t>
            </w:r>
            <w:r w:rsidR="00476D4A" w:rsidRPr="007E49FA">
              <w:t>āzu emisijas samazinājums</w:t>
            </w:r>
            <w:r w:rsidR="005B70A6" w:rsidRPr="007E49FA">
              <w:t>.</w:t>
            </w:r>
          </w:p>
        </w:tc>
      </w:tr>
    </w:tbl>
    <w:p w14:paraId="7DC8E072" w14:textId="46191F56" w:rsidR="00D46C2D" w:rsidRDefault="00D46C2D"/>
    <w:p w14:paraId="1E575F11" w14:textId="77777777" w:rsidR="00B54F0D" w:rsidRDefault="00B54F0D"/>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22"/>
        <w:gridCol w:w="1171"/>
        <w:gridCol w:w="1331"/>
        <w:gridCol w:w="1372"/>
        <w:gridCol w:w="1387"/>
        <w:gridCol w:w="21"/>
      </w:tblGrid>
      <w:tr w:rsidR="00B54F0D" w:rsidRPr="00C2761A" w14:paraId="6872CA94" w14:textId="77777777" w:rsidTr="00B54F0D">
        <w:trPr>
          <w:trHeight w:val="361"/>
          <w:jc w:val="center"/>
        </w:trPr>
        <w:tc>
          <w:tcPr>
            <w:tcW w:w="8784" w:type="dxa"/>
            <w:gridSpan w:val="7"/>
            <w:tcBorders>
              <w:top w:val="single" w:sz="4" w:space="0" w:color="auto"/>
              <w:left w:val="single" w:sz="4" w:space="0" w:color="auto"/>
              <w:bottom w:val="single" w:sz="4" w:space="0" w:color="auto"/>
              <w:right w:val="single" w:sz="4" w:space="0" w:color="auto"/>
            </w:tcBorders>
            <w:vAlign w:val="center"/>
          </w:tcPr>
          <w:p w14:paraId="18E6C726" w14:textId="77777777" w:rsidR="00B54F0D" w:rsidRPr="00B54F0D" w:rsidRDefault="00B54F0D" w:rsidP="00E96096">
            <w:pPr>
              <w:pStyle w:val="naisnod"/>
              <w:spacing w:before="0" w:after="0"/>
            </w:pPr>
            <w:r w:rsidRPr="00C2761A">
              <w:br w:type="page"/>
              <w:t>III. Tiesību akta projekta ietekme uz valsts budžetu un pašvaldību budžetiem</w:t>
            </w:r>
          </w:p>
        </w:tc>
      </w:tr>
      <w:tr w:rsidR="00B54F0D" w:rsidRPr="00C2761A" w14:paraId="663CF352" w14:textId="77777777" w:rsidTr="00097DB4">
        <w:trPr>
          <w:gridAfter w:val="1"/>
          <w:wAfter w:w="21" w:type="dxa"/>
          <w:jc w:val="center"/>
        </w:trPr>
        <w:tc>
          <w:tcPr>
            <w:tcW w:w="1980" w:type="dxa"/>
            <w:vMerge w:val="restart"/>
            <w:vAlign w:val="center"/>
          </w:tcPr>
          <w:p w14:paraId="16D27E70" w14:textId="77777777" w:rsidR="00B54F0D" w:rsidRPr="00C2761A" w:rsidRDefault="00B54F0D" w:rsidP="00E96096">
            <w:pPr>
              <w:pStyle w:val="naisf"/>
              <w:spacing w:before="0" w:after="0"/>
              <w:jc w:val="center"/>
              <w:rPr>
                <w:b/>
              </w:rPr>
            </w:pPr>
            <w:r w:rsidRPr="00C2761A">
              <w:rPr>
                <w:b/>
              </w:rPr>
              <w:t>Rādītāji</w:t>
            </w:r>
          </w:p>
          <w:p w14:paraId="24494D08" w14:textId="77777777" w:rsidR="00B54F0D" w:rsidRPr="00C2761A" w:rsidRDefault="00B54F0D" w:rsidP="00E96096"/>
          <w:p w14:paraId="2B1CE42E" w14:textId="77777777" w:rsidR="00B54F0D" w:rsidRPr="00C2761A" w:rsidRDefault="00B54F0D" w:rsidP="00E96096"/>
          <w:p w14:paraId="0E6A7C00" w14:textId="77777777" w:rsidR="00B54F0D" w:rsidRPr="00C2761A" w:rsidRDefault="00B54F0D" w:rsidP="00E96096"/>
        </w:tc>
        <w:tc>
          <w:tcPr>
            <w:tcW w:w="2693" w:type="dxa"/>
            <w:gridSpan w:val="2"/>
            <w:vMerge w:val="restart"/>
            <w:vAlign w:val="center"/>
          </w:tcPr>
          <w:p w14:paraId="2623C3D3" w14:textId="77777777" w:rsidR="00B54F0D" w:rsidRPr="00C2761A" w:rsidRDefault="00B54F0D" w:rsidP="00E96096">
            <w:pPr>
              <w:pStyle w:val="naisf"/>
              <w:spacing w:before="0" w:after="0"/>
              <w:jc w:val="center"/>
              <w:rPr>
                <w:b/>
              </w:rPr>
            </w:pPr>
            <w:r w:rsidRPr="00C2761A">
              <w:rPr>
                <w:b/>
              </w:rPr>
              <w:t>201</w:t>
            </w:r>
            <w:r>
              <w:rPr>
                <w:b/>
              </w:rPr>
              <w:t>6</w:t>
            </w:r>
            <w:r w:rsidRPr="00C2761A">
              <w:rPr>
                <w:b/>
              </w:rPr>
              <w:t>.gads</w:t>
            </w:r>
          </w:p>
        </w:tc>
        <w:tc>
          <w:tcPr>
            <w:tcW w:w="4090" w:type="dxa"/>
            <w:gridSpan w:val="3"/>
            <w:vAlign w:val="center"/>
          </w:tcPr>
          <w:p w14:paraId="451C357E" w14:textId="77777777" w:rsidR="00B54F0D" w:rsidRPr="00C2761A" w:rsidRDefault="00B54F0D" w:rsidP="00E96096">
            <w:pPr>
              <w:pStyle w:val="naisf"/>
              <w:spacing w:before="0" w:after="0"/>
              <w:jc w:val="center"/>
              <w:rPr>
                <w:b/>
                <w:i/>
              </w:rPr>
            </w:pPr>
            <w:r w:rsidRPr="00C2761A">
              <w:t>Turpmākie trīs gadi (</w:t>
            </w:r>
            <w:r w:rsidRPr="00C2761A">
              <w:rPr>
                <w:i/>
              </w:rPr>
              <w:t>euro</w:t>
            </w:r>
            <w:r w:rsidRPr="00C2761A">
              <w:t>)</w:t>
            </w:r>
          </w:p>
        </w:tc>
      </w:tr>
      <w:tr w:rsidR="00B54F0D" w:rsidRPr="00C2761A" w14:paraId="708E104B" w14:textId="77777777" w:rsidTr="00C75089">
        <w:trPr>
          <w:gridAfter w:val="1"/>
          <w:wAfter w:w="21" w:type="dxa"/>
          <w:jc w:val="center"/>
        </w:trPr>
        <w:tc>
          <w:tcPr>
            <w:tcW w:w="1980" w:type="dxa"/>
            <w:vMerge/>
            <w:vAlign w:val="center"/>
          </w:tcPr>
          <w:p w14:paraId="4B4F74BE" w14:textId="77777777" w:rsidR="00B54F0D" w:rsidRPr="00C2761A" w:rsidRDefault="00B54F0D" w:rsidP="00E96096">
            <w:pPr>
              <w:pStyle w:val="naisf"/>
              <w:spacing w:before="0" w:after="0"/>
              <w:jc w:val="center"/>
              <w:rPr>
                <w:b/>
                <w:i/>
              </w:rPr>
            </w:pPr>
          </w:p>
        </w:tc>
        <w:tc>
          <w:tcPr>
            <w:tcW w:w="2693" w:type="dxa"/>
            <w:gridSpan w:val="2"/>
            <w:vMerge/>
            <w:tcBorders>
              <w:bottom w:val="single" w:sz="4" w:space="0" w:color="auto"/>
            </w:tcBorders>
            <w:vAlign w:val="center"/>
          </w:tcPr>
          <w:p w14:paraId="423E82B4" w14:textId="77777777" w:rsidR="00B54F0D" w:rsidRPr="00C2761A" w:rsidRDefault="00B54F0D" w:rsidP="00E96096">
            <w:pPr>
              <w:pStyle w:val="naisf"/>
              <w:spacing w:before="0" w:after="0"/>
              <w:jc w:val="center"/>
              <w:rPr>
                <w:b/>
                <w:i/>
              </w:rPr>
            </w:pPr>
          </w:p>
        </w:tc>
        <w:tc>
          <w:tcPr>
            <w:tcW w:w="1331" w:type="dxa"/>
            <w:tcBorders>
              <w:bottom w:val="single" w:sz="4" w:space="0" w:color="auto"/>
            </w:tcBorders>
            <w:vAlign w:val="center"/>
          </w:tcPr>
          <w:p w14:paraId="7328F985" w14:textId="77777777" w:rsidR="00B54F0D" w:rsidRPr="00C2761A" w:rsidRDefault="00B54F0D" w:rsidP="00E96096">
            <w:pPr>
              <w:pStyle w:val="naisf"/>
              <w:spacing w:before="0" w:after="0"/>
              <w:jc w:val="center"/>
              <w:rPr>
                <w:b/>
                <w:i/>
              </w:rPr>
            </w:pPr>
            <w:r w:rsidRPr="00C2761A">
              <w:rPr>
                <w:b/>
                <w:bCs/>
              </w:rPr>
              <w:t>201</w:t>
            </w:r>
            <w:r>
              <w:rPr>
                <w:b/>
                <w:bCs/>
              </w:rPr>
              <w:t>7</w:t>
            </w:r>
            <w:r w:rsidRPr="00C2761A">
              <w:rPr>
                <w:b/>
                <w:bCs/>
              </w:rPr>
              <w:t>.</w:t>
            </w:r>
          </w:p>
        </w:tc>
        <w:tc>
          <w:tcPr>
            <w:tcW w:w="1372" w:type="dxa"/>
            <w:tcBorders>
              <w:bottom w:val="single" w:sz="4" w:space="0" w:color="auto"/>
            </w:tcBorders>
            <w:vAlign w:val="center"/>
          </w:tcPr>
          <w:p w14:paraId="05F9641F" w14:textId="77777777" w:rsidR="00B54F0D" w:rsidRPr="00C2761A" w:rsidRDefault="00B54F0D" w:rsidP="00E96096">
            <w:pPr>
              <w:pStyle w:val="naisf"/>
              <w:spacing w:before="0" w:after="0"/>
              <w:jc w:val="center"/>
              <w:rPr>
                <w:b/>
                <w:i/>
              </w:rPr>
            </w:pPr>
            <w:r w:rsidRPr="00C2761A">
              <w:rPr>
                <w:b/>
                <w:bCs/>
              </w:rPr>
              <w:t>201</w:t>
            </w:r>
            <w:r>
              <w:rPr>
                <w:b/>
                <w:bCs/>
              </w:rPr>
              <w:t>8</w:t>
            </w:r>
            <w:r w:rsidRPr="00C2761A">
              <w:rPr>
                <w:b/>
                <w:bCs/>
              </w:rPr>
              <w:t>.</w:t>
            </w:r>
          </w:p>
        </w:tc>
        <w:tc>
          <w:tcPr>
            <w:tcW w:w="1387" w:type="dxa"/>
            <w:tcBorders>
              <w:bottom w:val="single" w:sz="4" w:space="0" w:color="auto"/>
            </w:tcBorders>
            <w:vAlign w:val="center"/>
          </w:tcPr>
          <w:p w14:paraId="4B82B607" w14:textId="77777777" w:rsidR="00B54F0D" w:rsidRPr="00C2761A" w:rsidRDefault="00B54F0D" w:rsidP="00E96096">
            <w:pPr>
              <w:pStyle w:val="naisf"/>
              <w:spacing w:before="0" w:after="0"/>
              <w:jc w:val="center"/>
              <w:rPr>
                <w:b/>
                <w:i/>
              </w:rPr>
            </w:pPr>
            <w:r w:rsidRPr="00C2761A">
              <w:rPr>
                <w:b/>
                <w:bCs/>
              </w:rPr>
              <w:t>201</w:t>
            </w:r>
            <w:r>
              <w:rPr>
                <w:b/>
                <w:bCs/>
              </w:rPr>
              <w:t>9</w:t>
            </w:r>
            <w:r w:rsidRPr="00C2761A">
              <w:rPr>
                <w:b/>
                <w:bCs/>
              </w:rPr>
              <w:t>.</w:t>
            </w:r>
          </w:p>
        </w:tc>
      </w:tr>
      <w:tr w:rsidR="00B54F0D" w:rsidRPr="00C2761A" w14:paraId="33137120" w14:textId="77777777" w:rsidTr="00C75089">
        <w:trPr>
          <w:gridAfter w:val="1"/>
          <w:wAfter w:w="21" w:type="dxa"/>
          <w:jc w:val="center"/>
        </w:trPr>
        <w:tc>
          <w:tcPr>
            <w:tcW w:w="1980" w:type="dxa"/>
            <w:vMerge/>
            <w:tcBorders>
              <w:right w:val="single" w:sz="4" w:space="0" w:color="auto"/>
            </w:tcBorders>
            <w:vAlign w:val="center"/>
          </w:tcPr>
          <w:p w14:paraId="151400B7" w14:textId="77777777" w:rsidR="00B54F0D" w:rsidRPr="00C2761A" w:rsidRDefault="00B54F0D" w:rsidP="00E96096">
            <w:pPr>
              <w:pStyle w:val="naisf"/>
              <w:spacing w:before="0" w:after="0"/>
              <w:jc w:val="center"/>
              <w:rPr>
                <w:b/>
                <w:i/>
              </w:rPr>
            </w:pPr>
          </w:p>
        </w:tc>
        <w:tc>
          <w:tcPr>
            <w:tcW w:w="1522" w:type="dxa"/>
            <w:tcBorders>
              <w:top w:val="single" w:sz="4" w:space="0" w:color="auto"/>
              <w:left w:val="single" w:sz="4" w:space="0" w:color="auto"/>
              <w:bottom w:val="single" w:sz="4" w:space="0" w:color="auto"/>
              <w:right w:val="single" w:sz="4" w:space="0" w:color="auto"/>
            </w:tcBorders>
            <w:vAlign w:val="center"/>
          </w:tcPr>
          <w:p w14:paraId="3B6C1C83" w14:textId="77777777" w:rsidR="00B54F0D" w:rsidRPr="00C2761A" w:rsidRDefault="00B54F0D" w:rsidP="00E96096">
            <w:pPr>
              <w:pStyle w:val="naisf"/>
              <w:spacing w:before="0" w:after="0"/>
              <w:ind w:firstLine="0"/>
              <w:rPr>
                <w:b/>
                <w:i/>
              </w:rPr>
            </w:pPr>
            <w:r w:rsidRPr="00C2761A">
              <w:t>saskaņā ar valsts budžetu kārtējam gadam</w:t>
            </w:r>
          </w:p>
        </w:tc>
        <w:tc>
          <w:tcPr>
            <w:tcW w:w="1171" w:type="dxa"/>
            <w:tcBorders>
              <w:top w:val="single" w:sz="4" w:space="0" w:color="auto"/>
              <w:left w:val="single" w:sz="4" w:space="0" w:color="auto"/>
              <w:bottom w:val="single" w:sz="4" w:space="0" w:color="auto"/>
              <w:right w:val="single" w:sz="4" w:space="0" w:color="auto"/>
            </w:tcBorders>
            <w:vAlign w:val="center"/>
          </w:tcPr>
          <w:p w14:paraId="3D8E91A0" w14:textId="77777777" w:rsidR="00B54F0D" w:rsidRPr="00C2761A" w:rsidRDefault="00B54F0D" w:rsidP="00E96096">
            <w:pPr>
              <w:pStyle w:val="naisf"/>
              <w:spacing w:before="0" w:after="0"/>
              <w:ind w:firstLine="0"/>
              <w:rPr>
                <w:b/>
                <w:i/>
              </w:rPr>
            </w:pPr>
            <w:r w:rsidRPr="00C2761A">
              <w:t>izmaiņas kārtējā gadā, salīdzinot ar valsts budžetu kārtējam gadam</w:t>
            </w:r>
          </w:p>
        </w:tc>
        <w:tc>
          <w:tcPr>
            <w:tcW w:w="1331" w:type="dxa"/>
            <w:tcBorders>
              <w:top w:val="single" w:sz="4" w:space="0" w:color="auto"/>
              <w:left w:val="single" w:sz="4" w:space="0" w:color="auto"/>
              <w:bottom w:val="single" w:sz="4" w:space="0" w:color="auto"/>
              <w:right w:val="single" w:sz="4" w:space="0" w:color="auto"/>
            </w:tcBorders>
            <w:vAlign w:val="center"/>
          </w:tcPr>
          <w:p w14:paraId="21757E45" w14:textId="77777777" w:rsidR="00B54F0D" w:rsidRPr="00C2761A" w:rsidRDefault="00B54F0D" w:rsidP="00E96096">
            <w:pPr>
              <w:pStyle w:val="naisf"/>
              <w:spacing w:before="0" w:after="0"/>
              <w:ind w:firstLine="0"/>
              <w:rPr>
                <w:b/>
                <w:i/>
              </w:rPr>
            </w:pPr>
            <w:r w:rsidRPr="00C2761A">
              <w:t>izmaiņas, salīdzinot ar kārtējo (n) gadu</w:t>
            </w:r>
          </w:p>
        </w:tc>
        <w:tc>
          <w:tcPr>
            <w:tcW w:w="1372" w:type="dxa"/>
            <w:tcBorders>
              <w:top w:val="single" w:sz="4" w:space="0" w:color="auto"/>
              <w:left w:val="single" w:sz="4" w:space="0" w:color="auto"/>
              <w:bottom w:val="single" w:sz="4" w:space="0" w:color="auto"/>
              <w:right w:val="single" w:sz="4" w:space="0" w:color="auto"/>
            </w:tcBorders>
            <w:vAlign w:val="center"/>
          </w:tcPr>
          <w:p w14:paraId="3379DA0F" w14:textId="77777777" w:rsidR="00B54F0D" w:rsidRPr="00C2761A" w:rsidRDefault="00B54F0D" w:rsidP="00E96096">
            <w:pPr>
              <w:pStyle w:val="naisf"/>
              <w:spacing w:before="0" w:after="0"/>
              <w:ind w:firstLine="0"/>
              <w:rPr>
                <w:b/>
                <w:i/>
              </w:rPr>
            </w:pPr>
            <w:r w:rsidRPr="00C2761A">
              <w:t>izmaiņas, salīdzinot ar kārtējo (n) gadu</w:t>
            </w:r>
          </w:p>
        </w:tc>
        <w:tc>
          <w:tcPr>
            <w:tcW w:w="1387" w:type="dxa"/>
            <w:tcBorders>
              <w:top w:val="single" w:sz="4" w:space="0" w:color="auto"/>
              <w:left w:val="single" w:sz="4" w:space="0" w:color="auto"/>
              <w:bottom w:val="single" w:sz="4" w:space="0" w:color="auto"/>
              <w:right w:val="single" w:sz="4" w:space="0" w:color="auto"/>
            </w:tcBorders>
            <w:vAlign w:val="center"/>
          </w:tcPr>
          <w:p w14:paraId="64AF45BE" w14:textId="77777777" w:rsidR="00B54F0D" w:rsidRPr="00C2761A" w:rsidRDefault="00B54F0D" w:rsidP="00E96096">
            <w:pPr>
              <w:pStyle w:val="naisf"/>
              <w:spacing w:before="0" w:after="0"/>
              <w:ind w:firstLine="0"/>
              <w:rPr>
                <w:b/>
                <w:i/>
              </w:rPr>
            </w:pPr>
            <w:r w:rsidRPr="00C2761A">
              <w:t>izmaiņas, salīdzinot ar kārtējo (n) gadu</w:t>
            </w:r>
          </w:p>
        </w:tc>
      </w:tr>
      <w:tr w:rsidR="00B54F0D" w:rsidRPr="00C2761A" w14:paraId="3FAF2113" w14:textId="77777777" w:rsidTr="00C75089">
        <w:trPr>
          <w:gridAfter w:val="1"/>
          <w:wAfter w:w="21" w:type="dxa"/>
          <w:jc w:val="center"/>
        </w:trPr>
        <w:tc>
          <w:tcPr>
            <w:tcW w:w="1980" w:type="dxa"/>
            <w:vAlign w:val="center"/>
          </w:tcPr>
          <w:p w14:paraId="0BE7B012" w14:textId="77777777" w:rsidR="00B54F0D" w:rsidRPr="00C2761A" w:rsidRDefault="00B54F0D" w:rsidP="00E96096">
            <w:pPr>
              <w:pStyle w:val="naisf"/>
              <w:spacing w:before="0" w:after="0"/>
              <w:ind w:firstLine="0"/>
              <w:jc w:val="center"/>
              <w:rPr>
                <w:bCs/>
              </w:rPr>
            </w:pPr>
            <w:r w:rsidRPr="00C2761A">
              <w:rPr>
                <w:bCs/>
              </w:rPr>
              <w:t>1</w:t>
            </w:r>
          </w:p>
        </w:tc>
        <w:tc>
          <w:tcPr>
            <w:tcW w:w="1522" w:type="dxa"/>
            <w:tcBorders>
              <w:top w:val="single" w:sz="4" w:space="0" w:color="auto"/>
            </w:tcBorders>
            <w:vAlign w:val="center"/>
          </w:tcPr>
          <w:p w14:paraId="525A550A" w14:textId="77777777" w:rsidR="00B54F0D" w:rsidRPr="00C2761A" w:rsidRDefault="00B54F0D" w:rsidP="00E96096">
            <w:pPr>
              <w:pStyle w:val="naisf"/>
              <w:spacing w:before="0" w:after="0"/>
              <w:ind w:firstLine="0"/>
              <w:jc w:val="center"/>
              <w:rPr>
                <w:bCs/>
              </w:rPr>
            </w:pPr>
            <w:r w:rsidRPr="00C2761A">
              <w:rPr>
                <w:bCs/>
              </w:rPr>
              <w:t>2</w:t>
            </w:r>
          </w:p>
        </w:tc>
        <w:tc>
          <w:tcPr>
            <w:tcW w:w="1171" w:type="dxa"/>
            <w:tcBorders>
              <w:top w:val="single" w:sz="4" w:space="0" w:color="auto"/>
            </w:tcBorders>
            <w:vAlign w:val="center"/>
          </w:tcPr>
          <w:p w14:paraId="6E7D4ACE" w14:textId="77777777" w:rsidR="00B54F0D" w:rsidRPr="00C2761A" w:rsidRDefault="00B54F0D" w:rsidP="00E96096">
            <w:pPr>
              <w:pStyle w:val="naisf"/>
              <w:spacing w:before="0" w:after="0"/>
              <w:ind w:firstLine="0"/>
              <w:jc w:val="center"/>
              <w:rPr>
                <w:bCs/>
              </w:rPr>
            </w:pPr>
            <w:r w:rsidRPr="00C2761A">
              <w:rPr>
                <w:bCs/>
              </w:rPr>
              <w:t>3</w:t>
            </w:r>
          </w:p>
        </w:tc>
        <w:tc>
          <w:tcPr>
            <w:tcW w:w="1331" w:type="dxa"/>
            <w:tcBorders>
              <w:top w:val="single" w:sz="4" w:space="0" w:color="auto"/>
            </w:tcBorders>
            <w:vAlign w:val="center"/>
          </w:tcPr>
          <w:p w14:paraId="57ABA96F" w14:textId="77777777" w:rsidR="00B54F0D" w:rsidRPr="00C2761A" w:rsidRDefault="00B54F0D" w:rsidP="00E96096">
            <w:pPr>
              <w:pStyle w:val="naisf"/>
              <w:spacing w:before="0" w:after="0"/>
              <w:ind w:firstLine="0"/>
              <w:jc w:val="center"/>
              <w:rPr>
                <w:bCs/>
              </w:rPr>
            </w:pPr>
            <w:r w:rsidRPr="00C2761A">
              <w:rPr>
                <w:bCs/>
              </w:rPr>
              <w:t>4</w:t>
            </w:r>
          </w:p>
        </w:tc>
        <w:tc>
          <w:tcPr>
            <w:tcW w:w="1372" w:type="dxa"/>
            <w:tcBorders>
              <w:top w:val="single" w:sz="4" w:space="0" w:color="auto"/>
            </w:tcBorders>
            <w:vAlign w:val="center"/>
          </w:tcPr>
          <w:p w14:paraId="6F8FF70A" w14:textId="77777777" w:rsidR="00B54F0D" w:rsidRPr="00C2761A" w:rsidRDefault="00B54F0D" w:rsidP="00E96096">
            <w:pPr>
              <w:pStyle w:val="naisf"/>
              <w:spacing w:before="0" w:after="0"/>
              <w:ind w:firstLine="0"/>
              <w:jc w:val="center"/>
              <w:rPr>
                <w:bCs/>
              </w:rPr>
            </w:pPr>
            <w:r w:rsidRPr="00C2761A">
              <w:rPr>
                <w:bCs/>
              </w:rPr>
              <w:t>5</w:t>
            </w:r>
          </w:p>
        </w:tc>
        <w:tc>
          <w:tcPr>
            <w:tcW w:w="1387" w:type="dxa"/>
            <w:tcBorders>
              <w:top w:val="single" w:sz="4" w:space="0" w:color="auto"/>
            </w:tcBorders>
            <w:vAlign w:val="center"/>
          </w:tcPr>
          <w:p w14:paraId="0105342C" w14:textId="77777777" w:rsidR="00B54F0D" w:rsidRPr="00C2761A" w:rsidRDefault="00B54F0D" w:rsidP="00E96096">
            <w:pPr>
              <w:pStyle w:val="naisf"/>
              <w:spacing w:before="0" w:after="0"/>
              <w:ind w:firstLine="0"/>
              <w:jc w:val="center"/>
              <w:rPr>
                <w:bCs/>
              </w:rPr>
            </w:pPr>
            <w:r w:rsidRPr="00C2761A">
              <w:rPr>
                <w:bCs/>
              </w:rPr>
              <w:t>6</w:t>
            </w:r>
          </w:p>
        </w:tc>
      </w:tr>
      <w:tr w:rsidR="00B54F0D" w14:paraId="3D50C789" w14:textId="77777777" w:rsidTr="00097DB4">
        <w:trPr>
          <w:gridAfter w:val="1"/>
          <w:wAfter w:w="21" w:type="dxa"/>
          <w:trHeight w:val="379"/>
          <w:jc w:val="center"/>
        </w:trPr>
        <w:tc>
          <w:tcPr>
            <w:tcW w:w="1980" w:type="dxa"/>
          </w:tcPr>
          <w:p w14:paraId="3C94AC5F" w14:textId="77777777" w:rsidR="00B54F0D" w:rsidRPr="00C2761A" w:rsidRDefault="00B54F0D" w:rsidP="00E96096">
            <w:pPr>
              <w:pStyle w:val="naisf"/>
              <w:spacing w:before="0" w:after="0"/>
              <w:ind w:firstLine="0"/>
              <w:rPr>
                <w:i/>
              </w:rPr>
            </w:pPr>
            <w:r w:rsidRPr="00C2761A">
              <w:t>1.Budžeta ieņēmumi:</w:t>
            </w:r>
          </w:p>
        </w:tc>
        <w:tc>
          <w:tcPr>
            <w:tcW w:w="1522" w:type="dxa"/>
          </w:tcPr>
          <w:p w14:paraId="2EA58EFB" w14:textId="77777777" w:rsidR="00B54F0D" w:rsidRPr="00C2761A" w:rsidRDefault="00B54F0D" w:rsidP="00E96096">
            <w:pPr>
              <w:pStyle w:val="naisf"/>
              <w:spacing w:before="0" w:after="0"/>
              <w:ind w:firstLine="0"/>
              <w:jc w:val="center"/>
            </w:pPr>
            <w:r w:rsidRPr="00C2761A">
              <w:t>0</w:t>
            </w:r>
          </w:p>
        </w:tc>
        <w:tc>
          <w:tcPr>
            <w:tcW w:w="1171" w:type="dxa"/>
          </w:tcPr>
          <w:p w14:paraId="206AFE30" w14:textId="77777777" w:rsidR="00B54F0D" w:rsidRPr="00C2761A" w:rsidRDefault="00B54F0D" w:rsidP="00E96096">
            <w:pPr>
              <w:pStyle w:val="naisf"/>
              <w:spacing w:before="0" w:after="0"/>
              <w:ind w:firstLine="0"/>
              <w:jc w:val="center"/>
            </w:pPr>
            <w:r>
              <w:t>0</w:t>
            </w:r>
          </w:p>
        </w:tc>
        <w:tc>
          <w:tcPr>
            <w:tcW w:w="1331" w:type="dxa"/>
          </w:tcPr>
          <w:p w14:paraId="43A64A75" w14:textId="15AA82F0" w:rsidR="00B54F0D" w:rsidRPr="007E49FA" w:rsidRDefault="00F31223" w:rsidP="003C0D29">
            <w:pPr>
              <w:jc w:val="center"/>
              <w:rPr>
                <w:color w:val="000000"/>
              </w:rPr>
            </w:pPr>
            <w:r w:rsidRPr="007E49FA">
              <w:rPr>
                <w:lang w:bidi="lo-LA"/>
              </w:rPr>
              <w:t>10 296 472</w:t>
            </w:r>
          </w:p>
        </w:tc>
        <w:tc>
          <w:tcPr>
            <w:tcW w:w="1372" w:type="dxa"/>
          </w:tcPr>
          <w:p w14:paraId="5D834E3B" w14:textId="496E783F" w:rsidR="00B54F0D" w:rsidRPr="007E49FA" w:rsidRDefault="00F31223" w:rsidP="00D53BA6">
            <w:pPr>
              <w:jc w:val="center"/>
              <w:rPr>
                <w:color w:val="000000"/>
              </w:rPr>
            </w:pPr>
            <w:r w:rsidRPr="007E49FA">
              <w:rPr>
                <w:lang w:bidi="lo-LA"/>
              </w:rPr>
              <w:t>2</w:t>
            </w:r>
            <w:r w:rsidR="00D53BA6" w:rsidRPr="007E49FA">
              <w:rPr>
                <w:lang w:bidi="lo-LA"/>
              </w:rPr>
              <w:t>0</w:t>
            </w:r>
            <w:r w:rsidRPr="007E49FA">
              <w:rPr>
                <w:lang w:bidi="lo-LA"/>
              </w:rPr>
              <w:t xml:space="preserve"> </w:t>
            </w:r>
            <w:r w:rsidR="00D53BA6" w:rsidRPr="007E49FA">
              <w:rPr>
                <w:lang w:bidi="lo-LA"/>
              </w:rPr>
              <w:t>592</w:t>
            </w:r>
            <w:r w:rsidRPr="007E49FA">
              <w:rPr>
                <w:lang w:bidi="lo-LA"/>
              </w:rPr>
              <w:t xml:space="preserve"> </w:t>
            </w:r>
            <w:r w:rsidR="00D53BA6" w:rsidRPr="007E49FA">
              <w:rPr>
                <w:lang w:bidi="lo-LA"/>
              </w:rPr>
              <w:t>945</w:t>
            </w:r>
          </w:p>
        </w:tc>
        <w:tc>
          <w:tcPr>
            <w:tcW w:w="1387" w:type="dxa"/>
          </w:tcPr>
          <w:p w14:paraId="115D2493" w14:textId="2E05AAA9" w:rsidR="00B54F0D" w:rsidRPr="007E49FA" w:rsidRDefault="00D53BA6" w:rsidP="00E96096">
            <w:pPr>
              <w:jc w:val="center"/>
              <w:rPr>
                <w:color w:val="000000"/>
              </w:rPr>
            </w:pPr>
            <w:r w:rsidRPr="007E49FA">
              <w:rPr>
                <w:lang w:bidi="lo-LA"/>
              </w:rPr>
              <w:t>20 592 945</w:t>
            </w:r>
          </w:p>
        </w:tc>
      </w:tr>
      <w:tr w:rsidR="00B54F0D" w14:paraId="7D2ECC49" w14:textId="77777777" w:rsidTr="00097DB4">
        <w:trPr>
          <w:gridAfter w:val="1"/>
          <w:wAfter w:w="21" w:type="dxa"/>
          <w:jc w:val="center"/>
        </w:trPr>
        <w:tc>
          <w:tcPr>
            <w:tcW w:w="1980" w:type="dxa"/>
          </w:tcPr>
          <w:p w14:paraId="5F03AC15" w14:textId="77777777" w:rsidR="00B54F0D" w:rsidRPr="00C2761A" w:rsidRDefault="00B54F0D" w:rsidP="00E96096">
            <w:r w:rsidRPr="00C2761A">
              <w:rPr>
                <w:rFonts w:eastAsia="Calibri"/>
              </w:rPr>
              <w:t>1.1. valsts pamatbudžets, tai skaitā ieņēmumi no maksas pakalpojumiem un citi pašu ieņēmumi</w:t>
            </w:r>
          </w:p>
        </w:tc>
        <w:tc>
          <w:tcPr>
            <w:tcW w:w="1522" w:type="dxa"/>
          </w:tcPr>
          <w:p w14:paraId="2AED8F40" w14:textId="77777777" w:rsidR="00B54F0D" w:rsidRPr="00C2761A" w:rsidRDefault="00B54F0D" w:rsidP="00E96096">
            <w:pPr>
              <w:pStyle w:val="naisf"/>
              <w:spacing w:before="0" w:after="0"/>
              <w:ind w:firstLine="0"/>
              <w:jc w:val="center"/>
            </w:pPr>
            <w:r w:rsidRPr="00C2761A">
              <w:rPr>
                <w:rFonts w:eastAsia="Calibri"/>
              </w:rPr>
              <w:t>0</w:t>
            </w:r>
          </w:p>
        </w:tc>
        <w:tc>
          <w:tcPr>
            <w:tcW w:w="1171" w:type="dxa"/>
          </w:tcPr>
          <w:p w14:paraId="769D5A1F" w14:textId="77777777" w:rsidR="00B54F0D" w:rsidRPr="00C2761A" w:rsidRDefault="00B54F0D" w:rsidP="00E96096">
            <w:pPr>
              <w:pStyle w:val="naisf"/>
              <w:spacing w:before="0" w:after="0"/>
              <w:ind w:firstLine="0"/>
              <w:jc w:val="center"/>
            </w:pPr>
            <w:r>
              <w:t>0</w:t>
            </w:r>
          </w:p>
        </w:tc>
        <w:tc>
          <w:tcPr>
            <w:tcW w:w="1331" w:type="dxa"/>
          </w:tcPr>
          <w:p w14:paraId="0D97493B" w14:textId="186B851D" w:rsidR="00B54F0D" w:rsidRPr="007E49FA" w:rsidRDefault="00F31223" w:rsidP="003C0D29">
            <w:pPr>
              <w:jc w:val="center"/>
              <w:rPr>
                <w:color w:val="000000"/>
              </w:rPr>
            </w:pPr>
            <w:r w:rsidRPr="007E49FA">
              <w:rPr>
                <w:lang w:bidi="lo-LA"/>
              </w:rPr>
              <w:t>10 296 472</w:t>
            </w:r>
          </w:p>
        </w:tc>
        <w:tc>
          <w:tcPr>
            <w:tcW w:w="1372" w:type="dxa"/>
          </w:tcPr>
          <w:p w14:paraId="7FE11A8C" w14:textId="6196070A" w:rsidR="00B54F0D" w:rsidRPr="007E49FA" w:rsidRDefault="00D53BA6" w:rsidP="00E96096">
            <w:pPr>
              <w:jc w:val="center"/>
              <w:rPr>
                <w:color w:val="000000"/>
              </w:rPr>
            </w:pPr>
            <w:r w:rsidRPr="007E49FA">
              <w:rPr>
                <w:lang w:bidi="lo-LA"/>
              </w:rPr>
              <w:t>20 592 945</w:t>
            </w:r>
          </w:p>
        </w:tc>
        <w:tc>
          <w:tcPr>
            <w:tcW w:w="1387" w:type="dxa"/>
          </w:tcPr>
          <w:p w14:paraId="79C45CF3" w14:textId="49296762" w:rsidR="00B54F0D" w:rsidRPr="007E49FA" w:rsidRDefault="00D53BA6" w:rsidP="00E96096">
            <w:pPr>
              <w:jc w:val="center"/>
              <w:rPr>
                <w:color w:val="000000"/>
              </w:rPr>
            </w:pPr>
            <w:r w:rsidRPr="007E49FA">
              <w:rPr>
                <w:lang w:bidi="lo-LA"/>
              </w:rPr>
              <w:t>20 592 945</w:t>
            </w:r>
          </w:p>
        </w:tc>
      </w:tr>
      <w:tr w:rsidR="00B54F0D" w:rsidRPr="003C4140" w14:paraId="669EE003" w14:textId="77777777" w:rsidTr="00097DB4">
        <w:trPr>
          <w:gridAfter w:val="1"/>
          <w:wAfter w:w="21" w:type="dxa"/>
          <w:jc w:val="center"/>
        </w:trPr>
        <w:tc>
          <w:tcPr>
            <w:tcW w:w="1980" w:type="dxa"/>
          </w:tcPr>
          <w:p w14:paraId="07601006" w14:textId="77777777" w:rsidR="00B54F0D" w:rsidRPr="00C2761A" w:rsidRDefault="00B54F0D" w:rsidP="00E96096">
            <w:r w:rsidRPr="00C2761A">
              <w:rPr>
                <w:rFonts w:eastAsia="Calibri"/>
              </w:rPr>
              <w:t>1.2. valsts speciālais budžets</w:t>
            </w:r>
          </w:p>
        </w:tc>
        <w:tc>
          <w:tcPr>
            <w:tcW w:w="1522" w:type="dxa"/>
          </w:tcPr>
          <w:p w14:paraId="0B536144" w14:textId="77777777" w:rsidR="00B54F0D" w:rsidRPr="00C2761A" w:rsidRDefault="00B54F0D" w:rsidP="00E96096">
            <w:pPr>
              <w:pStyle w:val="naisf"/>
              <w:spacing w:before="0" w:after="0"/>
              <w:ind w:firstLine="0"/>
              <w:jc w:val="center"/>
            </w:pPr>
            <w:r w:rsidRPr="00C2761A">
              <w:rPr>
                <w:rFonts w:eastAsia="Calibri"/>
              </w:rPr>
              <w:t>0</w:t>
            </w:r>
          </w:p>
        </w:tc>
        <w:tc>
          <w:tcPr>
            <w:tcW w:w="1171" w:type="dxa"/>
          </w:tcPr>
          <w:p w14:paraId="18C73231" w14:textId="77777777" w:rsidR="00B54F0D" w:rsidRPr="00C2761A" w:rsidRDefault="00B54F0D" w:rsidP="00E96096">
            <w:pPr>
              <w:pStyle w:val="naisf"/>
              <w:spacing w:before="0" w:after="0"/>
              <w:ind w:firstLine="0"/>
              <w:jc w:val="center"/>
            </w:pPr>
            <w:r w:rsidRPr="00C2761A">
              <w:rPr>
                <w:rFonts w:eastAsia="Calibri"/>
              </w:rPr>
              <w:t>0</w:t>
            </w:r>
          </w:p>
        </w:tc>
        <w:tc>
          <w:tcPr>
            <w:tcW w:w="1331" w:type="dxa"/>
          </w:tcPr>
          <w:p w14:paraId="2CDD3607" w14:textId="77777777" w:rsidR="00B54F0D" w:rsidRPr="007E49FA" w:rsidRDefault="00B54F0D" w:rsidP="00E96096">
            <w:pPr>
              <w:pStyle w:val="naisf"/>
              <w:spacing w:before="0" w:after="0"/>
              <w:ind w:firstLine="0"/>
              <w:jc w:val="center"/>
            </w:pPr>
            <w:r w:rsidRPr="007E49FA">
              <w:rPr>
                <w:rFonts w:eastAsia="Calibri"/>
              </w:rPr>
              <w:t>0</w:t>
            </w:r>
          </w:p>
        </w:tc>
        <w:tc>
          <w:tcPr>
            <w:tcW w:w="1372" w:type="dxa"/>
          </w:tcPr>
          <w:p w14:paraId="3D6E752C" w14:textId="77777777" w:rsidR="00B54F0D" w:rsidRPr="007E49FA" w:rsidRDefault="00B54F0D" w:rsidP="00E96096">
            <w:pPr>
              <w:pStyle w:val="naisf"/>
              <w:spacing w:before="0" w:after="0"/>
              <w:ind w:firstLine="0"/>
              <w:jc w:val="center"/>
            </w:pPr>
            <w:r w:rsidRPr="007E49FA">
              <w:rPr>
                <w:rFonts w:eastAsia="Calibri"/>
              </w:rPr>
              <w:t>0</w:t>
            </w:r>
          </w:p>
        </w:tc>
        <w:tc>
          <w:tcPr>
            <w:tcW w:w="1387" w:type="dxa"/>
          </w:tcPr>
          <w:p w14:paraId="5191EF87" w14:textId="77777777" w:rsidR="00B54F0D" w:rsidRPr="007E49FA" w:rsidRDefault="00B54F0D" w:rsidP="00E96096">
            <w:pPr>
              <w:pStyle w:val="naisf"/>
              <w:spacing w:before="0" w:after="0"/>
              <w:ind w:firstLine="0"/>
              <w:jc w:val="center"/>
            </w:pPr>
            <w:r w:rsidRPr="007E49FA">
              <w:rPr>
                <w:rFonts w:eastAsia="Calibri"/>
              </w:rPr>
              <w:t>0</w:t>
            </w:r>
          </w:p>
        </w:tc>
      </w:tr>
      <w:tr w:rsidR="00B54F0D" w:rsidRPr="003C4140" w14:paraId="281A0405" w14:textId="77777777" w:rsidTr="00097DB4">
        <w:trPr>
          <w:gridAfter w:val="1"/>
          <w:wAfter w:w="21" w:type="dxa"/>
          <w:jc w:val="center"/>
        </w:trPr>
        <w:tc>
          <w:tcPr>
            <w:tcW w:w="1980" w:type="dxa"/>
          </w:tcPr>
          <w:p w14:paraId="7804C859" w14:textId="77777777" w:rsidR="00B54F0D" w:rsidRPr="00C2761A" w:rsidRDefault="00B54F0D" w:rsidP="00E96096">
            <w:r w:rsidRPr="00C2761A">
              <w:rPr>
                <w:rFonts w:eastAsia="Calibri"/>
              </w:rPr>
              <w:t>1.3. pašvaldību budžets</w:t>
            </w:r>
          </w:p>
        </w:tc>
        <w:tc>
          <w:tcPr>
            <w:tcW w:w="1522" w:type="dxa"/>
          </w:tcPr>
          <w:p w14:paraId="6A8708CC" w14:textId="77777777" w:rsidR="00B54F0D" w:rsidRPr="00C2761A" w:rsidRDefault="00B54F0D" w:rsidP="00E96096">
            <w:pPr>
              <w:pStyle w:val="naisf"/>
              <w:spacing w:before="0" w:after="0"/>
              <w:ind w:firstLine="0"/>
              <w:jc w:val="center"/>
            </w:pPr>
            <w:r w:rsidRPr="00C2761A">
              <w:rPr>
                <w:rFonts w:eastAsia="Calibri"/>
              </w:rPr>
              <w:t>0</w:t>
            </w:r>
          </w:p>
        </w:tc>
        <w:tc>
          <w:tcPr>
            <w:tcW w:w="1171" w:type="dxa"/>
          </w:tcPr>
          <w:p w14:paraId="59696DB9" w14:textId="77777777" w:rsidR="00B54F0D" w:rsidRPr="00C2761A" w:rsidRDefault="00B54F0D" w:rsidP="00E96096">
            <w:pPr>
              <w:pStyle w:val="naisf"/>
              <w:spacing w:before="0" w:after="0"/>
              <w:ind w:firstLine="0"/>
              <w:jc w:val="center"/>
            </w:pPr>
            <w:r w:rsidRPr="00C2761A">
              <w:rPr>
                <w:rFonts w:eastAsia="Calibri"/>
              </w:rPr>
              <w:t>0</w:t>
            </w:r>
          </w:p>
        </w:tc>
        <w:tc>
          <w:tcPr>
            <w:tcW w:w="1331" w:type="dxa"/>
          </w:tcPr>
          <w:p w14:paraId="3CA33676" w14:textId="77777777" w:rsidR="00B54F0D" w:rsidRPr="007E49FA" w:rsidRDefault="00B54F0D" w:rsidP="00E96096">
            <w:pPr>
              <w:pStyle w:val="naisf"/>
              <w:spacing w:before="0" w:after="0"/>
              <w:ind w:firstLine="0"/>
              <w:jc w:val="center"/>
            </w:pPr>
            <w:r w:rsidRPr="007E49FA">
              <w:rPr>
                <w:rFonts w:eastAsia="Calibri"/>
              </w:rPr>
              <w:t>0</w:t>
            </w:r>
          </w:p>
        </w:tc>
        <w:tc>
          <w:tcPr>
            <w:tcW w:w="1372" w:type="dxa"/>
          </w:tcPr>
          <w:p w14:paraId="5C6D280E" w14:textId="77777777" w:rsidR="00B54F0D" w:rsidRPr="007E49FA" w:rsidRDefault="00B54F0D" w:rsidP="00E96096">
            <w:pPr>
              <w:pStyle w:val="naisf"/>
              <w:spacing w:before="0" w:after="0"/>
              <w:ind w:firstLine="0"/>
              <w:jc w:val="center"/>
            </w:pPr>
            <w:r w:rsidRPr="007E49FA">
              <w:rPr>
                <w:rFonts w:eastAsia="Calibri"/>
              </w:rPr>
              <w:t>0</w:t>
            </w:r>
          </w:p>
        </w:tc>
        <w:tc>
          <w:tcPr>
            <w:tcW w:w="1387" w:type="dxa"/>
          </w:tcPr>
          <w:p w14:paraId="62A67D19" w14:textId="77777777" w:rsidR="00B54F0D" w:rsidRPr="007E49FA" w:rsidRDefault="00B54F0D" w:rsidP="00E96096">
            <w:pPr>
              <w:pStyle w:val="naisf"/>
              <w:spacing w:before="0" w:after="0"/>
              <w:ind w:firstLine="0"/>
              <w:jc w:val="center"/>
            </w:pPr>
            <w:r w:rsidRPr="007E49FA">
              <w:rPr>
                <w:rFonts w:eastAsia="Calibri"/>
              </w:rPr>
              <w:t>0</w:t>
            </w:r>
          </w:p>
        </w:tc>
      </w:tr>
      <w:tr w:rsidR="00B54F0D" w14:paraId="10A77D82" w14:textId="77777777" w:rsidTr="00097DB4">
        <w:trPr>
          <w:gridAfter w:val="1"/>
          <w:wAfter w:w="21" w:type="dxa"/>
          <w:jc w:val="center"/>
        </w:trPr>
        <w:tc>
          <w:tcPr>
            <w:tcW w:w="1980" w:type="dxa"/>
          </w:tcPr>
          <w:p w14:paraId="091908CA" w14:textId="77777777" w:rsidR="00B54F0D" w:rsidRPr="00C2761A" w:rsidRDefault="00B54F0D" w:rsidP="00E96096">
            <w:r w:rsidRPr="00C2761A">
              <w:t>2. Budžeta izdevumi:</w:t>
            </w:r>
          </w:p>
        </w:tc>
        <w:tc>
          <w:tcPr>
            <w:tcW w:w="1522" w:type="dxa"/>
          </w:tcPr>
          <w:p w14:paraId="2072E01D" w14:textId="77777777" w:rsidR="00B54F0D" w:rsidRPr="00C2761A" w:rsidRDefault="00B54F0D" w:rsidP="00E96096">
            <w:pPr>
              <w:pStyle w:val="naisf"/>
              <w:spacing w:before="0" w:after="0"/>
              <w:ind w:firstLine="0"/>
              <w:jc w:val="center"/>
            </w:pPr>
            <w:r w:rsidRPr="00C2761A">
              <w:t>0</w:t>
            </w:r>
          </w:p>
        </w:tc>
        <w:tc>
          <w:tcPr>
            <w:tcW w:w="1171" w:type="dxa"/>
          </w:tcPr>
          <w:p w14:paraId="720C6AE2" w14:textId="77777777" w:rsidR="00B54F0D" w:rsidRPr="00C2761A" w:rsidRDefault="00B54F0D" w:rsidP="00E96096">
            <w:pPr>
              <w:pStyle w:val="naisf"/>
              <w:spacing w:before="0" w:after="0"/>
              <w:ind w:firstLine="0"/>
              <w:jc w:val="center"/>
            </w:pPr>
            <w:r>
              <w:t>0</w:t>
            </w:r>
          </w:p>
        </w:tc>
        <w:tc>
          <w:tcPr>
            <w:tcW w:w="1331" w:type="dxa"/>
          </w:tcPr>
          <w:p w14:paraId="616D62B3" w14:textId="1BB41ED4" w:rsidR="00B54F0D" w:rsidRPr="007E49FA" w:rsidRDefault="00F31223" w:rsidP="00E96096">
            <w:pPr>
              <w:jc w:val="center"/>
              <w:rPr>
                <w:color w:val="000000"/>
                <w:highlight w:val="green"/>
              </w:rPr>
            </w:pPr>
            <w:r w:rsidRPr="007E49FA">
              <w:rPr>
                <w:color w:val="000000"/>
              </w:rPr>
              <w:t xml:space="preserve">12 025 262 </w:t>
            </w:r>
            <w:r w:rsidRPr="007E49FA">
              <w:rPr>
                <w:lang w:bidi="lo-LA"/>
              </w:rPr>
              <w:t xml:space="preserve"> </w:t>
            </w:r>
          </w:p>
        </w:tc>
        <w:tc>
          <w:tcPr>
            <w:tcW w:w="1372" w:type="dxa"/>
          </w:tcPr>
          <w:p w14:paraId="3C705DF2" w14:textId="49984B4E" w:rsidR="00B54F0D" w:rsidRPr="007E49FA" w:rsidRDefault="00F31223" w:rsidP="00E96096">
            <w:pPr>
              <w:jc w:val="center"/>
              <w:rPr>
                <w:color w:val="000000"/>
              </w:rPr>
            </w:pPr>
            <w:r w:rsidRPr="007E49FA">
              <w:rPr>
                <w:lang w:bidi="lo-LA"/>
              </w:rPr>
              <w:t>24 050 523</w:t>
            </w:r>
          </w:p>
        </w:tc>
        <w:tc>
          <w:tcPr>
            <w:tcW w:w="1387" w:type="dxa"/>
          </w:tcPr>
          <w:p w14:paraId="3DD0DC7D" w14:textId="473474F2" w:rsidR="00B54F0D" w:rsidRPr="007E49FA" w:rsidRDefault="00F31223" w:rsidP="00E96096">
            <w:pPr>
              <w:jc w:val="center"/>
              <w:rPr>
                <w:color w:val="000000"/>
              </w:rPr>
            </w:pPr>
            <w:r w:rsidRPr="007E49FA">
              <w:rPr>
                <w:lang w:bidi="lo-LA"/>
              </w:rPr>
              <w:t>24 050 523</w:t>
            </w:r>
          </w:p>
        </w:tc>
      </w:tr>
      <w:tr w:rsidR="00B54F0D" w14:paraId="1F80C181" w14:textId="77777777" w:rsidTr="00097DB4">
        <w:trPr>
          <w:gridAfter w:val="1"/>
          <w:wAfter w:w="21" w:type="dxa"/>
          <w:jc w:val="center"/>
        </w:trPr>
        <w:tc>
          <w:tcPr>
            <w:tcW w:w="1980" w:type="dxa"/>
          </w:tcPr>
          <w:p w14:paraId="04868C64" w14:textId="77777777" w:rsidR="00B54F0D" w:rsidRPr="00C2761A" w:rsidRDefault="00B54F0D" w:rsidP="00E96096">
            <w:r w:rsidRPr="00C2761A">
              <w:rPr>
                <w:rFonts w:eastAsia="Calibri"/>
              </w:rPr>
              <w:t>2.1. valsts pamatbudžets</w:t>
            </w:r>
          </w:p>
        </w:tc>
        <w:tc>
          <w:tcPr>
            <w:tcW w:w="1522" w:type="dxa"/>
            <w:shd w:val="clear" w:color="auto" w:fill="auto"/>
          </w:tcPr>
          <w:p w14:paraId="38C49997" w14:textId="77777777" w:rsidR="00B54F0D" w:rsidRPr="00C2761A" w:rsidRDefault="00B54F0D" w:rsidP="00E96096">
            <w:pPr>
              <w:pStyle w:val="naisf"/>
              <w:spacing w:before="0" w:after="0"/>
              <w:ind w:firstLine="0"/>
              <w:jc w:val="center"/>
            </w:pPr>
            <w:r w:rsidRPr="00C2761A">
              <w:rPr>
                <w:rFonts w:eastAsia="Calibri"/>
              </w:rPr>
              <w:t>0</w:t>
            </w:r>
          </w:p>
        </w:tc>
        <w:tc>
          <w:tcPr>
            <w:tcW w:w="1171" w:type="dxa"/>
            <w:shd w:val="clear" w:color="auto" w:fill="auto"/>
          </w:tcPr>
          <w:p w14:paraId="694517B6" w14:textId="77777777" w:rsidR="00B54F0D" w:rsidRPr="00C2761A" w:rsidRDefault="00B54F0D" w:rsidP="00E96096">
            <w:pPr>
              <w:pStyle w:val="naisf"/>
              <w:spacing w:before="0" w:after="0"/>
              <w:ind w:firstLine="0"/>
              <w:jc w:val="center"/>
            </w:pPr>
            <w:r>
              <w:t>0</w:t>
            </w:r>
          </w:p>
        </w:tc>
        <w:tc>
          <w:tcPr>
            <w:tcW w:w="1331" w:type="dxa"/>
          </w:tcPr>
          <w:p w14:paraId="1AAB8380" w14:textId="2F33911C" w:rsidR="00B54F0D" w:rsidRPr="007E49FA" w:rsidRDefault="00D53BA6" w:rsidP="00E96096">
            <w:pPr>
              <w:jc w:val="center"/>
              <w:rPr>
                <w:color w:val="000000"/>
                <w:highlight w:val="green"/>
              </w:rPr>
            </w:pPr>
            <w:r w:rsidRPr="007E49FA">
              <w:rPr>
                <w:color w:val="000000"/>
              </w:rPr>
              <w:t xml:space="preserve">12 025 262 </w:t>
            </w:r>
            <w:r w:rsidRPr="007E49FA">
              <w:rPr>
                <w:lang w:bidi="lo-LA"/>
              </w:rPr>
              <w:t xml:space="preserve"> </w:t>
            </w:r>
          </w:p>
        </w:tc>
        <w:tc>
          <w:tcPr>
            <w:tcW w:w="1372" w:type="dxa"/>
          </w:tcPr>
          <w:p w14:paraId="40E08BEF" w14:textId="7627C381" w:rsidR="00B54F0D" w:rsidRPr="007E49FA" w:rsidRDefault="00F31223" w:rsidP="00E96096">
            <w:pPr>
              <w:jc w:val="center"/>
              <w:rPr>
                <w:color w:val="000000"/>
              </w:rPr>
            </w:pPr>
            <w:r w:rsidRPr="007E49FA">
              <w:rPr>
                <w:lang w:bidi="lo-LA"/>
              </w:rPr>
              <w:t>24 050 523</w:t>
            </w:r>
          </w:p>
        </w:tc>
        <w:tc>
          <w:tcPr>
            <w:tcW w:w="1387" w:type="dxa"/>
          </w:tcPr>
          <w:p w14:paraId="01651FC7" w14:textId="5D9BB0F1" w:rsidR="00B54F0D" w:rsidRPr="007E49FA" w:rsidRDefault="00F31223" w:rsidP="00E96096">
            <w:pPr>
              <w:jc w:val="center"/>
              <w:rPr>
                <w:color w:val="000000"/>
              </w:rPr>
            </w:pPr>
            <w:r w:rsidRPr="007E49FA">
              <w:rPr>
                <w:lang w:bidi="lo-LA"/>
              </w:rPr>
              <w:t>24 050 523</w:t>
            </w:r>
          </w:p>
        </w:tc>
      </w:tr>
      <w:tr w:rsidR="00B54F0D" w:rsidRPr="003C4140" w14:paraId="348E8762" w14:textId="77777777" w:rsidTr="00097DB4">
        <w:trPr>
          <w:gridAfter w:val="1"/>
          <w:wAfter w:w="21" w:type="dxa"/>
          <w:jc w:val="center"/>
        </w:trPr>
        <w:tc>
          <w:tcPr>
            <w:tcW w:w="1980" w:type="dxa"/>
          </w:tcPr>
          <w:p w14:paraId="298C2BC9" w14:textId="77777777" w:rsidR="00B54F0D" w:rsidRPr="00C2761A" w:rsidRDefault="00B54F0D" w:rsidP="00E96096">
            <w:r w:rsidRPr="00C2761A">
              <w:rPr>
                <w:rFonts w:eastAsia="Calibri"/>
              </w:rPr>
              <w:t>2.2. valsts speciālais budžets</w:t>
            </w:r>
          </w:p>
        </w:tc>
        <w:tc>
          <w:tcPr>
            <w:tcW w:w="1522" w:type="dxa"/>
            <w:shd w:val="clear" w:color="auto" w:fill="auto"/>
          </w:tcPr>
          <w:p w14:paraId="01788CA9" w14:textId="77777777" w:rsidR="00B54F0D" w:rsidRPr="00C2761A" w:rsidRDefault="00B54F0D" w:rsidP="00E96096">
            <w:pPr>
              <w:pStyle w:val="naisf"/>
              <w:spacing w:before="0" w:after="0"/>
              <w:ind w:firstLine="0"/>
              <w:jc w:val="center"/>
            </w:pPr>
            <w:r w:rsidRPr="00C2761A">
              <w:rPr>
                <w:rFonts w:eastAsia="Calibri"/>
              </w:rPr>
              <w:t>0</w:t>
            </w:r>
          </w:p>
        </w:tc>
        <w:tc>
          <w:tcPr>
            <w:tcW w:w="1171" w:type="dxa"/>
            <w:shd w:val="clear" w:color="auto" w:fill="auto"/>
          </w:tcPr>
          <w:p w14:paraId="08B8E7EE" w14:textId="77777777" w:rsidR="00B54F0D" w:rsidRPr="00C2761A" w:rsidRDefault="00B54F0D" w:rsidP="00E96096">
            <w:pPr>
              <w:pStyle w:val="naisf"/>
              <w:spacing w:before="0" w:after="0"/>
              <w:ind w:firstLine="0"/>
              <w:jc w:val="center"/>
            </w:pPr>
            <w:r w:rsidRPr="00C2761A">
              <w:rPr>
                <w:rFonts w:eastAsia="Calibri"/>
              </w:rPr>
              <w:t>0</w:t>
            </w:r>
          </w:p>
        </w:tc>
        <w:tc>
          <w:tcPr>
            <w:tcW w:w="1331" w:type="dxa"/>
          </w:tcPr>
          <w:p w14:paraId="38A65DF5" w14:textId="77777777" w:rsidR="00B54F0D" w:rsidRPr="007E49FA" w:rsidRDefault="00B54F0D" w:rsidP="00E96096">
            <w:pPr>
              <w:pStyle w:val="naisf"/>
              <w:spacing w:before="0" w:after="0"/>
              <w:ind w:firstLine="0"/>
              <w:jc w:val="center"/>
            </w:pPr>
            <w:r w:rsidRPr="007E49FA">
              <w:rPr>
                <w:rFonts w:eastAsia="Calibri"/>
              </w:rPr>
              <w:t>0</w:t>
            </w:r>
          </w:p>
        </w:tc>
        <w:tc>
          <w:tcPr>
            <w:tcW w:w="1372" w:type="dxa"/>
          </w:tcPr>
          <w:p w14:paraId="616F4815" w14:textId="77777777" w:rsidR="00B54F0D" w:rsidRPr="007E49FA" w:rsidRDefault="00B54F0D" w:rsidP="00E96096">
            <w:pPr>
              <w:pStyle w:val="naisf"/>
              <w:spacing w:before="0" w:after="0"/>
              <w:ind w:firstLine="0"/>
              <w:jc w:val="center"/>
            </w:pPr>
            <w:r w:rsidRPr="007E49FA">
              <w:rPr>
                <w:rFonts w:eastAsia="Calibri"/>
              </w:rPr>
              <w:t>0</w:t>
            </w:r>
          </w:p>
        </w:tc>
        <w:tc>
          <w:tcPr>
            <w:tcW w:w="1387" w:type="dxa"/>
          </w:tcPr>
          <w:p w14:paraId="052D43CB" w14:textId="77777777" w:rsidR="00B54F0D" w:rsidRPr="007E49FA" w:rsidRDefault="00B54F0D" w:rsidP="00E96096">
            <w:pPr>
              <w:pStyle w:val="naisf"/>
              <w:spacing w:before="0" w:after="0"/>
              <w:ind w:firstLine="0"/>
              <w:jc w:val="center"/>
            </w:pPr>
            <w:r w:rsidRPr="007E49FA">
              <w:rPr>
                <w:rFonts w:eastAsia="Calibri"/>
              </w:rPr>
              <w:t>0</w:t>
            </w:r>
          </w:p>
        </w:tc>
      </w:tr>
      <w:tr w:rsidR="00B54F0D" w:rsidRPr="003C4140" w14:paraId="02A1267A" w14:textId="77777777" w:rsidTr="00097DB4">
        <w:trPr>
          <w:gridAfter w:val="1"/>
          <w:wAfter w:w="21" w:type="dxa"/>
          <w:jc w:val="center"/>
        </w:trPr>
        <w:tc>
          <w:tcPr>
            <w:tcW w:w="1980" w:type="dxa"/>
          </w:tcPr>
          <w:p w14:paraId="5AEC7CC3" w14:textId="77777777" w:rsidR="00B54F0D" w:rsidRPr="00C2761A" w:rsidRDefault="00B54F0D" w:rsidP="00E96096">
            <w:r w:rsidRPr="00C2761A">
              <w:rPr>
                <w:rFonts w:eastAsia="Calibri"/>
              </w:rPr>
              <w:t>2.3. pašvaldību budžets</w:t>
            </w:r>
          </w:p>
        </w:tc>
        <w:tc>
          <w:tcPr>
            <w:tcW w:w="1522" w:type="dxa"/>
            <w:shd w:val="clear" w:color="auto" w:fill="auto"/>
          </w:tcPr>
          <w:p w14:paraId="3D7B2D97" w14:textId="77777777" w:rsidR="00B54F0D" w:rsidRPr="00C2761A" w:rsidRDefault="00B54F0D" w:rsidP="00E96096">
            <w:pPr>
              <w:pStyle w:val="naisf"/>
              <w:spacing w:before="0" w:after="0"/>
              <w:ind w:firstLine="0"/>
              <w:jc w:val="center"/>
            </w:pPr>
            <w:r w:rsidRPr="00C2761A">
              <w:rPr>
                <w:rFonts w:eastAsia="Calibri"/>
              </w:rPr>
              <w:t>0</w:t>
            </w:r>
          </w:p>
        </w:tc>
        <w:tc>
          <w:tcPr>
            <w:tcW w:w="1171" w:type="dxa"/>
            <w:shd w:val="clear" w:color="auto" w:fill="auto"/>
          </w:tcPr>
          <w:p w14:paraId="3990D126" w14:textId="77777777" w:rsidR="00B54F0D" w:rsidRPr="00C2761A" w:rsidRDefault="00B54F0D" w:rsidP="00E96096">
            <w:pPr>
              <w:pStyle w:val="naisf"/>
              <w:spacing w:before="0" w:after="0"/>
              <w:ind w:firstLine="0"/>
              <w:jc w:val="center"/>
            </w:pPr>
            <w:r w:rsidRPr="00C2761A">
              <w:rPr>
                <w:rFonts w:eastAsia="Calibri"/>
              </w:rPr>
              <w:t>0</w:t>
            </w:r>
          </w:p>
        </w:tc>
        <w:tc>
          <w:tcPr>
            <w:tcW w:w="1331" w:type="dxa"/>
          </w:tcPr>
          <w:p w14:paraId="03B469BD" w14:textId="77777777" w:rsidR="00B54F0D" w:rsidRPr="007E49FA" w:rsidRDefault="00B54F0D" w:rsidP="00E96096">
            <w:pPr>
              <w:pStyle w:val="naisf"/>
              <w:spacing w:before="0" w:after="0"/>
              <w:ind w:firstLine="0"/>
              <w:jc w:val="center"/>
            </w:pPr>
            <w:r w:rsidRPr="007E49FA">
              <w:rPr>
                <w:rFonts w:eastAsia="Calibri"/>
              </w:rPr>
              <w:t>0</w:t>
            </w:r>
          </w:p>
        </w:tc>
        <w:tc>
          <w:tcPr>
            <w:tcW w:w="1372" w:type="dxa"/>
          </w:tcPr>
          <w:p w14:paraId="3B491D5A" w14:textId="77777777" w:rsidR="00B54F0D" w:rsidRPr="007E49FA" w:rsidRDefault="00B54F0D" w:rsidP="00E96096">
            <w:pPr>
              <w:pStyle w:val="naisf"/>
              <w:spacing w:before="0" w:after="0"/>
              <w:ind w:firstLine="0"/>
              <w:jc w:val="center"/>
            </w:pPr>
            <w:r w:rsidRPr="007E49FA">
              <w:rPr>
                <w:rFonts w:eastAsia="Calibri"/>
              </w:rPr>
              <w:t>0</w:t>
            </w:r>
          </w:p>
        </w:tc>
        <w:tc>
          <w:tcPr>
            <w:tcW w:w="1387" w:type="dxa"/>
          </w:tcPr>
          <w:p w14:paraId="7EF7C72E" w14:textId="77777777" w:rsidR="00B54F0D" w:rsidRPr="007E49FA" w:rsidRDefault="00B54F0D" w:rsidP="00E96096">
            <w:pPr>
              <w:pStyle w:val="naisf"/>
              <w:spacing w:before="0" w:after="0"/>
              <w:ind w:firstLine="0"/>
              <w:jc w:val="center"/>
            </w:pPr>
            <w:r w:rsidRPr="007E49FA">
              <w:rPr>
                <w:rFonts w:eastAsia="Calibri"/>
              </w:rPr>
              <w:t>0</w:t>
            </w:r>
          </w:p>
        </w:tc>
      </w:tr>
      <w:tr w:rsidR="00B54F0D" w14:paraId="441F634C" w14:textId="77777777" w:rsidTr="00097DB4">
        <w:trPr>
          <w:gridAfter w:val="1"/>
          <w:wAfter w:w="21" w:type="dxa"/>
          <w:jc w:val="center"/>
        </w:trPr>
        <w:tc>
          <w:tcPr>
            <w:tcW w:w="1980" w:type="dxa"/>
          </w:tcPr>
          <w:p w14:paraId="7B4DC60C" w14:textId="77777777" w:rsidR="00B54F0D" w:rsidRPr="00C2761A" w:rsidRDefault="00B54F0D" w:rsidP="00E96096">
            <w:r w:rsidRPr="00C2761A">
              <w:t>3. Finansiālā ietekme:</w:t>
            </w:r>
          </w:p>
        </w:tc>
        <w:tc>
          <w:tcPr>
            <w:tcW w:w="1522" w:type="dxa"/>
            <w:shd w:val="clear" w:color="auto" w:fill="auto"/>
          </w:tcPr>
          <w:p w14:paraId="71B3AF3F" w14:textId="77777777" w:rsidR="00B54F0D" w:rsidRPr="00C2761A" w:rsidRDefault="00B54F0D" w:rsidP="00E96096">
            <w:pPr>
              <w:pStyle w:val="naisf"/>
              <w:spacing w:before="0" w:after="0"/>
              <w:ind w:firstLine="0"/>
              <w:jc w:val="center"/>
            </w:pPr>
            <w:r w:rsidRPr="00C2761A">
              <w:t>0</w:t>
            </w:r>
          </w:p>
        </w:tc>
        <w:tc>
          <w:tcPr>
            <w:tcW w:w="1171" w:type="dxa"/>
            <w:shd w:val="clear" w:color="auto" w:fill="auto"/>
          </w:tcPr>
          <w:p w14:paraId="15570298" w14:textId="77777777" w:rsidR="00B54F0D" w:rsidRPr="003C4140" w:rsidRDefault="00B54F0D" w:rsidP="00E96096">
            <w:pPr>
              <w:pStyle w:val="naisf"/>
              <w:spacing w:before="0" w:after="0"/>
              <w:ind w:firstLine="0"/>
              <w:jc w:val="center"/>
            </w:pPr>
            <w:r>
              <w:t>0</w:t>
            </w:r>
          </w:p>
        </w:tc>
        <w:tc>
          <w:tcPr>
            <w:tcW w:w="1331" w:type="dxa"/>
          </w:tcPr>
          <w:p w14:paraId="460B3AB0" w14:textId="0DB8220E" w:rsidR="00B54F0D" w:rsidRPr="007E49FA" w:rsidRDefault="00B54F0D" w:rsidP="00E96096">
            <w:pPr>
              <w:jc w:val="center"/>
              <w:rPr>
                <w:color w:val="000000"/>
              </w:rPr>
            </w:pPr>
            <w:r w:rsidRPr="007E49FA">
              <w:rPr>
                <w:color w:val="000000"/>
              </w:rPr>
              <w:t>-</w:t>
            </w:r>
            <w:r w:rsidR="00F31223" w:rsidRPr="007E49FA">
              <w:rPr>
                <w:lang w:bidi="lo-LA"/>
              </w:rPr>
              <w:t>1 728 790</w:t>
            </w:r>
          </w:p>
        </w:tc>
        <w:tc>
          <w:tcPr>
            <w:tcW w:w="1372" w:type="dxa"/>
          </w:tcPr>
          <w:p w14:paraId="37D757FE" w14:textId="3575DEF9" w:rsidR="00B54F0D" w:rsidRPr="007E49FA" w:rsidRDefault="00B54F0D" w:rsidP="00E96096">
            <w:pPr>
              <w:jc w:val="center"/>
              <w:rPr>
                <w:color w:val="000000"/>
              </w:rPr>
            </w:pPr>
            <w:r w:rsidRPr="007E49FA">
              <w:rPr>
                <w:color w:val="000000"/>
              </w:rPr>
              <w:t>-</w:t>
            </w:r>
            <w:r w:rsidR="00F31223" w:rsidRPr="007E49FA">
              <w:t>3 457 578</w:t>
            </w:r>
          </w:p>
        </w:tc>
        <w:tc>
          <w:tcPr>
            <w:tcW w:w="1387" w:type="dxa"/>
          </w:tcPr>
          <w:p w14:paraId="5B576DE2" w14:textId="77777777" w:rsidR="00B54F0D" w:rsidRPr="007E49FA" w:rsidRDefault="00B54F0D" w:rsidP="00E96096">
            <w:pPr>
              <w:jc w:val="center"/>
              <w:rPr>
                <w:color w:val="000000"/>
              </w:rPr>
            </w:pPr>
            <w:r w:rsidRPr="007E49FA">
              <w:rPr>
                <w:color w:val="000000"/>
              </w:rPr>
              <w:t>-3 457 578</w:t>
            </w:r>
          </w:p>
        </w:tc>
      </w:tr>
      <w:tr w:rsidR="00B54F0D" w14:paraId="7680DCA8" w14:textId="77777777" w:rsidTr="00097DB4">
        <w:trPr>
          <w:gridAfter w:val="1"/>
          <w:wAfter w:w="21" w:type="dxa"/>
          <w:jc w:val="center"/>
        </w:trPr>
        <w:tc>
          <w:tcPr>
            <w:tcW w:w="1980" w:type="dxa"/>
          </w:tcPr>
          <w:p w14:paraId="03313F8B" w14:textId="77777777" w:rsidR="00B54F0D" w:rsidRPr="00C2761A" w:rsidRDefault="00B54F0D" w:rsidP="00E96096">
            <w:r w:rsidRPr="00C2761A">
              <w:rPr>
                <w:rFonts w:eastAsia="Calibri"/>
              </w:rPr>
              <w:t>3.1. valsts pamatbudžets</w:t>
            </w:r>
          </w:p>
        </w:tc>
        <w:tc>
          <w:tcPr>
            <w:tcW w:w="1522" w:type="dxa"/>
            <w:shd w:val="clear" w:color="auto" w:fill="auto"/>
          </w:tcPr>
          <w:p w14:paraId="135F5E50" w14:textId="77777777" w:rsidR="00B54F0D" w:rsidRPr="00C2761A" w:rsidRDefault="00B54F0D" w:rsidP="00E96096">
            <w:pPr>
              <w:pStyle w:val="naisf"/>
              <w:spacing w:before="0" w:after="0"/>
              <w:ind w:firstLine="0"/>
              <w:jc w:val="center"/>
            </w:pPr>
            <w:r w:rsidRPr="00C2761A">
              <w:rPr>
                <w:rFonts w:eastAsia="Calibri"/>
              </w:rPr>
              <w:t>0</w:t>
            </w:r>
          </w:p>
        </w:tc>
        <w:tc>
          <w:tcPr>
            <w:tcW w:w="1171" w:type="dxa"/>
            <w:shd w:val="clear" w:color="auto" w:fill="auto"/>
          </w:tcPr>
          <w:p w14:paraId="4CB1D9FD" w14:textId="77777777" w:rsidR="00B54F0D" w:rsidRPr="003C4140" w:rsidRDefault="00B54F0D" w:rsidP="00E96096">
            <w:pPr>
              <w:pStyle w:val="naisf"/>
              <w:spacing w:before="0" w:after="0"/>
              <w:ind w:firstLine="0"/>
              <w:jc w:val="center"/>
            </w:pPr>
            <w:r>
              <w:t>0</w:t>
            </w:r>
          </w:p>
        </w:tc>
        <w:tc>
          <w:tcPr>
            <w:tcW w:w="1331" w:type="dxa"/>
          </w:tcPr>
          <w:p w14:paraId="5E048EDB" w14:textId="75561E08" w:rsidR="00B54F0D" w:rsidRPr="007E49FA" w:rsidRDefault="00BA3C35" w:rsidP="00E96096">
            <w:pPr>
              <w:jc w:val="center"/>
              <w:rPr>
                <w:color w:val="000000"/>
              </w:rPr>
            </w:pPr>
            <w:r w:rsidRPr="007E49FA">
              <w:rPr>
                <w:color w:val="000000"/>
              </w:rPr>
              <w:t>-</w:t>
            </w:r>
            <w:r w:rsidRPr="007E49FA">
              <w:rPr>
                <w:lang w:bidi="lo-LA"/>
              </w:rPr>
              <w:t>1 728 790</w:t>
            </w:r>
          </w:p>
        </w:tc>
        <w:tc>
          <w:tcPr>
            <w:tcW w:w="1372" w:type="dxa"/>
          </w:tcPr>
          <w:p w14:paraId="6FE9607E" w14:textId="77777777" w:rsidR="00B54F0D" w:rsidRPr="007E49FA" w:rsidRDefault="00B54F0D" w:rsidP="00E96096">
            <w:pPr>
              <w:jc w:val="center"/>
              <w:rPr>
                <w:color w:val="000000"/>
              </w:rPr>
            </w:pPr>
            <w:r w:rsidRPr="007E49FA">
              <w:rPr>
                <w:color w:val="000000"/>
              </w:rPr>
              <w:t>-3 457 578</w:t>
            </w:r>
          </w:p>
        </w:tc>
        <w:tc>
          <w:tcPr>
            <w:tcW w:w="1387" w:type="dxa"/>
          </w:tcPr>
          <w:p w14:paraId="6727A20E" w14:textId="77777777" w:rsidR="00B54F0D" w:rsidRPr="007E49FA" w:rsidRDefault="00B54F0D" w:rsidP="00E96096">
            <w:pPr>
              <w:jc w:val="center"/>
              <w:rPr>
                <w:color w:val="000000"/>
              </w:rPr>
            </w:pPr>
            <w:r w:rsidRPr="007E49FA">
              <w:rPr>
                <w:color w:val="000000"/>
              </w:rPr>
              <w:t>-3 457 578</w:t>
            </w:r>
          </w:p>
        </w:tc>
      </w:tr>
      <w:tr w:rsidR="00B54F0D" w:rsidRPr="00C2761A" w14:paraId="44FBE3DE" w14:textId="77777777" w:rsidTr="00097DB4">
        <w:trPr>
          <w:gridAfter w:val="1"/>
          <w:wAfter w:w="21" w:type="dxa"/>
          <w:jc w:val="center"/>
        </w:trPr>
        <w:tc>
          <w:tcPr>
            <w:tcW w:w="1980" w:type="dxa"/>
          </w:tcPr>
          <w:p w14:paraId="489E169C" w14:textId="77777777" w:rsidR="00B54F0D" w:rsidRPr="00C2761A" w:rsidRDefault="00B54F0D" w:rsidP="00E96096">
            <w:r w:rsidRPr="00C2761A">
              <w:rPr>
                <w:rFonts w:eastAsia="Calibri"/>
              </w:rPr>
              <w:t>3.2. speciālais budžets</w:t>
            </w:r>
          </w:p>
        </w:tc>
        <w:tc>
          <w:tcPr>
            <w:tcW w:w="1522" w:type="dxa"/>
            <w:shd w:val="clear" w:color="auto" w:fill="auto"/>
          </w:tcPr>
          <w:p w14:paraId="73D648FE" w14:textId="77777777" w:rsidR="00B54F0D" w:rsidRPr="00C2761A" w:rsidRDefault="00B54F0D" w:rsidP="00E96096">
            <w:pPr>
              <w:pStyle w:val="naisf"/>
              <w:spacing w:before="0" w:after="0"/>
              <w:ind w:firstLine="0"/>
              <w:jc w:val="center"/>
            </w:pPr>
            <w:r w:rsidRPr="00C2761A">
              <w:rPr>
                <w:rFonts w:eastAsia="Calibri"/>
              </w:rPr>
              <w:t>0</w:t>
            </w:r>
          </w:p>
        </w:tc>
        <w:tc>
          <w:tcPr>
            <w:tcW w:w="1171" w:type="dxa"/>
            <w:shd w:val="clear" w:color="auto" w:fill="auto"/>
          </w:tcPr>
          <w:p w14:paraId="7EBB2ECE" w14:textId="77777777" w:rsidR="00B54F0D" w:rsidRPr="00C2761A" w:rsidRDefault="00B54F0D" w:rsidP="00E96096">
            <w:pPr>
              <w:pStyle w:val="naisf"/>
              <w:spacing w:before="0" w:after="0"/>
              <w:ind w:firstLine="0"/>
              <w:jc w:val="center"/>
            </w:pPr>
            <w:r w:rsidRPr="00C2761A">
              <w:rPr>
                <w:rFonts w:eastAsia="Calibri"/>
              </w:rPr>
              <w:t>0</w:t>
            </w:r>
          </w:p>
        </w:tc>
        <w:tc>
          <w:tcPr>
            <w:tcW w:w="1331" w:type="dxa"/>
          </w:tcPr>
          <w:p w14:paraId="6DFFA2D3" w14:textId="77777777" w:rsidR="00B54F0D" w:rsidRPr="00C2761A" w:rsidRDefault="00B54F0D" w:rsidP="00E96096">
            <w:pPr>
              <w:pStyle w:val="naisf"/>
              <w:spacing w:before="0" w:after="0"/>
              <w:ind w:firstLine="0"/>
              <w:jc w:val="center"/>
            </w:pPr>
            <w:r w:rsidRPr="00C2761A">
              <w:rPr>
                <w:rFonts w:eastAsia="Calibri"/>
              </w:rPr>
              <w:t>0</w:t>
            </w:r>
          </w:p>
        </w:tc>
        <w:tc>
          <w:tcPr>
            <w:tcW w:w="1372" w:type="dxa"/>
          </w:tcPr>
          <w:p w14:paraId="03165A96" w14:textId="77777777" w:rsidR="00B54F0D" w:rsidRPr="00C2761A" w:rsidRDefault="00B54F0D" w:rsidP="00E96096">
            <w:pPr>
              <w:pStyle w:val="naisf"/>
              <w:spacing w:before="0" w:after="0"/>
              <w:ind w:firstLine="0"/>
              <w:jc w:val="center"/>
            </w:pPr>
            <w:r w:rsidRPr="00C2761A">
              <w:rPr>
                <w:rFonts w:eastAsia="Calibri"/>
              </w:rPr>
              <w:t>0</w:t>
            </w:r>
          </w:p>
        </w:tc>
        <w:tc>
          <w:tcPr>
            <w:tcW w:w="1387" w:type="dxa"/>
          </w:tcPr>
          <w:p w14:paraId="0B9DEF8E" w14:textId="77777777" w:rsidR="00B54F0D" w:rsidRPr="00C2761A" w:rsidRDefault="00B54F0D" w:rsidP="00E96096">
            <w:pPr>
              <w:pStyle w:val="naisf"/>
              <w:spacing w:before="0" w:after="0"/>
              <w:ind w:firstLine="0"/>
              <w:jc w:val="center"/>
            </w:pPr>
            <w:r w:rsidRPr="00C2761A">
              <w:rPr>
                <w:rFonts w:eastAsia="Calibri"/>
              </w:rPr>
              <w:t>0</w:t>
            </w:r>
          </w:p>
        </w:tc>
      </w:tr>
      <w:tr w:rsidR="00B54F0D" w:rsidRPr="00C2761A" w14:paraId="5FA07D8A" w14:textId="77777777" w:rsidTr="00097DB4">
        <w:trPr>
          <w:gridAfter w:val="1"/>
          <w:wAfter w:w="21" w:type="dxa"/>
          <w:jc w:val="center"/>
        </w:trPr>
        <w:tc>
          <w:tcPr>
            <w:tcW w:w="1980" w:type="dxa"/>
          </w:tcPr>
          <w:p w14:paraId="0E619ED9" w14:textId="77777777" w:rsidR="00B54F0D" w:rsidRPr="00C2761A" w:rsidRDefault="00B54F0D" w:rsidP="00E96096">
            <w:r w:rsidRPr="00C2761A">
              <w:rPr>
                <w:rFonts w:eastAsia="Calibri"/>
              </w:rPr>
              <w:t>3.3. pašvaldību budžets</w:t>
            </w:r>
          </w:p>
        </w:tc>
        <w:tc>
          <w:tcPr>
            <w:tcW w:w="1522" w:type="dxa"/>
            <w:shd w:val="clear" w:color="auto" w:fill="auto"/>
          </w:tcPr>
          <w:p w14:paraId="5217A1E7" w14:textId="77777777" w:rsidR="00B54F0D" w:rsidRPr="007E49FA" w:rsidRDefault="00B54F0D" w:rsidP="00E96096">
            <w:pPr>
              <w:pStyle w:val="naisf"/>
              <w:spacing w:before="0" w:after="0"/>
              <w:ind w:firstLine="0"/>
              <w:jc w:val="center"/>
            </w:pPr>
            <w:r w:rsidRPr="007E49FA">
              <w:rPr>
                <w:rFonts w:eastAsia="Calibri"/>
              </w:rPr>
              <w:t>0</w:t>
            </w:r>
          </w:p>
        </w:tc>
        <w:tc>
          <w:tcPr>
            <w:tcW w:w="1171" w:type="dxa"/>
            <w:shd w:val="clear" w:color="auto" w:fill="auto"/>
          </w:tcPr>
          <w:p w14:paraId="6FAB0829" w14:textId="77777777" w:rsidR="00B54F0D" w:rsidRPr="007E49FA" w:rsidRDefault="00B54F0D" w:rsidP="00E96096">
            <w:pPr>
              <w:pStyle w:val="naisf"/>
              <w:spacing w:before="0" w:after="0"/>
              <w:ind w:firstLine="0"/>
              <w:jc w:val="center"/>
            </w:pPr>
            <w:r w:rsidRPr="007E49FA">
              <w:rPr>
                <w:rFonts w:eastAsia="Calibri"/>
              </w:rPr>
              <w:t>0</w:t>
            </w:r>
          </w:p>
        </w:tc>
        <w:tc>
          <w:tcPr>
            <w:tcW w:w="1331" w:type="dxa"/>
          </w:tcPr>
          <w:p w14:paraId="0F6506A8" w14:textId="77777777" w:rsidR="00B54F0D" w:rsidRPr="007E49FA" w:rsidRDefault="00B54F0D" w:rsidP="00E96096">
            <w:pPr>
              <w:pStyle w:val="naisf"/>
              <w:spacing w:before="0" w:after="0"/>
              <w:ind w:firstLine="0"/>
              <w:jc w:val="center"/>
            </w:pPr>
            <w:r w:rsidRPr="007E49FA">
              <w:rPr>
                <w:rFonts w:eastAsia="Calibri"/>
              </w:rPr>
              <w:t>0</w:t>
            </w:r>
          </w:p>
        </w:tc>
        <w:tc>
          <w:tcPr>
            <w:tcW w:w="1372" w:type="dxa"/>
          </w:tcPr>
          <w:p w14:paraId="31BD14F4" w14:textId="77777777" w:rsidR="00B54F0D" w:rsidRPr="00C2761A" w:rsidRDefault="00B54F0D" w:rsidP="00E96096">
            <w:pPr>
              <w:pStyle w:val="naisf"/>
              <w:spacing w:before="0" w:after="0"/>
              <w:ind w:firstLine="0"/>
              <w:jc w:val="center"/>
            </w:pPr>
            <w:r w:rsidRPr="00C2761A">
              <w:rPr>
                <w:rFonts w:eastAsia="Calibri"/>
              </w:rPr>
              <w:t>0</w:t>
            </w:r>
          </w:p>
        </w:tc>
        <w:tc>
          <w:tcPr>
            <w:tcW w:w="1387" w:type="dxa"/>
          </w:tcPr>
          <w:p w14:paraId="3DD997C7" w14:textId="77777777" w:rsidR="00B54F0D" w:rsidRPr="00C2761A" w:rsidRDefault="00B54F0D" w:rsidP="00E96096">
            <w:pPr>
              <w:pStyle w:val="naisf"/>
              <w:spacing w:before="0" w:after="0"/>
              <w:ind w:firstLine="0"/>
              <w:jc w:val="center"/>
            </w:pPr>
            <w:r w:rsidRPr="00C2761A">
              <w:rPr>
                <w:rFonts w:eastAsia="Calibri"/>
              </w:rPr>
              <w:t>0</w:t>
            </w:r>
          </w:p>
        </w:tc>
      </w:tr>
      <w:tr w:rsidR="00D53BA6" w:rsidRPr="00C2761A" w14:paraId="253EB4EE" w14:textId="77777777" w:rsidTr="00097DB4">
        <w:trPr>
          <w:gridAfter w:val="1"/>
          <w:wAfter w:w="21" w:type="dxa"/>
          <w:trHeight w:val="557"/>
          <w:jc w:val="center"/>
        </w:trPr>
        <w:tc>
          <w:tcPr>
            <w:tcW w:w="1980" w:type="dxa"/>
          </w:tcPr>
          <w:p w14:paraId="2AFD0594" w14:textId="77777777" w:rsidR="00D53BA6" w:rsidRPr="00C2761A" w:rsidRDefault="00D53BA6" w:rsidP="00D53BA6">
            <w:r w:rsidRPr="00C2761A">
              <w:t>4. Finanšu līdzekļi papildu izdevumu finansēšanai (kompensējošu izdevumu samazinājumu norāda ar "+" zīmi)</w:t>
            </w:r>
          </w:p>
        </w:tc>
        <w:tc>
          <w:tcPr>
            <w:tcW w:w="1522" w:type="dxa"/>
          </w:tcPr>
          <w:p w14:paraId="47CBCE90" w14:textId="0F40EA2F" w:rsidR="00D53BA6" w:rsidRPr="007E49FA" w:rsidRDefault="00D53BA6" w:rsidP="00D53BA6">
            <w:pPr>
              <w:pStyle w:val="naisf"/>
              <w:spacing w:before="0" w:after="0"/>
              <w:ind w:firstLine="0"/>
              <w:jc w:val="center"/>
            </w:pPr>
            <w:r w:rsidRPr="007E49FA">
              <w:t>0</w:t>
            </w:r>
          </w:p>
        </w:tc>
        <w:tc>
          <w:tcPr>
            <w:tcW w:w="1171" w:type="dxa"/>
          </w:tcPr>
          <w:p w14:paraId="70C0554F" w14:textId="5BA9197D" w:rsidR="00D53BA6" w:rsidRPr="007E49FA" w:rsidRDefault="00D53BA6" w:rsidP="00D53BA6">
            <w:pPr>
              <w:pStyle w:val="naisf"/>
              <w:spacing w:before="0" w:after="0"/>
              <w:ind w:firstLine="0"/>
              <w:jc w:val="center"/>
            </w:pPr>
            <w:r w:rsidRPr="007E49FA">
              <w:t>0</w:t>
            </w:r>
          </w:p>
        </w:tc>
        <w:tc>
          <w:tcPr>
            <w:tcW w:w="1331" w:type="dxa"/>
          </w:tcPr>
          <w:p w14:paraId="1D95A03A" w14:textId="07F6E8A5" w:rsidR="00D53BA6" w:rsidRPr="007E49FA" w:rsidRDefault="00BA3C35" w:rsidP="00D53BA6">
            <w:pPr>
              <w:pStyle w:val="naisf"/>
              <w:spacing w:before="0" w:after="0"/>
              <w:ind w:firstLine="0"/>
              <w:jc w:val="center"/>
            </w:pPr>
            <w:r w:rsidRPr="007E49FA">
              <w:rPr>
                <w:lang w:bidi="lo-LA"/>
              </w:rPr>
              <w:t>1 728 790</w:t>
            </w:r>
          </w:p>
        </w:tc>
        <w:tc>
          <w:tcPr>
            <w:tcW w:w="1372" w:type="dxa"/>
          </w:tcPr>
          <w:p w14:paraId="10309389" w14:textId="77A69808" w:rsidR="00D53BA6" w:rsidRPr="00A60180" w:rsidRDefault="00D53BA6" w:rsidP="00D53BA6">
            <w:pPr>
              <w:pStyle w:val="naisf"/>
              <w:spacing w:before="0" w:after="0"/>
              <w:ind w:firstLine="0"/>
              <w:jc w:val="center"/>
              <w:rPr>
                <w:b/>
              </w:rPr>
            </w:pPr>
            <w:r>
              <w:rPr>
                <w:color w:val="000000"/>
              </w:rPr>
              <w:t>3 457 578</w:t>
            </w:r>
          </w:p>
        </w:tc>
        <w:tc>
          <w:tcPr>
            <w:tcW w:w="1387" w:type="dxa"/>
          </w:tcPr>
          <w:p w14:paraId="3298A6AB" w14:textId="4D236D35" w:rsidR="00D53BA6" w:rsidRPr="00A60180" w:rsidRDefault="00D53BA6" w:rsidP="00D53BA6">
            <w:pPr>
              <w:pStyle w:val="naisf"/>
              <w:spacing w:before="0" w:after="0"/>
              <w:ind w:firstLine="0"/>
              <w:jc w:val="center"/>
              <w:rPr>
                <w:b/>
              </w:rPr>
            </w:pPr>
            <w:r>
              <w:rPr>
                <w:color w:val="000000"/>
              </w:rPr>
              <w:t>3 457 578</w:t>
            </w:r>
          </w:p>
        </w:tc>
      </w:tr>
      <w:tr w:rsidR="00B54F0D" w:rsidRPr="00C2761A" w14:paraId="744FBFFE" w14:textId="77777777" w:rsidTr="00097DB4">
        <w:trPr>
          <w:gridAfter w:val="1"/>
          <w:wAfter w:w="21" w:type="dxa"/>
          <w:jc w:val="center"/>
        </w:trPr>
        <w:tc>
          <w:tcPr>
            <w:tcW w:w="1980" w:type="dxa"/>
          </w:tcPr>
          <w:p w14:paraId="71AFDAE3" w14:textId="77777777" w:rsidR="00B54F0D" w:rsidRPr="00C2761A" w:rsidRDefault="00B54F0D" w:rsidP="00E96096">
            <w:r w:rsidRPr="00C2761A">
              <w:t>5. Precizēta finansiālā ietekme:</w:t>
            </w:r>
          </w:p>
        </w:tc>
        <w:tc>
          <w:tcPr>
            <w:tcW w:w="1522" w:type="dxa"/>
          </w:tcPr>
          <w:p w14:paraId="026D1ACC" w14:textId="77777777" w:rsidR="00B54F0D" w:rsidRPr="007E49FA" w:rsidRDefault="00B54F0D" w:rsidP="00E96096">
            <w:pPr>
              <w:jc w:val="center"/>
            </w:pPr>
            <w:r w:rsidRPr="007E49FA">
              <w:t>0</w:t>
            </w:r>
          </w:p>
        </w:tc>
        <w:tc>
          <w:tcPr>
            <w:tcW w:w="1171" w:type="dxa"/>
          </w:tcPr>
          <w:p w14:paraId="2EA9BFFA" w14:textId="77777777" w:rsidR="00B54F0D" w:rsidRPr="007E49FA" w:rsidRDefault="00B54F0D" w:rsidP="00E96096">
            <w:pPr>
              <w:jc w:val="center"/>
            </w:pPr>
            <w:r w:rsidRPr="007E49FA">
              <w:t>0</w:t>
            </w:r>
          </w:p>
        </w:tc>
        <w:tc>
          <w:tcPr>
            <w:tcW w:w="1331" w:type="dxa"/>
          </w:tcPr>
          <w:p w14:paraId="4136B8AF" w14:textId="77777777" w:rsidR="00B54F0D" w:rsidRPr="007E49FA" w:rsidRDefault="00B54F0D" w:rsidP="00E96096">
            <w:pPr>
              <w:jc w:val="center"/>
            </w:pPr>
            <w:r w:rsidRPr="007E49FA">
              <w:t>0</w:t>
            </w:r>
          </w:p>
        </w:tc>
        <w:tc>
          <w:tcPr>
            <w:tcW w:w="1372" w:type="dxa"/>
          </w:tcPr>
          <w:p w14:paraId="6B57DA67" w14:textId="77777777" w:rsidR="00B54F0D" w:rsidRPr="00C2761A" w:rsidRDefault="00B54F0D" w:rsidP="00E96096">
            <w:pPr>
              <w:jc w:val="center"/>
            </w:pPr>
            <w:r w:rsidRPr="00C2761A">
              <w:t>0</w:t>
            </w:r>
          </w:p>
        </w:tc>
        <w:tc>
          <w:tcPr>
            <w:tcW w:w="1387" w:type="dxa"/>
          </w:tcPr>
          <w:p w14:paraId="2462908A" w14:textId="77777777" w:rsidR="00B54F0D" w:rsidRPr="00C2761A" w:rsidRDefault="00B54F0D" w:rsidP="00E96096">
            <w:pPr>
              <w:jc w:val="center"/>
            </w:pPr>
            <w:r w:rsidRPr="00C2761A">
              <w:t>0</w:t>
            </w:r>
          </w:p>
        </w:tc>
      </w:tr>
      <w:tr w:rsidR="00B54F0D" w:rsidRPr="00C2761A" w:rsidDel="006E1301" w14:paraId="22D71A41" w14:textId="77777777" w:rsidTr="00097DB4">
        <w:trPr>
          <w:gridAfter w:val="1"/>
          <w:wAfter w:w="21" w:type="dxa"/>
          <w:jc w:val="center"/>
        </w:trPr>
        <w:tc>
          <w:tcPr>
            <w:tcW w:w="1980" w:type="dxa"/>
          </w:tcPr>
          <w:p w14:paraId="32856684" w14:textId="77777777" w:rsidR="00B54F0D" w:rsidRPr="00C2761A" w:rsidRDefault="00B54F0D" w:rsidP="00E96096">
            <w:r w:rsidRPr="00C2761A">
              <w:rPr>
                <w:rFonts w:eastAsia="Calibri"/>
              </w:rPr>
              <w:t>5.1. valsts pamatbudžets</w:t>
            </w:r>
          </w:p>
        </w:tc>
        <w:tc>
          <w:tcPr>
            <w:tcW w:w="1522" w:type="dxa"/>
          </w:tcPr>
          <w:p w14:paraId="42BA9784" w14:textId="77777777" w:rsidR="00B54F0D" w:rsidRPr="00C2761A" w:rsidDel="006E1301" w:rsidRDefault="00B54F0D" w:rsidP="00E96096">
            <w:pPr>
              <w:jc w:val="center"/>
            </w:pPr>
            <w:r w:rsidRPr="00C2761A">
              <w:t>0</w:t>
            </w:r>
          </w:p>
        </w:tc>
        <w:tc>
          <w:tcPr>
            <w:tcW w:w="1171" w:type="dxa"/>
          </w:tcPr>
          <w:p w14:paraId="0B537A53" w14:textId="77777777" w:rsidR="00B54F0D" w:rsidRPr="00C2761A" w:rsidDel="006E1301" w:rsidRDefault="00B54F0D" w:rsidP="00E96096">
            <w:pPr>
              <w:jc w:val="center"/>
            </w:pPr>
            <w:r w:rsidRPr="00C2761A">
              <w:t>0</w:t>
            </w:r>
          </w:p>
        </w:tc>
        <w:tc>
          <w:tcPr>
            <w:tcW w:w="1331" w:type="dxa"/>
          </w:tcPr>
          <w:p w14:paraId="1C886DB0" w14:textId="77777777" w:rsidR="00B54F0D" w:rsidRPr="00C2761A" w:rsidDel="006E1301" w:rsidRDefault="00B54F0D" w:rsidP="00E96096">
            <w:pPr>
              <w:jc w:val="center"/>
            </w:pPr>
            <w:r w:rsidRPr="00C2761A">
              <w:t>0</w:t>
            </w:r>
          </w:p>
        </w:tc>
        <w:tc>
          <w:tcPr>
            <w:tcW w:w="1372" w:type="dxa"/>
          </w:tcPr>
          <w:p w14:paraId="38E4C0DF" w14:textId="77777777" w:rsidR="00B54F0D" w:rsidRPr="00C2761A" w:rsidDel="006E1301" w:rsidRDefault="00B54F0D" w:rsidP="00E96096">
            <w:pPr>
              <w:jc w:val="center"/>
            </w:pPr>
            <w:r w:rsidRPr="00C2761A">
              <w:t>0</w:t>
            </w:r>
          </w:p>
        </w:tc>
        <w:tc>
          <w:tcPr>
            <w:tcW w:w="1387" w:type="dxa"/>
          </w:tcPr>
          <w:p w14:paraId="3AC7ECE0" w14:textId="77777777" w:rsidR="00B54F0D" w:rsidRPr="00C2761A" w:rsidDel="006E1301" w:rsidRDefault="00B54F0D" w:rsidP="00E96096">
            <w:pPr>
              <w:jc w:val="center"/>
            </w:pPr>
            <w:r w:rsidRPr="00C2761A">
              <w:t>0</w:t>
            </w:r>
          </w:p>
        </w:tc>
      </w:tr>
      <w:tr w:rsidR="00B54F0D" w:rsidRPr="00C2761A" w:rsidDel="006E1301" w14:paraId="4B988238" w14:textId="77777777" w:rsidTr="00097DB4">
        <w:trPr>
          <w:gridAfter w:val="1"/>
          <w:wAfter w:w="21" w:type="dxa"/>
          <w:jc w:val="center"/>
        </w:trPr>
        <w:tc>
          <w:tcPr>
            <w:tcW w:w="1980" w:type="dxa"/>
          </w:tcPr>
          <w:p w14:paraId="3116F107" w14:textId="77777777" w:rsidR="00B54F0D" w:rsidRPr="00C2761A" w:rsidRDefault="00B54F0D" w:rsidP="00E96096">
            <w:r w:rsidRPr="00C2761A">
              <w:rPr>
                <w:rFonts w:eastAsia="Calibri"/>
              </w:rPr>
              <w:t>5.2. speciālais budžets</w:t>
            </w:r>
          </w:p>
        </w:tc>
        <w:tc>
          <w:tcPr>
            <w:tcW w:w="1522" w:type="dxa"/>
          </w:tcPr>
          <w:p w14:paraId="582962F9" w14:textId="77777777" w:rsidR="00B54F0D" w:rsidRPr="00C2761A" w:rsidDel="006E1301" w:rsidRDefault="00B54F0D" w:rsidP="00E96096">
            <w:pPr>
              <w:jc w:val="center"/>
            </w:pPr>
            <w:r w:rsidRPr="00C2761A">
              <w:t>0</w:t>
            </w:r>
          </w:p>
        </w:tc>
        <w:tc>
          <w:tcPr>
            <w:tcW w:w="1171" w:type="dxa"/>
          </w:tcPr>
          <w:p w14:paraId="46C6C498" w14:textId="77777777" w:rsidR="00B54F0D" w:rsidRPr="00C2761A" w:rsidDel="006E1301" w:rsidRDefault="00B54F0D" w:rsidP="00E96096">
            <w:pPr>
              <w:jc w:val="center"/>
            </w:pPr>
            <w:r w:rsidRPr="00C2761A">
              <w:t>0</w:t>
            </w:r>
          </w:p>
        </w:tc>
        <w:tc>
          <w:tcPr>
            <w:tcW w:w="1331" w:type="dxa"/>
          </w:tcPr>
          <w:p w14:paraId="5270E8C3" w14:textId="77777777" w:rsidR="00B54F0D" w:rsidRPr="00C2761A" w:rsidDel="006E1301" w:rsidRDefault="00B54F0D" w:rsidP="00E96096">
            <w:pPr>
              <w:jc w:val="center"/>
            </w:pPr>
            <w:r w:rsidRPr="00C2761A">
              <w:t>0</w:t>
            </w:r>
          </w:p>
        </w:tc>
        <w:tc>
          <w:tcPr>
            <w:tcW w:w="1372" w:type="dxa"/>
          </w:tcPr>
          <w:p w14:paraId="509E701C" w14:textId="77777777" w:rsidR="00B54F0D" w:rsidRPr="00C2761A" w:rsidDel="006E1301" w:rsidRDefault="00B54F0D" w:rsidP="00E96096">
            <w:pPr>
              <w:jc w:val="center"/>
            </w:pPr>
            <w:r w:rsidRPr="00C2761A">
              <w:t>0</w:t>
            </w:r>
          </w:p>
        </w:tc>
        <w:tc>
          <w:tcPr>
            <w:tcW w:w="1387" w:type="dxa"/>
          </w:tcPr>
          <w:p w14:paraId="693FB1E5" w14:textId="77777777" w:rsidR="00B54F0D" w:rsidRPr="00C2761A" w:rsidDel="006E1301" w:rsidRDefault="00B54F0D" w:rsidP="00E96096">
            <w:pPr>
              <w:jc w:val="center"/>
            </w:pPr>
            <w:r w:rsidRPr="00C2761A">
              <w:t>0</w:t>
            </w:r>
          </w:p>
        </w:tc>
      </w:tr>
      <w:tr w:rsidR="00B54F0D" w:rsidRPr="00C2761A" w:rsidDel="006E1301" w14:paraId="3519A55E" w14:textId="77777777" w:rsidTr="00097DB4">
        <w:trPr>
          <w:gridAfter w:val="1"/>
          <w:wAfter w:w="21" w:type="dxa"/>
          <w:jc w:val="center"/>
        </w:trPr>
        <w:tc>
          <w:tcPr>
            <w:tcW w:w="1980" w:type="dxa"/>
          </w:tcPr>
          <w:p w14:paraId="34C88AFE" w14:textId="77777777" w:rsidR="00B54F0D" w:rsidRPr="00C2761A" w:rsidRDefault="00B54F0D" w:rsidP="00E96096">
            <w:r w:rsidRPr="00C2761A">
              <w:rPr>
                <w:rFonts w:eastAsia="Calibri"/>
              </w:rPr>
              <w:t>5.3. pašvaldību budžets</w:t>
            </w:r>
          </w:p>
        </w:tc>
        <w:tc>
          <w:tcPr>
            <w:tcW w:w="1522" w:type="dxa"/>
          </w:tcPr>
          <w:p w14:paraId="0C88F44A" w14:textId="77777777" w:rsidR="00B54F0D" w:rsidRPr="00C2761A" w:rsidDel="006E1301" w:rsidRDefault="00B54F0D" w:rsidP="00E96096">
            <w:pPr>
              <w:jc w:val="center"/>
            </w:pPr>
            <w:r w:rsidRPr="00C2761A">
              <w:t>0</w:t>
            </w:r>
          </w:p>
        </w:tc>
        <w:tc>
          <w:tcPr>
            <w:tcW w:w="1171" w:type="dxa"/>
          </w:tcPr>
          <w:p w14:paraId="7D106F54" w14:textId="77777777" w:rsidR="00B54F0D" w:rsidRPr="00C2761A" w:rsidDel="006E1301" w:rsidRDefault="00B54F0D" w:rsidP="00E96096">
            <w:pPr>
              <w:jc w:val="center"/>
            </w:pPr>
            <w:r w:rsidRPr="00C2761A">
              <w:t>0</w:t>
            </w:r>
          </w:p>
        </w:tc>
        <w:tc>
          <w:tcPr>
            <w:tcW w:w="1331" w:type="dxa"/>
          </w:tcPr>
          <w:p w14:paraId="7A8BEF69" w14:textId="77777777" w:rsidR="00B54F0D" w:rsidRPr="00C2761A" w:rsidDel="006E1301" w:rsidRDefault="00B54F0D" w:rsidP="00E96096">
            <w:pPr>
              <w:jc w:val="center"/>
            </w:pPr>
            <w:r w:rsidRPr="00C2761A">
              <w:t>0</w:t>
            </w:r>
          </w:p>
        </w:tc>
        <w:tc>
          <w:tcPr>
            <w:tcW w:w="1372" w:type="dxa"/>
          </w:tcPr>
          <w:p w14:paraId="656C7FC3" w14:textId="77777777" w:rsidR="00B54F0D" w:rsidRPr="00C2761A" w:rsidDel="006E1301" w:rsidRDefault="00B54F0D" w:rsidP="00E96096">
            <w:pPr>
              <w:jc w:val="center"/>
            </w:pPr>
            <w:r w:rsidRPr="00C2761A">
              <w:t>0</w:t>
            </w:r>
          </w:p>
        </w:tc>
        <w:tc>
          <w:tcPr>
            <w:tcW w:w="1387" w:type="dxa"/>
          </w:tcPr>
          <w:p w14:paraId="0E6E35FB" w14:textId="77777777" w:rsidR="00B54F0D" w:rsidRPr="00C2761A" w:rsidDel="006E1301" w:rsidRDefault="00B54F0D" w:rsidP="00E96096">
            <w:pPr>
              <w:jc w:val="center"/>
            </w:pPr>
            <w:r w:rsidRPr="00C2761A">
              <w:t>0</w:t>
            </w:r>
          </w:p>
        </w:tc>
      </w:tr>
      <w:tr w:rsidR="00B54F0D" w:rsidRPr="00D057A8" w14:paraId="1B99CDEB" w14:textId="77777777" w:rsidTr="00A60180">
        <w:trPr>
          <w:gridAfter w:val="1"/>
          <w:wAfter w:w="21" w:type="dxa"/>
          <w:jc w:val="center"/>
        </w:trPr>
        <w:tc>
          <w:tcPr>
            <w:tcW w:w="1980" w:type="dxa"/>
            <w:shd w:val="clear" w:color="auto" w:fill="auto"/>
          </w:tcPr>
          <w:p w14:paraId="33E9D00E" w14:textId="77777777" w:rsidR="00B54F0D" w:rsidRPr="00C2761A" w:rsidRDefault="00B54F0D" w:rsidP="00E96096">
            <w:r w:rsidRPr="00C2761A">
              <w:t>6. Detalizēts ieņēmumu un izdevumu aprēķins (ja nepie</w:t>
            </w:r>
            <w:r w:rsidRPr="00C2761A">
              <w:softHyphen/>
              <w:t>ciešams, detalizētu ieņēmumu un izdevumu aprēķinu var pie</w:t>
            </w:r>
            <w:r w:rsidRPr="00C2761A">
              <w:softHyphen/>
              <w:t>vienot anotācijas pielikumā):</w:t>
            </w:r>
          </w:p>
        </w:tc>
        <w:tc>
          <w:tcPr>
            <w:tcW w:w="6783" w:type="dxa"/>
            <w:gridSpan w:val="5"/>
            <w:shd w:val="clear" w:color="auto" w:fill="auto"/>
            <w:vAlign w:val="center"/>
          </w:tcPr>
          <w:p w14:paraId="2BDF78D0" w14:textId="28EF55F8" w:rsidR="00B54F0D" w:rsidRPr="007E49FA" w:rsidRDefault="00B54F0D" w:rsidP="002F726D">
            <w:pPr>
              <w:ind w:firstLine="249"/>
              <w:jc w:val="both"/>
              <w:rPr>
                <w:bCs/>
              </w:rPr>
            </w:pPr>
            <w:r w:rsidRPr="007E49FA">
              <w:rPr>
                <w:lang w:bidi="lo-LA"/>
              </w:rPr>
              <w:t xml:space="preserve">1.1.1.4. pasākuma plānotais kopējais </w:t>
            </w:r>
            <w:r w:rsidR="002F726D" w:rsidRPr="007E49FA">
              <w:rPr>
                <w:lang w:bidi="lo-LA"/>
              </w:rPr>
              <w:t xml:space="preserve">publiskais </w:t>
            </w:r>
            <w:r w:rsidRPr="007E49FA">
              <w:rPr>
                <w:lang w:bidi="lo-LA"/>
              </w:rPr>
              <w:t xml:space="preserve">finansējums (kopējās attiecināmās izmaksas) ir </w:t>
            </w:r>
            <w:r w:rsidRPr="007E49FA">
              <w:t>1</w:t>
            </w:r>
            <w:r w:rsidR="00FA454E" w:rsidRPr="007E49FA">
              <w:t>20</w:t>
            </w:r>
            <w:r w:rsidRPr="007E49FA">
              <w:t xml:space="preserve"> 252 616 </w:t>
            </w:r>
            <w:r w:rsidRPr="007E49FA">
              <w:rPr>
                <w:i/>
              </w:rPr>
              <w:t>euro</w:t>
            </w:r>
            <w:r w:rsidRPr="007E49FA">
              <w:t xml:space="preserve">, tai skaitā ERAF </w:t>
            </w:r>
            <w:r w:rsidR="00FA454E" w:rsidRPr="007E49FA">
              <w:t>102</w:t>
            </w:r>
            <w:r w:rsidRPr="007E49FA">
              <w:t xml:space="preserve"> 964 724 </w:t>
            </w:r>
            <w:r w:rsidRPr="007E49FA">
              <w:rPr>
                <w:i/>
              </w:rPr>
              <w:t>euro</w:t>
            </w:r>
            <w:r w:rsidRPr="007E49FA">
              <w:t xml:space="preserve"> un valsts budžeta finansējums 17 287 892 </w:t>
            </w:r>
            <w:r w:rsidRPr="007E49FA">
              <w:rPr>
                <w:i/>
              </w:rPr>
              <w:t>euro</w:t>
            </w:r>
            <w:r w:rsidRPr="007E49FA">
              <w:t>.</w:t>
            </w:r>
            <w:r w:rsidRPr="007E49FA">
              <w:rPr>
                <w:bCs/>
              </w:rPr>
              <w:t xml:space="preserve"> ERAF finansējuma intensitāte </w:t>
            </w:r>
            <w:r w:rsidR="00FA454E" w:rsidRPr="007E49FA">
              <w:rPr>
                <w:bCs/>
              </w:rPr>
              <w:t>ar saimniecisku darbību nesaistītiem projektiem un kombinēta atbalsta veid</w:t>
            </w:r>
            <w:r w:rsidR="00090671" w:rsidRPr="007E49FA">
              <w:rPr>
                <w:bCs/>
              </w:rPr>
              <w:t>a</w:t>
            </w:r>
            <w:r w:rsidR="00FA454E" w:rsidRPr="007E49FA">
              <w:rPr>
                <w:bCs/>
              </w:rPr>
              <w:t xml:space="preserve"> projekta ne-saimnieciskajai daļai </w:t>
            </w:r>
            <w:r w:rsidR="007A2E45" w:rsidRPr="007E49FA">
              <w:rPr>
                <w:bCs/>
              </w:rPr>
              <w:t>–</w:t>
            </w:r>
            <w:r w:rsidRPr="007E49FA">
              <w:rPr>
                <w:bCs/>
              </w:rPr>
              <w:t xml:space="preserve"> 85 %</w:t>
            </w:r>
            <w:r w:rsidR="003E28BA" w:rsidRPr="007E49FA">
              <w:rPr>
                <w:bCs/>
              </w:rPr>
              <w:t xml:space="preserve"> (izņemot Latvijas Universitātes Cietvielu Fizikas institūta gadījumu)</w:t>
            </w:r>
            <w:r w:rsidRPr="007E49FA">
              <w:rPr>
                <w:bCs/>
              </w:rPr>
              <w:t xml:space="preserve">. </w:t>
            </w:r>
          </w:p>
          <w:p w14:paraId="372A813B" w14:textId="4DC44B0B" w:rsidR="00B54F0D" w:rsidRPr="007E49FA" w:rsidRDefault="00B54F0D" w:rsidP="002F726D">
            <w:pPr>
              <w:ind w:firstLine="249"/>
              <w:jc w:val="both"/>
              <w:rPr>
                <w:lang w:bidi="lo-LA"/>
              </w:rPr>
            </w:pPr>
            <w:r w:rsidRPr="007E49FA">
              <w:rPr>
                <w:lang w:bidi="lo-LA"/>
              </w:rPr>
              <w:t xml:space="preserve">Budžeta ieņēmumi ir finansējuma ERAF daļa 85 procentu apmērā no </w:t>
            </w:r>
            <w:r w:rsidR="00653966">
              <w:rPr>
                <w:lang w:bidi="lo-LA"/>
              </w:rPr>
              <w:t xml:space="preserve">ar saimniecisku darbību nesaistītu </w:t>
            </w:r>
            <w:r w:rsidRPr="007E49FA">
              <w:rPr>
                <w:lang w:bidi="lo-LA"/>
              </w:rPr>
              <w:t xml:space="preserve">projektu attiecināmām izmaksām. Budžeta izdevumi ir kopējie projektu ieviešanai nepieciešamie publiskā finansējuma (ERAF un valsts budžeta) līdzekļi </w:t>
            </w:r>
            <w:r w:rsidR="00533365">
              <w:rPr>
                <w:lang w:bidi="lo-LA"/>
              </w:rPr>
              <w:t>95</w:t>
            </w:r>
            <w:r w:rsidR="00533365" w:rsidRPr="007E49FA">
              <w:rPr>
                <w:lang w:bidi="lo-LA"/>
              </w:rPr>
              <w:t xml:space="preserve"> </w:t>
            </w:r>
            <w:r w:rsidRPr="007E49FA">
              <w:rPr>
                <w:lang w:bidi="lo-LA"/>
              </w:rPr>
              <w:t xml:space="preserve">procentu apmērā no </w:t>
            </w:r>
            <w:r w:rsidR="00653966">
              <w:rPr>
                <w:lang w:bidi="lo-LA"/>
              </w:rPr>
              <w:t xml:space="preserve">ar saimniecisku darbību nesaistītu </w:t>
            </w:r>
            <w:r w:rsidRPr="007E49FA">
              <w:rPr>
                <w:lang w:bidi="lo-LA"/>
              </w:rPr>
              <w:t xml:space="preserve">projektu attiecināmām izmaksām. </w:t>
            </w:r>
          </w:p>
          <w:p w14:paraId="6B17FA0A" w14:textId="26119B68" w:rsidR="003C0D29" w:rsidRPr="007E49FA" w:rsidRDefault="00B54F0D" w:rsidP="00E93E70">
            <w:pPr>
              <w:ind w:firstLine="249"/>
              <w:jc w:val="both"/>
              <w:rPr>
                <w:i/>
                <w:lang w:bidi="lo-LA"/>
              </w:rPr>
            </w:pPr>
            <w:r w:rsidRPr="007E49FA">
              <w:rPr>
                <w:lang w:bidi="lo-LA"/>
              </w:rPr>
              <w:t xml:space="preserve">Ņemot vērā 2007.–2013. gada plānošanas perioda pieredzi finanšu apguvē 2.1.1.3.1. apakšaktivitātē </w:t>
            </w:r>
            <w:r w:rsidR="007A2E45" w:rsidRPr="007E49FA">
              <w:rPr>
                <w:lang w:bidi="lo-LA"/>
              </w:rPr>
              <w:t>"</w:t>
            </w:r>
            <w:r w:rsidRPr="007E49FA">
              <w:rPr>
                <w:lang w:bidi="lo-LA"/>
              </w:rPr>
              <w:t>Zinātnes infrastruktūras attīstība</w:t>
            </w:r>
            <w:r w:rsidR="007A2E45" w:rsidRPr="007E49FA">
              <w:rPr>
                <w:lang w:bidi="lo-LA"/>
              </w:rPr>
              <w:t>"</w:t>
            </w:r>
            <w:r w:rsidRPr="007E49FA">
              <w:rPr>
                <w:lang w:bidi="lo-LA"/>
              </w:rPr>
              <w:t xml:space="preserve"> 1. kārtas un 3.1.2.1.1. apakšaktivitātē </w:t>
            </w:r>
            <w:r w:rsidR="007A2E45" w:rsidRPr="007E49FA">
              <w:rPr>
                <w:lang w:bidi="lo-LA"/>
              </w:rPr>
              <w:t>"</w:t>
            </w:r>
            <w:r w:rsidRPr="007E49FA">
              <w:rPr>
                <w:lang w:bidi="lo-LA"/>
              </w:rPr>
              <w:t>Augstākās izglītības iestāžu telpu un iekārtu modernizēšana studiju programmu kvalitātes uzlabošanai, tajā skaitā nodrošinot izglītības programmu apgūšanas iespējas arī personām ar funkcionāliem traucējumiem</w:t>
            </w:r>
            <w:r w:rsidR="007A2E45" w:rsidRPr="007E49FA">
              <w:rPr>
                <w:lang w:bidi="lo-LA"/>
              </w:rPr>
              <w:t>"</w:t>
            </w:r>
            <w:r w:rsidRPr="007E49FA">
              <w:rPr>
                <w:lang w:bidi="lo-LA"/>
              </w:rPr>
              <w:t>, 2017.</w:t>
            </w:r>
            <w:r w:rsidR="007A2E45" w:rsidRPr="007E49FA">
              <w:rPr>
                <w:lang w:bidi="lo-LA"/>
              </w:rPr>
              <w:t> </w:t>
            </w:r>
            <w:r w:rsidRPr="007E49FA">
              <w:rPr>
                <w:lang w:bidi="lo-LA"/>
              </w:rPr>
              <w:t xml:space="preserve">gadā tiek plānots finansējums 10 procentu apmērā no kopējā plānotā finansējuma, t.i., </w:t>
            </w:r>
            <w:r w:rsidR="00090671" w:rsidRPr="007E49FA">
              <w:rPr>
                <w:color w:val="000000"/>
              </w:rPr>
              <w:t>12</w:t>
            </w:r>
            <w:r w:rsidR="00F31223" w:rsidRPr="007E49FA">
              <w:rPr>
                <w:color w:val="000000"/>
              </w:rPr>
              <w:t xml:space="preserve"> </w:t>
            </w:r>
            <w:r w:rsidR="00090671" w:rsidRPr="007E49FA">
              <w:rPr>
                <w:color w:val="000000"/>
              </w:rPr>
              <w:t xml:space="preserve">025 262 </w:t>
            </w:r>
            <w:r w:rsidRPr="007E49FA">
              <w:rPr>
                <w:lang w:bidi="lo-LA"/>
              </w:rPr>
              <w:t xml:space="preserve"> </w:t>
            </w:r>
            <w:r w:rsidRPr="007E49FA">
              <w:rPr>
                <w:i/>
                <w:lang w:bidi="lo-LA"/>
              </w:rPr>
              <w:t>euro</w:t>
            </w:r>
            <w:r w:rsidR="00E759E1" w:rsidRPr="007E49FA">
              <w:rPr>
                <w:i/>
                <w:lang w:bidi="lo-LA"/>
              </w:rPr>
              <w:t xml:space="preserve"> </w:t>
            </w:r>
            <w:r w:rsidR="00E759E1" w:rsidRPr="007E49FA">
              <w:rPr>
                <w:lang w:bidi="lo-LA"/>
              </w:rPr>
              <w:t xml:space="preserve">(t.sk. ERAF 10 296 472 </w:t>
            </w:r>
            <w:r w:rsidR="00E759E1" w:rsidRPr="007E49FA">
              <w:rPr>
                <w:i/>
                <w:lang w:bidi="lo-LA"/>
              </w:rPr>
              <w:t>euro</w:t>
            </w:r>
            <w:r w:rsidR="00E759E1" w:rsidRPr="007E49FA">
              <w:rPr>
                <w:lang w:bidi="lo-LA"/>
              </w:rPr>
              <w:t xml:space="preserve">, valsts budžets 1 728 790 </w:t>
            </w:r>
            <w:r w:rsidR="00E759E1" w:rsidRPr="007E49FA">
              <w:rPr>
                <w:i/>
                <w:lang w:bidi="lo-LA"/>
              </w:rPr>
              <w:t>euro</w:t>
            </w:r>
            <w:r w:rsidR="00E759E1" w:rsidRPr="007E49FA">
              <w:rPr>
                <w:lang w:bidi="lo-LA"/>
              </w:rPr>
              <w:t>)</w:t>
            </w:r>
            <w:r w:rsidRPr="007E49FA">
              <w:t>,</w:t>
            </w:r>
            <w:r w:rsidRPr="007E49FA">
              <w:rPr>
                <w:lang w:bidi="lo-LA"/>
              </w:rPr>
              <w:t xml:space="preserve"> 2018.</w:t>
            </w:r>
            <w:r w:rsidR="007A2E45" w:rsidRPr="007E49FA">
              <w:rPr>
                <w:lang w:bidi="lo-LA"/>
              </w:rPr>
              <w:t> </w:t>
            </w:r>
            <w:r w:rsidRPr="007E49FA">
              <w:rPr>
                <w:lang w:bidi="lo-LA"/>
              </w:rPr>
              <w:t xml:space="preserve">gadā – 20 procenti, t.i., </w:t>
            </w:r>
            <w:r w:rsidR="00090671" w:rsidRPr="007E49FA">
              <w:rPr>
                <w:lang w:bidi="lo-LA"/>
              </w:rPr>
              <w:t xml:space="preserve">24 050 523 </w:t>
            </w:r>
            <w:r w:rsidRPr="007E49FA">
              <w:rPr>
                <w:i/>
              </w:rPr>
              <w:t>euro</w:t>
            </w:r>
            <w:r w:rsidR="00E759E1" w:rsidRPr="007E49FA">
              <w:rPr>
                <w:i/>
              </w:rPr>
              <w:t xml:space="preserve"> (</w:t>
            </w:r>
            <w:r w:rsidR="00E759E1" w:rsidRPr="007E49FA">
              <w:t xml:space="preserve">t.sk. ERAF 20 592 945 </w:t>
            </w:r>
            <w:r w:rsidR="00E759E1" w:rsidRPr="007E49FA">
              <w:rPr>
                <w:i/>
              </w:rPr>
              <w:t>euro</w:t>
            </w:r>
            <w:r w:rsidR="00E759E1" w:rsidRPr="007E49FA">
              <w:t xml:space="preserve">, valsts budžets 3 457 578 </w:t>
            </w:r>
            <w:r w:rsidR="00E759E1" w:rsidRPr="007E49FA">
              <w:rPr>
                <w:i/>
              </w:rPr>
              <w:t>euro)</w:t>
            </w:r>
            <w:r w:rsidRPr="007E49FA">
              <w:t xml:space="preserve">, </w:t>
            </w:r>
            <w:r w:rsidRPr="007E49FA">
              <w:rPr>
                <w:lang w:bidi="lo-LA"/>
              </w:rPr>
              <w:t xml:space="preserve">2019.gadā – </w:t>
            </w:r>
            <w:r w:rsidR="00FF1EA8" w:rsidRPr="007E49FA">
              <w:rPr>
                <w:lang w:bidi="lo-LA"/>
              </w:rPr>
              <w:t xml:space="preserve">20 procenti, t.i., </w:t>
            </w:r>
            <w:r w:rsidR="0072165C" w:rsidRPr="007E49FA">
              <w:rPr>
                <w:lang w:bidi="lo-LA"/>
              </w:rPr>
              <w:t xml:space="preserve">24 050 523 </w:t>
            </w:r>
            <w:r w:rsidRPr="007E49FA">
              <w:rPr>
                <w:i/>
              </w:rPr>
              <w:t>euro</w:t>
            </w:r>
            <w:r w:rsidR="00F31223" w:rsidRPr="007E49FA">
              <w:rPr>
                <w:i/>
              </w:rPr>
              <w:t xml:space="preserve"> (</w:t>
            </w:r>
            <w:r w:rsidR="00F31223" w:rsidRPr="007E49FA">
              <w:t xml:space="preserve">t.sk. ERAF 20 592 945 </w:t>
            </w:r>
            <w:r w:rsidR="00F31223" w:rsidRPr="007E49FA">
              <w:rPr>
                <w:i/>
              </w:rPr>
              <w:t>euro</w:t>
            </w:r>
            <w:r w:rsidR="00F31223" w:rsidRPr="007E49FA">
              <w:t xml:space="preserve">, valsts budžets 3 457 578 </w:t>
            </w:r>
            <w:r w:rsidR="00F31223" w:rsidRPr="007E49FA">
              <w:rPr>
                <w:i/>
              </w:rPr>
              <w:t>euro</w:t>
            </w:r>
            <w:r w:rsidRPr="007E49FA">
              <w:t>)</w:t>
            </w:r>
            <w:r w:rsidR="0072165C" w:rsidRPr="007E49FA">
              <w:t>,</w:t>
            </w:r>
            <w:r w:rsidR="00FF1EA8" w:rsidRPr="007E49FA">
              <w:rPr>
                <w:i/>
                <w:lang w:bidi="lo-LA"/>
              </w:rPr>
              <w:t xml:space="preserve"> </w:t>
            </w:r>
            <w:r w:rsidR="003C0D29" w:rsidRPr="007E49FA">
              <w:rPr>
                <w:lang w:bidi="lo-LA"/>
              </w:rPr>
              <w:t>2020.</w:t>
            </w:r>
            <w:r w:rsidR="007A2E45" w:rsidRPr="007E49FA">
              <w:rPr>
                <w:lang w:bidi="lo-LA"/>
              </w:rPr>
              <w:t> </w:t>
            </w:r>
            <w:r w:rsidR="003C0D29" w:rsidRPr="007E49FA">
              <w:rPr>
                <w:lang w:bidi="lo-LA"/>
              </w:rPr>
              <w:t xml:space="preserve">gadā – </w:t>
            </w:r>
            <w:r w:rsidR="00FF1EA8" w:rsidRPr="007E49FA">
              <w:rPr>
                <w:lang w:bidi="lo-LA"/>
              </w:rPr>
              <w:t>20</w:t>
            </w:r>
            <w:r w:rsidR="003C0D29" w:rsidRPr="007E49FA">
              <w:rPr>
                <w:lang w:bidi="lo-LA"/>
              </w:rPr>
              <w:t xml:space="preserve"> procenti, t.i., </w:t>
            </w:r>
            <w:r w:rsidR="0072165C" w:rsidRPr="007E49FA">
              <w:rPr>
                <w:lang w:bidi="lo-LA"/>
              </w:rPr>
              <w:t xml:space="preserve">24 050 523 </w:t>
            </w:r>
            <w:r w:rsidR="00FF1EA8" w:rsidRPr="007E49FA">
              <w:rPr>
                <w:i/>
              </w:rPr>
              <w:t>euro</w:t>
            </w:r>
            <w:r w:rsidR="00F31223" w:rsidRPr="007E49FA">
              <w:rPr>
                <w:i/>
              </w:rPr>
              <w:t xml:space="preserve"> (</w:t>
            </w:r>
            <w:r w:rsidR="00F31223" w:rsidRPr="007E49FA">
              <w:t xml:space="preserve">t.sk. ERAF 20 592 945 </w:t>
            </w:r>
            <w:r w:rsidR="00F31223" w:rsidRPr="007E49FA">
              <w:rPr>
                <w:i/>
              </w:rPr>
              <w:t>euro</w:t>
            </w:r>
            <w:r w:rsidR="00F31223" w:rsidRPr="007E49FA">
              <w:t xml:space="preserve">, valsts budžets 3 457 578 </w:t>
            </w:r>
            <w:r w:rsidR="00F31223" w:rsidRPr="007E49FA">
              <w:rPr>
                <w:i/>
              </w:rPr>
              <w:t>euro</w:t>
            </w:r>
            <w:r w:rsidR="003C0D29" w:rsidRPr="007E49FA">
              <w:rPr>
                <w:i/>
                <w:lang w:bidi="lo-LA"/>
              </w:rPr>
              <w:t>,</w:t>
            </w:r>
            <w:r w:rsidR="003C0D29" w:rsidRPr="007E49FA">
              <w:rPr>
                <w:lang w:bidi="lo-LA"/>
              </w:rPr>
              <w:t xml:space="preserve"> 2021.</w:t>
            </w:r>
            <w:r w:rsidR="007A2E45" w:rsidRPr="007E49FA">
              <w:rPr>
                <w:lang w:bidi="lo-LA"/>
              </w:rPr>
              <w:t> </w:t>
            </w:r>
            <w:r w:rsidR="003C0D29" w:rsidRPr="007E49FA">
              <w:rPr>
                <w:lang w:bidi="lo-LA"/>
              </w:rPr>
              <w:t xml:space="preserve">gadā – </w:t>
            </w:r>
            <w:r w:rsidR="00FF1EA8" w:rsidRPr="007E49FA">
              <w:rPr>
                <w:lang w:bidi="lo-LA"/>
              </w:rPr>
              <w:t>20</w:t>
            </w:r>
            <w:r w:rsidR="003C0D29" w:rsidRPr="007E49FA">
              <w:rPr>
                <w:lang w:bidi="lo-LA"/>
              </w:rPr>
              <w:t xml:space="preserve"> procenti, t.i., </w:t>
            </w:r>
            <w:r w:rsidR="0072165C" w:rsidRPr="007E49FA">
              <w:rPr>
                <w:lang w:bidi="lo-LA"/>
              </w:rPr>
              <w:t xml:space="preserve">24 050 523 </w:t>
            </w:r>
            <w:r w:rsidR="00FF1EA8" w:rsidRPr="007E49FA">
              <w:rPr>
                <w:i/>
              </w:rPr>
              <w:t>euro</w:t>
            </w:r>
            <w:r w:rsidR="00F31223" w:rsidRPr="007E49FA">
              <w:rPr>
                <w:i/>
              </w:rPr>
              <w:t xml:space="preserve"> (</w:t>
            </w:r>
            <w:r w:rsidR="00F31223" w:rsidRPr="007E49FA">
              <w:t xml:space="preserve">t.sk. ERAF 20 592 945 </w:t>
            </w:r>
            <w:r w:rsidR="00F31223" w:rsidRPr="007E49FA">
              <w:rPr>
                <w:i/>
              </w:rPr>
              <w:t>euro</w:t>
            </w:r>
            <w:r w:rsidR="00F31223" w:rsidRPr="007E49FA">
              <w:t xml:space="preserve">, valsts budžets 3 457 578 </w:t>
            </w:r>
            <w:r w:rsidR="00F31223" w:rsidRPr="007E49FA">
              <w:rPr>
                <w:i/>
              </w:rPr>
              <w:t>euro)</w:t>
            </w:r>
            <w:r w:rsidR="003C0D29" w:rsidRPr="007E49FA">
              <w:t>, 2022.</w:t>
            </w:r>
            <w:r w:rsidR="007A2E45" w:rsidRPr="007E49FA">
              <w:t> </w:t>
            </w:r>
            <w:r w:rsidR="003C0D29" w:rsidRPr="007E49FA">
              <w:t xml:space="preserve">gadā – </w:t>
            </w:r>
            <w:r w:rsidR="00FF1EA8" w:rsidRPr="007E49FA">
              <w:t>10</w:t>
            </w:r>
            <w:r w:rsidR="003C0D29" w:rsidRPr="007E49FA">
              <w:t xml:space="preserve"> procenti, t.i. </w:t>
            </w:r>
            <w:r w:rsidR="00090671" w:rsidRPr="007E49FA">
              <w:rPr>
                <w:color w:val="000000"/>
              </w:rPr>
              <w:t>12</w:t>
            </w:r>
            <w:r w:rsidR="00F31223" w:rsidRPr="007E49FA">
              <w:rPr>
                <w:color w:val="000000"/>
              </w:rPr>
              <w:t xml:space="preserve"> </w:t>
            </w:r>
            <w:r w:rsidR="00090671" w:rsidRPr="007E49FA">
              <w:rPr>
                <w:color w:val="000000"/>
              </w:rPr>
              <w:t xml:space="preserve">025 262 </w:t>
            </w:r>
            <w:r w:rsidR="00090671" w:rsidRPr="007E49FA">
              <w:rPr>
                <w:lang w:bidi="lo-LA"/>
              </w:rPr>
              <w:t xml:space="preserve"> </w:t>
            </w:r>
            <w:r w:rsidR="00FF1EA8" w:rsidRPr="007E49FA">
              <w:rPr>
                <w:i/>
                <w:lang w:bidi="lo-LA"/>
              </w:rPr>
              <w:t>euro</w:t>
            </w:r>
            <w:r w:rsidR="00F31223" w:rsidRPr="007E49FA">
              <w:rPr>
                <w:i/>
                <w:lang w:bidi="lo-LA"/>
              </w:rPr>
              <w:t xml:space="preserve"> </w:t>
            </w:r>
            <w:r w:rsidR="00F31223" w:rsidRPr="007E49FA">
              <w:rPr>
                <w:lang w:bidi="lo-LA"/>
              </w:rPr>
              <w:t xml:space="preserve">(t.sk. ERAF 10 296 472 </w:t>
            </w:r>
            <w:r w:rsidR="00F31223" w:rsidRPr="007E49FA">
              <w:rPr>
                <w:i/>
                <w:lang w:bidi="lo-LA"/>
              </w:rPr>
              <w:t>euro</w:t>
            </w:r>
            <w:r w:rsidR="00F31223" w:rsidRPr="007E49FA">
              <w:rPr>
                <w:lang w:bidi="lo-LA"/>
              </w:rPr>
              <w:t xml:space="preserve">, valsts budžets 1 728 790 </w:t>
            </w:r>
            <w:r w:rsidR="00F31223" w:rsidRPr="007E49FA">
              <w:rPr>
                <w:i/>
                <w:lang w:bidi="lo-LA"/>
              </w:rPr>
              <w:t>euro</w:t>
            </w:r>
            <w:r w:rsidR="00F31223" w:rsidRPr="007E49FA">
              <w:rPr>
                <w:lang w:bidi="lo-LA"/>
              </w:rPr>
              <w:t>)</w:t>
            </w:r>
            <w:r w:rsidR="00FF1EA8" w:rsidRPr="007E49FA">
              <w:t>.</w:t>
            </w:r>
          </w:p>
          <w:p w14:paraId="17ECA6DC" w14:textId="722D4BB7" w:rsidR="00B54F0D" w:rsidRPr="007E49FA" w:rsidRDefault="00B54F0D" w:rsidP="00E93E70">
            <w:pPr>
              <w:ind w:firstLine="249"/>
              <w:jc w:val="both"/>
              <w:rPr>
                <w:lang w:bidi="lo-LA"/>
              </w:rPr>
            </w:pPr>
            <w:r w:rsidRPr="007E49FA">
              <w:rPr>
                <w:lang w:bidi="lo-LA"/>
              </w:rPr>
              <w:t xml:space="preserve">Budžeta ilgtermiņa saistībās </w:t>
            </w:r>
            <w:r w:rsidR="008F5E91" w:rsidRPr="007E49FA">
              <w:rPr>
                <w:lang w:bidi="lo-LA"/>
              </w:rPr>
              <w:t xml:space="preserve">no </w:t>
            </w:r>
            <w:r w:rsidRPr="007E49FA">
              <w:rPr>
                <w:lang w:bidi="lo-LA"/>
              </w:rPr>
              <w:t>2017.</w:t>
            </w:r>
            <w:r w:rsidR="008F5E91" w:rsidRPr="007E49FA">
              <w:rPr>
                <w:lang w:bidi="lo-LA"/>
              </w:rPr>
              <w:t xml:space="preserve"> – 2022. gadam </w:t>
            </w:r>
            <w:r w:rsidRPr="007E49FA">
              <w:rPr>
                <w:lang w:bidi="lo-LA"/>
              </w:rPr>
              <w:t xml:space="preserve">šobrīd finansējums projektiem nav paredzēts. 1.1.1.4. pasākuma projektu īstenošanai nepieciešamais finansējums tiks iestrādāts budžeta ilgtermiņa saistībās likumprojekta </w:t>
            </w:r>
            <w:r w:rsidR="007A2E45" w:rsidRPr="007E49FA">
              <w:rPr>
                <w:lang w:bidi="lo-LA"/>
              </w:rPr>
              <w:t>"</w:t>
            </w:r>
            <w:r w:rsidRPr="007E49FA">
              <w:rPr>
                <w:lang w:bidi="lo-LA"/>
              </w:rPr>
              <w:t>Par vidēja termiņa budžeta ietvaru 2017., 2018. un 2019.</w:t>
            </w:r>
            <w:r w:rsidR="007A2E45" w:rsidRPr="007E49FA">
              <w:rPr>
                <w:lang w:bidi="lo-LA"/>
              </w:rPr>
              <w:t> </w:t>
            </w:r>
            <w:r w:rsidRPr="007E49FA">
              <w:rPr>
                <w:lang w:bidi="lo-LA"/>
              </w:rPr>
              <w:t>gadam</w:t>
            </w:r>
            <w:r w:rsidR="007A2E45" w:rsidRPr="007E49FA">
              <w:rPr>
                <w:lang w:bidi="lo-LA"/>
              </w:rPr>
              <w:t>"</w:t>
            </w:r>
            <w:r w:rsidRPr="007E49FA">
              <w:rPr>
                <w:lang w:bidi="lo-LA"/>
              </w:rPr>
              <w:t xml:space="preserve"> sagatavošanas laikā.</w:t>
            </w:r>
          </w:p>
          <w:p w14:paraId="6CC9FA72" w14:textId="77777777" w:rsidR="00B54F0D" w:rsidRPr="007E49FA" w:rsidRDefault="00B54F0D" w:rsidP="00E93E70">
            <w:pPr>
              <w:ind w:firstLine="249"/>
              <w:jc w:val="both"/>
            </w:pPr>
            <w:r w:rsidRPr="007E49FA" w:rsidDel="00D11178">
              <w:rPr>
                <w:lang w:bidi="lo-LA"/>
              </w:rPr>
              <w:t xml:space="preserve">Finansējuma sadalījums pa gadiem norādīts indikatīvi un var tikt precizēts pēc </w:t>
            </w:r>
            <w:r w:rsidRPr="007E49FA">
              <w:rPr>
                <w:lang w:bidi="lo-LA"/>
              </w:rPr>
              <w:t>1.1.1.4. pasākuma</w:t>
            </w:r>
            <w:r w:rsidRPr="007E49FA" w:rsidDel="00D11178">
              <w:rPr>
                <w:lang w:bidi="lo-LA"/>
              </w:rPr>
              <w:t xml:space="preserve"> projekt</w:t>
            </w:r>
            <w:r w:rsidRPr="007E49FA">
              <w:rPr>
                <w:lang w:bidi="lo-LA"/>
              </w:rPr>
              <w:t>u</w:t>
            </w:r>
            <w:r w:rsidRPr="007E49FA" w:rsidDel="00D11178">
              <w:rPr>
                <w:lang w:bidi="lo-LA"/>
              </w:rPr>
              <w:t xml:space="preserve"> apstiprināšanas.</w:t>
            </w:r>
          </w:p>
        </w:tc>
      </w:tr>
      <w:tr w:rsidR="001E5076" w:rsidRPr="00C2761A" w14:paraId="011CBC4B" w14:textId="77777777" w:rsidTr="00B54F0D">
        <w:trPr>
          <w:trHeight w:val="556"/>
          <w:jc w:val="center"/>
        </w:trPr>
        <w:tc>
          <w:tcPr>
            <w:tcW w:w="1980" w:type="dxa"/>
          </w:tcPr>
          <w:p w14:paraId="767D766D" w14:textId="77777777" w:rsidR="001E5076" w:rsidRPr="00C2761A" w:rsidRDefault="001E5076" w:rsidP="001E5076">
            <w:r w:rsidRPr="00C2761A">
              <w:t>7. Cita informācija</w:t>
            </w:r>
          </w:p>
        </w:tc>
        <w:tc>
          <w:tcPr>
            <w:tcW w:w="6804" w:type="dxa"/>
            <w:gridSpan w:val="6"/>
          </w:tcPr>
          <w:p w14:paraId="46352D6E" w14:textId="138CD9F6" w:rsidR="001E5076" w:rsidRPr="007E49FA" w:rsidRDefault="00FF1EA8" w:rsidP="00843EAE">
            <w:pPr>
              <w:pStyle w:val="naisf"/>
              <w:tabs>
                <w:tab w:val="left" w:pos="4644"/>
              </w:tabs>
              <w:spacing w:before="0" w:after="0"/>
              <w:ind w:firstLine="0"/>
            </w:pPr>
            <w:r w:rsidRPr="007E49FA">
              <w:t xml:space="preserve">Nepieciešamais </w:t>
            </w:r>
            <w:r w:rsidR="00843EAE" w:rsidRPr="007E49FA">
              <w:t xml:space="preserve">finansējums </w:t>
            </w:r>
            <w:r w:rsidRPr="007E49FA">
              <w:t>1.1.1.4.</w:t>
            </w:r>
            <w:r w:rsidR="007A2E45" w:rsidRPr="007E49FA">
              <w:t> </w:t>
            </w:r>
            <w:r w:rsidRPr="007E49FA">
              <w:t>pasākuma īstenošanai pēc projektu iesniegumu apstiprināšanas tiks piesaistīts</w:t>
            </w:r>
            <w:r w:rsidR="00843EAE" w:rsidRPr="007E49FA">
              <w:t xml:space="preserve"> </w:t>
            </w:r>
            <w:r w:rsidRPr="007E49FA">
              <w:t>normatīvajos aktos noteiktajā kārtībā no 74.</w:t>
            </w:r>
            <w:r w:rsidR="007A2E45" w:rsidRPr="007E49FA">
              <w:t> </w:t>
            </w:r>
            <w:r w:rsidRPr="007E49FA">
              <w:t xml:space="preserve">resora </w:t>
            </w:r>
            <w:r w:rsidR="007A2E45" w:rsidRPr="007E49FA">
              <w:t>"</w:t>
            </w:r>
            <w:r w:rsidRPr="007E49FA">
              <w:t>Gadskārtējā valsts budžeta izpildes procesā pārdalāmais finansējums</w:t>
            </w:r>
            <w:r w:rsidR="007A2E45" w:rsidRPr="007E49FA">
              <w:t>"</w:t>
            </w:r>
            <w:r w:rsidRPr="007E49FA">
              <w:t xml:space="preserve"> budžeta programmas 80.00.00 </w:t>
            </w:r>
            <w:r w:rsidR="007A2E45" w:rsidRPr="007E49FA">
              <w:t>"</w:t>
            </w:r>
            <w:r w:rsidRPr="007E49FA">
              <w:t>Nesadalītais finansējums Eiropas Savienības politiku instrumentu un pārējās ārvalstu finanšu palīdzības līdzfinansēto projektu un pasākumu īstenošanai</w:t>
            </w:r>
            <w:r w:rsidR="007A2E45" w:rsidRPr="007E49FA">
              <w:t>"</w:t>
            </w:r>
            <w:r w:rsidR="00843EAE" w:rsidRPr="007E49FA">
              <w:t>.</w:t>
            </w:r>
          </w:p>
        </w:tc>
      </w:tr>
    </w:tbl>
    <w:p w14:paraId="467028DE" w14:textId="50A59883" w:rsidR="00BF3649" w:rsidRPr="00C2761A" w:rsidRDefault="00BF3649"/>
    <w:p w14:paraId="57DC9926" w14:textId="77777777" w:rsidR="002764B8" w:rsidRPr="00C2761A" w:rsidRDefault="002764B8"/>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8"/>
        <w:gridCol w:w="2081"/>
        <w:gridCol w:w="265"/>
        <w:gridCol w:w="723"/>
        <w:gridCol w:w="1350"/>
        <w:gridCol w:w="978"/>
        <w:gridCol w:w="1213"/>
        <w:gridCol w:w="1935"/>
      </w:tblGrid>
      <w:tr w:rsidR="00016659" w:rsidRPr="00C2761A" w14:paraId="3602B9B2" w14:textId="77777777" w:rsidTr="003A55D1">
        <w:trPr>
          <w:trHeight w:val="421"/>
          <w:jc w:val="center"/>
        </w:trPr>
        <w:tc>
          <w:tcPr>
            <w:tcW w:w="8873" w:type="dxa"/>
            <w:gridSpan w:val="8"/>
            <w:tcBorders>
              <w:top w:val="single" w:sz="4" w:space="0" w:color="auto"/>
              <w:left w:val="single" w:sz="4" w:space="0" w:color="auto"/>
              <w:bottom w:val="single" w:sz="4" w:space="0" w:color="auto"/>
              <w:right w:val="single" w:sz="4" w:space="0" w:color="auto"/>
            </w:tcBorders>
            <w:vAlign w:val="center"/>
          </w:tcPr>
          <w:p w14:paraId="44EC3D91" w14:textId="77777777" w:rsidR="00016659" w:rsidRPr="00C2761A" w:rsidRDefault="00016659" w:rsidP="00016659">
            <w:pPr>
              <w:rPr>
                <w:b/>
              </w:rPr>
            </w:pPr>
            <w:r w:rsidRPr="00C2761A">
              <w:rPr>
                <w:b/>
              </w:rPr>
              <w:t>V. Tiesību akta projekta atbilstība Latvijas Republikas starptautiskajām saistībām</w:t>
            </w:r>
          </w:p>
        </w:tc>
      </w:tr>
      <w:tr w:rsidR="00016659" w:rsidRPr="00C2761A" w14:paraId="486B03FB"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328" w:type="dxa"/>
            <w:tcBorders>
              <w:top w:val="outset" w:sz="6" w:space="0" w:color="auto"/>
              <w:left w:val="outset" w:sz="6" w:space="0" w:color="auto"/>
              <w:bottom w:val="outset" w:sz="6" w:space="0" w:color="auto"/>
              <w:right w:val="outset" w:sz="6" w:space="0" w:color="auto"/>
            </w:tcBorders>
          </w:tcPr>
          <w:p w14:paraId="219AA939" w14:textId="77777777" w:rsidR="00016659" w:rsidRPr="00C2761A" w:rsidRDefault="00016659" w:rsidP="00016659">
            <w:r w:rsidRPr="00C2761A">
              <w:t>1.</w:t>
            </w:r>
          </w:p>
        </w:tc>
        <w:tc>
          <w:tcPr>
            <w:tcW w:w="3069" w:type="dxa"/>
            <w:gridSpan w:val="3"/>
            <w:tcBorders>
              <w:top w:val="outset" w:sz="6" w:space="0" w:color="auto"/>
              <w:left w:val="outset" w:sz="6" w:space="0" w:color="auto"/>
              <w:bottom w:val="outset" w:sz="6" w:space="0" w:color="auto"/>
              <w:right w:val="outset" w:sz="6" w:space="0" w:color="auto"/>
            </w:tcBorders>
          </w:tcPr>
          <w:p w14:paraId="455AB517" w14:textId="77777777" w:rsidR="00016659" w:rsidRPr="00C2761A" w:rsidRDefault="00016659" w:rsidP="00016659">
            <w:r w:rsidRPr="00C2761A">
              <w:t>Saistības pret Eiropas Savienību</w:t>
            </w:r>
          </w:p>
        </w:tc>
        <w:tc>
          <w:tcPr>
            <w:tcW w:w="5476" w:type="dxa"/>
            <w:gridSpan w:val="4"/>
            <w:tcBorders>
              <w:top w:val="outset" w:sz="6" w:space="0" w:color="auto"/>
              <w:left w:val="outset" w:sz="6" w:space="0" w:color="auto"/>
              <w:bottom w:val="outset" w:sz="6" w:space="0" w:color="auto"/>
              <w:right w:val="outset" w:sz="6" w:space="0" w:color="auto"/>
            </w:tcBorders>
          </w:tcPr>
          <w:p w14:paraId="43E214D6" w14:textId="77777777" w:rsidR="00991DCD" w:rsidRPr="007E49FA" w:rsidRDefault="00991DCD" w:rsidP="00991DCD">
            <w:pPr>
              <w:pStyle w:val="ListParagraph"/>
              <w:numPr>
                <w:ilvl w:val="0"/>
                <w:numId w:val="9"/>
              </w:numPr>
              <w:ind w:right="113"/>
              <w:rPr>
                <w:szCs w:val="24"/>
              </w:rPr>
            </w:pPr>
            <w:r w:rsidRPr="007E49FA">
              <w:rPr>
                <w:szCs w:val="24"/>
              </w:rPr>
              <w:t>Regula Nr. 651/2014;</w:t>
            </w:r>
          </w:p>
          <w:p w14:paraId="2C634C19" w14:textId="04C3A82E" w:rsidR="003F5676" w:rsidRPr="007E49FA" w:rsidRDefault="00991DCD" w:rsidP="005C3D85">
            <w:pPr>
              <w:pStyle w:val="ListParagraph"/>
              <w:numPr>
                <w:ilvl w:val="0"/>
                <w:numId w:val="9"/>
              </w:numPr>
              <w:ind w:right="113"/>
              <w:rPr>
                <w:szCs w:val="24"/>
              </w:rPr>
            </w:pPr>
            <w:r w:rsidRPr="007E49FA">
              <w:rPr>
                <w:szCs w:val="24"/>
              </w:rPr>
              <w:t xml:space="preserve">Eiropas Parlamenta un Padomes 2013. gada 17. decembra Regula (ES) Nr. </w:t>
            </w:r>
            <w:hyperlink r:id="rId11" w:tgtFrame="_blank" w:history="1">
              <w:r w:rsidRPr="007E49FA">
                <w:rPr>
                  <w:szCs w:val="24"/>
                </w:rPr>
                <w:t>1303/2013</w:t>
              </w:r>
            </w:hyperlink>
            <w:r w:rsidRPr="007E49FA">
              <w:rPr>
                <w:szCs w:val="24"/>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2" w:tgtFrame="_blank" w:history="1">
              <w:r w:rsidRPr="007E49FA">
                <w:rPr>
                  <w:szCs w:val="24"/>
                </w:rPr>
                <w:t>1083/2006</w:t>
              </w:r>
            </w:hyperlink>
            <w:r w:rsidRPr="007E49FA">
              <w:rPr>
                <w:szCs w:val="24"/>
              </w:rPr>
              <w:t xml:space="preserve"> (turpmāk – Regula Nr.</w:t>
            </w:r>
            <w:r w:rsidR="007A2E45" w:rsidRPr="007E49FA">
              <w:rPr>
                <w:szCs w:val="24"/>
              </w:rPr>
              <w:t> </w:t>
            </w:r>
            <w:r w:rsidRPr="007E49FA">
              <w:rPr>
                <w:szCs w:val="24"/>
              </w:rPr>
              <w:t>1303/2013)</w:t>
            </w:r>
            <w:r w:rsidR="003F5676" w:rsidRPr="007E49FA">
              <w:rPr>
                <w:szCs w:val="24"/>
              </w:rPr>
              <w:t>;</w:t>
            </w:r>
          </w:p>
          <w:p w14:paraId="7E7FD011" w14:textId="77777777" w:rsidR="00653966" w:rsidRDefault="003F5676" w:rsidP="003F5676">
            <w:pPr>
              <w:pStyle w:val="ListParagraph"/>
              <w:numPr>
                <w:ilvl w:val="0"/>
                <w:numId w:val="9"/>
              </w:numPr>
              <w:ind w:right="113"/>
              <w:rPr>
                <w:szCs w:val="24"/>
              </w:rPr>
            </w:pPr>
            <w:r w:rsidRPr="007E49FA">
              <w:rPr>
                <w:szCs w:val="24"/>
              </w:rPr>
              <w:t>Eiropas Parlamenta un Padomes 2012. gada 25. oktobra Regula (ES, EURATOM) Nr. 966/2012 par finanšu noteikumiem, ko piemēro Savienības vispārējam budžetam, un par Padomes Regulas (ES, EURATOM) Nr. 1605/2002 atcelšanu (turpmāk – Regula Nr. 966/2012)</w:t>
            </w:r>
            <w:r w:rsidR="00653966">
              <w:rPr>
                <w:szCs w:val="24"/>
              </w:rPr>
              <w:t>;</w:t>
            </w:r>
          </w:p>
          <w:p w14:paraId="53463BA5" w14:textId="76E7DD68" w:rsidR="003F5676" w:rsidRPr="007E49FA" w:rsidRDefault="00653966" w:rsidP="00653966">
            <w:pPr>
              <w:pStyle w:val="ListParagraph"/>
              <w:numPr>
                <w:ilvl w:val="0"/>
                <w:numId w:val="9"/>
              </w:numPr>
              <w:ind w:right="113"/>
              <w:rPr>
                <w:szCs w:val="24"/>
              </w:rPr>
            </w:pPr>
            <w:r w:rsidRPr="00F8160B">
              <w:rPr>
                <w:szCs w:val="24"/>
              </w:rPr>
              <w:t xml:space="preserve">Eiropas Komisijas 2014. gada 21. marta Regula Nr. </w:t>
            </w:r>
            <w:hyperlink r:id="rId13" w:tgtFrame="_blank" w:history="1">
              <w:r w:rsidRPr="00F8160B">
                <w:rPr>
                  <w:szCs w:val="24"/>
                </w:rPr>
                <w:t>316/2014</w:t>
              </w:r>
            </w:hyperlink>
            <w:hyperlink r:id="rId14" w:tgtFrame="_blank" w:history="1">
              <w:r w:rsidRPr="00F8160B">
                <w:rPr>
                  <w:szCs w:val="24"/>
                </w:rPr>
                <w:t>316/2014</w:t>
              </w:r>
            </w:hyperlink>
            <w:r w:rsidRPr="00F8160B">
              <w:rPr>
                <w:szCs w:val="24"/>
              </w:rPr>
              <w:t xml:space="preserve"> par Līguma par Eiropas Savienības darbību 101. panta 3. punkta piemērošanu tehnoloģiju nodošanas nolīgumu kategorijām </w:t>
            </w:r>
            <w:r w:rsidRPr="007E49FA">
              <w:rPr>
                <w:szCs w:val="24"/>
              </w:rPr>
              <w:t>(turpmāk – Regula Nr. </w:t>
            </w:r>
            <w:r>
              <w:rPr>
                <w:szCs w:val="24"/>
              </w:rPr>
              <w:t>313</w:t>
            </w:r>
            <w:r w:rsidRPr="007E49FA">
              <w:rPr>
                <w:szCs w:val="24"/>
              </w:rPr>
              <w:t>/201</w:t>
            </w:r>
            <w:r>
              <w:rPr>
                <w:szCs w:val="24"/>
              </w:rPr>
              <w:t>4</w:t>
            </w:r>
            <w:r w:rsidRPr="007E49FA">
              <w:rPr>
                <w:szCs w:val="24"/>
              </w:rPr>
              <w:t>)</w:t>
            </w:r>
            <w:r>
              <w:rPr>
                <w:szCs w:val="24"/>
              </w:rPr>
              <w:t>.</w:t>
            </w:r>
            <w:r w:rsidR="003F5676" w:rsidRPr="007E49FA">
              <w:rPr>
                <w:szCs w:val="24"/>
              </w:rPr>
              <w:t>.</w:t>
            </w:r>
          </w:p>
        </w:tc>
      </w:tr>
      <w:tr w:rsidR="00016659" w:rsidRPr="00C2761A" w14:paraId="34DD81E2"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328" w:type="dxa"/>
            <w:tcBorders>
              <w:top w:val="outset" w:sz="6" w:space="0" w:color="auto"/>
              <w:left w:val="outset" w:sz="6" w:space="0" w:color="auto"/>
              <w:bottom w:val="outset" w:sz="6" w:space="0" w:color="auto"/>
              <w:right w:val="outset" w:sz="6" w:space="0" w:color="auto"/>
            </w:tcBorders>
          </w:tcPr>
          <w:p w14:paraId="4C848242" w14:textId="085E0BAC" w:rsidR="00016659" w:rsidRPr="00C2761A" w:rsidRDefault="00016659" w:rsidP="00016659">
            <w:r w:rsidRPr="00C2761A">
              <w:t>2.</w:t>
            </w:r>
          </w:p>
        </w:tc>
        <w:tc>
          <w:tcPr>
            <w:tcW w:w="3069" w:type="dxa"/>
            <w:gridSpan w:val="3"/>
            <w:tcBorders>
              <w:top w:val="outset" w:sz="6" w:space="0" w:color="auto"/>
              <w:left w:val="outset" w:sz="6" w:space="0" w:color="auto"/>
              <w:bottom w:val="outset" w:sz="6" w:space="0" w:color="auto"/>
              <w:right w:val="outset" w:sz="6" w:space="0" w:color="auto"/>
            </w:tcBorders>
          </w:tcPr>
          <w:p w14:paraId="12860229" w14:textId="77777777" w:rsidR="00016659" w:rsidRPr="00C2761A" w:rsidRDefault="00016659" w:rsidP="00016659">
            <w:r w:rsidRPr="00C2761A">
              <w:t>Citas starptautiskās saistības</w:t>
            </w:r>
          </w:p>
        </w:tc>
        <w:tc>
          <w:tcPr>
            <w:tcW w:w="5476" w:type="dxa"/>
            <w:gridSpan w:val="4"/>
            <w:tcBorders>
              <w:top w:val="outset" w:sz="6" w:space="0" w:color="auto"/>
              <w:left w:val="outset" w:sz="6" w:space="0" w:color="auto"/>
              <w:bottom w:val="outset" w:sz="6" w:space="0" w:color="auto"/>
              <w:right w:val="outset" w:sz="6" w:space="0" w:color="auto"/>
            </w:tcBorders>
          </w:tcPr>
          <w:p w14:paraId="3A0D8CC0" w14:textId="77777777" w:rsidR="00016659" w:rsidRPr="00C2761A" w:rsidRDefault="00016659" w:rsidP="00016659">
            <w:pPr>
              <w:ind w:left="57" w:right="113"/>
              <w:jc w:val="both"/>
            </w:pPr>
            <w:r w:rsidRPr="00C2761A">
              <w:t>Noteikumu projekts šo jomu neskar.</w:t>
            </w:r>
          </w:p>
        </w:tc>
      </w:tr>
      <w:tr w:rsidR="00016659" w:rsidRPr="00C2761A" w14:paraId="7906A0F8"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328" w:type="dxa"/>
            <w:tcBorders>
              <w:top w:val="outset" w:sz="6" w:space="0" w:color="auto"/>
              <w:left w:val="outset" w:sz="6" w:space="0" w:color="auto"/>
              <w:bottom w:val="outset" w:sz="6" w:space="0" w:color="auto"/>
              <w:right w:val="outset" w:sz="6" w:space="0" w:color="auto"/>
            </w:tcBorders>
          </w:tcPr>
          <w:p w14:paraId="30CC96AA" w14:textId="77777777" w:rsidR="00016659" w:rsidRPr="00C2761A" w:rsidRDefault="00016659" w:rsidP="00016659">
            <w:r w:rsidRPr="00C2761A">
              <w:t>3.</w:t>
            </w:r>
          </w:p>
        </w:tc>
        <w:tc>
          <w:tcPr>
            <w:tcW w:w="3069" w:type="dxa"/>
            <w:gridSpan w:val="3"/>
            <w:tcBorders>
              <w:top w:val="outset" w:sz="6" w:space="0" w:color="auto"/>
              <w:left w:val="outset" w:sz="6" w:space="0" w:color="auto"/>
              <w:bottom w:val="outset" w:sz="6" w:space="0" w:color="auto"/>
              <w:right w:val="outset" w:sz="6" w:space="0" w:color="auto"/>
            </w:tcBorders>
          </w:tcPr>
          <w:p w14:paraId="33BCD040" w14:textId="77777777" w:rsidR="00016659" w:rsidRPr="00C2761A" w:rsidRDefault="00016659" w:rsidP="00016659">
            <w:r w:rsidRPr="00C2761A">
              <w:t>Cita informācija</w:t>
            </w:r>
          </w:p>
        </w:tc>
        <w:tc>
          <w:tcPr>
            <w:tcW w:w="5476" w:type="dxa"/>
            <w:gridSpan w:val="4"/>
            <w:tcBorders>
              <w:top w:val="outset" w:sz="6" w:space="0" w:color="auto"/>
              <w:left w:val="outset" w:sz="6" w:space="0" w:color="auto"/>
              <w:bottom w:val="outset" w:sz="6" w:space="0" w:color="auto"/>
              <w:right w:val="outset" w:sz="6" w:space="0" w:color="auto"/>
            </w:tcBorders>
          </w:tcPr>
          <w:p w14:paraId="6D8DEE94" w14:textId="77777777" w:rsidR="00016659" w:rsidRPr="00D242E7" w:rsidRDefault="00016659" w:rsidP="00D242E7">
            <w:pPr>
              <w:ind w:left="57" w:right="113"/>
              <w:jc w:val="both"/>
              <w:rPr>
                <w:color w:val="FF0000"/>
              </w:rPr>
            </w:pPr>
          </w:p>
        </w:tc>
      </w:tr>
      <w:tr w:rsidR="00016659" w:rsidRPr="00C2761A" w14:paraId="132CF119"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14:paraId="0E5A3804" w14:textId="6117AE46" w:rsidR="00016659" w:rsidRPr="00C2761A" w:rsidRDefault="00016659" w:rsidP="00016659">
            <w:pPr>
              <w:rPr>
                <w:b/>
              </w:rPr>
            </w:pPr>
            <w:r w:rsidRPr="00C2761A">
              <w:rPr>
                <w:b/>
              </w:rPr>
              <w:t>1.</w:t>
            </w:r>
            <w:r w:rsidR="007A2E45">
              <w:rPr>
                <w:b/>
              </w:rPr>
              <w:t> </w:t>
            </w:r>
            <w:r w:rsidRPr="00C2761A">
              <w:rPr>
                <w:b/>
              </w:rPr>
              <w:t>tabula</w:t>
            </w:r>
          </w:p>
          <w:p w14:paraId="3623B6EA" w14:textId="77777777" w:rsidR="00016659" w:rsidRPr="00C2761A" w:rsidRDefault="00016659" w:rsidP="00016659">
            <w:r w:rsidRPr="00C2761A">
              <w:rPr>
                <w:b/>
              </w:rPr>
              <w:t>Tiesību akta projekta atbilstība ES tiesību aktiem</w:t>
            </w:r>
          </w:p>
        </w:tc>
      </w:tr>
      <w:tr w:rsidR="00016659" w:rsidRPr="00C2761A" w14:paraId="266C886E"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tcPr>
          <w:p w14:paraId="3E2A0780" w14:textId="77777777" w:rsidR="00016659" w:rsidRPr="004429C5" w:rsidRDefault="00016659" w:rsidP="00016659">
            <w:r w:rsidRPr="004429C5">
              <w:t>Attiecīgā ES tiesību akta datums, numurs un nosaukums</w:t>
            </w:r>
          </w:p>
        </w:tc>
        <w:tc>
          <w:tcPr>
            <w:tcW w:w="6464" w:type="dxa"/>
            <w:gridSpan w:val="6"/>
            <w:tcBorders>
              <w:top w:val="outset" w:sz="6" w:space="0" w:color="auto"/>
              <w:left w:val="outset" w:sz="6" w:space="0" w:color="auto"/>
              <w:bottom w:val="outset" w:sz="6" w:space="0" w:color="auto"/>
              <w:right w:val="outset" w:sz="6" w:space="0" w:color="auto"/>
            </w:tcBorders>
          </w:tcPr>
          <w:p w14:paraId="6D6E94E9" w14:textId="2EBBD54A" w:rsidR="00986EC3" w:rsidRPr="00986EC3" w:rsidRDefault="00986EC3" w:rsidP="00016659">
            <w:r w:rsidRPr="00986EC3">
              <w:t>Regula Nr.</w:t>
            </w:r>
            <w:r w:rsidR="007A2E45">
              <w:t> </w:t>
            </w:r>
            <w:r w:rsidRPr="00986EC3">
              <w:t>651/2014.</w:t>
            </w:r>
          </w:p>
          <w:p w14:paraId="46539F90" w14:textId="6485A1CA" w:rsidR="00016659" w:rsidRPr="004429C5" w:rsidRDefault="006F7D3F" w:rsidP="00016659">
            <w:r w:rsidRPr="00986EC3">
              <w:t>R</w:t>
            </w:r>
            <w:r w:rsidR="00016659" w:rsidRPr="00986EC3">
              <w:t>egula Nr.</w:t>
            </w:r>
            <w:r w:rsidR="007A2E45">
              <w:t> </w:t>
            </w:r>
            <w:r w:rsidR="00016659" w:rsidRPr="00986EC3">
              <w:t>1303/2013.</w:t>
            </w:r>
          </w:p>
          <w:p w14:paraId="111D26F7" w14:textId="77777777" w:rsidR="00016659" w:rsidRPr="004429C5" w:rsidRDefault="00016659" w:rsidP="00016659"/>
        </w:tc>
      </w:tr>
      <w:tr w:rsidR="00016659" w:rsidRPr="00C2761A" w14:paraId="49D9700C"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2CBAAE5E" w14:textId="77777777" w:rsidR="00016659" w:rsidRPr="00C2761A" w:rsidRDefault="00016659" w:rsidP="00016659">
            <w:r w:rsidRPr="00C2761A">
              <w:t>A</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0C00DCA" w14:textId="77777777" w:rsidR="00016659" w:rsidRPr="00C2761A" w:rsidRDefault="00016659" w:rsidP="00016659">
            <w:r w:rsidRPr="00C2761A">
              <w:t>B</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2DDB65B" w14:textId="77777777" w:rsidR="00016659" w:rsidRPr="00C2761A" w:rsidRDefault="00016659" w:rsidP="00016659">
            <w:r w:rsidRPr="00C2761A">
              <w:t>C</w:t>
            </w:r>
          </w:p>
        </w:tc>
        <w:tc>
          <w:tcPr>
            <w:tcW w:w="1935" w:type="dxa"/>
            <w:tcBorders>
              <w:top w:val="outset" w:sz="6" w:space="0" w:color="auto"/>
              <w:left w:val="outset" w:sz="6" w:space="0" w:color="auto"/>
              <w:bottom w:val="outset" w:sz="6" w:space="0" w:color="auto"/>
              <w:right w:val="outset" w:sz="6" w:space="0" w:color="auto"/>
            </w:tcBorders>
            <w:vAlign w:val="center"/>
          </w:tcPr>
          <w:p w14:paraId="7EA98ED5" w14:textId="77777777" w:rsidR="00016659" w:rsidRPr="00C2761A" w:rsidRDefault="00016659" w:rsidP="00016659">
            <w:r w:rsidRPr="00C2761A">
              <w:t>D</w:t>
            </w:r>
          </w:p>
        </w:tc>
      </w:tr>
      <w:tr w:rsidR="00016659" w:rsidRPr="00C2761A" w14:paraId="21E0F0DB"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tcPr>
          <w:p w14:paraId="35AC6124" w14:textId="77777777" w:rsidR="00016659" w:rsidRPr="00C2761A" w:rsidRDefault="00016659" w:rsidP="00016659">
            <w:r w:rsidRPr="00C2761A">
              <w:t>Attiecīgā ES tiesību akta panta numurs (uzskaitot katru tiesību akta vienību – pantu, daļu, punktu, apakšpunktu)</w:t>
            </w:r>
          </w:p>
        </w:tc>
        <w:tc>
          <w:tcPr>
            <w:tcW w:w="2338" w:type="dxa"/>
            <w:gridSpan w:val="3"/>
            <w:tcBorders>
              <w:top w:val="outset" w:sz="6" w:space="0" w:color="auto"/>
              <w:left w:val="outset" w:sz="6" w:space="0" w:color="auto"/>
              <w:bottom w:val="outset" w:sz="6" w:space="0" w:color="auto"/>
              <w:right w:val="outset" w:sz="6" w:space="0" w:color="auto"/>
            </w:tcBorders>
          </w:tcPr>
          <w:p w14:paraId="31176152" w14:textId="77777777" w:rsidR="00016659" w:rsidRPr="00C2761A" w:rsidRDefault="00016659" w:rsidP="00016659">
            <w:r w:rsidRPr="00C2761A">
              <w:t>Projekta vienība, kas pārņem vai ievieš katru šīs tabulas A ailē minēto ES tiesību akta vienību, vai tiesību akts, kur attiecīgā ES tiesību akta vienība pārņemta vai ieviesta</w:t>
            </w:r>
          </w:p>
        </w:tc>
        <w:tc>
          <w:tcPr>
            <w:tcW w:w="2191" w:type="dxa"/>
            <w:gridSpan w:val="2"/>
            <w:tcBorders>
              <w:top w:val="outset" w:sz="6" w:space="0" w:color="auto"/>
              <w:left w:val="outset" w:sz="6" w:space="0" w:color="auto"/>
              <w:bottom w:val="outset" w:sz="6" w:space="0" w:color="auto"/>
              <w:right w:val="outset" w:sz="6" w:space="0" w:color="auto"/>
            </w:tcBorders>
          </w:tcPr>
          <w:p w14:paraId="68FD45F4" w14:textId="77777777" w:rsidR="00016659" w:rsidRPr="00C2761A" w:rsidRDefault="00016659" w:rsidP="00016659">
            <w:r w:rsidRPr="00C2761A">
              <w:t>Informācija par to, vai šīs tabulas A ailē minētās ES tiesību akta vienības tiek pārņemtas vai ieviestas pilnībā vai daļēji.</w:t>
            </w:r>
          </w:p>
          <w:p w14:paraId="57718033" w14:textId="77777777" w:rsidR="00016659" w:rsidRPr="00C2761A" w:rsidRDefault="00016659" w:rsidP="00016659">
            <w:r w:rsidRPr="00C2761A">
              <w:t>Ja attiecīgā ES tiesību akta vienība tiek pārņemta vai ieviesta daļēji, sniedz attiecīgu skaidrojumu, kā arī precīzi norāda, kad un kādā veidā ES tiesību akta vienība tiks pārņemta vai ieviesta pilnībā.</w:t>
            </w:r>
          </w:p>
          <w:p w14:paraId="38500735" w14:textId="77777777" w:rsidR="00016659" w:rsidRPr="00C2761A" w:rsidRDefault="00016659" w:rsidP="00016659">
            <w:r w:rsidRPr="00C2761A">
              <w:t>Norāda institūciju, kas ir atbildīga par šo saistību izpildi pilnībā</w:t>
            </w:r>
          </w:p>
        </w:tc>
        <w:tc>
          <w:tcPr>
            <w:tcW w:w="1935" w:type="dxa"/>
            <w:tcBorders>
              <w:top w:val="outset" w:sz="6" w:space="0" w:color="auto"/>
              <w:left w:val="outset" w:sz="6" w:space="0" w:color="auto"/>
              <w:bottom w:val="outset" w:sz="6" w:space="0" w:color="auto"/>
              <w:right w:val="outset" w:sz="6" w:space="0" w:color="auto"/>
            </w:tcBorders>
          </w:tcPr>
          <w:p w14:paraId="71315E8F" w14:textId="77777777" w:rsidR="00016659" w:rsidRPr="00C2761A" w:rsidRDefault="00016659" w:rsidP="00016659">
            <w:r w:rsidRPr="00C2761A">
              <w:t>Informācija par to, vai šīs tabulas B ailē minētās projekta vienības paredz stingrākas prasības nekā šīs tabulas A ailē minētās ES tiesību akta vienības.</w:t>
            </w:r>
          </w:p>
          <w:p w14:paraId="0E0579C8" w14:textId="77777777" w:rsidR="00016659" w:rsidRPr="00C2761A" w:rsidRDefault="00016659" w:rsidP="00016659">
            <w:r w:rsidRPr="00C2761A">
              <w:t>Ja projekts satur stingrā</w:t>
            </w:r>
            <w:r w:rsidRPr="00C2761A">
              <w:softHyphen/>
              <w:t>kas prasības nekā attie</w:t>
            </w:r>
            <w:r w:rsidRPr="00C2761A">
              <w:softHyphen/>
              <w:t>cīgais ES tiesību akts, norāda pamatojumu un samērīgumu.</w:t>
            </w:r>
          </w:p>
          <w:p w14:paraId="031D9B71" w14:textId="77777777" w:rsidR="00016659" w:rsidRPr="00C2761A" w:rsidRDefault="00016659" w:rsidP="00016659">
            <w:r w:rsidRPr="00C2761A">
              <w:t>Norāda iespējamās alternatīvas (t.sk. alternatīvas, kas neparedz tiesiskā regulējuma izstrādi) – kādos gadījumos būtu iespējams izvairīties no stingrāku prasību noteikšanas, nekā paredzēts attiecīgajos ES tiesību aktos</w:t>
            </w:r>
          </w:p>
        </w:tc>
      </w:tr>
      <w:tr w:rsidR="00DC069E" w:rsidRPr="00C2761A" w14:paraId="45AE46D1"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4D84BAE1" w14:textId="766C1101" w:rsidR="00DC069E" w:rsidRPr="002257C4" w:rsidRDefault="00DC069E" w:rsidP="00DC069E">
            <w:pPr>
              <w:spacing w:before="10"/>
              <w:ind w:left="113" w:right="113"/>
              <w:jc w:val="both"/>
            </w:pPr>
            <w:r w:rsidRPr="002257C4">
              <w:t>Regulas Nr.</w:t>
            </w:r>
            <w:r w:rsidR="007A2E45">
              <w:t> </w:t>
            </w:r>
            <w:r w:rsidRPr="002257C4">
              <w:t>651/2014 2.</w:t>
            </w:r>
            <w:r w:rsidR="007A2E45">
              <w:t> </w:t>
            </w:r>
            <w:r w:rsidRPr="002257C4">
              <w:t>panta 23.</w:t>
            </w:r>
            <w:r w:rsidR="007A2E45">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780238DB" w14:textId="1C76C542" w:rsidR="00DC069E" w:rsidRPr="002257C4" w:rsidRDefault="00DC069E" w:rsidP="002A57D8">
            <w:pPr>
              <w:spacing w:before="10"/>
              <w:ind w:left="113" w:right="113"/>
              <w:jc w:val="both"/>
            </w:pPr>
            <w:r w:rsidRPr="002257C4">
              <w:t>Noteikumu projekta 2.</w:t>
            </w:r>
            <w:r w:rsidR="002A57D8">
              <w:t>3</w:t>
            </w:r>
            <w:r w:rsidRPr="002257C4">
              <w:t>.</w:t>
            </w:r>
            <w:r w:rsidR="007A2E45">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084C11B6" w14:textId="77777777" w:rsidR="00DC069E" w:rsidRPr="002257C4" w:rsidRDefault="00DC069E" w:rsidP="00DC069E">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6950392C" w14:textId="77777777" w:rsidR="00DC069E" w:rsidRPr="002257C4" w:rsidRDefault="00DC069E" w:rsidP="00DC069E">
            <w:pPr>
              <w:spacing w:before="10"/>
              <w:ind w:left="113" w:right="113"/>
              <w:jc w:val="both"/>
            </w:pPr>
            <w:r w:rsidRPr="002257C4">
              <w:t>neparedz stingrākas prasības</w:t>
            </w:r>
          </w:p>
        </w:tc>
      </w:tr>
      <w:tr w:rsidR="002A57D8" w:rsidRPr="00C2761A" w14:paraId="04D8F602"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149BC4CF" w14:textId="0820F8A7" w:rsidR="002A57D8" w:rsidRPr="002257C4" w:rsidRDefault="002A57D8" w:rsidP="002A57D8">
            <w:pPr>
              <w:spacing w:before="10"/>
              <w:ind w:left="113" w:right="113"/>
              <w:jc w:val="both"/>
            </w:pPr>
            <w:r>
              <w:t>Regulas Nr. 651/2014 2</w:t>
            </w:r>
            <w:r w:rsidRPr="002257C4">
              <w:t>.</w:t>
            </w:r>
            <w:r>
              <w:t> </w:t>
            </w:r>
            <w:r w:rsidRPr="002257C4">
              <w:t>panta 2</w:t>
            </w:r>
            <w:r>
              <w:t>4</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36D9E7E1" w14:textId="137A332C" w:rsidR="002A57D8" w:rsidRPr="002257C4" w:rsidRDefault="002A57D8" w:rsidP="002A57D8">
            <w:pPr>
              <w:spacing w:before="10"/>
              <w:ind w:left="113" w:right="113"/>
              <w:jc w:val="both"/>
            </w:pPr>
            <w:r w:rsidRPr="002257C4">
              <w:t>Noteikumu projekta 2.</w:t>
            </w:r>
            <w:r>
              <w:t>8</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60A182CB" w14:textId="7777777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2F23A0B4" w14:textId="77777777" w:rsidR="002A57D8" w:rsidRPr="002257C4" w:rsidRDefault="002A57D8" w:rsidP="002A57D8">
            <w:pPr>
              <w:spacing w:before="10"/>
              <w:ind w:left="113" w:right="113"/>
              <w:jc w:val="both"/>
            </w:pPr>
            <w:r w:rsidRPr="002257C4">
              <w:t>neparedz stingrākas prasības</w:t>
            </w:r>
          </w:p>
        </w:tc>
      </w:tr>
      <w:tr w:rsidR="002A57D8" w:rsidRPr="00C2761A" w14:paraId="70B62229"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12624B53" w14:textId="2EF1A9DD" w:rsidR="002A57D8" w:rsidRDefault="002A57D8" w:rsidP="002A57D8">
            <w:pPr>
              <w:spacing w:before="10"/>
              <w:ind w:left="113" w:right="113"/>
              <w:jc w:val="both"/>
            </w:pPr>
            <w:r>
              <w:t>Regulas Nr. 651/2014 2</w:t>
            </w:r>
            <w:r w:rsidRPr="002257C4">
              <w:t>.</w:t>
            </w:r>
            <w:r>
              <w:t> </w:t>
            </w:r>
            <w:r w:rsidRPr="002257C4">
              <w:t>panta 2</w:t>
            </w:r>
            <w:r>
              <w:t>9</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5FF06327" w14:textId="5209C951" w:rsidR="002A57D8" w:rsidRPr="002257C4" w:rsidRDefault="002A57D8" w:rsidP="002A57D8">
            <w:pPr>
              <w:spacing w:before="10"/>
              <w:ind w:left="113" w:right="113"/>
              <w:jc w:val="both"/>
            </w:pPr>
            <w:r w:rsidRPr="002257C4">
              <w:t>Noteikumu projekta 2.</w:t>
            </w:r>
            <w:r>
              <w:t>10</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2418AB42" w14:textId="7777777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616EBF84" w14:textId="77777777" w:rsidR="002A57D8" w:rsidRPr="002257C4" w:rsidRDefault="002A57D8" w:rsidP="002A57D8">
            <w:pPr>
              <w:spacing w:before="10"/>
              <w:ind w:left="113" w:right="113"/>
              <w:jc w:val="both"/>
            </w:pPr>
            <w:r w:rsidRPr="002257C4">
              <w:t>neparedz stingrākas prasības</w:t>
            </w:r>
          </w:p>
        </w:tc>
      </w:tr>
      <w:tr w:rsidR="002A57D8" w:rsidRPr="00C2761A" w14:paraId="62D34408"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60BB8249" w14:textId="74351B12" w:rsidR="002A57D8" w:rsidRDefault="002A57D8" w:rsidP="002A57D8">
            <w:pPr>
              <w:spacing w:before="10"/>
              <w:ind w:left="113" w:right="113"/>
              <w:jc w:val="both"/>
            </w:pPr>
            <w:r>
              <w:t>Regulas Nr. 651/2014 2</w:t>
            </w:r>
            <w:r w:rsidRPr="002257C4">
              <w:t>.</w:t>
            </w:r>
            <w:r>
              <w:t> </w:t>
            </w:r>
            <w:r w:rsidRPr="002257C4">
              <w:t xml:space="preserve">panta </w:t>
            </w:r>
            <w:r>
              <w:t>30</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4820556" w14:textId="5C7D1A51" w:rsidR="002A57D8" w:rsidRPr="002257C4" w:rsidRDefault="002A57D8" w:rsidP="002A57D8">
            <w:pPr>
              <w:spacing w:before="10"/>
              <w:ind w:left="113" w:right="113"/>
              <w:jc w:val="both"/>
            </w:pPr>
            <w:r w:rsidRPr="002257C4">
              <w:t>Noteikumu projekta 2.</w:t>
            </w:r>
            <w:r>
              <w:t>11</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5B136D69" w14:textId="5C63A2CC"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135945B1" w14:textId="75694A84" w:rsidR="002A57D8" w:rsidRPr="002257C4" w:rsidRDefault="002A57D8" w:rsidP="002A57D8">
            <w:pPr>
              <w:spacing w:before="10"/>
              <w:ind w:left="113" w:right="113"/>
              <w:jc w:val="both"/>
            </w:pPr>
            <w:r w:rsidRPr="002257C4">
              <w:t>neparedz stingrākas prasības</w:t>
            </w:r>
          </w:p>
        </w:tc>
      </w:tr>
      <w:tr w:rsidR="002A57D8" w:rsidRPr="00C2761A" w14:paraId="059557F6"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7DFAB010" w14:textId="0FA719D7" w:rsidR="002A57D8" w:rsidRDefault="002A57D8" w:rsidP="002A57D8">
            <w:pPr>
              <w:spacing w:before="10"/>
              <w:ind w:left="113" w:right="113"/>
              <w:jc w:val="both"/>
            </w:pPr>
            <w:r>
              <w:t>Regulas Nr. 651/2014 2</w:t>
            </w:r>
            <w:r w:rsidRPr="002257C4">
              <w:t>.</w:t>
            </w:r>
            <w:r>
              <w:t> </w:t>
            </w:r>
            <w:r w:rsidRPr="002257C4">
              <w:t xml:space="preserve">panta </w:t>
            </w:r>
            <w:r>
              <w:t>91</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5413FFD" w14:textId="466772DC" w:rsidR="002A57D8" w:rsidRPr="002257C4" w:rsidRDefault="002A57D8" w:rsidP="002A57D8">
            <w:pPr>
              <w:spacing w:before="10"/>
              <w:ind w:left="113" w:right="113"/>
              <w:jc w:val="both"/>
            </w:pPr>
            <w:r w:rsidRPr="002257C4">
              <w:t>Noteikumu projekta 2.</w:t>
            </w:r>
            <w:r>
              <w:t>12</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03408F3A" w14:textId="0176F88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5EC34E07" w14:textId="4C28FB81" w:rsidR="002A57D8" w:rsidRPr="002257C4" w:rsidRDefault="002A57D8" w:rsidP="002A57D8">
            <w:pPr>
              <w:spacing w:before="10"/>
              <w:ind w:left="113" w:right="113"/>
              <w:jc w:val="both"/>
            </w:pPr>
            <w:r w:rsidRPr="002257C4">
              <w:t>neparedz stingrākas prasības</w:t>
            </w:r>
          </w:p>
        </w:tc>
      </w:tr>
      <w:tr w:rsidR="002A57D8" w:rsidRPr="00C2761A" w14:paraId="3A023064"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6A5172D" w14:textId="1685EE62" w:rsidR="002A57D8" w:rsidRPr="002257C4" w:rsidRDefault="002A57D8" w:rsidP="002A57D8">
            <w:pPr>
              <w:spacing w:before="10"/>
              <w:ind w:left="113" w:right="113"/>
              <w:jc w:val="both"/>
            </w:pPr>
            <w:r w:rsidRPr="002257C4">
              <w:t>Regulas Nr.</w:t>
            </w:r>
            <w:r>
              <w:t> </w:t>
            </w:r>
            <w:r w:rsidRPr="002257C4">
              <w:t>651/2014 5.</w:t>
            </w:r>
            <w:r>
              <w:t> </w:t>
            </w:r>
            <w:r w:rsidRPr="002257C4">
              <w:t>panta 2.</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67700C0" w14:textId="7F1FF803" w:rsidR="002A57D8" w:rsidRPr="002257C4" w:rsidRDefault="002A57D8" w:rsidP="002A57D8">
            <w:pPr>
              <w:spacing w:before="10"/>
              <w:ind w:left="113" w:right="113"/>
              <w:jc w:val="both"/>
            </w:pPr>
            <w:r w:rsidRPr="002257C4">
              <w:t>Noteikumu projekta 2.1</w:t>
            </w:r>
            <w:r>
              <w:t>3</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6E6492B3" w14:textId="7777777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235CCBC6" w14:textId="77777777" w:rsidR="002A57D8" w:rsidRPr="002257C4" w:rsidRDefault="002A57D8" w:rsidP="002A57D8">
            <w:pPr>
              <w:spacing w:before="10"/>
              <w:ind w:left="113" w:right="113"/>
              <w:jc w:val="both"/>
            </w:pPr>
            <w:r w:rsidRPr="002257C4">
              <w:t>neparedz stingrākas prasības</w:t>
            </w:r>
          </w:p>
        </w:tc>
      </w:tr>
      <w:tr w:rsidR="002A57D8" w:rsidRPr="00C2761A" w14:paraId="13EE70FC"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01072E6B" w14:textId="5A9F0AAB" w:rsidR="002A57D8" w:rsidRPr="002257C4" w:rsidRDefault="002A57D8" w:rsidP="002A57D8">
            <w:pPr>
              <w:spacing w:before="10"/>
              <w:ind w:left="113" w:right="113"/>
              <w:jc w:val="both"/>
            </w:pPr>
            <w:r>
              <w:t>Regulas Nr. 651/2014 2</w:t>
            </w:r>
            <w:r w:rsidRPr="002257C4">
              <w:t>.</w:t>
            </w:r>
            <w:r>
              <w:t> </w:t>
            </w:r>
            <w:r w:rsidRPr="002257C4">
              <w:t xml:space="preserve">panta </w:t>
            </w:r>
            <w:r>
              <w:t>83</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0B8C7A4B" w14:textId="087A91AA" w:rsidR="002A57D8" w:rsidRPr="002257C4" w:rsidRDefault="002A57D8" w:rsidP="002A57D8">
            <w:pPr>
              <w:spacing w:before="10"/>
              <w:ind w:left="113" w:right="113"/>
              <w:jc w:val="both"/>
            </w:pPr>
            <w:r w:rsidRPr="002257C4">
              <w:t>Noteikumu projekta 2.</w:t>
            </w:r>
            <w:r>
              <w:t>14</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273C444C" w14:textId="7777777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E14EDAA" w14:textId="77777777" w:rsidR="002A57D8" w:rsidRPr="002257C4" w:rsidRDefault="002A57D8" w:rsidP="002A57D8">
            <w:pPr>
              <w:spacing w:before="10"/>
              <w:ind w:left="113" w:right="113"/>
              <w:jc w:val="both"/>
            </w:pPr>
            <w:r w:rsidRPr="002257C4">
              <w:t>neparedz stingrākas prasības</w:t>
            </w:r>
          </w:p>
        </w:tc>
      </w:tr>
      <w:tr w:rsidR="002A57D8" w:rsidRPr="00C2761A" w14:paraId="6E1CBA11"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69B20DE" w14:textId="0D8A3C7D" w:rsidR="002A57D8" w:rsidRDefault="002A57D8" w:rsidP="002A57D8">
            <w:pPr>
              <w:spacing w:before="10"/>
              <w:ind w:left="113" w:right="113"/>
              <w:jc w:val="both"/>
            </w:pPr>
            <w:r>
              <w:t>Regulas Nr. 651/2014 2</w:t>
            </w:r>
            <w:r w:rsidRPr="002257C4">
              <w:t>.</w:t>
            </w:r>
            <w:r>
              <w:t> </w:t>
            </w:r>
            <w:r w:rsidRPr="002257C4">
              <w:t xml:space="preserve">panta </w:t>
            </w:r>
            <w:r>
              <w:t>2</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848CF80" w14:textId="6132E2EC" w:rsidR="002A57D8" w:rsidRPr="002257C4" w:rsidRDefault="002A57D8" w:rsidP="002A57D8">
            <w:pPr>
              <w:spacing w:before="10"/>
              <w:ind w:left="113" w:right="113"/>
              <w:jc w:val="both"/>
            </w:pPr>
            <w:r w:rsidRPr="002257C4">
              <w:t>Noteikumu projekta 2.</w:t>
            </w:r>
            <w:r>
              <w:t>18</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C4D15BA" w14:textId="0491F3E2"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74474B32" w14:textId="6E45DBB9" w:rsidR="002A57D8" w:rsidRPr="002257C4" w:rsidRDefault="002A57D8" w:rsidP="002A57D8">
            <w:pPr>
              <w:spacing w:before="10"/>
              <w:ind w:left="113" w:right="113"/>
              <w:jc w:val="both"/>
            </w:pPr>
            <w:r w:rsidRPr="002257C4">
              <w:t>neparedz stingrākas prasības</w:t>
            </w:r>
          </w:p>
        </w:tc>
      </w:tr>
      <w:tr w:rsidR="002A57D8" w:rsidRPr="00C2761A" w14:paraId="19E2B912"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3D7123A7" w14:textId="34EA2E8F" w:rsidR="002A57D8" w:rsidRDefault="002A57D8" w:rsidP="002A57D8">
            <w:pPr>
              <w:spacing w:before="10"/>
              <w:ind w:left="113" w:right="113"/>
              <w:jc w:val="both"/>
            </w:pPr>
            <w:r>
              <w:t>Regulas Nr. 651/2014 2</w:t>
            </w:r>
            <w:r w:rsidRPr="002257C4">
              <w:t>.</w:t>
            </w:r>
            <w:r>
              <w:t> </w:t>
            </w:r>
            <w:r w:rsidRPr="002257C4">
              <w:t xml:space="preserve">panta </w:t>
            </w:r>
            <w:r>
              <w:t>87</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387188AC" w14:textId="78387277" w:rsidR="002A57D8" w:rsidRPr="002257C4" w:rsidRDefault="002A57D8" w:rsidP="002A57D8">
            <w:pPr>
              <w:spacing w:before="10"/>
              <w:ind w:left="113" w:right="113"/>
              <w:jc w:val="both"/>
            </w:pPr>
            <w:r w:rsidRPr="002257C4">
              <w:t>Noteikumu projekta 2.</w:t>
            </w:r>
            <w:r>
              <w:t>19</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76950180" w14:textId="7777777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D679598" w14:textId="77777777" w:rsidR="002A57D8" w:rsidRPr="002257C4" w:rsidRDefault="002A57D8" w:rsidP="002A57D8">
            <w:pPr>
              <w:spacing w:before="10"/>
              <w:ind w:left="113" w:right="113"/>
              <w:jc w:val="both"/>
            </w:pPr>
            <w:r w:rsidRPr="002257C4">
              <w:t>neparedz stingrākas prasības</w:t>
            </w:r>
          </w:p>
        </w:tc>
      </w:tr>
      <w:tr w:rsidR="002A57D8" w:rsidRPr="00C2761A" w14:paraId="54134D27"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378B04F" w14:textId="0194BC0B" w:rsidR="002A57D8" w:rsidRDefault="002A57D8" w:rsidP="002A57D8">
            <w:pPr>
              <w:spacing w:before="10"/>
              <w:ind w:left="113" w:right="113"/>
              <w:jc w:val="both"/>
            </w:pPr>
            <w:r>
              <w:t>Regulas Nr. 651/2014 4.panta 1.punkta „j”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5810B7C4" w14:textId="5A63A752" w:rsidR="002A57D8" w:rsidRPr="002257C4" w:rsidRDefault="002A57D8" w:rsidP="002A57D8">
            <w:pPr>
              <w:spacing w:before="10"/>
              <w:ind w:left="113" w:right="113"/>
              <w:jc w:val="both"/>
            </w:pPr>
            <w:r w:rsidRPr="002257C4">
              <w:t xml:space="preserve">Noteikumu projekta </w:t>
            </w:r>
            <w:r>
              <w:t xml:space="preserve">19. </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1466B7B7" w14:textId="0CE695F7" w:rsidR="002A57D8" w:rsidRPr="002257C4" w:rsidRDefault="002A57D8" w:rsidP="002A57D8">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3A2B555" w14:textId="0513D43E" w:rsidR="002A57D8" w:rsidRPr="002257C4" w:rsidRDefault="002A57D8" w:rsidP="002A57D8">
            <w:pPr>
              <w:spacing w:before="10"/>
              <w:ind w:left="113" w:right="113"/>
              <w:jc w:val="both"/>
            </w:pPr>
            <w:r w:rsidRPr="002257C4">
              <w:t>neparedz stingrākas prasības</w:t>
            </w:r>
          </w:p>
        </w:tc>
      </w:tr>
      <w:tr w:rsidR="00116AC3" w:rsidRPr="00C2761A" w14:paraId="3660F13A"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78715BB1" w14:textId="2B3FBDD1" w:rsidR="00116AC3" w:rsidRDefault="00116AC3" w:rsidP="00116AC3">
            <w:pPr>
              <w:spacing w:before="10"/>
              <w:ind w:left="113" w:right="113"/>
              <w:jc w:val="both"/>
            </w:pPr>
            <w:r>
              <w:t>Regulas Nr. 651/2014 2.panta 18. 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2FD794D4" w14:textId="2E52A616" w:rsidR="00116AC3" w:rsidRPr="002257C4" w:rsidRDefault="00116AC3" w:rsidP="00116AC3">
            <w:pPr>
              <w:spacing w:before="10"/>
              <w:ind w:left="113" w:right="113"/>
              <w:jc w:val="both"/>
            </w:pPr>
            <w:r w:rsidRPr="002257C4">
              <w:t xml:space="preserve">Noteikumu projekta </w:t>
            </w:r>
            <w:r>
              <w:t>20.1.1.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7C7568D8" w14:textId="157ABC65" w:rsidR="00116AC3" w:rsidRPr="002257C4" w:rsidRDefault="00116AC3" w:rsidP="00116AC3">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3F4432E2" w14:textId="209A1BBA" w:rsidR="00116AC3" w:rsidRPr="002257C4" w:rsidRDefault="00116AC3" w:rsidP="00116AC3">
            <w:pPr>
              <w:spacing w:before="10"/>
              <w:ind w:left="113" w:right="113"/>
              <w:jc w:val="both"/>
            </w:pPr>
            <w:r w:rsidRPr="002257C4">
              <w:t>neparedz stingrākas prasības</w:t>
            </w:r>
          </w:p>
        </w:tc>
      </w:tr>
      <w:tr w:rsidR="00116AC3" w:rsidRPr="00C2761A" w14:paraId="2214CEFE"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E45218C" w14:textId="03C32249" w:rsidR="00116AC3" w:rsidRDefault="00116AC3" w:rsidP="00116AC3">
            <w:pPr>
              <w:spacing w:before="10"/>
              <w:ind w:left="113" w:right="113"/>
              <w:jc w:val="both"/>
            </w:pPr>
            <w:r>
              <w:t>Regulas Nr. 651/2014 1.</w:t>
            </w:r>
            <w:r w:rsidRPr="003A55D1">
              <w:t>panta 4. punkta „a”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D24E482" w14:textId="54B5CF0D" w:rsidR="00116AC3" w:rsidRPr="002257C4" w:rsidRDefault="00116AC3" w:rsidP="00116AC3">
            <w:pPr>
              <w:spacing w:before="10"/>
              <w:ind w:left="113" w:right="113"/>
              <w:jc w:val="both"/>
            </w:pPr>
            <w:r w:rsidRPr="002257C4">
              <w:t xml:space="preserve">Noteikumu projekta </w:t>
            </w:r>
            <w:r>
              <w:t>20.1.2.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2B5F113D" w14:textId="257F3AF4" w:rsidR="00116AC3" w:rsidRPr="002257C4" w:rsidRDefault="00116AC3" w:rsidP="00116AC3">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79252BF8" w14:textId="1D0562C8" w:rsidR="00116AC3" w:rsidRPr="002257C4" w:rsidRDefault="00116AC3" w:rsidP="00116AC3">
            <w:pPr>
              <w:spacing w:before="10"/>
              <w:ind w:left="113" w:right="113"/>
              <w:jc w:val="both"/>
            </w:pPr>
            <w:r w:rsidRPr="002257C4">
              <w:t>neparedz stingrākas prasības</w:t>
            </w:r>
          </w:p>
        </w:tc>
      </w:tr>
      <w:tr w:rsidR="003A55D1" w:rsidRPr="00C2761A" w14:paraId="1E21D831"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6E6160DF" w14:textId="23344396" w:rsidR="003A55D1" w:rsidRPr="003A55D1" w:rsidRDefault="003A55D1" w:rsidP="0091295A">
            <w:pPr>
              <w:spacing w:before="10"/>
              <w:ind w:left="113" w:right="113"/>
              <w:jc w:val="both"/>
            </w:pPr>
            <w:r>
              <w:t xml:space="preserve">Regulas Nr. 651/2014 preambulas </w:t>
            </w:r>
            <w:r w:rsidR="0091295A">
              <w:t>1</w:t>
            </w:r>
            <w:r>
              <w:t>.</w:t>
            </w:r>
            <w:r w:rsidR="0091295A">
              <w:t xml:space="preserve"> panta 3.</w:t>
            </w:r>
            <w:r>
              <w:t xml:space="preserve"> 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28CE3E1A" w14:textId="6FD7F520" w:rsidR="003A55D1" w:rsidRPr="002257C4" w:rsidRDefault="003A55D1" w:rsidP="003A55D1">
            <w:pPr>
              <w:spacing w:before="10"/>
              <w:ind w:left="113" w:right="113"/>
              <w:jc w:val="both"/>
            </w:pPr>
            <w:r w:rsidRPr="002257C4">
              <w:t xml:space="preserve">Noteikumu projekta </w:t>
            </w:r>
            <w:r>
              <w:t>20.6.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0B31454A" w14:textId="48C011D3" w:rsidR="003A55D1" w:rsidRPr="002257C4"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7C3BD330" w14:textId="0B78AEA3" w:rsidR="003A55D1" w:rsidRPr="002257C4" w:rsidRDefault="003A55D1" w:rsidP="003A55D1">
            <w:pPr>
              <w:spacing w:before="10"/>
              <w:ind w:left="113" w:right="113"/>
              <w:jc w:val="both"/>
            </w:pPr>
            <w:r w:rsidRPr="002257C4">
              <w:t>neparedz stingrākas prasības</w:t>
            </w:r>
          </w:p>
        </w:tc>
      </w:tr>
      <w:tr w:rsidR="003A55D1" w:rsidRPr="00C2761A" w14:paraId="52E08E03"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FB7629F" w14:textId="21154CDD" w:rsidR="003A55D1" w:rsidRDefault="003A55D1" w:rsidP="003A55D1">
            <w:pPr>
              <w:spacing w:before="10"/>
              <w:ind w:left="113" w:right="113"/>
              <w:jc w:val="both"/>
            </w:pPr>
            <w:r w:rsidRPr="003A55D1">
              <w:t>Regulas</w:t>
            </w:r>
            <w:r>
              <w:t xml:space="preserve"> Nr.316/2014 1. panta ‘b”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94F5803" w14:textId="609187AF" w:rsidR="003A55D1" w:rsidRPr="002257C4" w:rsidRDefault="003A55D1" w:rsidP="003A55D1">
            <w:pPr>
              <w:spacing w:before="10"/>
              <w:ind w:left="113" w:right="113"/>
              <w:jc w:val="both"/>
            </w:pPr>
            <w:r w:rsidRPr="002257C4">
              <w:t xml:space="preserve">Noteikumu projekta </w:t>
            </w:r>
            <w:r>
              <w:t>25.3.1.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13F0344C" w14:textId="6E10747C" w:rsidR="003A55D1" w:rsidRPr="002257C4"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01130CD9" w14:textId="0851A060" w:rsidR="003A55D1" w:rsidRPr="002257C4" w:rsidRDefault="003A55D1" w:rsidP="003A55D1">
            <w:pPr>
              <w:spacing w:before="10"/>
              <w:ind w:left="113" w:right="113"/>
              <w:jc w:val="both"/>
            </w:pPr>
            <w:r w:rsidRPr="002257C4">
              <w:t>neparedz stingrākas prasības</w:t>
            </w:r>
          </w:p>
        </w:tc>
      </w:tr>
      <w:tr w:rsidR="003A55D1" w:rsidRPr="00C2761A" w14:paraId="0D70B8E7"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4927025F" w14:textId="73527666" w:rsidR="003A55D1" w:rsidRDefault="003A55D1" w:rsidP="003A55D1">
            <w:pPr>
              <w:spacing w:before="10"/>
              <w:ind w:left="113" w:right="113"/>
              <w:jc w:val="both"/>
            </w:pPr>
            <w:r>
              <w:t xml:space="preserve">Regulas Nr. </w:t>
            </w:r>
            <w:hyperlink r:id="rId15" w:tgtFrame="_blank" w:history="1">
              <w:r w:rsidRPr="003E589A">
                <w:t>651/2014</w:t>
              </w:r>
            </w:hyperlink>
            <w:r w:rsidRPr="003E589A">
              <w:t xml:space="preserve"> </w:t>
            </w:r>
            <w:r>
              <w:t xml:space="preserve">26.pants </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7892CEB3" w14:textId="281E2554" w:rsidR="003A55D1" w:rsidRPr="002257C4" w:rsidRDefault="003A55D1" w:rsidP="003A55D1">
            <w:pPr>
              <w:spacing w:before="10"/>
              <w:ind w:left="113" w:right="113"/>
              <w:jc w:val="both"/>
            </w:pPr>
            <w:r w:rsidRPr="002257C4">
              <w:t xml:space="preserve">Noteikumu projekta </w:t>
            </w:r>
            <w:r>
              <w:t xml:space="preserve">49. </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310A137" w14:textId="59A6879D" w:rsidR="003A55D1" w:rsidRPr="002257C4"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20057BF2" w14:textId="64AD8160" w:rsidR="003A55D1" w:rsidRPr="002257C4" w:rsidRDefault="003A55D1" w:rsidP="003A55D1">
            <w:pPr>
              <w:spacing w:before="10"/>
              <w:ind w:left="113" w:right="113"/>
              <w:jc w:val="both"/>
            </w:pPr>
            <w:r w:rsidRPr="002257C4">
              <w:t>neparedz stingrākas prasības</w:t>
            </w:r>
          </w:p>
        </w:tc>
      </w:tr>
      <w:tr w:rsidR="003A55D1" w:rsidRPr="00C2761A" w14:paraId="4F3598D8"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07CB4FF2" w14:textId="41F15AB2" w:rsidR="003A55D1" w:rsidRDefault="003A55D1" w:rsidP="003A55D1">
            <w:pPr>
              <w:spacing w:before="10"/>
              <w:ind w:left="113" w:right="113"/>
              <w:jc w:val="both"/>
            </w:pPr>
            <w:r>
              <w:t xml:space="preserve">Regulas Nr. </w:t>
            </w:r>
            <w:hyperlink r:id="rId16" w:tgtFrame="_blank" w:history="1">
              <w:r w:rsidRPr="003E589A">
                <w:t>651/2014</w:t>
              </w:r>
            </w:hyperlink>
            <w:r w:rsidRPr="003E589A">
              <w:t xml:space="preserve"> </w:t>
            </w:r>
            <w:r>
              <w:t xml:space="preserve">26.panta 6.punkts </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DC6A200" w14:textId="7DA22637" w:rsidR="003A55D1" w:rsidRPr="002257C4" w:rsidRDefault="003A55D1" w:rsidP="003A55D1">
            <w:pPr>
              <w:spacing w:before="10"/>
              <w:ind w:left="113" w:right="113"/>
              <w:jc w:val="both"/>
            </w:pPr>
            <w:r w:rsidRPr="002257C4">
              <w:t xml:space="preserve">Noteikumu projekta </w:t>
            </w:r>
            <w:r>
              <w:t xml:space="preserve">50. </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68419E7B" w14:textId="679CAB83" w:rsidR="003A55D1" w:rsidRPr="002257C4"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3869D5A3" w14:textId="006CABF7" w:rsidR="003A55D1" w:rsidRPr="002257C4" w:rsidRDefault="003A55D1" w:rsidP="003A55D1">
            <w:pPr>
              <w:spacing w:before="10"/>
              <w:ind w:left="113" w:right="113"/>
              <w:jc w:val="both"/>
            </w:pPr>
            <w:r w:rsidRPr="002257C4">
              <w:t>neparedz stingrākas prasības</w:t>
            </w:r>
          </w:p>
        </w:tc>
      </w:tr>
      <w:tr w:rsidR="003A55D1" w:rsidRPr="00C2761A" w14:paraId="42C33740"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0C64E799" w14:textId="337949A3" w:rsidR="003A55D1" w:rsidRDefault="003A55D1" w:rsidP="003A55D1">
            <w:pPr>
              <w:spacing w:before="10"/>
              <w:ind w:left="113" w:right="113"/>
              <w:jc w:val="both"/>
            </w:pPr>
            <w:r>
              <w:t xml:space="preserve">Regulas Nr. </w:t>
            </w:r>
            <w:hyperlink r:id="rId17" w:tgtFrame="_blank" w:history="1">
              <w:r w:rsidRPr="003E589A">
                <w:t>651/2014</w:t>
              </w:r>
            </w:hyperlink>
            <w:r w:rsidRPr="003E589A">
              <w:t xml:space="preserve"> </w:t>
            </w:r>
            <w:r>
              <w:t xml:space="preserve">26.pants </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1615A084" w14:textId="3355F883" w:rsidR="003A55D1" w:rsidRPr="002257C4" w:rsidRDefault="003A55D1" w:rsidP="003A55D1">
            <w:pPr>
              <w:spacing w:before="10"/>
              <w:ind w:left="113" w:right="113"/>
              <w:jc w:val="both"/>
            </w:pPr>
            <w:r w:rsidRPr="002257C4">
              <w:t xml:space="preserve">Noteikumu projekta </w:t>
            </w:r>
            <w:r>
              <w:t>53.2.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56BBA9D0" w14:textId="0A2AA4D3" w:rsidR="003A55D1" w:rsidRPr="002257C4"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786E83CD" w14:textId="2101E30F" w:rsidR="003A55D1" w:rsidRPr="002257C4" w:rsidRDefault="003A55D1" w:rsidP="003A55D1">
            <w:pPr>
              <w:spacing w:before="10"/>
              <w:ind w:left="113" w:right="113"/>
              <w:jc w:val="both"/>
            </w:pPr>
            <w:r w:rsidRPr="002257C4">
              <w:t>neparedz stingrākas prasības</w:t>
            </w:r>
          </w:p>
        </w:tc>
      </w:tr>
      <w:tr w:rsidR="003A55D1" w:rsidRPr="00C2761A" w14:paraId="200F441F"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29E29AA4" w14:textId="7EE3F42E" w:rsidR="003A55D1" w:rsidRPr="00AE624B" w:rsidRDefault="003A55D1" w:rsidP="003A55D1">
            <w:pPr>
              <w:spacing w:before="10"/>
              <w:ind w:left="109" w:right="113"/>
              <w:jc w:val="both"/>
            </w:pPr>
            <w:r w:rsidRPr="00AE624B">
              <w:t>Regulas Nr.</w:t>
            </w:r>
            <w:r>
              <w:t> </w:t>
            </w:r>
            <w:r w:rsidRPr="00AE624B">
              <w:t xml:space="preserve">651/2014 </w:t>
            </w:r>
            <w:r>
              <w:t>5</w:t>
            </w:r>
            <w:r w:rsidRPr="00AE624B">
              <w:t>.</w:t>
            </w:r>
            <w:r>
              <w:t> </w:t>
            </w:r>
            <w:r w:rsidRPr="00AE624B">
              <w:t xml:space="preserve">panta </w:t>
            </w:r>
            <w:r>
              <w:t>2</w:t>
            </w:r>
            <w:r w:rsidRPr="00AE624B">
              <w:t>.</w:t>
            </w:r>
            <w:r>
              <w:t> </w:t>
            </w:r>
            <w:r w:rsidRPr="00AE624B">
              <w:t xml:space="preserve">punkts </w:t>
            </w:r>
            <w:r w:rsidRPr="007A2E45">
              <w:t>"</w:t>
            </w:r>
            <w:r w:rsidRPr="00AE624B">
              <w:t>a</w:t>
            </w:r>
            <w:r w:rsidRPr="007A2E45">
              <w:t>"</w:t>
            </w:r>
            <w:r w:rsidRPr="00AE624B">
              <w:t xml:space="preserve">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75535AC5" w14:textId="288C2D4D" w:rsidR="003A55D1" w:rsidRPr="00AE624B" w:rsidRDefault="003A55D1" w:rsidP="003A55D1">
            <w:pPr>
              <w:spacing w:before="10"/>
              <w:ind w:left="113" w:right="113"/>
              <w:jc w:val="both"/>
            </w:pPr>
            <w:r w:rsidRPr="00AE624B">
              <w:t xml:space="preserve">Noteikumu projekta </w:t>
            </w:r>
            <w:r>
              <w:t>54.1.1. </w:t>
            </w:r>
            <w:r w:rsidRPr="00AE624B">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19CE2590" w14:textId="77777777" w:rsidR="003A55D1" w:rsidRPr="00AE624B"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1483D1AB" w14:textId="77777777" w:rsidR="003A55D1" w:rsidRPr="00AE624B" w:rsidRDefault="003A55D1" w:rsidP="003A55D1">
            <w:pPr>
              <w:spacing w:before="10"/>
              <w:ind w:left="113" w:right="113"/>
              <w:jc w:val="both"/>
            </w:pPr>
            <w:r w:rsidRPr="00AE624B">
              <w:t>neparedz stingrākas prasības</w:t>
            </w:r>
          </w:p>
        </w:tc>
      </w:tr>
      <w:tr w:rsidR="003A55D1" w:rsidRPr="00C2761A" w14:paraId="155A99D4"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3A028778" w14:textId="7EA652B3" w:rsidR="003A55D1" w:rsidRPr="00AE624B" w:rsidRDefault="003A55D1" w:rsidP="003A55D1">
            <w:pPr>
              <w:spacing w:before="10"/>
              <w:ind w:left="109" w:right="113"/>
              <w:jc w:val="both"/>
            </w:pPr>
            <w:r>
              <w:t>Regulas Nr. 651/2014 6</w:t>
            </w:r>
            <w:r w:rsidRPr="002257C4">
              <w:t>.</w:t>
            </w:r>
            <w:r>
              <w:t> </w:t>
            </w:r>
            <w:r w:rsidRPr="002257C4">
              <w:t xml:space="preserve">panta </w:t>
            </w:r>
            <w:r>
              <w:t>2. un 3</w:t>
            </w:r>
            <w:r w:rsidRPr="002257C4">
              <w:t>.</w:t>
            </w:r>
            <w:r>
              <w:t> </w:t>
            </w:r>
            <w:r w:rsidRPr="002257C4">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0E13E1EF" w14:textId="24B2B65F" w:rsidR="003A55D1" w:rsidRPr="00AE624B" w:rsidRDefault="003A55D1" w:rsidP="003A55D1">
            <w:pPr>
              <w:spacing w:before="10"/>
              <w:ind w:left="113" w:right="113"/>
              <w:jc w:val="both"/>
            </w:pPr>
            <w:r w:rsidRPr="002257C4">
              <w:t xml:space="preserve">Noteikumu projekta </w:t>
            </w:r>
            <w:r>
              <w:t>54.1.3</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2BCF5169" w14:textId="4CB49E86" w:rsidR="003A55D1" w:rsidRPr="00AE624B"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B72FCD7" w14:textId="48324E73" w:rsidR="003A55D1" w:rsidRPr="00AE624B" w:rsidRDefault="003A55D1" w:rsidP="003A55D1">
            <w:pPr>
              <w:spacing w:before="10"/>
              <w:ind w:left="113" w:right="113"/>
              <w:jc w:val="both"/>
            </w:pPr>
            <w:r w:rsidRPr="002257C4">
              <w:t>neparedz stingrākas prasības</w:t>
            </w:r>
          </w:p>
        </w:tc>
      </w:tr>
      <w:tr w:rsidR="003A55D1" w:rsidRPr="00C2761A" w14:paraId="697B5BF4"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4618EE72" w14:textId="2BF63B6D" w:rsidR="003A55D1" w:rsidRPr="00AE624B" w:rsidRDefault="003A55D1" w:rsidP="003A55D1">
            <w:pPr>
              <w:spacing w:before="10"/>
              <w:ind w:left="109" w:right="113"/>
              <w:jc w:val="both"/>
            </w:pPr>
            <w:r>
              <w:t>Regulas Nr. 651/2014 1</w:t>
            </w:r>
            <w:r w:rsidRPr="002257C4">
              <w:t>.</w:t>
            </w:r>
            <w:r>
              <w:t> </w:t>
            </w:r>
            <w:r w:rsidRPr="002257C4">
              <w:t xml:space="preserve">panta </w:t>
            </w:r>
            <w:r>
              <w:t>2</w:t>
            </w:r>
            <w:r w:rsidRPr="002257C4">
              <w:t>.</w:t>
            </w:r>
            <w:r>
              <w:t> </w:t>
            </w:r>
            <w:r w:rsidRPr="002257C4">
              <w:t>punkts</w:t>
            </w:r>
            <w:r>
              <w:t xml:space="preserve"> un 3. punkta </w:t>
            </w:r>
            <w:r w:rsidRPr="00681597">
              <w:t>"</w:t>
            </w:r>
            <w:r>
              <w:t>c</w:t>
            </w:r>
            <w:r w:rsidRPr="00681597">
              <w:t>"</w:t>
            </w:r>
            <w:r>
              <w:t xml:space="preserve"> un </w:t>
            </w:r>
            <w:r w:rsidRPr="00681597">
              <w:t>"</w:t>
            </w:r>
            <w:r>
              <w:t>d</w:t>
            </w:r>
            <w:r w:rsidRPr="00681597">
              <w:t>"</w:t>
            </w:r>
            <w:r>
              <w:t xml:space="preserve">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45807058" w14:textId="03A8AD78" w:rsidR="003A55D1" w:rsidRPr="00AE624B" w:rsidRDefault="003A55D1" w:rsidP="003A55D1">
            <w:pPr>
              <w:spacing w:before="10"/>
              <w:ind w:left="113" w:right="113"/>
              <w:jc w:val="both"/>
            </w:pPr>
            <w:r w:rsidRPr="002257C4">
              <w:t xml:space="preserve">Noteikumu projekta </w:t>
            </w:r>
            <w:r>
              <w:t>54.2</w:t>
            </w:r>
            <w:r w:rsidRPr="002257C4">
              <w:t>.</w:t>
            </w:r>
            <w:r>
              <w:t> </w:t>
            </w:r>
            <w:r w:rsidRPr="002257C4">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6B62AD24" w14:textId="77777777" w:rsidR="003A55D1" w:rsidRPr="00AE624B"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39941BA" w14:textId="77777777" w:rsidR="003A55D1" w:rsidRPr="00AE624B" w:rsidRDefault="003A55D1" w:rsidP="003A55D1">
            <w:pPr>
              <w:spacing w:before="10"/>
              <w:ind w:left="113" w:right="113"/>
              <w:jc w:val="both"/>
            </w:pPr>
            <w:r w:rsidRPr="002257C4">
              <w:t>neparedz stingrākas prasības</w:t>
            </w:r>
          </w:p>
        </w:tc>
      </w:tr>
      <w:tr w:rsidR="003A55D1" w:rsidRPr="00C2761A" w14:paraId="038F4E76"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735F8D00" w14:textId="17D7F6F0" w:rsidR="003A55D1" w:rsidRDefault="003A55D1" w:rsidP="003A55D1">
            <w:pPr>
              <w:spacing w:before="10"/>
              <w:ind w:left="109" w:right="113"/>
              <w:jc w:val="both"/>
            </w:pPr>
            <w:r>
              <w:t>Regulas Nr. 651/2014 26. panta 2. un 3. 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33B13D40" w14:textId="7F3AD67B" w:rsidR="003A55D1" w:rsidRPr="002257C4" w:rsidRDefault="003A55D1" w:rsidP="003A55D1">
            <w:pPr>
              <w:spacing w:before="10"/>
              <w:ind w:left="113" w:right="113"/>
              <w:jc w:val="both"/>
            </w:pPr>
            <w:r w:rsidRPr="00AE624B">
              <w:t xml:space="preserve">Noteikumu projekta </w:t>
            </w:r>
            <w:r>
              <w:t>54.3. </w:t>
            </w:r>
            <w:r w:rsidRPr="00AE624B">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1878AA8" w14:textId="77777777" w:rsidR="003A55D1" w:rsidRPr="002257C4"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37DF10AB" w14:textId="77777777" w:rsidR="003A55D1" w:rsidRPr="002257C4" w:rsidRDefault="003A55D1" w:rsidP="003A55D1">
            <w:pPr>
              <w:spacing w:before="10"/>
              <w:ind w:left="113" w:right="113"/>
              <w:jc w:val="both"/>
            </w:pPr>
            <w:r w:rsidRPr="00AE624B">
              <w:t>neparedz stingrākas prasības</w:t>
            </w:r>
          </w:p>
        </w:tc>
      </w:tr>
      <w:tr w:rsidR="003A55D1" w:rsidRPr="00C2761A" w14:paraId="49B5FF1A"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3E942A89" w14:textId="74FA7A4C" w:rsidR="003A55D1" w:rsidRDefault="003A55D1" w:rsidP="003A55D1">
            <w:pPr>
              <w:spacing w:before="10"/>
              <w:ind w:left="109" w:right="113"/>
              <w:jc w:val="both"/>
            </w:pPr>
            <w:r>
              <w:t>Regulas Nr. 651/2014 26. panta 4. 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5530AFF9" w14:textId="2482950D" w:rsidR="003A55D1" w:rsidRPr="002257C4" w:rsidRDefault="003A55D1" w:rsidP="003A55D1">
            <w:pPr>
              <w:spacing w:before="10"/>
              <w:ind w:left="113" w:right="113"/>
              <w:jc w:val="both"/>
            </w:pPr>
            <w:r w:rsidRPr="00AE624B">
              <w:t xml:space="preserve">Noteikumu projekta </w:t>
            </w:r>
            <w:r>
              <w:t>55.2. </w:t>
            </w:r>
            <w:r w:rsidRPr="00AE624B">
              <w:t>apakšpunkts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47DBB401" w14:textId="77777777" w:rsidR="003A55D1" w:rsidRPr="002257C4"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52956E51" w14:textId="77777777" w:rsidR="003A55D1" w:rsidRPr="002257C4" w:rsidRDefault="003A55D1" w:rsidP="003A55D1">
            <w:pPr>
              <w:spacing w:before="10"/>
              <w:ind w:left="113" w:right="113"/>
              <w:jc w:val="both"/>
            </w:pPr>
            <w:r w:rsidRPr="00AE624B">
              <w:t>neparedz stingrākas prasības</w:t>
            </w:r>
          </w:p>
        </w:tc>
      </w:tr>
      <w:tr w:rsidR="003A55D1" w:rsidRPr="00C2761A" w14:paraId="264EF287"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F73D0A4" w14:textId="7B0520D0" w:rsidR="003A55D1" w:rsidRDefault="003A55D1" w:rsidP="003A55D1">
            <w:pPr>
              <w:spacing w:before="10"/>
              <w:ind w:left="109" w:right="113"/>
              <w:jc w:val="both"/>
            </w:pPr>
            <w:r>
              <w:t xml:space="preserve">Regulas Nr. 651/2014 4. panta 1. punkta </w:t>
            </w:r>
            <w:r w:rsidRPr="00681597">
              <w:t>"</w:t>
            </w:r>
            <w:r>
              <w:t>j</w:t>
            </w:r>
            <w:r w:rsidRPr="00681597">
              <w:t>"</w:t>
            </w:r>
            <w:r>
              <w:t xml:space="preserve"> apakšpunkts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79181970" w14:textId="71B9C365" w:rsidR="003A55D1" w:rsidRPr="00AE624B" w:rsidRDefault="003A55D1" w:rsidP="003A55D1">
            <w:pPr>
              <w:spacing w:before="10"/>
              <w:ind w:left="113" w:right="113"/>
              <w:jc w:val="both"/>
            </w:pPr>
            <w:r w:rsidRPr="002257C4">
              <w:t xml:space="preserve">Noteikumu projekta </w:t>
            </w:r>
            <w:r>
              <w:t>55.3. apakš</w:t>
            </w:r>
            <w:r w:rsidRPr="002257C4">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2C94D32D" w14:textId="7E89ECA1" w:rsidR="003A55D1" w:rsidRPr="00AE624B" w:rsidRDefault="003A55D1" w:rsidP="003A55D1">
            <w:pPr>
              <w:spacing w:before="10"/>
              <w:ind w:left="113" w:right="113"/>
              <w:jc w:val="both"/>
            </w:pPr>
            <w:r w:rsidRPr="002257C4">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647637FE" w14:textId="0C47CEE8" w:rsidR="003A55D1" w:rsidRPr="00AE624B" w:rsidRDefault="003A55D1" w:rsidP="003A55D1">
            <w:pPr>
              <w:spacing w:before="10"/>
              <w:ind w:left="113" w:right="113"/>
              <w:jc w:val="both"/>
            </w:pPr>
            <w:r w:rsidRPr="002257C4">
              <w:t>neparedz stingrākas prasības</w:t>
            </w:r>
          </w:p>
        </w:tc>
      </w:tr>
      <w:tr w:rsidR="003A55D1" w:rsidRPr="007E49FA" w14:paraId="020F9F6A"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0BA910F0" w14:textId="5C218823" w:rsidR="003A55D1" w:rsidRPr="007E49FA" w:rsidRDefault="003A55D1" w:rsidP="003A55D1">
            <w:pPr>
              <w:spacing w:before="10"/>
              <w:ind w:left="109" w:right="113"/>
              <w:jc w:val="both"/>
            </w:pPr>
            <w:r w:rsidRPr="007E49FA">
              <w:t>Regula Nr. 966/2012</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6FFB85FA" w14:textId="4832AAB9" w:rsidR="003A55D1" w:rsidRPr="007E49FA" w:rsidRDefault="003A55D1" w:rsidP="003A55D1">
            <w:pPr>
              <w:spacing w:before="10"/>
              <w:ind w:left="113" w:right="113"/>
              <w:jc w:val="both"/>
            </w:pPr>
            <w:r w:rsidRPr="007E49FA">
              <w:t>Noteikumu projekta 6</w:t>
            </w:r>
            <w:r>
              <w:t>1</w:t>
            </w:r>
            <w:r w:rsidRPr="007E49FA">
              <w:t>. 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1F4FA9E7" w14:textId="4F66FC82" w:rsidR="003A55D1" w:rsidRPr="007E49FA" w:rsidRDefault="003A55D1" w:rsidP="003A55D1">
            <w:pPr>
              <w:spacing w:before="10"/>
              <w:ind w:left="113" w:right="113"/>
              <w:jc w:val="both"/>
            </w:pPr>
            <w:r w:rsidRPr="007E49FA">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E35D3EA" w14:textId="3CF1F60C" w:rsidR="003A55D1" w:rsidRPr="007E49FA" w:rsidRDefault="003A55D1" w:rsidP="003A55D1">
            <w:pPr>
              <w:spacing w:before="10"/>
              <w:ind w:left="113" w:right="113"/>
              <w:jc w:val="both"/>
            </w:pPr>
            <w:r w:rsidRPr="007E49FA">
              <w:t>neparedz stingrākas prasības</w:t>
            </w:r>
          </w:p>
        </w:tc>
      </w:tr>
      <w:tr w:rsidR="003A55D1" w:rsidRPr="00C2761A" w14:paraId="026AECE2"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19EE7613" w14:textId="7DCD548A" w:rsidR="003A55D1" w:rsidRPr="00AE624B" w:rsidRDefault="003A55D1" w:rsidP="003A55D1">
            <w:pPr>
              <w:spacing w:before="10"/>
              <w:ind w:left="113" w:right="113"/>
              <w:jc w:val="both"/>
            </w:pPr>
            <w:r w:rsidRPr="00AE624B">
              <w:t>Regula Nr.</w:t>
            </w:r>
            <w:r>
              <w:t> </w:t>
            </w:r>
            <w:r w:rsidRPr="00AE624B">
              <w:t xml:space="preserve">1303/2013 </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6C34783D" w14:textId="49313B2D" w:rsidR="003A55D1" w:rsidRPr="00AE624B" w:rsidRDefault="003A55D1" w:rsidP="003A55D1">
            <w:pPr>
              <w:spacing w:before="10"/>
              <w:ind w:left="113" w:right="113"/>
              <w:jc w:val="both"/>
            </w:pPr>
            <w:r>
              <w:t>Noteikumu projekta 63</w:t>
            </w:r>
            <w:r w:rsidRPr="00AE624B">
              <w:t>.</w:t>
            </w:r>
            <w:r>
              <w:t> </w:t>
            </w:r>
            <w:r w:rsidRPr="00AE624B">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3F5A4FC" w14:textId="77777777" w:rsidR="003A55D1" w:rsidRPr="00AE624B"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71C735E1" w14:textId="77777777" w:rsidR="003A55D1" w:rsidRPr="00AE624B" w:rsidRDefault="003A55D1" w:rsidP="003A55D1">
            <w:pPr>
              <w:spacing w:before="10"/>
              <w:ind w:left="113" w:right="113"/>
              <w:jc w:val="both"/>
            </w:pPr>
            <w:r w:rsidRPr="00AE624B">
              <w:t>neparedz stingrākas prasības</w:t>
            </w:r>
          </w:p>
        </w:tc>
      </w:tr>
      <w:tr w:rsidR="003A55D1" w:rsidRPr="00C2761A" w14:paraId="5165FF5A"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B0E3C31" w14:textId="0D708F8B" w:rsidR="003A55D1" w:rsidRPr="00AE624B" w:rsidRDefault="003A55D1" w:rsidP="003A55D1">
            <w:pPr>
              <w:spacing w:before="10"/>
              <w:ind w:left="113" w:right="113"/>
              <w:jc w:val="both"/>
            </w:pPr>
            <w:r w:rsidRPr="00AE624B">
              <w:t>Regulas Nr.</w:t>
            </w:r>
            <w:r>
              <w:t> </w:t>
            </w:r>
            <w:r w:rsidRPr="00AE624B">
              <w:t>651/2014 9.</w:t>
            </w:r>
            <w:r>
              <w:t> </w:t>
            </w:r>
            <w:r w:rsidRPr="00AE624B">
              <w:t>panta 1. un 4.</w:t>
            </w:r>
            <w:r>
              <w:t> </w:t>
            </w:r>
            <w:r w:rsidRPr="00AE624B">
              <w:t>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4C281671" w14:textId="03B1B8C3" w:rsidR="003A55D1" w:rsidRPr="00AE624B" w:rsidRDefault="003A55D1" w:rsidP="003A55D1">
            <w:pPr>
              <w:spacing w:before="10"/>
              <w:ind w:left="113" w:right="113"/>
              <w:jc w:val="both"/>
            </w:pPr>
            <w:r w:rsidRPr="00AE624B">
              <w:t xml:space="preserve">Noteikumu projekta </w:t>
            </w:r>
            <w:r>
              <w:t>64</w:t>
            </w:r>
            <w:r w:rsidRPr="00AE624B">
              <w:t>.</w:t>
            </w:r>
            <w:r>
              <w:t>1. apakš</w:t>
            </w:r>
            <w:r w:rsidRPr="00AE624B">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38F1DA72" w14:textId="77777777" w:rsidR="003A55D1" w:rsidRPr="00AE624B"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315628BF" w14:textId="77777777" w:rsidR="003A55D1" w:rsidRPr="00AE624B" w:rsidRDefault="003A55D1" w:rsidP="003A55D1">
            <w:pPr>
              <w:spacing w:before="10"/>
              <w:ind w:left="113" w:right="113"/>
              <w:jc w:val="both"/>
            </w:pPr>
            <w:r w:rsidRPr="00AE624B">
              <w:t>neparedz stingrākas prasības</w:t>
            </w:r>
          </w:p>
        </w:tc>
      </w:tr>
      <w:tr w:rsidR="003A55D1" w:rsidRPr="00C2761A" w14:paraId="1F21270B"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510202F9" w14:textId="323F7F65" w:rsidR="003A55D1" w:rsidRPr="00AE624B" w:rsidRDefault="003A55D1" w:rsidP="003A55D1">
            <w:pPr>
              <w:spacing w:before="10"/>
              <w:ind w:left="113" w:right="113"/>
              <w:jc w:val="both"/>
            </w:pPr>
            <w:r w:rsidRPr="00AE624B">
              <w:t>Regulas Nr.</w:t>
            </w:r>
            <w:r>
              <w:t> </w:t>
            </w:r>
            <w:r w:rsidRPr="00AE624B">
              <w:t>651/2014 12.</w:t>
            </w:r>
            <w:r>
              <w:t> </w:t>
            </w:r>
            <w:r w:rsidRPr="00AE624B">
              <w:t>pants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5538FE25" w14:textId="30403F5E" w:rsidR="003A55D1" w:rsidRPr="00AE624B" w:rsidRDefault="003A55D1" w:rsidP="003A55D1">
            <w:pPr>
              <w:spacing w:before="10"/>
              <w:ind w:left="113" w:right="113"/>
              <w:jc w:val="both"/>
            </w:pPr>
            <w:r>
              <w:t>Noteikumu projekta 64</w:t>
            </w:r>
            <w:r w:rsidRPr="00AE624B">
              <w:t>.</w:t>
            </w:r>
            <w:r>
              <w:t>2. apakš</w:t>
            </w:r>
            <w:r w:rsidRPr="00AE624B">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067ABCAB" w14:textId="77777777" w:rsidR="003A55D1" w:rsidRPr="00AE624B"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2DA49CD3" w14:textId="77777777" w:rsidR="003A55D1" w:rsidRPr="00AE624B" w:rsidRDefault="003A55D1" w:rsidP="003A55D1">
            <w:pPr>
              <w:spacing w:before="10"/>
              <w:ind w:left="113" w:right="113"/>
              <w:jc w:val="both"/>
            </w:pPr>
            <w:r w:rsidRPr="00AE624B">
              <w:t>neparedz stingrākas prasības</w:t>
            </w:r>
          </w:p>
        </w:tc>
      </w:tr>
      <w:tr w:rsidR="003A55D1" w:rsidRPr="00C2761A" w14:paraId="41B77C70"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vAlign w:val="center"/>
          </w:tcPr>
          <w:p w14:paraId="42E5B0A2" w14:textId="5409CFDB" w:rsidR="003A55D1" w:rsidRPr="00AE624B" w:rsidRDefault="003A55D1" w:rsidP="003A55D1">
            <w:pPr>
              <w:spacing w:before="10"/>
              <w:ind w:left="113" w:right="113"/>
              <w:jc w:val="both"/>
            </w:pPr>
            <w:r w:rsidRPr="00AE624B">
              <w:t>Regulas Nr.</w:t>
            </w:r>
            <w:r>
              <w:t> </w:t>
            </w:r>
            <w:r w:rsidRPr="00AE624B">
              <w:t xml:space="preserve">651/2014 </w:t>
            </w:r>
            <w:r>
              <w:t>26</w:t>
            </w:r>
            <w:r w:rsidRPr="00AE624B">
              <w:t>.</w:t>
            </w:r>
            <w:r>
              <w:t> </w:t>
            </w:r>
            <w:r w:rsidRPr="00AE624B">
              <w:t>pant</w:t>
            </w:r>
            <w:r>
              <w:t>a 7. punkts</w:t>
            </w:r>
          </w:p>
        </w:tc>
        <w:tc>
          <w:tcPr>
            <w:tcW w:w="2338" w:type="dxa"/>
            <w:gridSpan w:val="3"/>
            <w:tcBorders>
              <w:top w:val="outset" w:sz="6" w:space="0" w:color="auto"/>
              <w:left w:val="outset" w:sz="6" w:space="0" w:color="auto"/>
              <w:bottom w:val="outset" w:sz="6" w:space="0" w:color="auto"/>
              <w:right w:val="outset" w:sz="6" w:space="0" w:color="auto"/>
            </w:tcBorders>
            <w:vAlign w:val="center"/>
          </w:tcPr>
          <w:p w14:paraId="00B60E72" w14:textId="1466C92A" w:rsidR="003A55D1" w:rsidRDefault="003A55D1" w:rsidP="003A55D1">
            <w:pPr>
              <w:spacing w:before="10"/>
              <w:ind w:left="113" w:right="113"/>
              <w:jc w:val="both"/>
            </w:pPr>
            <w:r>
              <w:t>Noteikumu projekta 64</w:t>
            </w:r>
            <w:r w:rsidRPr="00AE624B">
              <w:t>.</w:t>
            </w:r>
            <w:r>
              <w:t>3. apakš</w:t>
            </w:r>
            <w:r w:rsidRPr="00AE624B">
              <w:t>punkts</w:t>
            </w:r>
          </w:p>
        </w:tc>
        <w:tc>
          <w:tcPr>
            <w:tcW w:w="2191" w:type="dxa"/>
            <w:gridSpan w:val="2"/>
            <w:tcBorders>
              <w:top w:val="outset" w:sz="6" w:space="0" w:color="auto"/>
              <w:left w:val="outset" w:sz="6" w:space="0" w:color="auto"/>
              <w:bottom w:val="outset" w:sz="6" w:space="0" w:color="auto"/>
              <w:right w:val="outset" w:sz="6" w:space="0" w:color="auto"/>
            </w:tcBorders>
            <w:vAlign w:val="center"/>
          </w:tcPr>
          <w:p w14:paraId="6354EBDA" w14:textId="74EB6B19" w:rsidR="003A55D1" w:rsidRPr="00AE624B" w:rsidRDefault="003A55D1" w:rsidP="003A55D1">
            <w:pPr>
              <w:spacing w:before="10"/>
              <w:ind w:left="113" w:right="113"/>
              <w:jc w:val="both"/>
            </w:pPr>
            <w:r w:rsidRPr="00AE624B">
              <w:t>ieviesta pilnībā</w:t>
            </w:r>
          </w:p>
        </w:tc>
        <w:tc>
          <w:tcPr>
            <w:tcW w:w="1935" w:type="dxa"/>
            <w:tcBorders>
              <w:top w:val="outset" w:sz="6" w:space="0" w:color="auto"/>
              <w:left w:val="outset" w:sz="6" w:space="0" w:color="auto"/>
              <w:bottom w:val="outset" w:sz="6" w:space="0" w:color="auto"/>
              <w:right w:val="outset" w:sz="6" w:space="0" w:color="auto"/>
            </w:tcBorders>
            <w:vAlign w:val="center"/>
          </w:tcPr>
          <w:p w14:paraId="4BE8EC21" w14:textId="067895E5" w:rsidR="003A55D1" w:rsidRPr="00AE624B" w:rsidRDefault="003A55D1" w:rsidP="003A55D1">
            <w:pPr>
              <w:spacing w:before="10"/>
              <w:ind w:left="113" w:right="113"/>
              <w:jc w:val="both"/>
            </w:pPr>
            <w:r w:rsidRPr="00AE624B">
              <w:t>neparedz stingrākas prasības</w:t>
            </w:r>
          </w:p>
        </w:tc>
      </w:tr>
      <w:tr w:rsidR="003A55D1" w:rsidRPr="00C2761A" w14:paraId="602E661C"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tcPr>
          <w:p w14:paraId="55E3830C" w14:textId="77777777" w:rsidR="003A55D1" w:rsidRPr="00C2761A" w:rsidRDefault="003A55D1" w:rsidP="003A55D1">
            <w:r w:rsidRPr="00C2761A">
              <w:t>Kā ir izmantota ES tiesību aktā paredzētā rīcības brīvība dalīb</w:t>
            </w:r>
            <w:r w:rsidRPr="00C2761A">
              <w:softHyphen/>
              <w:t>valstij pārņemt vai ieviest noteiktas ES tiesību akta normas?</w:t>
            </w:r>
          </w:p>
          <w:p w14:paraId="14274A17" w14:textId="77777777" w:rsidR="003A55D1" w:rsidRPr="00C2761A" w:rsidRDefault="003A55D1" w:rsidP="003A55D1">
            <w:r w:rsidRPr="00C2761A">
              <w:t>Kādēļ?</w:t>
            </w:r>
          </w:p>
        </w:tc>
        <w:tc>
          <w:tcPr>
            <w:tcW w:w="6464" w:type="dxa"/>
            <w:gridSpan w:val="6"/>
            <w:tcBorders>
              <w:top w:val="outset" w:sz="6" w:space="0" w:color="auto"/>
              <w:left w:val="outset" w:sz="6" w:space="0" w:color="auto"/>
              <w:bottom w:val="outset" w:sz="6" w:space="0" w:color="auto"/>
              <w:right w:val="outset" w:sz="6" w:space="0" w:color="auto"/>
            </w:tcBorders>
          </w:tcPr>
          <w:p w14:paraId="425208F5" w14:textId="77777777" w:rsidR="003A55D1" w:rsidRPr="00C2761A" w:rsidRDefault="003A55D1" w:rsidP="003A55D1">
            <w:r w:rsidRPr="00C2761A">
              <w:t>Noteikumu projekts šo jomu neskar.</w:t>
            </w:r>
          </w:p>
        </w:tc>
      </w:tr>
      <w:tr w:rsidR="003A55D1" w:rsidRPr="00C2761A" w14:paraId="07000535"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tcPr>
          <w:p w14:paraId="6F102878" w14:textId="77777777" w:rsidR="003A55D1" w:rsidRPr="00C2761A" w:rsidRDefault="003A55D1" w:rsidP="003A55D1">
            <w:r w:rsidRPr="00C2761A">
              <w:t>Saistības sniegt paziņojumu ES insti</w:t>
            </w:r>
            <w:r w:rsidRPr="00C2761A">
              <w:softHyphen/>
              <w:t>tūcijām un ES dalīb</w:t>
            </w:r>
            <w:r w:rsidRPr="00C2761A">
              <w:softHyphen/>
              <w:t>valstīm atbilstoši normatīvajiem aktiem, kas regulē informācijas sniegšanu par tehnisko noteikumu, valsts atbalsta piešķir</w:t>
            </w:r>
            <w:r w:rsidRPr="00C2761A">
              <w:softHyphen/>
              <w:t>šanas un finanšu noteikumu (attiecībā uz monetāro politiku) projektiem</w:t>
            </w:r>
          </w:p>
        </w:tc>
        <w:tc>
          <w:tcPr>
            <w:tcW w:w="6464" w:type="dxa"/>
            <w:gridSpan w:val="6"/>
            <w:tcBorders>
              <w:top w:val="outset" w:sz="6" w:space="0" w:color="auto"/>
              <w:left w:val="outset" w:sz="6" w:space="0" w:color="auto"/>
              <w:bottom w:val="outset" w:sz="6" w:space="0" w:color="auto"/>
              <w:right w:val="outset" w:sz="6" w:space="0" w:color="auto"/>
            </w:tcBorders>
          </w:tcPr>
          <w:p w14:paraId="59ED7DCD" w14:textId="03B8117A" w:rsidR="003A55D1" w:rsidRPr="007E49FA" w:rsidRDefault="003A55D1" w:rsidP="003A55D1">
            <w:pPr>
              <w:jc w:val="both"/>
            </w:pPr>
            <w:r w:rsidRPr="007E49FA">
              <w:t>Saskaņā ar Regulas Nr. 651/2014 11. pantu 20 darba dienu laikā pēc šo Ministru kabineta noteikumu spēkā stāšanās Eiropas Komisijai ir jānosūta kopsavilkuma informācija par atbalsta programmu.</w:t>
            </w:r>
          </w:p>
        </w:tc>
      </w:tr>
      <w:tr w:rsidR="003A55D1" w:rsidRPr="00C2761A" w14:paraId="0BCCFEEE"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09" w:type="dxa"/>
            <w:gridSpan w:val="2"/>
            <w:tcBorders>
              <w:top w:val="outset" w:sz="6" w:space="0" w:color="auto"/>
              <w:left w:val="outset" w:sz="6" w:space="0" w:color="auto"/>
              <w:bottom w:val="outset" w:sz="6" w:space="0" w:color="auto"/>
              <w:right w:val="outset" w:sz="6" w:space="0" w:color="auto"/>
            </w:tcBorders>
          </w:tcPr>
          <w:p w14:paraId="26D46CAA" w14:textId="77777777" w:rsidR="003A55D1" w:rsidRPr="00C2761A" w:rsidRDefault="003A55D1" w:rsidP="003A55D1">
            <w:r w:rsidRPr="00C2761A">
              <w:t>Cita informācija</w:t>
            </w:r>
          </w:p>
        </w:tc>
        <w:tc>
          <w:tcPr>
            <w:tcW w:w="6464" w:type="dxa"/>
            <w:gridSpan w:val="6"/>
            <w:tcBorders>
              <w:top w:val="outset" w:sz="6" w:space="0" w:color="auto"/>
              <w:left w:val="outset" w:sz="6" w:space="0" w:color="auto"/>
              <w:bottom w:val="outset" w:sz="6" w:space="0" w:color="auto"/>
              <w:right w:val="outset" w:sz="6" w:space="0" w:color="auto"/>
            </w:tcBorders>
          </w:tcPr>
          <w:p w14:paraId="3E598841" w14:textId="77777777" w:rsidR="003A55D1" w:rsidRPr="00C2761A" w:rsidRDefault="003A55D1" w:rsidP="003A55D1">
            <w:r w:rsidRPr="00C2761A">
              <w:t>Nav.</w:t>
            </w:r>
          </w:p>
        </w:tc>
      </w:tr>
      <w:tr w:rsidR="003A55D1" w:rsidRPr="00C2761A" w14:paraId="1792A4D2"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14:paraId="525CB7B8" w14:textId="19367AEB" w:rsidR="003A55D1" w:rsidRPr="00C2761A" w:rsidRDefault="003A55D1" w:rsidP="003A55D1">
            <w:pPr>
              <w:jc w:val="both"/>
              <w:rPr>
                <w:b/>
              </w:rPr>
            </w:pPr>
            <w:r w:rsidRPr="00C2761A">
              <w:rPr>
                <w:b/>
              </w:rPr>
              <w:t>2.</w:t>
            </w:r>
            <w:r>
              <w:rPr>
                <w:b/>
              </w:rPr>
              <w:t xml:space="preserve"> </w:t>
            </w:r>
            <w:r w:rsidRPr="00C2761A">
              <w:rPr>
                <w:b/>
              </w:rPr>
              <w:t>tabula</w:t>
            </w:r>
          </w:p>
          <w:p w14:paraId="4A00DDB8" w14:textId="77777777" w:rsidR="003A55D1" w:rsidRPr="00C2761A" w:rsidRDefault="003A55D1" w:rsidP="003A55D1">
            <w:pPr>
              <w:jc w:val="both"/>
              <w:rPr>
                <w:b/>
              </w:rPr>
            </w:pPr>
            <w:r w:rsidRPr="00C2761A">
              <w:rPr>
                <w:b/>
              </w:rPr>
              <w:t>Ar tiesību akta projektu izpildītās vai uzņemtās saistības, kas izriet no starptautiskajiem tiesību aktiem vai starptautiskas institūcijas vai organizācijas dokumentiem.</w:t>
            </w:r>
          </w:p>
          <w:p w14:paraId="1E46A773" w14:textId="77777777" w:rsidR="003A55D1" w:rsidRPr="00C2761A" w:rsidRDefault="003A55D1" w:rsidP="003A55D1">
            <w:pPr>
              <w:jc w:val="both"/>
              <w:rPr>
                <w:b/>
              </w:rPr>
            </w:pPr>
            <w:r w:rsidRPr="00C2761A">
              <w:rPr>
                <w:b/>
              </w:rPr>
              <w:t>Pasākumi šo saistību izpildei</w:t>
            </w:r>
          </w:p>
        </w:tc>
      </w:tr>
      <w:tr w:rsidR="003A55D1" w:rsidRPr="00C2761A" w14:paraId="5528339C"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vAlign w:val="center"/>
          </w:tcPr>
          <w:p w14:paraId="6FC9CF0C" w14:textId="77777777" w:rsidR="003A55D1" w:rsidRPr="00C2761A" w:rsidRDefault="003A55D1" w:rsidP="003A55D1">
            <w:r w:rsidRPr="00C2761A">
              <w:t>Attiecīgā starptautiskā tiesību akta vai starptautiskas institūcijas vai organizācijas dokumenta (turpmāk – starptautiskais dokuments) datums, numurs un nosaukums</w:t>
            </w:r>
          </w:p>
        </w:tc>
        <w:tc>
          <w:tcPr>
            <w:tcW w:w="6199" w:type="dxa"/>
            <w:gridSpan w:val="5"/>
            <w:tcBorders>
              <w:top w:val="outset" w:sz="6" w:space="0" w:color="auto"/>
              <w:left w:val="outset" w:sz="6" w:space="0" w:color="auto"/>
              <w:bottom w:val="outset" w:sz="6" w:space="0" w:color="auto"/>
              <w:right w:val="outset" w:sz="6" w:space="0" w:color="auto"/>
            </w:tcBorders>
          </w:tcPr>
          <w:p w14:paraId="2C18F97E" w14:textId="77777777" w:rsidR="003A55D1" w:rsidRPr="00C2761A" w:rsidRDefault="003A55D1" w:rsidP="003A55D1">
            <w:r w:rsidRPr="00C2761A">
              <w:t>Noteikumu projekts šo jomu neskar.</w:t>
            </w:r>
          </w:p>
        </w:tc>
      </w:tr>
      <w:tr w:rsidR="003A55D1" w:rsidRPr="00C2761A" w14:paraId="74F4E7B5"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vAlign w:val="center"/>
          </w:tcPr>
          <w:p w14:paraId="0250C38A" w14:textId="77777777" w:rsidR="003A55D1" w:rsidRPr="00C2761A" w:rsidRDefault="003A55D1" w:rsidP="003A55D1">
            <w:r w:rsidRPr="00C2761A">
              <w:t>A</w:t>
            </w:r>
          </w:p>
        </w:tc>
        <w:tc>
          <w:tcPr>
            <w:tcW w:w="3051" w:type="dxa"/>
            <w:gridSpan w:val="3"/>
            <w:tcBorders>
              <w:top w:val="outset" w:sz="6" w:space="0" w:color="auto"/>
              <w:left w:val="outset" w:sz="6" w:space="0" w:color="auto"/>
              <w:bottom w:val="outset" w:sz="6" w:space="0" w:color="auto"/>
              <w:right w:val="outset" w:sz="6" w:space="0" w:color="auto"/>
            </w:tcBorders>
            <w:vAlign w:val="center"/>
          </w:tcPr>
          <w:p w14:paraId="6F6A2CC4" w14:textId="77777777" w:rsidR="003A55D1" w:rsidRPr="00C2761A" w:rsidRDefault="003A55D1" w:rsidP="003A55D1">
            <w:r w:rsidRPr="00C2761A">
              <w:t>B</w:t>
            </w:r>
          </w:p>
        </w:tc>
        <w:tc>
          <w:tcPr>
            <w:tcW w:w="3148" w:type="dxa"/>
            <w:gridSpan w:val="2"/>
            <w:tcBorders>
              <w:top w:val="outset" w:sz="6" w:space="0" w:color="auto"/>
              <w:left w:val="outset" w:sz="6" w:space="0" w:color="auto"/>
              <w:bottom w:val="outset" w:sz="6" w:space="0" w:color="auto"/>
              <w:right w:val="outset" w:sz="6" w:space="0" w:color="auto"/>
            </w:tcBorders>
            <w:vAlign w:val="center"/>
          </w:tcPr>
          <w:p w14:paraId="57445EC7" w14:textId="77777777" w:rsidR="003A55D1" w:rsidRPr="00C2761A" w:rsidRDefault="003A55D1" w:rsidP="003A55D1">
            <w:r w:rsidRPr="00C2761A">
              <w:t>C</w:t>
            </w:r>
          </w:p>
        </w:tc>
      </w:tr>
      <w:tr w:rsidR="003A55D1" w:rsidRPr="00C2761A" w14:paraId="0AF0AF1B"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tcPr>
          <w:p w14:paraId="726A0EC6" w14:textId="77777777" w:rsidR="003A55D1" w:rsidRPr="00C2761A" w:rsidRDefault="003A55D1" w:rsidP="003A55D1">
            <w:r w:rsidRPr="00C2761A">
              <w:t>Starptautiskās saistības (pēc būtības), kas izriet no norādītā starptautiskā dokumenta.</w:t>
            </w:r>
          </w:p>
          <w:p w14:paraId="69C5C43A" w14:textId="77777777" w:rsidR="003A55D1" w:rsidRPr="00C2761A" w:rsidRDefault="003A55D1" w:rsidP="003A55D1">
            <w:r w:rsidRPr="00C2761A">
              <w:t>Konkrēti veicamie pasākumi vai uzdevumi, kas nepieciešami šo starptautisko saistību izpildei</w:t>
            </w:r>
          </w:p>
        </w:tc>
        <w:tc>
          <w:tcPr>
            <w:tcW w:w="3051" w:type="dxa"/>
            <w:gridSpan w:val="3"/>
            <w:tcBorders>
              <w:top w:val="outset" w:sz="6" w:space="0" w:color="auto"/>
              <w:left w:val="outset" w:sz="6" w:space="0" w:color="auto"/>
              <w:bottom w:val="outset" w:sz="6" w:space="0" w:color="auto"/>
              <w:right w:val="outset" w:sz="6" w:space="0" w:color="auto"/>
            </w:tcBorders>
          </w:tcPr>
          <w:p w14:paraId="6305E07A" w14:textId="77777777" w:rsidR="003A55D1" w:rsidRPr="00C2761A" w:rsidRDefault="003A55D1" w:rsidP="003A55D1">
            <w:r w:rsidRPr="00C2761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148" w:type="dxa"/>
            <w:gridSpan w:val="2"/>
            <w:tcBorders>
              <w:top w:val="outset" w:sz="6" w:space="0" w:color="auto"/>
              <w:left w:val="outset" w:sz="6" w:space="0" w:color="auto"/>
              <w:bottom w:val="outset" w:sz="6" w:space="0" w:color="auto"/>
              <w:right w:val="outset" w:sz="6" w:space="0" w:color="auto"/>
            </w:tcBorders>
          </w:tcPr>
          <w:p w14:paraId="73818860" w14:textId="77777777" w:rsidR="003A55D1" w:rsidRPr="00C2761A" w:rsidRDefault="003A55D1" w:rsidP="003A55D1">
            <w:r w:rsidRPr="00C2761A">
              <w:t>Informācija par to, vai starptautiskās saistības, kas minētas šīs tabulas A ailē, tiek izpildītas pilnībā vai daļēji.</w:t>
            </w:r>
          </w:p>
          <w:p w14:paraId="4B59C5D5" w14:textId="77777777" w:rsidR="003A55D1" w:rsidRPr="00C2761A" w:rsidRDefault="003A55D1" w:rsidP="003A55D1">
            <w:r w:rsidRPr="00C2761A">
              <w:t>Ja attiecīgās starptautiskās saistības tiek izpildītas daļēji, sniedz skaidrojumu, kā arī precīzi norāda, kad un kādā veidā starptautiskās saistības tiks izpildītas pilnībā.</w:t>
            </w:r>
          </w:p>
          <w:p w14:paraId="4E075911" w14:textId="77777777" w:rsidR="003A55D1" w:rsidRPr="00C2761A" w:rsidRDefault="003A55D1" w:rsidP="003A55D1">
            <w:r w:rsidRPr="00C2761A">
              <w:t>Norāda institūciju, kas ir atbildīga par šo saistību izpildi pilnībā</w:t>
            </w:r>
          </w:p>
        </w:tc>
      </w:tr>
      <w:tr w:rsidR="003A55D1" w:rsidRPr="00C2761A" w14:paraId="0EB5D54C"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tcPr>
          <w:p w14:paraId="4E7A4EB0" w14:textId="77777777" w:rsidR="003A55D1" w:rsidRPr="00C2761A" w:rsidRDefault="003A55D1" w:rsidP="003A55D1">
            <w:r w:rsidRPr="00C2761A">
              <w:t>Noteikumu projekts šo jomu neskar.</w:t>
            </w:r>
          </w:p>
        </w:tc>
        <w:tc>
          <w:tcPr>
            <w:tcW w:w="3051" w:type="dxa"/>
            <w:gridSpan w:val="3"/>
            <w:tcBorders>
              <w:top w:val="outset" w:sz="6" w:space="0" w:color="auto"/>
              <w:left w:val="outset" w:sz="6" w:space="0" w:color="auto"/>
              <w:bottom w:val="outset" w:sz="6" w:space="0" w:color="auto"/>
              <w:right w:val="outset" w:sz="6" w:space="0" w:color="auto"/>
            </w:tcBorders>
          </w:tcPr>
          <w:p w14:paraId="45299266" w14:textId="77777777" w:rsidR="003A55D1" w:rsidRPr="00C2761A" w:rsidRDefault="003A55D1" w:rsidP="003A55D1">
            <w:r w:rsidRPr="00C2761A">
              <w:t>Noteikumu projekts šo jomu neskar.</w:t>
            </w:r>
          </w:p>
        </w:tc>
        <w:tc>
          <w:tcPr>
            <w:tcW w:w="3148" w:type="dxa"/>
            <w:gridSpan w:val="2"/>
            <w:tcBorders>
              <w:top w:val="outset" w:sz="6" w:space="0" w:color="auto"/>
              <w:left w:val="outset" w:sz="6" w:space="0" w:color="auto"/>
              <w:bottom w:val="outset" w:sz="6" w:space="0" w:color="auto"/>
              <w:right w:val="outset" w:sz="6" w:space="0" w:color="auto"/>
            </w:tcBorders>
          </w:tcPr>
          <w:p w14:paraId="66E23270" w14:textId="77777777" w:rsidR="003A55D1" w:rsidRPr="00C2761A" w:rsidRDefault="003A55D1" w:rsidP="003A55D1">
            <w:r w:rsidRPr="00C2761A">
              <w:t>Noteikumu projekts šo jomu neskar.</w:t>
            </w:r>
          </w:p>
        </w:tc>
      </w:tr>
      <w:tr w:rsidR="003A55D1" w:rsidRPr="00C2761A" w14:paraId="10A95A1D"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tcPr>
          <w:p w14:paraId="70C47995" w14:textId="77777777" w:rsidR="003A55D1" w:rsidRPr="00C2761A" w:rsidRDefault="003A55D1" w:rsidP="003A55D1">
            <w:r w:rsidRPr="00C2761A">
              <w:t>Vai starptautiskajā dokumentā paredzētās saistības nav pretrunā ar jau esošajām Latvijas Republikas starptautis</w:t>
            </w:r>
            <w:r w:rsidRPr="00C2761A">
              <w:softHyphen/>
              <w:t>kajām saistībām</w:t>
            </w:r>
          </w:p>
        </w:tc>
        <w:tc>
          <w:tcPr>
            <w:tcW w:w="6199" w:type="dxa"/>
            <w:gridSpan w:val="5"/>
            <w:tcBorders>
              <w:top w:val="outset" w:sz="6" w:space="0" w:color="auto"/>
              <w:left w:val="outset" w:sz="6" w:space="0" w:color="auto"/>
              <w:bottom w:val="outset" w:sz="6" w:space="0" w:color="auto"/>
              <w:right w:val="outset" w:sz="6" w:space="0" w:color="auto"/>
            </w:tcBorders>
          </w:tcPr>
          <w:p w14:paraId="3C793314" w14:textId="77777777" w:rsidR="003A55D1" w:rsidRPr="00C2761A" w:rsidRDefault="003A55D1" w:rsidP="003A55D1">
            <w:r w:rsidRPr="00C2761A">
              <w:t>Noteikumu projekts šo jomu neskar.</w:t>
            </w:r>
          </w:p>
        </w:tc>
      </w:tr>
      <w:tr w:rsidR="003A55D1" w:rsidRPr="00C2761A" w14:paraId="6EF923E7" w14:textId="77777777" w:rsidTr="003A55D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74" w:type="dxa"/>
            <w:gridSpan w:val="3"/>
            <w:tcBorders>
              <w:top w:val="outset" w:sz="6" w:space="0" w:color="auto"/>
              <w:left w:val="outset" w:sz="6" w:space="0" w:color="auto"/>
              <w:bottom w:val="outset" w:sz="6" w:space="0" w:color="auto"/>
              <w:right w:val="outset" w:sz="6" w:space="0" w:color="auto"/>
            </w:tcBorders>
          </w:tcPr>
          <w:p w14:paraId="4BF2C7D3" w14:textId="77777777" w:rsidR="003A55D1" w:rsidRPr="00C2761A" w:rsidRDefault="003A55D1" w:rsidP="003A55D1">
            <w:r w:rsidRPr="00C2761A">
              <w:t>Cita informācija</w:t>
            </w:r>
          </w:p>
        </w:tc>
        <w:tc>
          <w:tcPr>
            <w:tcW w:w="6199" w:type="dxa"/>
            <w:gridSpan w:val="5"/>
            <w:tcBorders>
              <w:top w:val="outset" w:sz="6" w:space="0" w:color="auto"/>
              <w:left w:val="outset" w:sz="6" w:space="0" w:color="auto"/>
              <w:bottom w:val="outset" w:sz="6" w:space="0" w:color="auto"/>
              <w:right w:val="outset" w:sz="6" w:space="0" w:color="auto"/>
            </w:tcBorders>
          </w:tcPr>
          <w:p w14:paraId="37DF9B8F" w14:textId="77777777" w:rsidR="009A6B81" w:rsidRDefault="003A55D1" w:rsidP="009A6B81">
            <w:r w:rsidRPr="00F8160B">
              <w:t xml:space="preserve"> Ar noteikumu projektu tiks ieviesti arī Eiropas Komisijas paziņojumā "Nostādnes par valsts atbalstu pētniecībai, izstrādei un inovācijai" (Eiropas Savienības Oficiālais Vēstnesis, 2014. gada 27. jūnijs, Nr. C 198/1) </w:t>
            </w:r>
            <w:r w:rsidR="009A6B81">
              <w:t xml:space="preserve">( Nostādnes) </w:t>
            </w:r>
            <w:r w:rsidR="009A6B81" w:rsidRPr="00F8160B">
              <w:t>noteiktie noteikumi</w:t>
            </w:r>
            <w:r w:rsidR="009A6B81">
              <w:t>, tai skaitā:</w:t>
            </w:r>
          </w:p>
          <w:p w14:paraId="185F9E0F" w14:textId="77777777" w:rsidR="009A6B81" w:rsidRPr="004E3684" w:rsidRDefault="009A6B81" w:rsidP="009A6B81">
            <w:pPr>
              <w:pStyle w:val="ListParagraph"/>
              <w:numPr>
                <w:ilvl w:val="0"/>
                <w:numId w:val="9"/>
              </w:numPr>
              <w:rPr>
                <w:color w:val="000000" w:themeColor="text1"/>
                <w:sz w:val="20"/>
              </w:rPr>
            </w:pPr>
            <w:r>
              <w:t>Nostādņu 19.punkts – noteikumu projekta 2.4. apakšpunkts;</w:t>
            </w:r>
          </w:p>
          <w:p w14:paraId="5EDE44DE" w14:textId="77777777" w:rsidR="0091295A" w:rsidRPr="0091295A" w:rsidRDefault="009A6B81" w:rsidP="009A6B81">
            <w:pPr>
              <w:pStyle w:val="ListParagraph"/>
              <w:numPr>
                <w:ilvl w:val="0"/>
                <w:numId w:val="9"/>
              </w:numPr>
              <w:rPr>
                <w:color w:val="000000" w:themeColor="text1"/>
                <w:sz w:val="20"/>
              </w:rPr>
            </w:pPr>
            <w:r>
              <w:t xml:space="preserve">Nostādņu 20.punkts – noteikumu projekta </w:t>
            </w:r>
            <w:r w:rsidR="0091295A">
              <w:t>2.5. apakšpunkts;</w:t>
            </w:r>
          </w:p>
          <w:p w14:paraId="6DB66596" w14:textId="000C5C4F" w:rsidR="00BA3C35" w:rsidRPr="00BA3C35" w:rsidRDefault="0091295A" w:rsidP="009A6B81">
            <w:pPr>
              <w:pStyle w:val="ListParagraph"/>
              <w:numPr>
                <w:ilvl w:val="0"/>
                <w:numId w:val="9"/>
              </w:numPr>
              <w:rPr>
                <w:color w:val="000000" w:themeColor="text1"/>
                <w:sz w:val="20"/>
              </w:rPr>
            </w:pPr>
            <w:r>
              <w:t>Nostādņu 18. punkts – noteikumu projekta 20.7.</w:t>
            </w:r>
            <w:r w:rsidR="00BA3C35">
              <w:t>, 20.9.1.</w:t>
            </w:r>
            <w:r>
              <w:t xml:space="preserve"> apakšpunkts</w:t>
            </w:r>
            <w:r w:rsidR="00BA3C35">
              <w:t>;</w:t>
            </w:r>
          </w:p>
          <w:p w14:paraId="62D539AF" w14:textId="611ACD52" w:rsidR="00BA3C35" w:rsidRPr="00BA3C35" w:rsidRDefault="00BA3C35" w:rsidP="00BA3C35">
            <w:pPr>
              <w:pStyle w:val="ListParagraph"/>
              <w:numPr>
                <w:ilvl w:val="0"/>
                <w:numId w:val="9"/>
              </w:numPr>
              <w:rPr>
                <w:color w:val="000000" w:themeColor="text1"/>
                <w:sz w:val="20"/>
              </w:rPr>
            </w:pPr>
            <w:r>
              <w:t>15. punkta „v” apakšpunkts - noteikumu projekta 2.21. apakšpunkts;</w:t>
            </w:r>
          </w:p>
          <w:p w14:paraId="3BE8D9D2" w14:textId="44493B8E" w:rsidR="003A55D1" w:rsidRPr="009A6B81" w:rsidRDefault="00294F6A" w:rsidP="00BA3C35">
            <w:pPr>
              <w:pStyle w:val="ListParagraph"/>
              <w:numPr>
                <w:ilvl w:val="0"/>
                <w:numId w:val="9"/>
              </w:numPr>
              <w:rPr>
                <w:color w:val="000000" w:themeColor="text1"/>
                <w:sz w:val="20"/>
              </w:rPr>
            </w:pPr>
            <w:r>
              <w:t>Un citi nosacījumi</w:t>
            </w:r>
            <w:r w:rsidR="009A6B81" w:rsidRPr="00F8160B">
              <w:t>.</w:t>
            </w:r>
          </w:p>
        </w:tc>
      </w:tr>
    </w:tbl>
    <w:p w14:paraId="66E35438" w14:textId="09641944" w:rsidR="00016659" w:rsidRPr="00C2761A" w:rsidRDefault="00016659"/>
    <w:tbl>
      <w:tblPr>
        <w:tblW w:w="51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82"/>
        <w:gridCol w:w="2769"/>
        <w:gridCol w:w="5603"/>
      </w:tblGrid>
      <w:tr w:rsidR="00BF3649" w:rsidRPr="00C2761A" w14:paraId="66012E65" w14:textId="77777777" w:rsidTr="001629C3">
        <w:tc>
          <w:tcPr>
            <w:tcW w:w="8931" w:type="dxa"/>
            <w:gridSpan w:val="3"/>
            <w:tcBorders>
              <w:top w:val="outset" w:sz="6" w:space="0" w:color="000000"/>
              <w:left w:val="outset" w:sz="6" w:space="0" w:color="000000"/>
              <w:bottom w:val="outset" w:sz="6" w:space="0" w:color="000000"/>
              <w:right w:val="outset" w:sz="6" w:space="0" w:color="000000"/>
            </w:tcBorders>
          </w:tcPr>
          <w:p w14:paraId="3A22D990" w14:textId="77777777" w:rsidR="00BF3649" w:rsidRPr="00C2761A" w:rsidRDefault="00BF3649" w:rsidP="00016659">
            <w:pPr>
              <w:spacing w:before="100" w:beforeAutospacing="1" w:after="100" w:afterAutospacing="1"/>
              <w:jc w:val="center"/>
              <w:rPr>
                <w:b/>
                <w:bCs/>
              </w:rPr>
            </w:pPr>
            <w:r w:rsidRPr="00C2761A">
              <w:rPr>
                <w:b/>
                <w:bCs/>
              </w:rPr>
              <w:t xml:space="preserve">VI. </w:t>
            </w:r>
            <w:r w:rsidRPr="00C2761A">
              <w:rPr>
                <w:b/>
              </w:rPr>
              <w:t>Sabiedrības līdzdalība un komunikācijas aktivitātes</w:t>
            </w:r>
          </w:p>
        </w:tc>
      </w:tr>
      <w:tr w:rsidR="00BF3649" w:rsidRPr="00C2761A" w14:paraId="72571C02" w14:textId="77777777" w:rsidTr="001629C3">
        <w:tc>
          <w:tcPr>
            <w:tcW w:w="486" w:type="dxa"/>
            <w:tcBorders>
              <w:top w:val="outset" w:sz="6" w:space="0" w:color="000000"/>
              <w:left w:val="outset" w:sz="6" w:space="0" w:color="000000"/>
              <w:bottom w:val="outset" w:sz="6" w:space="0" w:color="000000"/>
              <w:right w:val="outset" w:sz="6" w:space="0" w:color="000000"/>
            </w:tcBorders>
          </w:tcPr>
          <w:p w14:paraId="565DC4A9" w14:textId="77777777" w:rsidR="00BF3649" w:rsidRPr="00C2761A" w:rsidRDefault="00BF3649" w:rsidP="00016659">
            <w:pPr>
              <w:spacing w:before="100" w:beforeAutospacing="1" w:after="100" w:afterAutospacing="1"/>
              <w:jc w:val="center"/>
            </w:pPr>
            <w:r w:rsidRPr="00C2761A">
              <w:t>1.</w:t>
            </w:r>
          </w:p>
        </w:tc>
        <w:tc>
          <w:tcPr>
            <w:tcW w:w="2793" w:type="dxa"/>
            <w:tcBorders>
              <w:top w:val="outset" w:sz="6" w:space="0" w:color="000000"/>
              <w:left w:val="outset" w:sz="6" w:space="0" w:color="000000"/>
              <w:bottom w:val="outset" w:sz="6" w:space="0" w:color="000000"/>
              <w:right w:val="outset" w:sz="6" w:space="0" w:color="000000"/>
            </w:tcBorders>
          </w:tcPr>
          <w:p w14:paraId="664E7DC7" w14:textId="77777777" w:rsidR="00BF3649" w:rsidRPr="00C2761A" w:rsidRDefault="00BF3649" w:rsidP="00016659">
            <w:pPr>
              <w:spacing w:before="100" w:beforeAutospacing="1" w:after="100" w:afterAutospacing="1"/>
            </w:pPr>
            <w:r w:rsidRPr="00C2761A">
              <w:t>Plānotās sabiedrības līdzdalības un komunikācijas aktivitātes saistībā ar projektu</w:t>
            </w:r>
          </w:p>
        </w:tc>
        <w:tc>
          <w:tcPr>
            <w:tcW w:w="5652" w:type="dxa"/>
            <w:tcBorders>
              <w:top w:val="outset" w:sz="6" w:space="0" w:color="000000"/>
              <w:left w:val="outset" w:sz="6" w:space="0" w:color="000000"/>
              <w:bottom w:val="outset" w:sz="6" w:space="0" w:color="000000"/>
              <w:right w:val="outset" w:sz="6" w:space="0" w:color="000000"/>
            </w:tcBorders>
          </w:tcPr>
          <w:p w14:paraId="6C3C3B31" w14:textId="0AFC72DC" w:rsidR="006A6E52" w:rsidRPr="006A6E52" w:rsidRDefault="006A6E52" w:rsidP="006A6E52">
            <w:pPr>
              <w:pStyle w:val="Header"/>
              <w:jc w:val="both"/>
            </w:pPr>
            <w:r w:rsidRPr="006A6E52">
              <w:rPr>
                <w:bCs/>
              </w:rPr>
              <w:t>Sabiedrības pārstāvji varēja līdzdarboties sniedzot atzinumu un viedokli par 2015.gada 16.aprīļa Valsts sekretāru sanāksmē izsludināto informatīvā ziņojuma projekts „Par pētniecības un inovācijas infrastruktūras un pētnieciskās darbības koncentrācijas teritoriālo kartējumu</w:t>
            </w:r>
            <w:r>
              <w:rPr>
                <w:bCs/>
              </w:rPr>
              <w:t xml:space="preserve">”, kura mērķis </w:t>
            </w:r>
            <w:r w:rsidRPr="00C07278">
              <w:t>ir informēt Ministru kabinetu par ES struktūrfondu 2004.</w:t>
            </w:r>
            <w:r w:rsidRPr="002678BB">
              <w:t>–</w:t>
            </w:r>
            <w:r w:rsidRPr="00C07278">
              <w:t>2006. gada un 2007.</w:t>
            </w:r>
            <w:r w:rsidRPr="002678BB">
              <w:t>–</w:t>
            </w:r>
            <w:r w:rsidRPr="00C07278">
              <w:t>2013.</w:t>
            </w:r>
            <w:r w:rsidRPr="008B1832">
              <w:t> </w:t>
            </w:r>
            <w:r w:rsidRPr="00C07278">
              <w:t xml:space="preserve">gada plānošanas perioda ietvaros pilnveidoto un modernizēto pētniecības un attīstības infrastruktūru un sniegt priekšlikumus SAM 1.1.1. </w:t>
            </w:r>
            <w:r w:rsidR="00BB16E8" w:rsidRPr="00BB16E8">
              <w:t>"</w:t>
            </w:r>
            <w:r w:rsidRPr="00511CD3">
              <w:rPr>
                <w:i/>
              </w:rPr>
              <w:t>Palielināt Latvijas zinātnisko institūciju pētniecisko un inovatīvo kapacitāti un spēju piesaistīt ārējo finansējumu, ieguldot cilvēkresursos un infrastruktūrā</w:t>
            </w:r>
            <w:r w:rsidR="00BB16E8" w:rsidRPr="00BB16E8">
              <w:t>"</w:t>
            </w:r>
            <w:r w:rsidRPr="00C07278">
              <w:t xml:space="preserve"> ietvaros plānotā 1.1.1.4.</w:t>
            </w:r>
            <w:r>
              <w:t xml:space="preserve"> </w:t>
            </w:r>
            <w:r w:rsidRPr="00C07278">
              <w:t xml:space="preserve">pasākuma </w:t>
            </w:r>
            <w:r w:rsidR="00BB16E8" w:rsidRPr="00BB16E8">
              <w:t>"</w:t>
            </w:r>
            <w:r w:rsidRPr="00511CD3">
              <w:rPr>
                <w:i/>
              </w:rPr>
              <w:t xml:space="preserve">P&amp;A infrastruktūras attīstīšana Viedās specializācijas jomās un zinātnisko institūciju institucionālās </w:t>
            </w:r>
            <w:r w:rsidRPr="002678BB">
              <w:rPr>
                <w:i/>
              </w:rPr>
              <w:t>kapacitātes stiprināšana</w:t>
            </w:r>
            <w:r w:rsidR="00BB16E8" w:rsidRPr="00897CCA">
              <w:t>"</w:t>
            </w:r>
            <w:r w:rsidRPr="002678BB">
              <w:t xml:space="preserve"> ieviešanas nosacījumu izstrādei.</w:t>
            </w:r>
          </w:p>
          <w:p w14:paraId="5DB7C953" w14:textId="6E521C55" w:rsidR="00BF3649" w:rsidRDefault="001C4E57" w:rsidP="006A6E52">
            <w:pPr>
              <w:spacing w:before="75" w:after="75"/>
              <w:jc w:val="both"/>
              <w:rPr>
                <w:bCs/>
              </w:rPr>
            </w:pPr>
            <w:r w:rsidRPr="006A6E52">
              <w:rPr>
                <w:bCs/>
              </w:rPr>
              <w:t>Sabiedrības pārstāvji varēja līdzdarboties sniedzot atzinumu un viedokli par ES struktūrfondu un Kohēzijas fonda 2014.</w:t>
            </w:r>
            <w:r w:rsidR="004510E0">
              <w:rPr>
                <w:bCs/>
              </w:rPr>
              <w:t>–</w:t>
            </w:r>
            <w:r w:rsidRPr="006A6E52">
              <w:rPr>
                <w:bCs/>
              </w:rPr>
              <w:t xml:space="preserve">2020.gada plānošanas perioda pētniecības, tehnoloģiju attīstības un inovāciju prioritārā virziena </w:t>
            </w:r>
            <w:r w:rsidR="00986EC3" w:rsidRPr="006A6E52">
              <w:rPr>
                <w:bCs/>
              </w:rPr>
              <w:t>apakškomitejas 2016.</w:t>
            </w:r>
            <w:r w:rsidR="004510E0">
              <w:rPr>
                <w:bCs/>
              </w:rPr>
              <w:t> </w:t>
            </w:r>
            <w:r w:rsidR="00986EC3" w:rsidRPr="006A6E52">
              <w:rPr>
                <w:bCs/>
              </w:rPr>
              <w:t>gada 26.</w:t>
            </w:r>
            <w:r w:rsidR="004510E0">
              <w:rPr>
                <w:bCs/>
              </w:rPr>
              <w:t> </w:t>
            </w:r>
            <w:r w:rsidR="00986EC3" w:rsidRPr="006A6E52">
              <w:rPr>
                <w:bCs/>
              </w:rPr>
              <w:t>maijā sēdē izskatītajiem</w:t>
            </w:r>
            <w:r w:rsidRPr="006A6E52">
              <w:rPr>
                <w:bCs/>
              </w:rPr>
              <w:t xml:space="preserve"> iesniegtajiem </w:t>
            </w:r>
            <w:r w:rsidR="00986EC3" w:rsidRPr="006A6E52">
              <w:rPr>
                <w:bCs/>
              </w:rPr>
              <w:t xml:space="preserve">1.1.1.4. pasākuma </w:t>
            </w:r>
            <w:r w:rsidR="004510E0" w:rsidRPr="004510E0">
              <w:rPr>
                <w:bCs/>
              </w:rPr>
              <w:t>"</w:t>
            </w:r>
            <w:r w:rsidR="00986EC3" w:rsidRPr="006A6E52">
              <w:rPr>
                <w:bCs/>
              </w:rPr>
              <w:t>P&amp;A infrastruktūras attīstīšana Viedās specializācijas jomās un zinātnisko institūciju institucionālās kapacitātes stiprināšana</w:t>
            </w:r>
            <w:r w:rsidR="004510E0" w:rsidRPr="004510E0">
              <w:rPr>
                <w:bCs/>
              </w:rPr>
              <w:t>"</w:t>
            </w:r>
            <w:r w:rsidR="00986EC3" w:rsidRPr="006A6E52">
              <w:rPr>
                <w:bCs/>
              </w:rPr>
              <w:t xml:space="preserve"> </w:t>
            </w:r>
            <w:r w:rsidRPr="006A6E52">
              <w:rPr>
                <w:bCs/>
              </w:rPr>
              <w:t>projektu ie</w:t>
            </w:r>
            <w:r w:rsidR="00986EC3" w:rsidRPr="006A6E52">
              <w:rPr>
                <w:bCs/>
              </w:rPr>
              <w:t>sniegumu vērtēšanas kritērijiem un</w:t>
            </w:r>
            <w:r w:rsidRPr="006A6E52">
              <w:rPr>
                <w:bCs/>
              </w:rPr>
              <w:t xml:space="preserve"> kritēriju </w:t>
            </w:r>
            <w:r w:rsidR="00986EC3" w:rsidRPr="006A6E52">
              <w:rPr>
                <w:bCs/>
              </w:rPr>
              <w:t>piemērošanas metodiku.</w:t>
            </w:r>
          </w:p>
          <w:p w14:paraId="6EB35F2C" w14:textId="5F15CE7B" w:rsidR="006A6E52" w:rsidRPr="006A6E52" w:rsidRDefault="006A6E52" w:rsidP="006A6E52">
            <w:pPr>
              <w:spacing w:before="75" w:after="75"/>
              <w:jc w:val="both"/>
              <w:rPr>
                <w:bCs/>
              </w:rPr>
            </w:pPr>
            <w:r w:rsidRPr="00C2761A">
              <w:t>Īstenojot projektu, finansējuma saņēmēj</w:t>
            </w:r>
            <w:r>
              <w:t>i</w:t>
            </w:r>
            <w:r w:rsidRPr="00C2761A">
              <w:t xml:space="preserve"> nodrošina informācijas un </w:t>
            </w:r>
            <w:r w:rsidRPr="00C858D8">
              <w:t>publicitātes pasākumus, atbilstoši  normatīvajiem aktiem par kārtību, kādā Eiropas Savienības struktūrfondu un Kohēzijas fonda ieviešanā 2014.–2020.</w:t>
            </w:r>
            <w:r w:rsidR="004510E0">
              <w:t> </w:t>
            </w:r>
            <w:r w:rsidRPr="00C858D8">
              <w:t>gada plānošanas periodā nodrošināma komunikācijas un vizuālās identitātes prasību ievērošana.</w:t>
            </w:r>
          </w:p>
        </w:tc>
      </w:tr>
      <w:tr w:rsidR="00BF3649" w:rsidRPr="00C2761A" w14:paraId="412A1C3E" w14:textId="77777777" w:rsidTr="001629C3">
        <w:tc>
          <w:tcPr>
            <w:tcW w:w="486" w:type="dxa"/>
            <w:tcBorders>
              <w:top w:val="outset" w:sz="6" w:space="0" w:color="000000"/>
              <w:left w:val="outset" w:sz="6" w:space="0" w:color="000000"/>
              <w:bottom w:val="outset" w:sz="6" w:space="0" w:color="000000"/>
              <w:right w:val="outset" w:sz="6" w:space="0" w:color="000000"/>
            </w:tcBorders>
          </w:tcPr>
          <w:p w14:paraId="12DA70D7" w14:textId="77777777" w:rsidR="00BF3649" w:rsidRPr="00C2761A" w:rsidRDefault="00BF3649" w:rsidP="00016659">
            <w:pPr>
              <w:spacing w:before="100" w:beforeAutospacing="1" w:after="100" w:afterAutospacing="1"/>
              <w:jc w:val="center"/>
            </w:pPr>
            <w:r w:rsidRPr="00C2761A">
              <w:t>2.</w:t>
            </w:r>
          </w:p>
        </w:tc>
        <w:tc>
          <w:tcPr>
            <w:tcW w:w="2793" w:type="dxa"/>
            <w:tcBorders>
              <w:top w:val="outset" w:sz="6" w:space="0" w:color="000000"/>
              <w:left w:val="outset" w:sz="6" w:space="0" w:color="000000"/>
              <w:bottom w:val="outset" w:sz="6" w:space="0" w:color="000000"/>
              <w:right w:val="outset" w:sz="6" w:space="0" w:color="000000"/>
            </w:tcBorders>
          </w:tcPr>
          <w:p w14:paraId="6127A22C" w14:textId="77777777" w:rsidR="00BF3649" w:rsidRPr="00C2761A" w:rsidRDefault="007D27E5" w:rsidP="00016659">
            <w:pPr>
              <w:spacing w:before="100" w:beforeAutospacing="1" w:after="100" w:afterAutospacing="1"/>
            </w:pPr>
            <w:r w:rsidRPr="00C2761A">
              <w:t>Sabiedrības līdzdalība projekta izstrādē</w:t>
            </w:r>
          </w:p>
        </w:tc>
        <w:tc>
          <w:tcPr>
            <w:tcW w:w="5652" w:type="dxa"/>
            <w:tcBorders>
              <w:top w:val="outset" w:sz="6" w:space="0" w:color="000000"/>
              <w:left w:val="outset" w:sz="6" w:space="0" w:color="000000"/>
              <w:bottom w:val="outset" w:sz="6" w:space="0" w:color="000000"/>
              <w:right w:val="outset" w:sz="6" w:space="0" w:color="000000"/>
            </w:tcBorders>
          </w:tcPr>
          <w:p w14:paraId="4885696B" w14:textId="77777777" w:rsidR="00BF3649" w:rsidRPr="00C858D8" w:rsidRDefault="00B309A3" w:rsidP="00417564">
            <w:pPr>
              <w:spacing w:before="75" w:after="75"/>
              <w:jc w:val="both"/>
            </w:pPr>
            <w:r w:rsidRPr="00B336A1">
              <w:rPr>
                <w:bCs/>
              </w:rPr>
              <w:t>Sabiedrības līdzdalība noteikumu projekta izstrādē tiks nodrošināta,</w:t>
            </w:r>
            <w:r w:rsidRPr="00B336A1">
              <w:t xml:space="preserve"> </w:t>
            </w:r>
            <w:r w:rsidRPr="00B336A1">
              <w:rPr>
                <w:bCs/>
              </w:rPr>
              <w:t xml:space="preserve">ievietojot noteikumu projektu tīmekļa vietnē </w:t>
            </w:r>
            <w:hyperlink r:id="rId18" w:history="1">
              <w:r w:rsidRPr="00B336A1">
                <w:rPr>
                  <w:rStyle w:val="Hyperlink"/>
                  <w:bCs/>
                </w:rPr>
                <w:t>www.izm.gov.lv</w:t>
              </w:r>
            </w:hyperlink>
            <w:r w:rsidRPr="00B336A1">
              <w:rPr>
                <w:bCs/>
              </w:rPr>
              <w:t xml:space="preserve"> un aicinot sabiedrības pārstāvjus rakstiski sniegt viedokli par noteikumu projektu tā izstrādes stadijā – nosūtot elektroniski uz e-pastu: </w:t>
            </w:r>
            <w:hyperlink r:id="rId19" w:history="1">
              <w:r w:rsidRPr="00B336A1">
                <w:rPr>
                  <w:rStyle w:val="Hyperlink"/>
                  <w:bCs/>
                </w:rPr>
                <w:t>pasts@izm.gov.lv</w:t>
              </w:r>
            </w:hyperlink>
            <w:r w:rsidRPr="00B336A1">
              <w:rPr>
                <w:bCs/>
              </w:rPr>
              <w:t xml:space="preserve"> vai sniedzot viedokli klātienē.</w:t>
            </w:r>
          </w:p>
        </w:tc>
      </w:tr>
      <w:tr w:rsidR="00BF3649" w:rsidRPr="00C2761A" w14:paraId="36A55764" w14:textId="77777777" w:rsidTr="001629C3">
        <w:tc>
          <w:tcPr>
            <w:tcW w:w="486" w:type="dxa"/>
            <w:tcBorders>
              <w:top w:val="outset" w:sz="6" w:space="0" w:color="000000"/>
              <w:left w:val="outset" w:sz="6" w:space="0" w:color="000000"/>
              <w:bottom w:val="outset" w:sz="6" w:space="0" w:color="000000"/>
              <w:right w:val="outset" w:sz="6" w:space="0" w:color="000000"/>
            </w:tcBorders>
          </w:tcPr>
          <w:p w14:paraId="078A3F5C" w14:textId="77777777" w:rsidR="00BF3649" w:rsidRPr="00C2761A" w:rsidRDefault="00BF3649" w:rsidP="00016659">
            <w:pPr>
              <w:spacing w:before="100" w:beforeAutospacing="1" w:after="100" w:afterAutospacing="1"/>
              <w:jc w:val="center"/>
            </w:pPr>
            <w:r w:rsidRPr="00C2761A">
              <w:t>3.</w:t>
            </w:r>
          </w:p>
        </w:tc>
        <w:tc>
          <w:tcPr>
            <w:tcW w:w="2793" w:type="dxa"/>
            <w:tcBorders>
              <w:top w:val="outset" w:sz="6" w:space="0" w:color="000000"/>
              <w:left w:val="outset" w:sz="6" w:space="0" w:color="000000"/>
              <w:bottom w:val="outset" w:sz="6" w:space="0" w:color="000000"/>
              <w:right w:val="outset" w:sz="6" w:space="0" w:color="000000"/>
            </w:tcBorders>
          </w:tcPr>
          <w:p w14:paraId="5DAD4ED0" w14:textId="77777777" w:rsidR="00BF3649" w:rsidRPr="00C2761A" w:rsidRDefault="007D27E5" w:rsidP="00016659">
            <w:pPr>
              <w:spacing w:before="100" w:beforeAutospacing="1" w:after="100" w:afterAutospacing="1"/>
            </w:pPr>
            <w:r w:rsidRPr="00C2761A">
              <w:t>Sabiedrības līdzdalības rezultāti</w:t>
            </w:r>
          </w:p>
        </w:tc>
        <w:tc>
          <w:tcPr>
            <w:tcW w:w="5652" w:type="dxa"/>
            <w:tcBorders>
              <w:top w:val="outset" w:sz="6" w:space="0" w:color="000000"/>
              <w:left w:val="outset" w:sz="6" w:space="0" w:color="000000"/>
              <w:bottom w:val="outset" w:sz="6" w:space="0" w:color="000000"/>
              <w:right w:val="outset" w:sz="6" w:space="0" w:color="000000"/>
            </w:tcBorders>
          </w:tcPr>
          <w:p w14:paraId="5CB569B6" w14:textId="77777777" w:rsidR="00BF3649" w:rsidRPr="00C858D8" w:rsidRDefault="00973D2B" w:rsidP="00666F6B">
            <w:pPr>
              <w:jc w:val="both"/>
            </w:pPr>
            <w:r w:rsidRPr="00965251">
              <w:t>Partneru un ieinteresēto organizāciju izteiktie iebildumi un priekšlikumi, tik</w:t>
            </w:r>
            <w:r>
              <w:t>s</w:t>
            </w:r>
            <w:r w:rsidRPr="00965251">
              <w:t xml:space="preserve"> analizēti un iestrādāti noteikumu projektā.</w:t>
            </w:r>
          </w:p>
        </w:tc>
      </w:tr>
      <w:tr w:rsidR="00BF3649" w:rsidRPr="00C2761A" w14:paraId="2BAF3047" w14:textId="77777777" w:rsidTr="001629C3">
        <w:tc>
          <w:tcPr>
            <w:tcW w:w="486" w:type="dxa"/>
            <w:tcBorders>
              <w:top w:val="outset" w:sz="6" w:space="0" w:color="000000"/>
              <w:left w:val="outset" w:sz="6" w:space="0" w:color="000000"/>
              <w:bottom w:val="outset" w:sz="6" w:space="0" w:color="000000"/>
              <w:right w:val="outset" w:sz="6" w:space="0" w:color="000000"/>
            </w:tcBorders>
          </w:tcPr>
          <w:p w14:paraId="00165CDE" w14:textId="77777777" w:rsidR="00BF3649" w:rsidRPr="00C2761A" w:rsidRDefault="00BF3649" w:rsidP="00016659">
            <w:pPr>
              <w:spacing w:before="100" w:beforeAutospacing="1" w:after="100" w:afterAutospacing="1"/>
              <w:jc w:val="center"/>
            </w:pPr>
            <w:r w:rsidRPr="00C2761A">
              <w:t>4.</w:t>
            </w:r>
          </w:p>
        </w:tc>
        <w:tc>
          <w:tcPr>
            <w:tcW w:w="2793" w:type="dxa"/>
            <w:tcBorders>
              <w:top w:val="outset" w:sz="6" w:space="0" w:color="000000"/>
              <w:left w:val="outset" w:sz="6" w:space="0" w:color="000000"/>
              <w:bottom w:val="outset" w:sz="6" w:space="0" w:color="000000"/>
              <w:right w:val="outset" w:sz="6" w:space="0" w:color="000000"/>
            </w:tcBorders>
          </w:tcPr>
          <w:p w14:paraId="74F55356" w14:textId="77777777" w:rsidR="00BF3649" w:rsidRPr="00C2761A" w:rsidRDefault="00BF3649" w:rsidP="00016659">
            <w:pPr>
              <w:spacing w:before="100" w:beforeAutospacing="1" w:after="100" w:afterAutospacing="1"/>
            </w:pPr>
            <w:r w:rsidRPr="00C2761A">
              <w:t>Cita informācija</w:t>
            </w:r>
          </w:p>
        </w:tc>
        <w:tc>
          <w:tcPr>
            <w:tcW w:w="5652" w:type="dxa"/>
            <w:tcBorders>
              <w:top w:val="outset" w:sz="6" w:space="0" w:color="000000"/>
              <w:left w:val="outset" w:sz="6" w:space="0" w:color="000000"/>
              <w:bottom w:val="outset" w:sz="6" w:space="0" w:color="000000"/>
              <w:right w:val="outset" w:sz="6" w:space="0" w:color="000000"/>
            </w:tcBorders>
          </w:tcPr>
          <w:p w14:paraId="028B0E45" w14:textId="629F2A36" w:rsidR="00BF3649" w:rsidRPr="00C2761A" w:rsidRDefault="00C24586" w:rsidP="008349DE">
            <w:pPr>
              <w:spacing w:before="100" w:beforeAutospacing="1" w:after="100" w:afterAutospacing="1"/>
              <w:jc w:val="both"/>
              <w:rPr>
                <w:iCs/>
              </w:rPr>
            </w:pPr>
            <w:r w:rsidRPr="008349DE">
              <w:t>Īstenojot projektu, finansējuma saņēmēji nodrošina informācijas un publicitātes pasākumus, atbilstoši  normatīvajiem aktiem par kārtību, kādā Eiropas Savienības struktūrfondu un Kohēzijas fonda ieviešanā 2014.–2020.</w:t>
            </w:r>
            <w:r w:rsidR="004510E0">
              <w:t> </w:t>
            </w:r>
            <w:r w:rsidRPr="008349DE">
              <w:t>gada plānošanas periodā nodrošināma komunikācijas un vizuālās identitātes prasību ievērošana.</w:t>
            </w:r>
          </w:p>
        </w:tc>
      </w:tr>
    </w:tbl>
    <w:p w14:paraId="7ADBEB02" w14:textId="77777777" w:rsidR="00BF3649" w:rsidRPr="00C2761A" w:rsidRDefault="00BF3649"/>
    <w:tbl>
      <w:tblPr>
        <w:tblW w:w="52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3"/>
        <w:gridCol w:w="3484"/>
        <w:gridCol w:w="5047"/>
      </w:tblGrid>
      <w:tr w:rsidR="0063775D" w:rsidRPr="00C2761A" w14:paraId="10A2B959" w14:textId="77777777" w:rsidTr="001629C3">
        <w:tc>
          <w:tcPr>
            <w:tcW w:w="5000" w:type="pct"/>
            <w:gridSpan w:val="3"/>
            <w:tcBorders>
              <w:top w:val="outset" w:sz="6" w:space="0" w:color="000000"/>
              <w:left w:val="outset" w:sz="6" w:space="0" w:color="000000"/>
              <w:bottom w:val="outset" w:sz="6" w:space="0" w:color="000000"/>
              <w:right w:val="outset" w:sz="6" w:space="0" w:color="000000"/>
            </w:tcBorders>
          </w:tcPr>
          <w:p w14:paraId="61D3AD0D" w14:textId="77777777" w:rsidR="0063775D" w:rsidRPr="00C2761A" w:rsidRDefault="0063775D" w:rsidP="000A4631">
            <w:pPr>
              <w:pStyle w:val="NormalWeb"/>
              <w:jc w:val="both"/>
              <w:rPr>
                <w:b/>
                <w:bCs/>
              </w:rPr>
            </w:pPr>
            <w:r w:rsidRPr="00C2761A">
              <w:rPr>
                <w:b/>
                <w:bCs/>
              </w:rPr>
              <w:t xml:space="preserve">VII. </w:t>
            </w:r>
            <w:r w:rsidR="002358F8" w:rsidRPr="00C2761A">
              <w:rPr>
                <w:b/>
              </w:rPr>
              <w:t>Tiesību akta projekta izpildes nodrošināšana un tās ietekme uz institūcijām</w:t>
            </w:r>
          </w:p>
        </w:tc>
      </w:tr>
      <w:tr w:rsidR="0063775D" w:rsidRPr="00C2761A" w14:paraId="759882AC" w14:textId="77777777" w:rsidTr="001629C3">
        <w:tc>
          <w:tcPr>
            <w:tcW w:w="257" w:type="pct"/>
            <w:tcBorders>
              <w:top w:val="outset" w:sz="6" w:space="0" w:color="000000"/>
              <w:left w:val="outset" w:sz="6" w:space="0" w:color="000000"/>
              <w:bottom w:val="outset" w:sz="6" w:space="0" w:color="000000"/>
              <w:right w:val="outset" w:sz="6" w:space="0" w:color="000000"/>
            </w:tcBorders>
          </w:tcPr>
          <w:p w14:paraId="4DAD34D8" w14:textId="77777777" w:rsidR="0063775D" w:rsidRPr="00C2761A" w:rsidRDefault="0063775D" w:rsidP="00691202">
            <w:pPr>
              <w:spacing w:before="100" w:beforeAutospacing="1" w:after="100" w:afterAutospacing="1"/>
              <w:jc w:val="center"/>
            </w:pPr>
            <w:r w:rsidRPr="00C2761A">
              <w:t>1.</w:t>
            </w:r>
          </w:p>
        </w:tc>
        <w:tc>
          <w:tcPr>
            <w:tcW w:w="1937" w:type="pct"/>
            <w:tcBorders>
              <w:top w:val="outset" w:sz="6" w:space="0" w:color="000000"/>
              <w:left w:val="outset" w:sz="6" w:space="0" w:color="000000"/>
              <w:bottom w:val="outset" w:sz="6" w:space="0" w:color="000000"/>
              <w:right w:val="outset" w:sz="6" w:space="0" w:color="000000"/>
            </w:tcBorders>
          </w:tcPr>
          <w:p w14:paraId="08D10E13" w14:textId="77777777" w:rsidR="0063775D" w:rsidRPr="00C2761A" w:rsidRDefault="0063775D" w:rsidP="000A4631">
            <w:pPr>
              <w:spacing w:before="100" w:beforeAutospacing="1" w:after="100" w:afterAutospacing="1"/>
            </w:pPr>
            <w:r w:rsidRPr="00C2761A">
              <w:t>Projekta izpildē iesaistītās institūcijas</w:t>
            </w:r>
          </w:p>
        </w:tc>
        <w:tc>
          <w:tcPr>
            <w:tcW w:w="2806" w:type="pct"/>
            <w:tcBorders>
              <w:top w:val="outset" w:sz="6" w:space="0" w:color="000000"/>
              <w:left w:val="outset" w:sz="6" w:space="0" w:color="000000"/>
              <w:bottom w:val="outset" w:sz="6" w:space="0" w:color="000000"/>
              <w:right w:val="outset" w:sz="6" w:space="0" w:color="000000"/>
            </w:tcBorders>
          </w:tcPr>
          <w:p w14:paraId="5715ACF1" w14:textId="1F2C2100" w:rsidR="0063775D" w:rsidRPr="00C2761A" w:rsidRDefault="002133BE" w:rsidP="000E3791">
            <w:pPr>
              <w:spacing w:before="100" w:beforeAutospacing="1" w:after="100" w:afterAutospacing="1"/>
              <w:jc w:val="both"/>
            </w:pPr>
            <w:r w:rsidRPr="00C2761A">
              <w:t xml:space="preserve">Atbildīgās iestādes funkcijas pilda </w:t>
            </w:r>
            <w:r w:rsidR="00417564">
              <w:t>Izglītības un zinātnes ministrija</w:t>
            </w:r>
            <w:r w:rsidRPr="00C2761A">
              <w:t xml:space="preserve">, sadarbības iestādes funkcijas – Centrālā finanšu un līgumu aģentūra. </w:t>
            </w:r>
          </w:p>
        </w:tc>
      </w:tr>
      <w:tr w:rsidR="0063775D" w:rsidRPr="00C2761A" w14:paraId="289093CB" w14:textId="77777777" w:rsidTr="001629C3">
        <w:tc>
          <w:tcPr>
            <w:tcW w:w="257" w:type="pct"/>
            <w:tcBorders>
              <w:top w:val="outset" w:sz="6" w:space="0" w:color="000000"/>
              <w:left w:val="outset" w:sz="6" w:space="0" w:color="000000"/>
              <w:bottom w:val="outset" w:sz="6" w:space="0" w:color="000000"/>
              <w:right w:val="outset" w:sz="6" w:space="0" w:color="000000"/>
            </w:tcBorders>
          </w:tcPr>
          <w:p w14:paraId="76D9FA9D" w14:textId="77777777" w:rsidR="0063775D" w:rsidRPr="00C2761A" w:rsidRDefault="0063775D" w:rsidP="00691202">
            <w:pPr>
              <w:spacing w:before="100" w:beforeAutospacing="1" w:after="100" w:afterAutospacing="1"/>
              <w:jc w:val="center"/>
            </w:pPr>
            <w:r w:rsidRPr="00C2761A">
              <w:t>2.</w:t>
            </w:r>
          </w:p>
        </w:tc>
        <w:tc>
          <w:tcPr>
            <w:tcW w:w="1937" w:type="pct"/>
            <w:tcBorders>
              <w:top w:val="outset" w:sz="6" w:space="0" w:color="000000"/>
              <w:left w:val="outset" w:sz="6" w:space="0" w:color="000000"/>
              <w:bottom w:val="outset" w:sz="6" w:space="0" w:color="000000"/>
              <w:right w:val="outset" w:sz="6" w:space="0" w:color="000000"/>
            </w:tcBorders>
          </w:tcPr>
          <w:p w14:paraId="23705C3D" w14:textId="77777777" w:rsidR="002358F8" w:rsidRPr="00C2761A" w:rsidRDefault="002358F8" w:rsidP="002358F8">
            <w:r w:rsidRPr="00C2761A">
              <w:t xml:space="preserve">Projekta izpildes ietekme uz pārvaldes funkcijām un institucionālo struktūru. </w:t>
            </w:r>
          </w:p>
          <w:p w14:paraId="288F45BC" w14:textId="77777777" w:rsidR="0063775D" w:rsidRPr="00C2761A" w:rsidRDefault="002358F8" w:rsidP="000A4631">
            <w:pPr>
              <w:spacing w:before="100" w:beforeAutospacing="1" w:after="100" w:afterAutospacing="1"/>
            </w:pPr>
            <w:r w:rsidRPr="00C2761A">
              <w:t>Jaunu institūciju izveide, esošu institūciju likvidācija vai reorganizācija, to ietekme uz institūcijas cilvēkresursiem</w:t>
            </w:r>
          </w:p>
        </w:tc>
        <w:tc>
          <w:tcPr>
            <w:tcW w:w="2806" w:type="pct"/>
            <w:tcBorders>
              <w:top w:val="outset" w:sz="6" w:space="0" w:color="000000"/>
              <w:left w:val="outset" w:sz="6" w:space="0" w:color="000000"/>
              <w:bottom w:val="outset" w:sz="6" w:space="0" w:color="000000"/>
              <w:right w:val="outset" w:sz="6" w:space="0" w:color="000000"/>
            </w:tcBorders>
          </w:tcPr>
          <w:p w14:paraId="1B731245" w14:textId="77777777" w:rsidR="00091842" w:rsidRPr="00C858D8" w:rsidRDefault="00313BE8" w:rsidP="0029303E">
            <w:pPr>
              <w:jc w:val="both"/>
            </w:pPr>
            <w:r w:rsidRPr="00C858D8">
              <w:t>Noteikumu projekts tiks īstenots esošo institūciju un cilvēkresursu ietvaros.</w:t>
            </w:r>
          </w:p>
        </w:tc>
      </w:tr>
      <w:tr w:rsidR="0063775D" w:rsidRPr="00C2761A" w14:paraId="06B9177E" w14:textId="77777777" w:rsidTr="001629C3">
        <w:tc>
          <w:tcPr>
            <w:tcW w:w="257" w:type="pct"/>
            <w:tcBorders>
              <w:top w:val="outset" w:sz="6" w:space="0" w:color="000000"/>
              <w:left w:val="outset" w:sz="6" w:space="0" w:color="000000"/>
              <w:bottom w:val="outset" w:sz="6" w:space="0" w:color="000000"/>
              <w:right w:val="outset" w:sz="6" w:space="0" w:color="000000"/>
            </w:tcBorders>
          </w:tcPr>
          <w:p w14:paraId="4D82AB76" w14:textId="77777777" w:rsidR="0063775D" w:rsidRPr="00C2761A" w:rsidRDefault="002358F8" w:rsidP="00691202">
            <w:pPr>
              <w:spacing w:before="100" w:beforeAutospacing="1" w:after="100" w:afterAutospacing="1"/>
              <w:jc w:val="center"/>
            </w:pPr>
            <w:r w:rsidRPr="00C2761A">
              <w:t>3</w:t>
            </w:r>
            <w:r w:rsidR="0063775D" w:rsidRPr="00C2761A">
              <w:t>.</w:t>
            </w:r>
          </w:p>
        </w:tc>
        <w:tc>
          <w:tcPr>
            <w:tcW w:w="1937" w:type="pct"/>
            <w:tcBorders>
              <w:top w:val="outset" w:sz="6" w:space="0" w:color="000000"/>
              <w:left w:val="outset" w:sz="6" w:space="0" w:color="000000"/>
              <w:bottom w:val="outset" w:sz="6" w:space="0" w:color="000000"/>
              <w:right w:val="outset" w:sz="6" w:space="0" w:color="000000"/>
            </w:tcBorders>
          </w:tcPr>
          <w:p w14:paraId="28F8AA1B" w14:textId="77777777" w:rsidR="0063775D" w:rsidRPr="00C2761A" w:rsidRDefault="0063775D" w:rsidP="000A4631">
            <w:pPr>
              <w:spacing w:before="100" w:beforeAutospacing="1" w:after="100" w:afterAutospacing="1"/>
            </w:pPr>
            <w:r w:rsidRPr="00C2761A">
              <w:t>Cita informācija</w:t>
            </w:r>
          </w:p>
        </w:tc>
        <w:tc>
          <w:tcPr>
            <w:tcW w:w="2806" w:type="pct"/>
            <w:tcBorders>
              <w:top w:val="outset" w:sz="6" w:space="0" w:color="000000"/>
              <w:left w:val="outset" w:sz="6" w:space="0" w:color="000000"/>
              <w:bottom w:val="outset" w:sz="6" w:space="0" w:color="000000"/>
              <w:right w:val="outset" w:sz="6" w:space="0" w:color="000000"/>
            </w:tcBorders>
          </w:tcPr>
          <w:p w14:paraId="66A29849" w14:textId="77777777" w:rsidR="0063775D" w:rsidRPr="00C2761A" w:rsidRDefault="0063775D" w:rsidP="006C4515">
            <w:pPr>
              <w:spacing w:before="100" w:beforeAutospacing="1" w:after="100" w:afterAutospacing="1"/>
            </w:pPr>
            <w:r w:rsidRPr="00C2761A">
              <w:t>Nav</w:t>
            </w:r>
            <w:r w:rsidR="000A5BB7">
              <w:t>.</w:t>
            </w:r>
          </w:p>
        </w:tc>
      </w:tr>
    </w:tbl>
    <w:p w14:paraId="05C6F0A1" w14:textId="77777777" w:rsidR="00A57AA7" w:rsidRPr="00C2761A" w:rsidRDefault="00A57AA7"/>
    <w:p w14:paraId="3C09F847" w14:textId="77777777" w:rsidR="00013EF9" w:rsidRPr="00BA17C8" w:rsidRDefault="00BA17C8" w:rsidP="00013EF9">
      <w:pPr>
        <w:rPr>
          <w:b/>
        </w:rPr>
      </w:pPr>
      <w:r w:rsidRPr="00BA17C8">
        <w:rPr>
          <w:b/>
        </w:rPr>
        <w:t xml:space="preserve">Anotācijas </w:t>
      </w:r>
      <w:r>
        <w:rPr>
          <w:b/>
        </w:rPr>
        <w:t>IV</w:t>
      </w:r>
      <w:r w:rsidRPr="00BA17C8">
        <w:rPr>
          <w:b/>
        </w:rPr>
        <w:t xml:space="preserve"> sadaļa – projekts š</w:t>
      </w:r>
      <w:r w:rsidR="000F61E3">
        <w:rPr>
          <w:b/>
        </w:rPr>
        <w:t>o</w:t>
      </w:r>
      <w:r w:rsidRPr="00BA17C8">
        <w:rPr>
          <w:b/>
        </w:rPr>
        <w:t xml:space="preserve"> jom</w:t>
      </w:r>
      <w:r w:rsidR="000F61E3">
        <w:rPr>
          <w:b/>
        </w:rPr>
        <w:t>u</w:t>
      </w:r>
      <w:r w:rsidRPr="00BA17C8">
        <w:rPr>
          <w:b/>
        </w:rPr>
        <w:t xml:space="preserve"> neskar.</w:t>
      </w:r>
    </w:p>
    <w:p w14:paraId="65868093" w14:textId="77777777" w:rsidR="00BA17C8" w:rsidRPr="00BA17C8" w:rsidRDefault="00BA17C8" w:rsidP="00013EF9">
      <w:pPr>
        <w:rPr>
          <w:b/>
        </w:rPr>
      </w:pPr>
    </w:p>
    <w:p w14:paraId="73FF7DDC" w14:textId="77777777" w:rsidR="00BA17C8" w:rsidRPr="00C2761A" w:rsidRDefault="00BA17C8" w:rsidP="00013EF9"/>
    <w:p w14:paraId="2B8C67CB" w14:textId="790B7F12" w:rsidR="00FD55F9" w:rsidRPr="00C2761A" w:rsidRDefault="00A37AAD" w:rsidP="00FD55F9">
      <w:pPr>
        <w:jc w:val="both"/>
      </w:pPr>
      <w:r w:rsidRPr="00C2761A">
        <w:t>Izglītības un zinātnes ministr</w:t>
      </w:r>
      <w:r w:rsidR="007C297E">
        <w:t>s</w:t>
      </w:r>
      <w:r w:rsidR="00FD55F9" w:rsidRPr="00C2761A">
        <w:t xml:space="preserve">                    </w:t>
      </w:r>
      <w:r w:rsidR="00AF031B" w:rsidRPr="00C2761A">
        <w:t xml:space="preserve">     </w:t>
      </w:r>
      <w:r w:rsidR="00A628B0" w:rsidRPr="00C2761A">
        <w:t xml:space="preserve">                             </w:t>
      </w:r>
      <w:r w:rsidR="00D11178" w:rsidRPr="00C2761A">
        <w:tab/>
      </w:r>
      <w:r w:rsidR="00956B3B">
        <w:tab/>
      </w:r>
      <w:r w:rsidR="007C297E">
        <w:t>K.</w:t>
      </w:r>
      <w:r w:rsidR="004510E0">
        <w:t xml:space="preserve"> </w:t>
      </w:r>
      <w:r w:rsidR="007C297E">
        <w:t>Šadurskis</w:t>
      </w:r>
    </w:p>
    <w:p w14:paraId="4476AEC9" w14:textId="77777777" w:rsidR="00FD55F9" w:rsidRPr="00C2761A" w:rsidRDefault="00FD55F9" w:rsidP="00FD55F9">
      <w:pPr>
        <w:pStyle w:val="naiskr"/>
        <w:tabs>
          <w:tab w:val="left" w:pos="6870"/>
        </w:tabs>
        <w:spacing w:before="0" w:after="0"/>
      </w:pPr>
    </w:p>
    <w:p w14:paraId="181C3F45" w14:textId="77777777" w:rsidR="00FD55F9" w:rsidRPr="00C2761A" w:rsidRDefault="00FD55F9" w:rsidP="00FD55F9">
      <w:pPr>
        <w:pStyle w:val="naiskr"/>
        <w:tabs>
          <w:tab w:val="left" w:pos="6870"/>
        </w:tabs>
        <w:spacing w:before="0" w:after="0"/>
      </w:pPr>
    </w:p>
    <w:p w14:paraId="0EB40346" w14:textId="77777777" w:rsidR="0071698E" w:rsidRPr="00806BCE" w:rsidRDefault="00FD55F9" w:rsidP="00AE213A">
      <w:pPr>
        <w:autoSpaceDE w:val="0"/>
        <w:autoSpaceDN w:val="0"/>
        <w:adjustRightInd w:val="0"/>
      </w:pPr>
      <w:r w:rsidRPr="00806BCE">
        <w:t xml:space="preserve">Vīza: </w:t>
      </w:r>
    </w:p>
    <w:p w14:paraId="295D0216" w14:textId="77777777" w:rsidR="005508C4" w:rsidRPr="005508C4" w:rsidRDefault="005508C4" w:rsidP="005508C4">
      <w:pPr>
        <w:pStyle w:val="Header"/>
        <w:tabs>
          <w:tab w:val="left" w:pos="2340"/>
        </w:tabs>
        <w:rPr>
          <w:color w:val="000000"/>
          <w:lang w:eastAsia="zh-CN"/>
        </w:rPr>
      </w:pPr>
      <w:r w:rsidRPr="005508C4">
        <w:rPr>
          <w:color w:val="000000"/>
          <w:lang w:eastAsia="zh-CN"/>
        </w:rPr>
        <w:t xml:space="preserve">Valsts sekretāra vietnieks – </w:t>
      </w:r>
    </w:p>
    <w:p w14:paraId="7025D5B7" w14:textId="77777777" w:rsidR="005508C4" w:rsidRPr="005508C4" w:rsidRDefault="005508C4" w:rsidP="005508C4">
      <w:pPr>
        <w:pStyle w:val="Header"/>
        <w:tabs>
          <w:tab w:val="left" w:pos="2340"/>
        </w:tabs>
        <w:rPr>
          <w:color w:val="000000"/>
          <w:lang w:eastAsia="zh-CN"/>
        </w:rPr>
      </w:pPr>
      <w:r w:rsidRPr="005508C4">
        <w:rPr>
          <w:color w:val="000000"/>
          <w:lang w:eastAsia="zh-CN"/>
        </w:rPr>
        <w:t>Nodrošinājuma un finanšu departamenta direktors,</w:t>
      </w:r>
    </w:p>
    <w:p w14:paraId="3B49521E" w14:textId="47445B21" w:rsidR="001C4E57" w:rsidRDefault="005508C4" w:rsidP="005508C4">
      <w:pPr>
        <w:pStyle w:val="Header"/>
        <w:tabs>
          <w:tab w:val="left" w:pos="2340"/>
          <w:tab w:val="left" w:pos="7230"/>
        </w:tabs>
        <w:rPr>
          <w:sz w:val="20"/>
          <w:szCs w:val="20"/>
        </w:rPr>
      </w:pPr>
      <w:r w:rsidRPr="005508C4">
        <w:rPr>
          <w:color w:val="000000"/>
          <w:lang w:eastAsia="zh-CN"/>
        </w:rPr>
        <w:t xml:space="preserve">valsts sekretāra pienākumu izpildītājs             </w:t>
      </w:r>
      <w:r>
        <w:rPr>
          <w:color w:val="000000"/>
          <w:lang w:eastAsia="zh-CN"/>
        </w:rPr>
        <w:tab/>
      </w:r>
      <w:r w:rsidRPr="005508C4">
        <w:rPr>
          <w:color w:val="000000"/>
          <w:lang w:eastAsia="zh-CN"/>
        </w:rPr>
        <w:t>E.</w:t>
      </w:r>
      <w:r>
        <w:rPr>
          <w:color w:val="000000"/>
          <w:lang w:eastAsia="zh-CN"/>
        </w:rPr>
        <w:t xml:space="preserve"> </w:t>
      </w:r>
      <w:r w:rsidRPr="005508C4">
        <w:rPr>
          <w:color w:val="000000"/>
          <w:lang w:eastAsia="zh-CN"/>
        </w:rPr>
        <w:t>Martinsons</w:t>
      </w:r>
    </w:p>
    <w:p w14:paraId="06E02331" w14:textId="77777777" w:rsidR="001C4E57" w:rsidRDefault="001C4E57" w:rsidP="00782A57">
      <w:pPr>
        <w:pStyle w:val="Header"/>
        <w:tabs>
          <w:tab w:val="left" w:pos="2340"/>
        </w:tabs>
        <w:rPr>
          <w:sz w:val="20"/>
          <w:szCs w:val="20"/>
        </w:rPr>
      </w:pPr>
    </w:p>
    <w:p w14:paraId="781612F2" w14:textId="77777777" w:rsidR="00F04366" w:rsidRDefault="00F04366" w:rsidP="00782A57">
      <w:pPr>
        <w:pStyle w:val="Header"/>
        <w:tabs>
          <w:tab w:val="left" w:pos="2340"/>
        </w:tabs>
        <w:rPr>
          <w:sz w:val="20"/>
          <w:szCs w:val="20"/>
        </w:rPr>
      </w:pPr>
    </w:p>
    <w:p w14:paraId="5FB2BD8E" w14:textId="34CFA11A" w:rsidR="001C4E57" w:rsidRPr="00BD0480" w:rsidRDefault="001C4E57" w:rsidP="001C4E57">
      <w:pPr>
        <w:pStyle w:val="Header"/>
        <w:tabs>
          <w:tab w:val="left" w:pos="2340"/>
        </w:tabs>
        <w:rPr>
          <w:sz w:val="20"/>
          <w:szCs w:val="20"/>
        </w:rPr>
      </w:pPr>
      <w:r w:rsidRPr="00BD0480">
        <w:rPr>
          <w:sz w:val="20"/>
          <w:szCs w:val="20"/>
        </w:rPr>
        <w:fldChar w:fldCharType="begin"/>
      </w:r>
      <w:r w:rsidRPr="00BD0480">
        <w:rPr>
          <w:sz w:val="20"/>
          <w:szCs w:val="20"/>
        </w:rPr>
        <w:instrText xml:space="preserve"> DATE  \@ "dd.MM.yyyy H:mm"  \* MERGEFORMAT </w:instrText>
      </w:r>
      <w:r w:rsidRPr="00BD0480">
        <w:rPr>
          <w:sz w:val="20"/>
          <w:szCs w:val="20"/>
        </w:rPr>
        <w:fldChar w:fldCharType="separate"/>
      </w:r>
      <w:r w:rsidR="00EA7E25">
        <w:rPr>
          <w:noProof/>
          <w:sz w:val="20"/>
          <w:szCs w:val="20"/>
        </w:rPr>
        <w:t>11.08.2016 13:55</w:t>
      </w:r>
      <w:r w:rsidRPr="00BD0480">
        <w:rPr>
          <w:sz w:val="20"/>
          <w:szCs w:val="20"/>
        </w:rPr>
        <w:fldChar w:fldCharType="end"/>
      </w:r>
    </w:p>
    <w:p w14:paraId="7076D786" w14:textId="1C642608" w:rsidR="008B2E3E" w:rsidRDefault="008B2E3E" w:rsidP="001C4E57">
      <w:pPr>
        <w:pStyle w:val="Header"/>
        <w:tabs>
          <w:tab w:val="left" w:pos="2340"/>
        </w:tab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E45B4A">
        <w:rPr>
          <w:noProof/>
          <w:sz w:val="20"/>
          <w:szCs w:val="20"/>
        </w:rPr>
        <w:t>4756</w:t>
      </w:r>
      <w:r>
        <w:rPr>
          <w:sz w:val="20"/>
          <w:szCs w:val="20"/>
        </w:rPr>
        <w:fldChar w:fldCharType="end"/>
      </w:r>
    </w:p>
    <w:p w14:paraId="671ED79C" w14:textId="1A372159" w:rsidR="001C4E57" w:rsidRPr="00BD0480" w:rsidRDefault="001C4E57" w:rsidP="001C4E57">
      <w:pPr>
        <w:pStyle w:val="Header"/>
        <w:tabs>
          <w:tab w:val="left" w:pos="2340"/>
        </w:tabs>
        <w:rPr>
          <w:noProof/>
          <w:sz w:val="20"/>
          <w:szCs w:val="20"/>
        </w:rPr>
      </w:pPr>
      <w:r w:rsidRPr="00BD0480">
        <w:rPr>
          <w:sz w:val="20"/>
          <w:szCs w:val="20"/>
        </w:rPr>
        <w:tab/>
      </w:r>
    </w:p>
    <w:p w14:paraId="25427283" w14:textId="75E07D80" w:rsidR="001C4E57" w:rsidRPr="00BD0480" w:rsidRDefault="001C4E57" w:rsidP="001C4E57">
      <w:pPr>
        <w:pStyle w:val="Header"/>
        <w:tabs>
          <w:tab w:val="left" w:pos="2340"/>
        </w:tabs>
        <w:rPr>
          <w:sz w:val="20"/>
          <w:szCs w:val="20"/>
        </w:rPr>
      </w:pPr>
      <w:r w:rsidRPr="00BD0480">
        <w:rPr>
          <w:sz w:val="20"/>
          <w:szCs w:val="20"/>
        </w:rPr>
        <w:t>A.</w:t>
      </w:r>
      <w:r w:rsidR="007E49FA">
        <w:rPr>
          <w:sz w:val="20"/>
          <w:szCs w:val="20"/>
        </w:rPr>
        <w:t xml:space="preserve"> </w:t>
      </w:r>
      <w:r w:rsidRPr="00BD0480">
        <w:rPr>
          <w:sz w:val="20"/>
          <w:szCs w:val="20"/>
        </w:rPr>
        <w:t xml:space="preserve">Žilinska, </w:t>
      </w:r>
    </w:p>
    <w:p w14:paraId="012FC237" w14:textId="77777777" w:rsidR="001C4E57" w:rsidRPr="00BD0480" w:rsidRDefault="001C4E57" w:rsidP="001C4E57">
      <w:pPr>
        <w:jc w:val="both"/>
        <w:rPr>
          <w:sz w:val="20"/>
          <w:szCs w:val="20"/>
        </w:rPr>
      </w:pPr>
      <w:r w:rsidRPr="00BD0480">
        <w:rPr>
          <w:sz w:val="20"/>
          <w:szCs w:val="20"/>
        </w:rPr>
        <w:t>Izglītības un zinātnes ministrijas</w:t>
      </w:r>
    </w:p>
    <w:p w14:paraId="7E9D7DA1" w14:textId="0CEA9E21" w:rsidR="001C4E57" w:rsidRPr="00BD0480" w:rsidRDefault="007E49FA" w:rsidP="001C4E57">
      <w:pPr>
        <w:jc w:val="both"/>
        <w:rPr>
          <w:sz w:val="20"/>
          <w:szCs w:val="20"/>
        </w:rPr>
      </w:pPr>
      <w:r w:rsidRPr="007E49FA">
        <w:rPr>
          <w:sz w:val="20"/>
          <w:szCs w:val="20"/>
        </w:rPr>
        <w:t>Struktūrfondu departamenta</w:t>
      </w:r>
      <w:r w:rsidR="001C4E57" w:rsidRPr="00BD0480">
        <w:rPr>
          <w:sz w:val="20"/>
          <w:szCs w:val="20"/>
        </w:rPr>
        <w:t xml:space="preserve"> </w:t>
      </w:r>
      <w:r>
        <w:rPr>
          <w:sz w:val="20"/>
          <w:szCs w:val="20"/>
        </w:rPr>
        <w:t xml:space="preserve">vecākā </w:t>
      </w:r>
      <w:r w:rsidR="001C4E57" w:rsidRPr="00BD0480">
        <w:rPr>
          <w:sz w:val="20"/>
          <w:szCs w:val="20"/>
        </w:rPr>
        <w:t xml:space="preserve">eksperte </w:t>
      </w:r>
    </w:p>
    <w:p w14:paraId="7AE972F2" w14:textId="77777777" w:rsidR="001C4E57" w:rsidRPr="00BD0480" w:rsidRDefault="001C4E57" w:rsidP="001C4E57">
      <w:pPr>
        <w:jc w:val="both"/>
        <w:rPr>
          <w:sz w:val="20"/>
          <w:szCs w:val="20"/>
        </w:rPr>
      </w:pPr>
      <w:r w:rsidRPr="00BD0480">
        <w:rPr>
          <w:sz w:val="20"/>
          <w:szCs w:val="20"/>
        </w:rPr>
        <w:t xml:space="preserve">tālr.: 67047897 </w:t>
      </w:r>
    </w:p>
    <w:p w14:paraId="68EBB442" w14:textId="77777777" w:rsidR="001C4E57" w:rsidRDefault="001C4E57" w:rsidP="001C4E57">
      <w:pPr>
        <w:pStyle w:val="Header"/>
        <w:tabs>
          <w:tab w:val="left" w:pos="2340"/>
        </w:tabs>
        <w:rPr>
          <w:sz w:val="20"/>
          <w:szCs w:val="20"/>
        </w:rPr>
      </w:pPr>
      <w:r w:rsidRPr="00BD0480">
        <w:rPr>
          <w:sz w:val="20"/>
          <w:szCs w:val="20"/>
        </w:rPr>
        <w:t xml:space="preserve">e-pasts: </w:t>
      </w:r>
      <w:hyperlink r:id="rId20" w:history="1">
        <w:r w:rsidR="00811F9F" w:rsidRPr="00D65A78">
          <w:rPr>
            <w:rStyle w:val="Hyperlink"/>
            <w:sz w:val="20"/>
            <w:szCs w:val="20"/>
          </w:rPr>
          <w:t>antra.zilinska@izm.gov.lv</w:t>
        </w:r>
      </w:hyperlink>
    </w:p>
    <w:p w14:paraId="356F3C0B" w14:textId="77777777" w:rsidR="005D35EA" w:rsidRDefault="005D35EA" w:rsidP="00811F9F">
      <w:pPr>
        <w:pStyle w:val="Header"/>
        <w:tabs>
          <w:tab w:val="left" w:pos="2340"/>
        </w:tabs>
        <w:rPr>
          <w:sz w:val="20"/>
          <w:szCs w:val="20"/>
        </w:rPr>
      </w:pPr>
    </w:p>
    <w:p w14:paraId="075F3356" w14:textId="403B8F3C" w:rsidR="00811F9F" w:rsidRDefault="00811F9F" w:rsidP="00811F9F">
      <w:pPr>
        <w:pStyle w:val="Header"/>
        <w:tabs>
          <w:tab w:val="left" w:pos="2340"/>
        </w:tabs>
        <w:rPr>
          <w:sz w:val="20"/>
          <w:szCs w:val="20"/>
        </w:rPr>
      </w:pPr>
      <w:r>
        <w:rPr>
          <w:sz w:val="20"/>
          <w:szCs w:val="20"/>
        </w:rPr>
        <w:t>V.</w:t>
      </w:r>
      <w:r w:rsidR="007E49FA">
        <w:rPr>
          <w:sz w:val="20"/>
          <w:szCs w:val="20"/>
        </w:rPr>
        <w:t xml:space="preserve"> </w:t>
      </w:r>
      <w:r>
        <w:rPr>
          <w:sz w:val="20"/>
          <w:szCs w:val="20"/>
        </w:rPr>
        <w:t>Abizāre-Vagre</w:t>
      </w:r>
      <w:r w:rsidRPr="00D273A5">
        <w:rPr>
          <w:sz w:val="20"/>
          <w:szCs w:val="20"/>
        </w:rPr>
        <w:t xml:space="preserve">, </w:t>
      </w:r>
    </w:p>
    <w:p w14:paraId="6A412CB4" w14:textId="77777777" w:rsidR="00811F9F" w:rsidRPr="00803319" w:rsidRDefault="00811F9F" w:rsidP="00811F9F">
      <w:pPr>
        <w:jc w:val="both"/>
        <w:rPr>
          <w:sz w:val="20"/>
          <w:szCs w:val="20"/>
        </w:rPr>
      </w:pPr>
      <w:r w:rsidRPr="00803319">
        <w:rPr>
          <w:sz w:val="20"/>
          <w:szCs w:val="20"/>
        </w:rPr>
        <w:t>Izglītības un zinātnes ministrijas</w:t>
      </w:r>
    </w:p>
    <w:p w14:paraId="615CD3A6" w14:textId="77777777" w:rsidR="00811F9F" w:rsidRPr="00D273A5" w:rsidRDefault="00811F9F" w:rsidP="00811F9F">
      <w:pPr>
        <w:jc w:val="both"/>
        <w:rPr>
          <w:sz w:val="20"/>
          <w:szCs w:val="20"/>
        </w:rPr>
      </w:pPr>
      <w:r w:rsidRPr="00803319">
        <w:rPr>
          <w:sz w:val="20"/>
          <w:szCs w:val="20"/>
        </w:rPr>
        <w:t xml:space="preserve">Struktūrfondu departamenta </w:t>
      </w:r>
      <w:r>
        <w:rPr>
          <w:sz w:val="20"/>
          <w:szCs w:val="20"/>
        </w:rPr>
        <w:t>vecākā referente</w:t>
      </w:r>
    </w:p>
    <w:p w14:paraId="4130747A" w14:textId="77777777" w:rsidR="00811F9F" w:rsidRPr="00D273A5" w:rsidRDefault="00811F9F" w:rsidP="00811F9F">
      <w:pPr>
        <w:jc w:val="both"/>
        <w:rPr>
          <w:sz w:val="20"/>
          <w:szCs w:val="20"/>
        </w:rPr>
      </w:pPr>
      <w:r w:rsidRPr="00D273A5">
        <w:rPr>
          <w:sz w:val="20"/>
          <w:szCs w:val="20"/>
        </w:rPr>
        <w:t>tālr.: 67047</w:t>
      </w:r>
      <w:r>
        <w:rPr>
          <w:sz w:val="20"/>
          <w:szCs w:val="20"/>
        </w:rPr>
        <w:t>864</w:t>
      </w:r>
      <w:r w:rsidRPr="00D273A5">
        <w:rPr>
          <w:sz w:val="20"/>
          <w:szCs w:val="20"/>
        </w:rPr>
        <w:t xml:space="preserve"> </w:t>
      </w:r>
    </w:p>
    <w:p w14:paraId="7AF138BE" w14:textId="77777777" w:rsidR="00811F9F" w:rsidRDefault="00811F9F" w:rsidP="00811F9F">
      <w:pPr>
        <w:jc w:val="both"/>
        <w:rPr>
          <w:sz w:val="20"/>
          <w:szCs w:val="20"/>
        </w:rPr>
      </w:pPr>
      <w:r w:rsidRPr="00D273A5">
        <w:rPr>
          <w:sz w:val="20"/>
          <w:szCs w:val="20"/>
        </w:rPr>
        <w:t xml:space="preserve">e-pasts: </w:t>
      </w:r>
      <w:r w:rsidRPr="00734AA7">
        <w:t xml:space="preserve"> </w:t>
      </w:r>
      <w:hyperlink r:id="rId21" w:history="1">
        <w:r w:rsidRPr="00DB08A7">
          <w:rPr>
            <w:rStyle w:val="Hyperlink"/>
            <w:sz w:val="20"/>
            <w:szCs w:val="20"/>
          </w:rPr>
          <w:t>Vesma.Abizare-Vagre@izm.gov.lv</w:t>
        </w:r>
      </w:hyperlink>
    </w:p>
    <w:p w14:paraId="131ADBB8" w14:textId="77777777" w:rsidR="00811F9F" w:rsidRDefault="00811F9F" w:rsidP="001C4E57">
      <w:pPr>
        <w:pStyle w:val="Header"/>
        <w:tabs>
          <w:tab w:val="left" w:pos="2340"/>
        </w:tabs>
        <w:rPr>
          <w:sz w:val="20"/>
          <w:szCs w:val="20"/>
        </w:rPr>
      </w:pPr>
    </w:p>
    <w:p w14:paraId="4457BE55" w14:textId="77777777" w:rsidR="006D19A7" w:rsidRPr="00FE08D9" w:rsidRDefault="006D19A7" w:rsidP="006D19A7">
      <w:pPr>
        <w:jc w:val="both"/>
        <w:rPr>
          <w:sz w:val="20"/>
          <w:szCs w:val="28"/>
        </w:rPr>
      </w:pPr>
      <w:r w:rsidRPr="00FE08D9">
        <w:rPr>
          <w:sz w:val="20"/>
          <w:szCs w:val="28"/>
        </w:rPr>
        <w:t xml:space="preserve">E. Zača, </w:t>
      </w:r>
    </w:p>
    <w:p w14:paraId="752DA0C3" w14:textId="77777777" w:rsidR="006D19A7" w:rsidRPr="00FE08D9" w:rsidRDefault="006D19A7" w:rsidP="006D19A7">
      <w:pPr>
        <w:jc w:val="both"/>
        <w:rPr>
          <w:sz w:val="20"/>
          <w:szCs w:val="28"/>
        </w:rPr>
      </w:pPr>
      <w:r w:rsidRPr="00FE08D9">
        <w:rPr>
          <w:sz w:val="20"/>
          <w:szCs w:val="28"/>
        </w:rPr>
        <w:t>Izglītības un zinātnes ministrijas</w:t>
      </w:r>
    </w:p>
    <w:p w14:paraId="727D4987" w14:textId="77777777" w:rsidR="006D19A7" w:rsidRPr="00FE08D9" w:rsidRDefault="006D19A7" w:rsidP="006D19A7">
      <w:pPr>
        <w:jc w:val="both"/>
        <w:rPr>
          <w:sz w:val="20"/>
          <w:szCs w:val="28"/>
        </w:rPr>
      </w:pPr>
      <w:r w:rsidRPr="00FE08D9">
        <w:rPr>
          <w:sz w:val="20"/>
          <w:szCs w:val="28"/>
        </w:rPr>
        <w:t xml:space="preserve">Struktūrfondu departamenta vecākā eksperte </w:t>
      </w:r>
    </w:p>
    <w:p w14:paraId="4B7AC770" w14:textId="77777777" w:rsidR="006D19A7" w:rsidRPr="00FE08D9" w:rsidRDefault="006D19A7" w:rsidP="006D19A7">
      <w:pPr>
        <w:jc w:val="both"/>
        <w:rPr>
          <w:sz w:val="20"/>
          <w:szCs w:val="20"/>
        </w:rPr>
      </w:pPr>
      <w:r w:rsidRPr="00FE08D9">
        <w:rPr>
          <w:sz w:val="20"/>
          <w:szCs w:val="28"/>
        </w:rPr>
        <w:t xml:space="preserve">tālr.: </w:t>
      </w:r>
      <w:r w:rsidRPr="00FE08D9">
        <w:rPr>
          <w:sz w:val="20"/>
          <w:szCs w:val="20"/>
        </w:rPr>
        <w:t xml:space="preserve">67047775 </w:t>
      </w:r>
    </w:p>
    <w:p w14:paraId="3C5FDAC0" w14:textId="4041F638" w:rsidR="006D19A7" w:rsidRDefault="006D19A7" w:rsidP="006D19A7">
      <w:pPr>
        <w:pStyle w:val="Header"/>
        <w:tabs>
          <w:tab w:val="left" w:pos="2340"/>
        </w:tabs>
        <w:rPr>
          <w:sz w:val="20"/>
          <w:szCs w:val="20"/>
        </w:rPr>
      </w:pPr>
      <w:r w:rsidRPr="00FE08D9">
        <w:rPr>
          <w:sz w:val="20"/>
          <w:szCs w:val="20"/>
        </w:rPr>
        <w:t xml:space="preserve">e-pasts: </w:t>
      </w:r>
      <w:hyperlink r:id="rId22" w:history="1">
        <w:r w:rsidRPr="00FE08D9">
          <w:rPr>
            <w:rStyle w:val="Hyperlink"/>
            <w:sz w:val="20"/>
            <w:szCs w:val="20"/>
          </w:rPr>
          <w:t>Evija.Zaca@izm.gov.lv</w:t>
        </w:r>
      </w:hyperlink>
    </w:p>
    <w:p w14:paraId="57B6790C" w14:textId="3A3C83E6" w:rsidR="000E19B1" w:rsidRPr="000E19B1" w:rsidRDefault="000E19B1" w:rsidP="00897CCA">
      <w:pPr>
        <w:tabs>
          <w:tab w:val="left" w:pos="1276"/>
        </w:tabs>
        <w:jc w:val="both"/>
        <w:rPr>
          <w:sz w:val="28"/>
          <w:szCs w:val="28"/>
        </w:rPr>
      </w:pPr>
    </w:p>
    <w:sectPr w:rsidR="000E19B1" w:rsidRPr="000E19B1" w:rsidSect="002D5FF1">
      <w:headerReference w:type="even" r:id="rId23"/>
      <w:headerReference w:type="default" r:id="rId24"/>
      <w:footerReference w:type="default" r:id="rId25"/>
      <w:footerReference w:type="first" r:id="rId26"/>
      <w:pgSz w:w="11906" w:h="16838"/>
      <w:pgMar w:top="1418" w:right="1416" w:bottom="1134" w:left="1843"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C0C5" w14:textId="77777777" w:rsidR="003A55D1" w:rsidRDefault="003A55D1">
      <w:r>
        <w:separator/>
      </w:r>
    </w:p>
  </w:endnote>
  <w:endnote w:type="continuationSeparator" w:id="0">
    <w:p w14:paraId="761CDD34" w14:textId="77777777" w:rsidR="003A55D1" w:rsidRDefault="003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C80D0" w14:textId="4913D49A" w:rsidR="003A55D1" w:rsidRDefault="003A55D1" w:rsidP="00B7142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IZMAnot_110816_1114_VSS527</w:t>
    </w:r>
    <w:r>
      <w:rPr>
        <w:sz w:val="20"/>
        <w:szCs w:val="20"/>
      </w:rPr>
      <w:fldChar w:fldCharType="end"/>
    </w:r>
    <w:r w:rsidRPr="000F4DED">
      <w:rPr>
        <w:sz w:val="20"/>
        <w:szCs w:val="16"/>
      </w:rPr>
      <w:t>; Ministru kabineta noteikumu projekt</w:t>
    </w:r>
    <w:r>
      <w:rPr>
        <w:sz w:val="20"/>
        <w:szCs w:val="16"/>
      </w:rPr>
      <w:t xml:space="preserve">a </w:t>
    </w:r>
    <w:r w:rsidRPr="008F77FF">
      <w:rPr>
        <w:sz w:val="20"/>
        <w:szCs w:val="16"/>
      </w:rPr>
      <w:t>"</w:t>
    </w:r>
    <w:r w:rsidRPr="000F4DED">
      <w:rPr>
        <w:sz w:val="20"/>
        <w:szCs w:val="16"/>
      </w:rPr>
      <w:t xml:space="preserve">Darbības programmas </w:t>
    </w:r>
    <w:r w:rsidRPr="008F77FF">
      <w:rPr>
        <w:sz w:val="20"/>
        <w:szCs w:val="16"/>
      </w:rPr>
      <w:t>"</w:t>
    </w:r>
    <w:r w:rsidRPr="000F4DED">
      <w:rPr>
        <w:sz w:val="20"/>
        <w:szCs w:val="16"/>
      </w:rPr>
      <w:t>Izaugsme un nodarbinātība</w:t>
    </w:r>
    <w:r w:rsidRPr="008F77FF">
      <w:rPr>
        <w:sz w:val="20"/>
        <w:szCs w:val="16"/>
      </w:rPr>
      <w:t>"</w:t>
    </w:r>
    <w:r w:rsidRPr="000F4DED">
      <w:rPr>
        <w:sz w:val="20"/>
        <w:szCs w:val="16"/>
      </w:rPr>
      <w:t xml:space="preserve"> 1.1.1. specifiskā atbalsta mērķa </w:t>
    </w:r>
    <w:r w:rsidRPr="008F77FF">
      <w:rPr>
        <w:sz w:val="20"/>
        <w:szCs w:val="16"/>
      </w:rPr>
      <w:t>"</w:t>
    </w:r>
    <w:r w:rsidRPr="000F4DED">
      <w:rPr>
        <w:sz w:val="20"/>
        <w:szCs w:val="16"/>
      </w:rPr>
      <w:t>Palielināt Latvijas zinātnisko institūciju pētniecisko un inovatīvo kapacitāti un spēju piesaistīt ārējo finansējumu, ieguldot cilvēkresursos un infrastruktūrā</w:t>
    </w:r>
    <w:r w:rsidRPr="008F77FF">
      <w:rPr>
        <w:sz w:val="20"/>
        <w:szCs w:val="16"/>
      </w:rPr>
      <w:t>"</w:t>
    </w:r>
    <w:r w:rsidRPr="000F4DED">
      <w:rPr>
        <w:sz w:val="20"/>
        <w:szCs w:val="16"/>
      </w:rPr>
      <w:t xml:space="preserve"> 1.1.1.</w:t>
    </w:r>
    <w:r>
      <w:rPr>
        <w:sz w:val="20"/>
        <w:szCs w:val="16"/>
      </w:rPr>
      <w:t>4</w:t>
    </w:r>
    <w:r w:rsidRPr="000F4DED">
      <w:rPr>
        <w:sz w:val="20"/>
        <w:szCs w:val="16"/>
      </w:rPr>
      <w:t xml:space="preserve">. pasākuma </w:t>
    </w:r>
    <w:r w:rsidRPr="008F77FF">
      <w:rPr>
        <w:sz w:val="20"/>
        <w:szCs w:val="16"/>
      </w:rPr>
      <w:t>"</w:t>
    </w:r>
    <w:r w:rsidRPr="000F4DED">
      <w:rPr>
        <w:sz w:val="20"/>
        <w:szCs w:val="16"/>
      </w:rPr>
      <w:t>P&amp;A infrastruktūras attīstīšana Viedās specializācijas jomās un zinātnisko institūciju institucionālās kapacitātes stiprināšana</w:t>
    </w:r>
    <w:r w:rsidRPr="008F77FF">
      <w:rPr>
        <w:sz w:val="20"/>
        <w:szCs w:val="16"/>
      </w:rPr>
      <w:t>"</w:t>
    </w:r>
    <w:r w:rsidRPr="000F4DED">
      <w:rPr>
        <w:sz w:val="20"/>
        <w:szCs w:val="16"/>
      </w:rPr>
      <w:t xml:space="preserve"> īstenošanas noteikumi</w:t>
    </w:r>
    <w:r w:rsidRPr="008F77FF">
      <w:rPr>
        <w:sz w:val="20"/>
        <w:szCs w:val="16"/>
      </w:rPr>
      <w:t>"</w:t>
    </w:r>
    <w:r>
      <w:rPr>
        <w:sz w:val="20"/>
        <w:szCs w:val="16"/>
      </w:rPr>
      <w:t xml:space="preserve"> </w:t>
    </w:r>
    <w:r w:rsidRPr="0007450A">
      <w:rPr>
        <w:sz w:val="20"/>
        <w:szCs w:val="20"/>
      </w:rPr>
      <w:t>sākotnējās ietekmes novērtējuma ziņojums (anotācija)</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4FB5" w14:textId="18CFEDAA" w:rsidR="003A55D1" w:rsidRDefault="003A55D1" w:rsidP="00B7142C">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IZMAnot_110816_1114_VSS527</w:t>
    </w:r>
    <w:r>
      <w:rPr>
        <w:sz w:val="20"/>
        <w:szCs w:val="20"/>
      </w:rPr>
      <w:fldChar w:fldCharType="end"/>
    </w:r>
    <w:r w:rsidRPr="000F4DED">
      <w:rPr>
        <w:sz w:val="20"/>
        <w:szCs w:val="16"/>
      </w:rPr>
      <w:t>; Ministru kabineta noteikumu projekt</w:t>
    </w:r>
    <w:r>
      <w:rPr>
        <w:sz w:val="20"/>
        <w:szCs w:val="16"/>
      </w:rPr>
      <w:t xml:space="preserve">a </w:t>
    </w:r>
    <w:r w:rsidRPr="008F77FF">
      <w:rPr>
        <w:sz w:val="20"/>
        <w:szCs w:val="16"/>
      </w:rPr>
      <w:t>"</w:t>
    </w:r>
    <w:r w:rsidRPr="000F4DED">
      <w:rPr>
        <w:sz w:val="20"/>
        <w:szCs w:val="16"/>
      </w:rPr>
      <w:t xml:space="preserve">Darbības programmas </w:t>
    </w:r>
    <w:r w:rsidRPr="008F77FF">
      <w:rPr>
        <w:sz w:val="20"/>
        <w:szCs w:val="16"/>
      </w:rPr>
      <w:t>"</w:t>
    </w:r>
    <w:r w:rsidRPr="000F4DED">
      <w:rPr>
        <w:sz w:val="20"/>
        <w:szCs w:val="16"/>
      </w:rPr>
      <w:t>Izaugsme un nodarbinātība</w:t>
    </w:r>
    <w:r w:rsidRPr="008F77FF">
      <w:rPr>
        <w:sz w:val="20"/>
        <w:szCs w:val="16"/>
      </w:rPr>
      <w:t>"</w:t>
    </w:r>
    <w:r w:rsidRPr="000F4DED">
      <w:rPr>
        <w:sz w:val="20"/>
        <w:szCs w:val="16"/>
      </w:rPr>
      <w:t xml:space="preserve"> 1.1.1. specifiskā atbalsta mērķa </w:t>
    </w:r>
    <w:r w:rsidRPr="008F77FF">
      <w:rPr>
        <w:sz w:val="20"/>
        <w:szCs w:val="16"/>
      </w:rPr>
      <w:t>"</w:t>
    </w:r>
    <w:r w:rsidRPr="000F4DED">
      <w:rPr>
        <w:sz w:val="20"/>
        <w:szCs w:val="16"/>
      </w:rPr>
      <w:t>Palielināt Latvijas zinātnisko institūciju pētniecisko un inovatīvo kapacitāti un spēju piesaistīt ārējo finansējumu, ieguldot cilvēkresursos un infrastruktūrā</w:t>
    </w:r>
    <w:r w:rsidRPr="008F77FF">
      <w:rPr>
        <w:sz w:val="20"/>
        <w:szCs w:val="16"/>
      </w:rPr>
      <w:t>"</w:t>
    </w:r>
    <w:r w:rsidRPr="000F4DED">
      <w:rPr>
        <w:sz w:val="20"/>
        <w:szCs w:val="16"/>
      </w:rPr>
      <w:t xml:space="preserve"> 1.1.1.</w:t>
    </w:r>
    <w:r>
      <w:rPr>
        <w:sz w:val="20"/>
        <w:szCs w:val="16"/>
      </w:rPr>
      <w:t>4</w:t>
    </w:r>
    <w:r w:rsidRPr="000F4DED">
      <w:rPr>
        <w:sz w:val="20"/>
        <w:szCs w:val="16"/>
      </w:rPr>
      <w:t xml:space="preserve">. pasākuma </w:t>
    </w:r>
    <w:r w:rsidRPr="008F77FF">
      <w:rPr>
        <w:sz w:val="20"/>
        <w:szCs w:val="16"/>
      </w:rPr>
      <w:t>"</w:t>
    </w:r>
    <w:r w:rsidRPr="000F4DED">
      <w:rPr>
        <w:sz w:val="20"/>
        <w:szCs w:val="16"/>
      </w:rPr>
      <w:t>P&amp;A infrastruktūras attīstīšana Viedās specializācijas jomās un zinātnisko institūciju institucionālās kapacitātes stiprināšana</w:t>
    </w:r>
    <w:r w:rsidRPr="008F77FF">
      <w:rPr>
        <w:sz w:val="20"/>
        <w:szCs w:val="16"/>
      </w:rPr>
      <w:t>"</w:t>
    </w:r>
    <w:r w:rsidRPr="000F4DED">
      <w:rPr>
        <w:sz w:val="20"/>
        <w:szCs w:val="16"/>
      </w:rPr>
      <w:t xml:space="preserve"> īstenošanas noteikumi</w:t>
    </w:r>
    <w:r w:rsidRPr="008F77FF">
      <w:rPr>
        <w:sz w:val="20"/>
        <w:szCs w:val="16"/>
      </w:rPr>
      <w:t>"</w:t>
    </w:r>
    <w:r>
      <w:rPr>
        <w:sz w:val="20"/>
        <w:szCs w:val="16"/>
      </w:rPr>
      <w:t xml:space="preserve"> </w:t>
    </w:r>
    <w:r w:rsidRPr="0007450A">
      <w:rPr>
        <w:sz w:val="20"/>
        <w:szCs w:val="20"/>
      </w:rPr>
      <w:t>sākotnējās ietekmes novērtējuma ziņojums (anotācija)</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FC9CA" w14:textId="77777777" w:rsidR="003A55D1" w:rsidRDefault="003A55D1">
      <w:r>
        <w:separator/>
      </w:r>
    </w:p>
  </w:footnote>
  <w:footnote w:type="continuationSeparator" w:id="0">
    <w:p w14:paraId="72ED29DA" w14:textId="77777777" w:rsidR="003A55D1" w:rsidRDefault="003A55D1">
      <w:r>
        <w:continuationSeparator/>
      </w:r>
    </w:p>
  </w:footnote>
  <w:footnote w:id="1">
    <w:p w14:paraId="0DFCDB75" w14:textId="09E0E7BE" w:rsidR="003A55D1" w:rsidRDefault="003A55D1" w:rsidP="000126F3">
      <w:pPr>
        <w:pStyle w:val="FootnoteText"/>
      </w:pPr>
      <w:r>
        <w:rPr>
          <w:rStyle w:val="FootnoteReference"/>
        </w:rPr>
        <w:footnoteRef/>
      </w:r>
      <w:r>
        <w:t xml:space="preserve"> Tiek pieņemts, ka no P&amp;A infrastruktūras attīstībai paredzētā finansējuma ≈60% tiks novirzīti ēku renovācijai/ rekonstrukcijai, savukārt ≈40% iekārtu un aprīkojuma iegādei. Atbilstoši 2013.gada 12.novembra Ministru kabineta noteikumiem Nr.1316 „Kārtība, kādā aprēķina un piešķir bāzes finansējumu zinātniskajām institūcijām” 3.punktam uz 1 zinātnē nodarbināto darbinieku ir 15 m2, savukārt 1 m2 vidējās izmaksas, kas noteiktas saskaņā ar Ekonomikas ministrijas pasūtīto pētījumu  „Analītiskais būvizmaksu katalogs” (2009), kā arī ņemot vērā procentuālo būvizmaksu pieaugumu ≈20% apmērā līdz 2020.gadam ir 1 849   EUR. </w:t>
      </w:r>
    </w:p>
    <w:p w14:paraId="387BC9EE" w14:textId="77777777" w:rsidR="003A55D1" w:rsidRDefault="003A55D1" w:rsidP="000126F3">
      <w:pPr>
        <w:pStyle w:val="FootnoteText"/>
        <w:ind w:firstLine="426"/>
      </w:pPr>
      <w:r>
        <w:t xml:space="preserve">15m2*1849 EUR= 27 735 EUR; </w:t>
      </w:r>
    </w:p>
    <w:p w14:paraId="382FD5AC" w14:textId="7FFE92AA" w:rsidR="003A55D1" w:rsidRDefault="003A55D1" w:rsidP="000126F3">
      <w:pPr>
        <w:pStyle w:val="FootnoteText"/>
        <w:ind w:firstLine="426"/>
      </w:pPr>
      <w:r>
        <w:t>60 000 000  EUR (60% no kopējā pieejamā finansējuma)/27 735 EUR = 2 163 zinātnē nodarbinātās personas.</w:t>
      </w:r>
    </w:p>
  </w:footnote>
  <w:footnote w:id="2">
    <w:p w14:paraId="347C15B9" w14:textId="77777777" w:rsidR="003A55D1" w:rsidRDefault="003A55D1" w:rsidP="000126F3">
      <w:pPr>
        <w:pStyle w:val="FootnoteText"/>
      </w:pPr>
      <w:r>
        <w:rPr>
          <w:rStyle w:val="FootnoteReference"/>
        </w:rPr>
        <w:footnoteRef/>
      </w:r>
      <w:r>
        <w:t xml:space="preserve"> Atbilstoši CSP norādītajai informācijai 2012.gadā zinātnē nodarbināts zinātniskais personāls (vadošie pētnieki, pētnieki un zinātniskie asistenti) ir 3904 pilna darba laika ekvivalenta izteiksmē.</w:t>
      </w:r>
    </w:p>
    <w:p w14:paraId="175A3087" w14:textId="77777777" w:rsidR="003A55D1" w:rsidRDefault="003A55D1" w:rsidP="000126F3">
      <w:pPr>
        <w:pStyle w:val="FootnoteText"/>
      </w:pPr>
      <w:r>
        <w:t>Atbilstoši informācijai, kas pieejama SCImago Journal &amp; Country Rank 2012.gadā Latvijai SCOPUS datu bāzē izdotos žurnālos publicētas 1247 publikācijas. Bāzes vērtība ir attiecīgi 0.32 (1247 publikācijas/ 3904 zinātniskais personāls PLE izteiksmē = 0,32).</w:t>
      </w:r>
    </w:p>
    <w:p w14:paraId="34106176" w14:textId="161AD570" w:rsidR="003A55D1" w:rsidRDefault="003A55D1" w:rsidP="000126F3">
      <w:pPr>
        <w:pStyle w:val="FootnoteText"/>
        <w:ind w:firstLine="284"/>
      </w:pPr>
      <w:r>
        <w:t>Mērķa vērtība 2023.gadam aprēķināta, pieņemot, ka zinātniskais personāls 2023.gada no zinātnē nodarbinātā personāla skaita būs vismaz 65% (7000 zinātnē nodarbinātie*0.65 = 4550 zinātniskais personāls). Ņemot vērā zinātniskā personāla skaita plānoto pieaugumu, kā arī plānoto kopējā pētniecības un attīstības finansējuma pieaugumu, vidējais zinātnisko publikāciju skaits, kas indeksētas SCOPUS datu bāzēs uz vienu zinātniskā personāla pilna darba laika ekvivalentu gadā pieaugs, attiecīgi 2023.gadā sasniedzot 0.48 publikācijas uz vienu zinātniskā personālā pilna darba laika ekvivalentu.</w:t>
      </w:r>
    </w:p>
  </w:footnote>
  <w:footnote w:id="3">
    <w:p w14:paraId="3C7849A5" w14:textId="125A3F7B" w:rsidR="003A55D1" w:rsidRDefault="003A55D1">
      <w:pPr>
        <w:pStyle w:val="FootnoteText"/>
      </w:pPr>
      <w:r>
        <w:rPr>
          <w:rStyle w:val="FootnoteReference"/>
        </w:rPr>
        <w:footnoteRef/>
      </w:r>
      <w:r>
        <w:t xml:space="preserve"> </w:t>
      </w:r>
      <w:r w:rsidRPr="000126F3">
        <w:t xml:space="preserve">Rādītājs noteikt, ņemot vērā </w:t>
      </w:r>
      <w:r>
        <w:t xml:space="preserve">izglītības un zinātnes plānošanas politikas </w:t>
      </w:r>
      <w:r w:rsidRPr="000126F3">
        <w:t>mērķi uz 2020</w:t>
      </w:r>
      <w:r>
        <w:t>. gadu sasniegt finansējuma apjomu</w:t>
      </w:r>
      <w:r w:rsidRPr="000126F3">
        <w:t xml:space="preserve"> pētniecībai 1,5</w:t>
      </w:r>
      <w:r>
        <w:t xml:space="preserve"> </w:t>
      </w:r>
      <w:r w:rsidRPr="000126F3">
        <w:t>%</w:t>
      </w:r>
      <w:r>
        <w:t xml:space="preserve"> apmērā.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DA309" w14:textId="77777777" w:rsidR="003A55D1" w:rsidRDefault="003A55D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4701B" w14:textId="77777777" w:rsidR="003A55D1" w:rsidRDefault="003A5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A7FFB" w14:textId="77777777" w:rsidR="003A55D1" w:rsidRDefault="003A55D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E25">
      <w:rPr>
        <w:rStyle w:val="PageNumber"/>
        <w:noProof/>
      </w:rPr>
      <w:t>2</w:t>
    </w:r>
    <w:r>
      <w:rPr>
        <w:rStyle w:val="PageNumber"/>
      </w:rPr>
      <w:fldChar w:fldCharType="end"/>
    </w:r>
  </w:p>
  <w:p w14:paraId="03DCA843" w14:textId="77777777" w:rsidR="003A55D1" w:rsidRDefault="003A5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1CE"/>
    <w:multiLevelType w:val="multilevel"/>
    <w:tmpl w:val="C3A6417E"/>
    <w:lvl w:ilvl="0">
      <w:start w:val="1"/>
      <w:numFmt w:val="decimal"/>
      <w:lvlText w:val="%1."/>
      <w:lvlJc w:val="left"/>
      <w:pPr>
        <w:ind w:left="720" w:hanging="360"/>
      </w:pPr>
      <w:rPr>
        <w:rFonts w:ascii="Times New Roman" w:eastAsia="Times New Roman" w:hAnsi="Times New Roman" w:cs="Times New Roman"/>
        <w:b w:val="0"/>
        <w:strike w:val="0"/>
      </w:rPr>
    </w:lvl>
    <w:lvl w:ilvl="1">
      <w:start w:val="1"/>
      <w:numFmt w:val="decimal"/>
      <w:isLgl/>
      <w:lvlText w:val="%1.%2."/>
      <w:lvlJc w:val="left"/>
      <w:pPr>
        <w:ind w:left="937" w:hanging="720"/>
      </w:pPr>
      <w:rPr>
        <w:rFonts w:ascii="Times New Roman" w:hAnsi="Times New Roman" w:cs="Times New Roman" w:hint="default"/>
        <w:b w:val="0"/>
        <w:color w:val="auto"/>
        <w:sz w:val="24"/>
        <w:szCs w:val="24"/>
      </w:rPr>
    </w:lvl>
    <w:lvl w:ilvl="2">
      <w:start w:val="1"/>
      <w:numFmt w:val="decimal"/>
      <w:isLgl/>
      <w:lvlText w:val="%1.%2.%3."/>
      <w:lvlJc w:val="left"/>
      <w:pPr>
        <w:ind w:left="-17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10A237B"/>
    <w:multiLevelType w:val="hybridMultilevel"/>
    <w:tmpl w:val="9D40480A"/>
    <w:lvl w:ilvl="0" w:tplc="04090011">
      <w:start w:val="1"/>
      <w:numFmt w:val="decimal"/>
      <w:lvlText w:val="%1)"/>
      <w:lvlJc w:val="left"/>
      <w:pPr>
        <w:ind w:left="-14" w:hanging="360"/>
      </w:pPr>
    </w:lvl>
    <w:lvl w:ilvl="1" w:tplc="04090019">
      <w:start w:val="1"/>
      <w:numFmt w:val="lowerLetter"/>
      <w:lvlText w:val="%2."/>
      <w:lvlJc w:val="left"/>
      <w:pPr>
        <w:ind w:left="706" w:hanging="360"/>
      </w:pPr>
    </w:lvl>
    <w:lvl w:ilvl="2" w:tplc="0409001B">
      <w:start w:val="1"/>
      <w:numFmt w:val="lowerRoman"/>
      <w:lvlText w:val="%3."/>
      <w:lvlJc w:val="right"/>
      <w:pPr>
        <w:ind w:left="1426" w:hanging="180"/>
      </w:pPr>
    </w:lvl>
    <w:lvl w:ilvl="3" w:tplc="0409000F" w:tentative="1">
      <w:start w:val="1"/>
      <w:numFmt w:val="decimal"/>
      <w:lvlText w:val="%4."/>
      <w:lvlJc w:val="left"/>
      <w:pPr>
        <w:ind w:left="2146" w:hanging="360"/>
      </w:pPr>
    </w:lvl>
    <w:lvl w:ilvl="4" w:tplc="04090019" w:tentative="1">
      <w:start w:val="1"/>
      <w:numFmt w:val="lowerLetter"/>
      <w:lvlText w:val="%5."/>
      <w:lvlJc w:val="left"/>
      <w:pPr>
        <w:ind w:left="2866" w:hanging="360"/>
      </w:pPr>
    </w:lvl>
    <w:lvl w:ilvl="5" w:tplc="0409001B" w:tentative="1">
      <w:start w:val="1"/>
      <w:numFmt w:val="lowerRoman"/>
      <w:lvlText w:val="%6."/>
      <w:lvlJc w:val="right"/>
      <w:pPr>
        <w:ind w:left="3586" w:hanging="180"/>
      </w:pPr>
    </w:lvl>
    <w:lvl w:ilvl="6" w:tplc="0409000F" w:tentative="1">
      <w:start w:val="1"/>
      <w:numFmt w:val="decimal"/>
      <w:lvlText w:val="%7."/>
      <w:lvlJc w:val="left"/>
      <w:pPr>
        <w:ind w:left="4306" w:hanging="360"/>
      </w:pPr>
    </w:lvl>
    <w:lvl w:ilvl="7" w:tplc="04090019" w:tentative="1">
      <w:start w:val="1"/>
      <w:numFmt w:val="lowerLetter"/>
      <w:lvlText w:val="%8."/>
      <w:lvlJc w:val="left"/>
      <w:pPr>
        <w:ind w:left="5026" w:hanging="360"/>
      </w:pPr>
    </w:lvl>
    <w:lvl w:ilvl="8" w:tplc="0409001B" w:tentative="1">
      <w:start w:val="1"/>
      <w:numFmt w:val="lowerRoman"/>
      <w:lvlText w:val="%9."/>
      <w:lvlJc w:val="right"/>
      <w:pPr>
        <w:ind w:left="5746" w:hanging="180"/>
      </w:pPr>
    </w:lvl>
  </w:abstractNum>
  <w:abstractNum w:abstractNumId="2" w15:restartNumberingAfterBreak="0">
    <w:nsid w:val="29F97BD0"/>
    <w:multiLevelType w:val="hybridMultilevel"/>
    <w:tmpl w:val="992CA354"/>
    <w:lvl w:ilvl="0" w:tplc="9C68C502">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39827329"/>
    <w:multiLevelType w:val="hybridMultilevel"/>
    <w:tmpl w:val="3B243004"/>
    <w:lvl w:ilvl="0" w:tplc="89921B9E">
      <w:start w:val="5"/>
      <w:numFmt w:val="bullet"/>
      <w:lvlText w:val="-"/>
      <w:lvlJc w:val="left"/>
      <w:pPr>
        <w:ind w:left="417" w:hanging="360"/>
      </w:pPr>
      <w:rPr>
        <w:rFonts w:ascii="Times New Roman" w:eastAsia="Times New Roman" w:hAnsi="Times New Roman" w:cs="Times New Roman" w:hint="default"/>
        <w:b/>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15:restartNumberingAfterBreak="0">
    <w:nsid w:val="398619AF"/>
    <w:multiLevelType w:val="hybridMultilevel"/>
    <w:tmpl w:val="A3A68CB8"/>
    <w:lvl w:ilvl="0" w:tplc="DB6083CC">
      <w:start w:val="1"/>
      <w:numFmt w:val="decimal"/>
      <w:lvlText w:val="%1)"/>
      <w:lvlJc w:val="left"/>
      <w:pPr>
        <w:ind w:left="513" w:hanging="360"/>
      </w:pPr>
      <w:rPr>
        <w:rFonts w:hint="default"/>
        <w:color w:val="000000"/>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5"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ACC4697"/>
    <w:multiLevelType w:val="multilevel"/>
    <w:tmpl w:val="C3A6417E"/>
    <w:lvl w:ilvl="0">
      <w:start w:val="1"/>
      <w:numFmt w:val="decimal"/>
      <w:lvlText w:val="%1."/>
      <w:lvlJc w:val="left"/>
      <w:pPr>
        <w:ind w:left="720" w:hanging="360"/>
      </w:pPr>
      <w:rPr>
        <w:rFonts w:ascii="Times New Roman" w:eastAsia="Times New Roman" w:hAnsi="Times New Roman" w:cs="Times New Roman"/>
        <w:b w:val="0"/>
        <w:strike w:val="0"/>
      </w:rPr>
    </w:lvl>
    <w:lvl w:ilvl="1">
      <w:start w:val="1"/>
      <w:numFmt w:val="decimal"/>
      <w:isLgl/>
      <w:lvlText w:val="%1.%2."/>
      <w:lvlJc w:val="left"/>
      <w:pPr>
        <w:ind w:left="937" w:hanging="720"/>
      </w:pPr>
      <w:rPr>
        <w:rFonts w:ascii="Times New Roman" w:hAnsi="Times New Roman" w:cs="Times New Roman" w:hint="default"/>
        <w:b w:val="0"/>
        <w:color w:val="auto"/>
        <w:sz w:val="24"/>
        <w:szCs w:val="24"/>
      </w:rPr>
    </w:lvl>
    <w:lvl w:ilvl="2">
      <w:start w:val="1"/>
      <w:numFmt w:val="decimal"/>
      <w:isLgl/>
      <w:lvlText w:val="%1.%2.%3."/>
      <w:lvlJc w:val="left"/>
      <w:pPr>
        <w:ind w:left="-17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BC20585"/>
    <w:multiLevelType w:val="hybridMultilevel"/>
    <w:tmpl w:val="BD9E0926"/>
    <w:lvl w:ilvl="0" w:tplc="604A800C">
      <w:start w:val="1"/>
      <w:numFmt w:val="decimal"/>
      <w:lvlText w:val="%1."/>
      <w:lvlJc w:val="left"/>
      <w:pPr>
        <w:ind w:left="720" w:hanging="360"/>
      </w:pPr>
      <w:rPr>
        <w:rFonts w:ascii="Calibri" w:hAnsi="Calibri" w:cs="Times New Roman"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F577CCF"/>
    <w:multiLevelType w:val="hybridMultilevel"/>
    <w:tmpl w:val="0C1A8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857848"/>
    <w:multiLevelType w:val="hybridMultilevel"/>
    <w:tmpl w:val="7526C584"/>
    <w:lvl w:ilvl="0" w:tplc="8FE842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9F4484"/>
    <w:multiLevelType w:val="multilevel"/>
    <w:tmpl w:val="C3A6417E"/>
    <w:lvl w:ilvl="0">
      <w:start w:val="1"/>
      <w:numFmt w:val="decimal"/>
      <w:lvlText w:val="%1."/>
      <w:lvlJc w:val="left"/>
      <w:pPr>
        <w:ind w:left="720" w:hanging="360"/>
      </w:pPr>
      <w:rPr>
        <w:rFonts w:ascii="Times New Roman" w:eastAsia="Times New Roman" w:hAnsi="Times New Roman" w:cs="Times New Roman"/>
        <w:b w:val="0"/>
        <w:strike w:val="0"/>
      </w:rPr>
    </w:lvl>
    <w:lvl w:ilvl="1">
      <w:start w:val="1"/>
      <w:numFmt w:val="decimal"/>
      <w:isLgl/>
      <w:lvlText w:val="%1.%2."/>
      <w:lvlJc w:val="left"/>
      <w:pPr>
        <w:ind w:left="937" w:hanging="720"/>
      </w:pPr>
      <w:rPr>
        <w:rFonts w:ascii="Times New Roman" w:hAnsi="Times New Roman" w:cs="Times New Roman" w:hint="default"/>
        <w:b w:val="0"/>
        <w:color w:val="auto"/>
        <w:sz w:val="24"/>
        <w:szCs w:val="24"/>
      </w:rPr>
    </w:lvl>
    <w:lvl w:ilvl="2">
      <w:start w:val="1"/>
      <w:numFmt w:val="decimal"/>
      <w:isLgl/>
      <w:lvlText w:val="%1.%2.%3."/>
      <w:lvlJc w:val="left"/>
      <w:pPr>
        <w:ind w:left="-17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07C361E"/>
    <w:multiLevelType w:val="hybridMultilevel"/>
    <w:tmpl w:val="DA801186"/>
    <w:lvl w:ilvl="0" w:tplc="04090015">
      <w:start w:val="1"/>
      <w:numFmt w:val="upperLetter"/>
      <w:lvlText w:val="%1."/>
      <w:lvlJc w:val="left"/>
      <w:pPr>
        <w:ind w:left="720" w:hanging="360"/>
      </w:pPr>
    </w:lvl>
    <w:lvl w:ilvl="1" w:tplc="725CB0FC">
      <w:start w:val="9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ind w:left="2160" w:hanging="360"/>
      </w:pPr>
      <w:rPr>
        <w:rFonts w:hint="default"/>
      </w:rPr>
    </w:lvl>
    <w:lvl w:ilvl="3" w:tplc="90A6AD8E" w:tentative="1">
      <w:start w:val="1"/>
      <w:numFmt w:val="decimal"/>
      <w:lvlText w:val="%4)"/>
      <w:lvlJc w:val="left"/>
      <w:pPr>
        <w:tabs>
          <w:tab w:val="num" w:pos="2880"/>
        </w:tabs>
        <w:ind w:left="2880" w:hanging="360"/>
      </w:pPr>
    </w:lvl>
    <w:lvl w:ilvl="4" w:tplc="9140EFCC" w:tentative="1">
      <w:start w:val="1"/>
      <w:numFmt w:val="decimal"/>
      <w:lvlText w:val="%5)"/>
      <w:lvlJc w:val="left"/>
      <w:pPr>
        <w:tabs>
          <w:tab w:val="num" w:pos="3600"/>
        </w:tabs>
        <w:ind w:left="3600" w:hanging="360"/>
      </w:pPr>
    </w:lvl>
    <w:lvl w:ilvl="5" w:tplc="2DBABF8C" w:tentative="1">
      <w:start w:val="1"/>
      <w:numFmt w:val="decimal"/>
      <w:lvlText w:val="%6)"/>
      <w:lvlJc w:val="left"/>
      <w:pPr>
        <w:tabs>
          <w:tab w:val="num" w:pos="4320"/>
        </w:tabs>
        <w:ind w:left="4320" w:hanging="360"/>
      </w:pPr>
    </w:lvl>
    <w:lvl w:ilvl="6" w:tplc="F22297A4" w:tentative="1">
      <w:start w:val="1"/>
      <w:numFmt w:val="decimal"/>
      <w:lvlText w:val="%7)"/>
      <w:lvlJc w:val="left"/>
      <w:pPr>
        <w:tabs>
          <w:tab w:val="num" w:pos="5040"/>
        </w:tabs>
        <w:ind w:left="5040" w:hanging="360"/>
      </w:pPr>
    </w:lvl>
    <w:lvl w:ilvl="7" w:tplc="00AAB128" w:tentative="1">
      <w:start w:val="1"/>
      <w:numFmt w:val="decimal"/>
      <w:lvlText w:val="%8)"/>
      <w:lvlJc w:val="left"/>
      <w:pPr>
        <w:tabs>
          <w:tab w:val="num" w:pos="5760"/>
        </w:tabs>
        <w:ind w:left="5760" w:hanging="360"/>
      </w:pPr>
    </w:lvl>
    <w:lvl w:ilvl="8" w:tplc="DED2AACA" w:tentative="1">
      <w:start w:val="1"/>
      <w:numFmt w:val="decimal"/>
      <w:lvlText w:val="%9)"/>
      <w:lvlJc w:val="left"/>
      <w:pPr>
        <w:tabs>
          <w:tab w:val="num" w:pos="6480"/>
        </w:tabs>
        <w:ind w:left="6480" w:hanging="360"/>
      </w:pPr>
    </w:lvl>
  </w:abstractNum>
  <w:abstractNum w:abstractNumId="12" w15:restartNumberingAfterBreak="0">
    <w:nsid w:val="611D7046"/>
    <w:multiLevelType w:val="hybridMultilevel"/>
    <w:tmpl w:val="873C69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num>
  <w:num w:numId="5">
    <w:abstractNumId w:val="11"/>
  </w:num>
  <w:num w:numId="6">
    <w:abstractNumId w:val="1"/>
  </w:num>
  <w:num w:numId="7">
    <w:abstractNumId w:val="6"/>
  </w:num>
  <w:num w:numId="8">
    <w:abstractNumId w:val="8"/>
  </w:num>
  <w:num w:numId="9">
    <w:abstractNumId w:val="3"/>
  </w:num>
  <w:num w:numId="10">
    <w:abstractNumId w:val="12"/>
  </w:num>
  <w:num w:numId="11">
    <w:abstractNumId w:val="0"/>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3293"/>
    <w:rsid w:val="000040A9"/>
    <w:rsid w:val="00005DFA"/>
    <w:rsid w:val="00011FC3"/>
    <w:rsid w:val="000126F3"/>
    <w:rsid w:val="00013EF9"/>
    <w:rsid w:val="00015BE4"/>
    <w:rsid w:val="000164A1"/>
    <w:rsid w:val="00016659"/>
    <w:rsid w:val="00016FEA"/>
    <w:rsid w:val="000174C2"/>
    <w:rsid w:val="000205A7"/>
    <w:rsid w:val="0002158B"/>
    <w:rsid w:val="000219BD"/>
    <w:rsid w:val="00023887"/>
    <w:rsid w:val="00030A52"/>
    <w:rsid w:val="00031039"/>
    <w:rsid w:val="000326BA"/>
    <w:rsid w:val="0003431E"/>
    <w:rsid w:val="00034605"/>
    <w:rsid w:val="00035450"/>
    <w:rsid w:val="00035F21"/>
    <w:rsid w:val="0003628A"/>
    <w:rsid w:val="00040488"/>
    <w:rsid w:val="000411EA"/>
    <w:rsid w:val="000460B9"/>
    <w:rsid w:val="00046D03"/>
    <w:rsid w:val="000473CC"/>
    <w:rsid w:val="0005006A"/>
    <w:rsid w:val="00052408"/>
    <w:rsid w:val="00053101"/>
    <w:rsid w:val="00054C02"/>
    <w:rsid w:val="00055E6C"/>
    <w:rsid w:val="00057A45"/>
    <w:rsid w:val="00061756"/>
    <w:rsid w:val="000629DD"/>
    <w:rsid w:val="000637F3"/>
    <w:rsid w:val="000650EE"/>
    <w:rsid w:val="00067040"/>
    <w:rsid w:val="00071DE1"/>
    <w:rsid w:val="0007335D"/>
    <w:rsid w:val="0007450A"/>
    <w:rsid w:val="000745B5"/>
    <w:rsid w:val="0007504C"/>
    <w:rsid w:val="00076EF5"/>
    <w:rsid w:val="000773A0"/>
    <w:rsid w:val="00080626"/>
    <w:rsid w:val="00080965"/>
    <w:rsid w:val="000844D3"/>
    <w:rsid w:val="00084F09"/>
    <w:rsid w:val="0008516D"/>
    <w:rsid w:val="000875FE"/>
    <w:rsid w:val="00090671"/>
    <w:rsid w:val="00090BEC"/>
    <w:rsid w:val="00091842"/>
    <w:rsid w:val="0009238F"/>
    <w:rsid w:val="00093CE0"/>
    <w:rsid w:val="000947C0"/>
    <w:rsid w:val="00094944"/>
    <w:rsid w:val="0009620B"/>
    <w:rsid w:val="0009645B"/>
    <w:rsid w:val="00097499"/>
    <w:rsid w:val="00097DB4"/>
    <w:rsid w:val="000A00D8"/>
    <w:rsid w:val="000A03CC"/>
    <w:rsid w:val="000A1F47"/>
    <w:rsid w:val="000A2E3E"/>
    <w:rsid w:val="000A3A79"/>
    <w:rsid w:val="000A3D00"/>
    <w:rsid w:val="000A4631"/>
    <w:rsid w:val="000A4B58"/>
    <w:rsid w:val="000A5BB7"/>
    <w:rsid w:val="000B664E"/>
    <w:rsid w:val="000B772F"/>
    <w:rsid w:val="000C0381"/>
    <w:rsid w:val="000C0D48"/>
    <w:rsid w:val="000C2D4B"/>
    <w:rsid w:val="000C35CA"/>
    <w:rsid w:val="000C3BB3"/>
    <w:rsid w:val="000C444F"/>
    <w:rsid w:val="000C740C"/>
    <w:rsid w:val="000D32BA"/>
    <w:rsid w:val="000D4344"/>
    <w:rsid w:val="000D5011"/>
    <w:rsid w:val="000D5B46"/>
    <w:rsid w:val="000E19B1"/>
    <w:rsid w:val="000E32B9"/>
    <w:rsid w:val="000E3791"/>
    <w:rsid w:val="000E52AF"/>
    <w:rsid w:val="000E581B"/>
    <w:rsid w:val="000E59B9"/>
    <w:rsid w:val="000E60C5"/>
    <w:rsid w:val="000E705D"/>
    <w:rsid w:val="000F1E99"/>
    <w:rsid w:val="000F46F8"/>
    <w:rsid w:val="000F61E3"/>
    <w:rsid w:val="001007C0"/>
    <w:rsid w:val="0010189D"/>
    <w:rsid w:val="0010194C"/>
    <w:rsid w:val="00101A77"/>
    <w:rsid w:val="00102296"/>
    <w:rsid w:val="00103B43"/>
    <w:rsid w:val="00104BA2"/>
    <w:rsid w:val="00106273"/>
    <w:rsid w:val="00107CE4"/>
    <w:rsid w:val="001116A8"/>
    <w:rsid w:val="00116660"/>
    <w:rsid w:val="00116AC3"/>
    <w:rsid w:val="001210A7"/>
    <w:rsid w:val="00123489"/>
    <w:rsid w:val="001256C9"/>
    <w:rsid w:val="00126108"/>
    <w:rsid w:val="00133A44"/>
    <w:rsid w:val="00135B78"/>
    <w:rsid w:val="00142C8F"/>
    <w:rsid w:val="00143DB4"/>
    <w:rsid w:val="00144FB8"/>
    <w:rsid w:val="001454CE"/>
    <w:rsid w:val="00146622"/>
    <w:rsid w:val="00147B95"/>
    <w:rsid w:val="00147D34"/>
    <w:rsid w:val="00151D4E"/>
    <w:rsid w:val="001538A9"/>
    <w:rsid w:val="001554D2"/>
    <w:rsid w:val="001564E4"/>
    <w:rsid w:val="00160779"/>
    <w:rsid w:val="00160C6C"/>
    <w:rsid w:val="00160F31"/>
    <w:rsid w:val="001629C3"/>
    <w:rsid w:val="00163708"/>
    <w:rsid w:val="001676C1"/>
    <w:rsid w:val="00167B6E"/>
    <w:rsid w:val="00172FC8"/>
    <w:rsid w:val="00173197"/>
    <w:rsid w:val="00175FE2"/>
    <w:rsid w:val="00177452"/>
    <w:rsid w:val="0018044A"/>
    <w:rsid w:val="001833F9"/>
    <w:rsid w:val="00186DDC"/>
    <w:rsid w:val="001903DC"/>
    <w:rsid w:val="0019050A"/>
    <w:rsid w:val="0019216E"/>
    <w:rsid w:val="001966C0"/>
    <w:rsid w:val="00197710"/>
    <w:rsid w:val="001A3B2F"/>
    <w:rsid w:val="001A495C"/>
    <w:rsid w:val="001A4C78"/>
    <w:rsid w:val="001A7EAF"/>
    <w:rsid w:val="001B07A6"/>
    <w:rsid w:val="001B25AF"/>
    <w:rsid w:val="001B264B"/>
    <w:rsid w:val="001B2754"/>
    <w:rsid w:val="001C2768"/>
    <w:rsid w:val="001C2FA3"/>
    <w:rsid w:val="001C3481"/>
    <w:rsid w:val="001C391D"/>
    <w:rsid w:val="001C3946"/>
    <w:rsid w:val="001C489E"/>
    <w:rsid w:val="001C4E57"/>
    <w:rsid w:val="001D11D4"/>
    <w:rsid w:val="001D3BEE"/>
    <w:rsid w:val="001D3ECA"/>
    <w:rsid w:val="001D47A9"/>
    <w:rsid w:val="001D4EDF"/>
    <w:rsid w:val="001D6E35"/>
    <w:rsid w:val="001E0386"/>
    <w:rsid w:val="001E21C4"/>
    <w:rsid w:val="001E5076"/>
    <w:rsid w:val="001F201E"/>
    <w:rsid w:val="001F427E"/>
    <w:rsid w:val="001F4D68"/>
    <w:rsid w:val="001F77D1"/>
    <w:rsid w:val="001F7DD0"/>
    <w:rsid w:val="001F7E4A"/>
    <w:rsid w:val="00200F66"/>
    <w:rsid w:val="002018F0"/>
    <w:rsid w:val="00201CB9"/>
    <w:rsid w:val="002061A6"/>
    <w:rsid w:val="002120B6"/>
    <w:rsid w:val="00212CB3"/>
    <w:rsid w:val="002133BE"/>
    <w:rsid w:val="00214299"/>
    <w:rsid w:val="00214C14"/>
    <w:rsid w:val="00216346"/>
    <w:rsid w:val="00221ADE"/>
    <w:rsid w:val="002222D9"/>
    <w:rsid w:val="00222714"/>
    <w:rsid w:val="002267D6"/>
    <w:rsid w:val="00227DB7"/>
    <w:rsid w:val="00231118"/>
    <w:rsid w:val="00231C2B"/>
    <w:rsid w:val="00233CF7"/>
    <w:rsid w:val="00234CA7"/>
    <w:rsid w:val="002358F8"/>
    <w:rsid w:val="0024327C"/>
    <w:rsid w:val="002434D6"/>
    <w:rsid w:val="002444D7"/>
    <w:rsid w:val="002465D6"/>
    <w:rsid w:val="00246C24"/>
    <w:rsid w:val="00247039"/>
    <w:rsid w:val="0024771D"/>
    <w:rsid w:val="00252757"/>
    <w:rsid w:val="00253B7F"/>
    <w:rsid w:val="00254075"/>
    <w:rsid w:val="00254EB8"/>
    <w:rsid w:val="002559FD"/>
    <w:rsid w:val="00257617"/>
    <w:rsid w:val="0026330D"/>
    <w:rsid w:val="00264888"/>
    <w:rsid w:val="002655BA"/>
    <w:rsid w:val="0026684F"/>
    <w:rsid w:val="0026695C"/>
    <w:rsid w:val="00267539"/>
    <w:rsid w:val="00270EEA"/>
    <w:rsid w:val="002764B8"/>
    <w:rsid w:val="00281DD1"/>
    <w:rsid w:val="0028258A"/>
    <w:rsid w:val="00282D42"/>
    <w:rsid w:val="00284A74"/>
    <w:rsid w:val="0028541D"/>
    <w:rsid w:val="00286C33"/>
    <w:rsid w:val="00287335"/>
    <w:rsid w:val="00287B3F"/>
    <w:rsid w:val="00290CD6"/>
    <w:rsid w:val="00292174"/>
    <w:rsid w:val="0029303E"/>
    <w:rsid w:val="002935F0"/>
    <w:rsid w:val="00294F6A"/>
    <w:rsid w:val="00295590"/>
    <w:rsid w:val="00296821"/>
    <w:rsid w:val="00296B9D"/>
    <w:rsid w:val="0029714A"/>
    <w:rsid w:val="00297635"/>
    <w:rsid w:val="00297F53"/>
    <w:rsid w:val="002A06CC"/>
    <w:rsid w:val="002A0BDF"/>
    <w:rsid w:val="002A179C"/>
    <w:rsid w:val="002A249E"/>
    <w:rsid w:val="002A2A18"/>
    <w:rsid w:val="002A3B30"/>
    <w:rsid w:val="002A3CA8"/>
    <w:rsid w:val="002A57D8"/>
    <w:rsid w:val="002A7D63"/>
    <w:rsid w:val="002B0E2F"/>
    <w:rsid w:val="002B14B2"/>
    <w:rsid w:val="002B1874"/>
    <w:rsid w:val="002B5960"/>
    <w:rsid w:val="002B65FF"/>
    <w:rsid w:val="002B6BAD"/>
    <w:rsid w:val="002B7380"/>
    <w:rsid w:val="002C0DBF"/>
    <w:rsid w:val="002C0FE8"/>
    <w:rsid w:val="002C2C45"/>
    <w:rsid w:val="002C2F91"/>
    <w:rsid w:val="002C3D37"/>
    <w:rsid w:val="002C458D"/>
    <w:rsid w:val="002C5F7F"/>
    <w:rsid w:val="002C6C0C"/>
    <w:rsid w:val="002C79A3"/>
    <w:rsid w:val="002D0A38"/>
    <w:rsid w:val="002D2047"/>
    <w:rsid w:val="002D28B7"/>
    <w:rsid w:val="002D30A2"/>
    <w:rsid w:val="002D5FF1"/>
    <w:rsid w:val="002D758C"/>
    <w:rsid w:val="002E0D68"/>
    <w:rsid w:val="002E0EEE"/>
    <w:rsid w:val="002E2EF1"/>
    <w:rsid w:val="002E36DB"/>
    <w:rsid w:val="002E7C61"/>
    <w:rsid w:val="002F2E3F"/>
    <w:rsid w:val="002F726D"/>
    <w:rsid w:val="00300F58"/>
    <w:rsid w:val="00301E40"/>
    <w:rsid w:val="00302DF2"/>
    <w:rsid w:val="00305AEE"/>
    <w:rsid w:val="00310936"/>
    <w:rsid w:val="0031173B"/>
    <w:rsid w:val="00313BE8"/>
    <w:rsid w:val="003145F8"/>
    <w:rsid w:val="003160A2"/>
    <w:rsid w:val="0031744E"/>
    <w:rsid w:val="00321929"/>
    <w:rsid w:val="00321969"/>
    <w:rsid w:val="003222AA"/>
    <w:rsid w:val="003229E3"/>
    <w:rsid w:val="00322F02"/>
    <w:rsid w:val="00323752"/>
    <w:rsid w:val="00323BBA"/>
    <w:rsid w:val="00325B3E"/>
    <w:rsid w:val="0033121E"/>
    <w:rsid w:val="0033346D"/>
    <w:rsid w:val="00334759"/>
    <w:rsid w:val="003348E1"/>
    <w:rsid w:val="003355BE"/>
    <w:rsid w:val="00335BF2"/>
    <w:rsid w:val="003366B8"/>
    <w:rsid w:val="003368B0"/>
    <w:rsid w:val="00337EFC"/>
    <w:rsid w:val="00341998"/>
    <w:rsid w:val="00343007"/>
    <w:rsid w:val="00345053"/>
    <w:rsid w:val="003472FC"/>
    <w:rsid w:val="00347BB0"/>
    <w:rsid w:val="003521CD"/>
    <w:rsid w:val="003525A0"/>
    <w:rsid w:val="00352CB6"/>
    <w:rsid w:val="00353E34"/>
    <w:rsid w:val="00355359"/>
    <w:rsid w:val="0035678C"/>
    <w:rsid w:val="0035690D"/>
    <w:rsid w:val="003606AD"/>
    <w:rsid w:val="0036246B"/>
    <w:rsid w:val="00362B79"/>
    <w:rsid w:val="003630A9"/>
    <w:rsid w:val="00371EAD"/>
    <w:rsid w:val="003723BB"/>
    <w:rsid w:val="003726E1"/>
    <w:rsid w:val="0037305E"/>
    <w:rsid w:val="00373A0D"/>
    <w:rsid w:val="003747BF"/>
    <w:rsid w:val="00376D80"/>
    <w:rsid w:val="0038024C"/>
    <w:rsid w:val="00382DF4"/>
    <w:rsid w:val="00383A20"/>
    <w:rsid w:val="003866B2"/>
    <w:rsid w:val="00386D54"/>
    <w:rsid w:val="0038714B"/>
    <w:rsid w:val="00391A41"/>
    <w:rsid w:val="0039373A"/>
    <w:rsid w:val="00396683"/>
    <w:rsid w:val="003A1B1A"/>
    <w:rsid w:val="003A3AD4"/>
    <w:rsid w:val="003A5266"/>
    <w:rsid w:val="003A55D1"/>
    <w:rsid w:val="003A77BD"/>
    <w:rsid w:val="003B0A8C"/>
    <w:rsid w:val="003B11DD"/>
    <w:rsid w:val="003B2F6C"/>
    <w:rsid w:val="003B3004"/>
    <w:rsid w:val="003B5F9A"/>
    <w:rsid w:val="003C0D29"/>
    <w:rsid w:val="003C1451"/>
    <w:rsid w:val="003C25D4"/>
    <w:rsid w:val="003C2CC1"/>
    <w:rsid w:val="003C4140"/>
    <w:rsid w:val="003C446F"/>
    <w:rsid w:val="003C763C"/>
    <w:rsid w:val="003C7C85"/>
    <w:rsid w:val="003D076C"/>
    <w:rsid w:val="003D3583"/>
    <w:rsid w:val="003D4B4C"/>
    <w:rsid w:val="003E0241"/>
    <w:rsid w:val="003E15A7"/>
    <w:rsid w:val="003E28BA"/>
    <w:rsid w:val="003E2D58"/>
    <w:rsid w:val="003E589A"/>
    <w:rsid w:val="003E6042"/>
    <w:rsid w:val="003E657B"/>
    <w:rsid w:val="003E79DE"/>
    <w:rsid w:val="003F2B8E"/>
    <w:rsid w:val="003F3652"/>
    <w:rsid w:val="003F5676"/>
    <w:rsid w:val="003F67BF"/>
    <w:rsid w:val="00410C9C"/>
    <w:rsid w:val="0041100B"/>
    <w:rsid w:val="00411ECA"/>
    <w:rsid w:val="00415F6E"/>
    <w:rsid w:val="00417564"/>
    <w:rsid w:val="004221DF"/>
    <w:rsid w:val="004238D5"/>
    <w:rsid w:val="00423CA2"/>
    <w:rsid w:val="00426858"/>
    <w:rsid w:val="00426C42"/>
    <w:rsid w:val="00426CAA"/>
    <w:rsid w:val="0042733E"/>
    <w:rsid w:val="004276F2"/>
    <w:rsid w:val="00430D0C"/>
    <w:rsid w:val="00436450"/>
    <w:rsid w:val="00436CD1"/>
    <w:rsid w:val="00440079"/>
    <w:rsid w:val="004429C5"/>
    <w:rsid w:val="0044472C"/>
    <w:rsid w:val="00445CA8"/>
    <w:rsid w:val="00450064"/>
    <w:rsid w:val="00450CFD"/>
    <w:rsid w:val="004510E0"/>
    <w:rsid w:val="00451F5F"/>
    <w:rsid w:val="0045427B"/>
    <w:rsid w:val="004574F0"/>
    <w:rsid w:val="00457A1C"/>
    <w:rsid w:val="00462DBD"/>
    <w:rsid w:val="00465508"/>
    <w:rsid w:val="00466AC2"/>
    <w:rsid w:val="00467465"/>
    <w:rsid w:val="00467CDC"/>
    <w:rsid w:val="00467F17"/>
    <w:rsid w:val="00470AF8"/>
    <w:rsid w:val="00472F1C"/>
    <w:rsid w:val="004737EB"/>
    <w:rsid w:val="00474D3C"/>
    <w:rsid w:val="00476D4A"/>
    <w:rsid w:val="004771C0"/>
    <w:rsid w:val="00482939"/>
    <w:rsid w:val="00482B5D"/>
    <w:rsid w:val="00484A60"/>
    <w:rsid w:val="004870F1"/>
    <w:rsid w:val="00491E6B"/>
    <w:rsid w:val="00491F95"/>
    <w:rsid w:val="00492FF8"/>
    <w:rsid w:val="00493F81"/>
    <w:rsid w:val="004967CD"/>
    <w:rsid w:val="004A00FE"/>
    <w:rsid w:val="004A01EE"/>
    <w:rsid w:val="004A024F"/>
    <w:rsid w:val="004A06BE"/>
    <w:rsid w:val="004A0B1A"/>
    <w:rsid w:val="004A0EAF"/>
    <w:rsid w:val="004A145F"/>
    <w:rsid w:val="004A290E"/>
    <w:rsid w:val="004A4C00"/>
    <w:rsid w:val="004A5A62"/>
    <w:rsid w:val="004B0E40"/>
    <w:rsid w:val="004B10D4"/>
    <w:rsid w:val="004B130C"/>
    <w:rsid w:val="004B16AB"/>
    <w:rsid w:val="004B3BAE"/>
    <w:rsid w:val="004B4CF4"/>
    <w:rsid w:val="004B515D"/>
    <w:rsid w:val="004B7ED6"/>
    <w:rsid w:val="004C061E"/>
    <w:rsid w:val="004C18E9"/>
    <w:rsid w:val="004C4BCE"/>
    <w:rsid w:val="004C5D29"/>
    <w:rsid w:val="004C635C"/>
    <w:rsid w:val="004C77F0"/>
    <w:rsid w:val="004C794F"/>
    <w:rsid w:val="004D0540"/>
    <w:rsid w:val="004D35DE"/>
    <w:rsid w:val="004D75B1"/>
    <w:rsid w:val="004E07A7"/>
    <w:rsid w:val="004E1373"/>
    <w:rsid w:val="004E550F"/>
    <w:rsid w:val="004E5809"/>
    <w:rsid w:val="004E78D9"/>
    <w:rsid w:val="004F0B9B"/>
    <w:rsid w:val="004F3141"/>
    <w:rsid w:val="004F3DBD"/>
    <w:rsid w:val="004F53AF"/>
    <w:rsid w:val="004F5A60"/>
    <w:rsid w:val="004F60F5"/>
    <w:rsid w:val="00502401"/>
    <w:rsid w:val="005026CF"/>
    <w:rsid w:val="00503DBE"/>
    <w:rsid w:val="00503FA0"/>
    <w:rsid w:val="00510399"/>
    <w:rsid w:val="0051049B"/>
    <w:rsid w:val="00511D8F"/>
    <w:rsid w:val="005128AE"/>
    <w:rsid w:val="00514D1B"/>
    <w:rsid w:val="00514DCE"/>
    <w:rsid w:val="00515BB7"/>
    <w:rsid w:val="00521B2E"/>
    <w:rsid w:val="00521B66"/>
    <w:rsid w:val="005236E8"/>
    <w:rsid w:val="00523EAC"/>
    <w:rsid w:val="005253B0"/>
    <w:rsid w:val="005256A8"/>
    <w:rsid w:val="005256F3"/>
    <w:rsid w:val="00530BE6"/>
    <w:rsid w:val="00533365"/>
    <w:rsid w:val="005333D0"/>
    <w:rsid w:val="0053406C"/>
    <w:rsid w:val="00534946"/>
    <w:rsid w:val="005349D2"/>
    <w:rsid w:val="00534F07"/>
    <w:rsid w:val="00537635"/>
    <w:rsid w:val="005422C6"/>
    <w:rsid w:val="00544402"/>
    <w:rsid w:val="005454DA"/>
    <w:rsid w:val="00547057"/>
    <w:rsid w:val="005508C4"/>
    <w:rsid w:val="00550C4E"/>
    <w:rsid w:val="00561C3C"/>
    <w:rsid w:val="00561DBD"/>
    <w:rsid w:val="0056208F"/>
    <w:rsid w:val="005621A7"/>
    <w:rsid w:val="00572EFA"/>
    <w:rsid w:val="00574E84"/>
    <w:rsid w:val="00575F25"/>
    <w:rsid w:val="00576736"/>
    <w:rsid w:val="00576A85"/>
    <w:rsid w:val="00576E3C"/>
    <w:rsid w:val="0058195C"/>
    <w:rsid w:val="00582FA1"/>
    <w:rsid w:val="005846E1"/>
    <w:rsid w:val="00584858"/>
    <w:rsid w:val="005911C4"/>
    <w:rsid w:val="005918CC"/>
    <w:rsid w:val="00592C6A"/>
    <w:rsid w:val="00593F61"/>
    <w:rsid w:val="00596A99"/>
    <w:rsid w:val="005A355D"/>
    <w:rsid w:val="005A6EE9"/>
    <w:rsid w:val="005A726F"/>
    <w:rsid w:val="005B098C"/>
    <w:rsid w:val="005B16C5"/>
    <w:rsid w:val="005B255F"/>
    <w:rsid w:val="005B2D87"/>
    <w:rsid w:val="005B31B9"/>
    <w:rsid w:val="005B443E"/>
    <w:rsid w:val="005B48CC"/>
    <w:rsid w:val="005B58FB"/>
    <w:rsid w:val="005B64B7"/>
    <w:rsid w:val="005B6D49"/>
    <w:rsid w:val="005B70A6"/>
    <w:rsid w:val="005C1B7D"/>
    <w:rsid w:val="005C1F28"/>
    <w:rsid w:val="005C3484"/>
    <w:rsid w:val="005C3D85"/>
    <w:rsid w:val="005C444B"/>
    <w:rsid w:val="005C4840"/>
    <w:rsid w:val="005C5780"/>
    <w:rsid w:val="005D2969"/>
    <w:rsid w:val="005D2B28"/>
    <w:rsid w:val="005D349B"/>
    <w:rsid w:val="005D35EA"/>
    <w:rsid w:val="005E1655"/>
    <w:rsid w:val="005E30F1"/>
    <w:rsid w:val="005E3276"/>
    <w:rsid w:val="005E3EA3"/>
    <w:rsid w:val="005E49E6"/>
    <w:rsid w:val="005E5199"/>
    <w:rsid w:val="005F1AA1"/>
    <w:rsid w:val="005F1FE1"/>
    <w:rsid w:val="005F2B9E"/>
    <w:rsid w:val="005F459D"/>
    <w:rsid w:val="005F50D8"/>
    <w:rsid w:val="005F5E9E"/>
    <w:rsid w:val="00602090"/>
    <w:rsid w:val="00604FC1"/>
    <w:rsid w:val="006103B7"/>
    <w:rsid w:val="00610A65"/>
    <w:rsid w:val="00611614"/>
    <w:rsid w:val="00613D82"/>
    <w:rsid w:val="00617064"/>
    <w:rsid w:val="00617251"/>
    <w:rsid w:val="00617BA4"/>
    <w:rsid w:val="00623724"/>
    <w:rsid w:val="006248F0"/>
    <w:rsid w:val="00624B30"/>
    <w:rsid w:val="00626B4C"/>
    <w:rsid w:val="00626F77"/>
    <w:rsid w:val="00627F0F"/>
    <w:rsid w:val="0063175C"/>
    <w:rsid w:val="00631FCB"/>
    <w:rsid w:val="00632550"/>
    <w:rsid w:val="006330A8"/>
    <w:rsid w:val="00634799"/>
    <w:rsid w:val="00634B8D"/>
    <w:rsid w:val="00636163"/>
    <w:rsid w:val="0063775D"/>
    <w:rsid w:val="00640C17"/>
    <w:rsid w:val="00641087"/>
    <w:rsid w:val="00641CD0"/>
    <w:rsid w:val="006430C6"/>
    <w:rsid w:val="006454F5"/>
    <w:rsid w:val="00645D0B"/>
    <w:rsid w:val="0064665D"/>
    <w:rsid w:val="00653966"/>
    <w:rsid w:val="006549F3"/>
    <w:rsid w:val="00656F13"/>
    <w:rsid w:val="00657209"/>
    <w:rsid w:val="00663CEA"/>
    <w:rsid w:val="00664063"/>
    <w:rsid w:val="00665941"/>
    <w:rsid w:val="00666F6B"/>
    <w:rsid w:val="00671614"/>
    <w:rsid w:val="00671D41"/>
    <w:rsid w:val="0067509B"/>
    <w:rsid w:val="00677278"/>
    <w:rsid w:val="00677AF3"/>
    <w:rsid w:val="00677CE4"/>
    <w:rsid w:val="00681597"/>
    <w:rsid w:val="0068284C"/>
    <w:rsid w:val="006836F3"/>
    <w:rsid w:val="00685D78"/>
    <w:rsid w:val="00686085"/>
    <w:rsid w:val="00687723"/>
    <w:rsid w:val="00687DB4"/>
    <w:rsid w:val="00690A88"/>
    <w:rsid w:val="00690AA7"/>
    <w:rsid w:val="00690DFD"/>
    <w:rsid w:val="00690F81"/>
    <w:rsid w:val="00691202"/>
    <w:rsid w:val="00692DB5"/>
    <w:rsid w:val="0069791F"/>
    <w:rsid w:val="006A00C7"/>
    <w:rsid w:val="006A052E"/>
    <w:rsid w:val="006A20B8"/>
    <w:rsid w:val="006A36CC"/>
    <w:rsid w:val="006A6118"/>
    <w:rsid w:val="006A647E"/>
    <w:rsid w:val="006A6582"/>
    <w:rsid w:val="006A6E52"/>
    <w:rsid w:val="006A7ABC"/>
    <w:rsid w:val="006A7B71"/>
    <w:rsid w:val="006B2D21"/>
    <w:rsid w:val="006B7621"/>
    <w:rsid w:val="006C0F84"/>
    <w:rsid w:val="006C268C"/>
    <w:rsid w:val="006C2903"/>
    <w:rsid w:val="006C4120"/>
    <w:rsid w:val="006C418C"/>
    <w:rsid w:val="006C4515"/>
    <w:rsid w:val="006C45DD"/>
    <w:rsid w:val="006C5847"/>
    <w:rsid w:val="006C6038"/>
    <w:rsid w:val="006C73B3"/>
    <w:rsid w:val="006C78CD"/>
    <w:rsid w:val="006D1582"/>
    <w:rsid w:val="006D19A7"/>
    <w:rsid w:val="006D215B"/>
    <w:rsid w:val="006D298D"/>
    <w:rsid w:val="006D53CE"/>
    <w:rsid w:val="006D5575"/>
    <w:rsid w:val="006E1301"/>
    <w:rsid w:val="006E19B8"/>
    <w:rsid w:val="006F27C9"/>
    <w:rsid w:val="006F450C"/>
    <w:rsid w:val="006F5586"/>
    <w:rsid w:val="006F5F14"/>
    <w:rsid w:val="006F60A1"/>
    <w:rsid w:val="006F7D3F"/>
    <w:rsid w:val="006F7D70"/>
    <w:rsid w:val="006F7E14"/>
    <w:rsid w:val="00700DD7"/>
    <w:rsid w:val="00704912"/>
    <w:rsid w:val="007051E3"/>
    <w:rsid w:val="00705FFB"/>
    <w:rsid w:val="007116C5"/>
    <w:rsid w:val="0071302D"/>
    <w:rsid w:val="00713776"/>
    <w:rsid w:val="007147A6"/>
    <w:rsid w:val="00715333"/>
    <w:rsid w:val="00715E63"/>
    <w:rsid w:val="0071698E"/>
    <w:rsid w:val="00716A01"/>
    <w:rsid w:val="00717104"/>
    <w:rsid w:val="00720368"/>
    <w:rsid w:val="00720F8B"/>
    <w:rsid w:val="00721508"/>
    <w:rsid w:val="0072165C"/>
    <w:rsid w:val="00721929"/>
    <w:rsid w:val="00722553"/>
    <w:rsid w:val="00722685"/>
    <w:rsid w:val="00723653"/>
    <w:rsid w:val="0072604C"/>
    <w:rsid w:val="00727203"/>
    <w:rsid w:val="00732323"/>
    <w:rsid w:val="00732C06"/>
    <w:rsid w:val="00732E99"/>
    <w:rsid w:val="007358F4"/>
    <w:rsid w:val="00736543"/>
    <w:rsid w:val="00737586"/>
    <w:rsid w:val="007376A3"/>
    <w:rsid w:val="00740AE0"/>
    <w:rsid w:val="00740DAA"/>
    <w:rsid w:val="00741FC8"/>
    <w:rsid w:val="00743FCF"/>
    <w:rsid w:val="00744AC4"/>
    <w:rsid w:val="00746D3D"/>
    <w:rsid w:val="00750429"/>
    <w:rsid w:val="007528B3"/>
    <w:rsid w:val="007545EF"/>
    <w:rsid w:val="007546E7"/>
    <w:rsid w:val="00755FFA"/>
    <w:rsid w:val="0075695E"/>
    <w:rsid w:val="00757037"/>
    <w:rsid w:val="007576E7"/>
    <w:rsid w:val="00757D2B"/>
    <w:rsid w:val="007601AB"/>
    <w:rsid w:val="00762636"/>
    <w:rsid w:val="00762FCE"/>
    <w:rsid w:val="007658D5"/>
    <w:rsid w:val="00765A20"/>
    <w:rsid w:val="007665B5"/>
    <w:rsid w:val="00767D4C"/>
    <w:rsid w:val="00771B77"/>
    <w:rsid w:val="007734CA"/>
    <w:rsid w:val="00774C6E"/>
    <w:rsid w:val="00775D3D"/>
    <w:rsid w:val="0077757C"/>
    <w:rsid w:val="00780DA4"/>
    <w:rsid w:val="00782018"/>
    <w:rsid w:val="00782A57"/>
    <w:rsid w:val="00782F77"/>
    <w:rsid w:val="00783428"/>
    <w:rsid w:val="00784919"/>
    <w:rsid w:val="0078779A"/>
    <w:rsid w:val="007917BC"/>
    <w:rsid w:val="00791A6C"/>
    <w:rsid w:val="00792483"/>
    <w:rsid w:val="007929F2"/>
    <w:rsid w:val="00793179"/>
    <w:rsid w:val="00793532"/>
    <w:rsid w:val="0079601D"/>
    <w:rsid w:val="00797E17"/>
    <w:rsid w:val="007A0F64"/>
    <w:rsid w:val="007A1164"/>
    <w:rsid w:val="007A1448"/>
    <w:rsid w:val="007A1990"/>
    <w:rsid w:val="007A2DEC"/>
    <w:rsid w:val="007A2E45"/>
    <w:rsid w:val="007A35D5"/>
    <w:rsid w:val="007A5BDA"/>
    <w:rsid w:val="007A7989"/>
    <w:rsid w:val="007A7C02"/>
    <w:rsid w:val="007B01C3"/>
    <w:rsid w:val="007B2CCC"/>
    <w:rsid w:val="007B37AE"/>
    <w:rsid w:val="007B6C75"/>
    <w:rsid w:val="007B766C"/>
    <w:rsid w:val="007B7E40"/>
    <w:rsid w:val="007B7FE7"/>
    <w:rsid w:val="007C232A"/>
    <w:rsid w:val="007C297E"/>
    <w:rsid w:val="007C62D8"/>
    <w:rsid w:val="007C763C"/>
    <w:rsid w:val="007D27E5"/>
    <w:rsid w:val="007D2A83"/>
    <w:rsid w:val="007D5AA1"/>
    <w:rsid w:val="007D6A9E"/>
    <w:rsid w:val="007E0B03"/>
    <w:rsid w:val="007E24B1"/>
    <w:rsid w:val="007E49FA"/>
    <w:rsid w:val="007E604C"/>
    <w:rsid w:val="007E69C2"/>
    <w:rsid w:val="007F01EA"/>
    <w:rsid w:val="007F2D02"/>
    <w:rsid w:val="007F2ED7"/>
    <w:rsid w:val="007F3F31"/>
    <w:rsid w:val="007F7480"/>
    <w:rsid w:val="007F7BC7"/>
    <w:rsid w:val="00802288"/>
    <w:rsid w:val="008065AD"/>
    <w:rsid w:val="00806BCE"/>
    <w:rsid w:val="00811F9F"/>
    <w:rsid w:val="00812231"/>
    <w:rsid w:val="00813E4D"/>
    <w:rsid w:val="00821142"/>
    <w:rsid w:val="00821B25"/>
    <w:rsid w:val="008229F3"/>
    <w:rsid w:val="00824744"/>
    <w:rsid w:val="0082500A"/>
    <w:rsid w:val="008250A3"/>
    <w:rsid w:val="00831FDA"/>
    <w:rsid w:val="008349DE"/>
    <w:rsid w:val="00836C42"/>
    <w:rsid w:val="00836F56"/>
    <w:rsid w:val="00841C52"/>
    <w:rsid w:val="00843BCD"/>
    <w:rsid w:val="00843EAE"/>
    <w:rsid w:val="00844783"/>
    <w:rsid w:val="00853F9F"/>
    <w:rsid w:val="00854D93"/>
    <w:rsid w:val="00855934"/>
    <w:rsid w:val="00856CB1"/>
    <w:rsid w:val="00857092"/>
    <w:rsid w:val="0086158F"/>
    <w:rsid w:val="00866FED"/>
    <w:rsid w:val="008670DF"/>
    <w:rsid w:val="00867A1C"/>
    <w:rsid w:val="00871A91"/>
    <w:rsid w:val="00873F27"/>
    <w:rsid w:val="008743F6"/>
    <w:rsid w:val="0087467A"/>
    <w:rsid w:val="00875606"/>
    <w:rsid w:val="00876B0C"/>
    <w:rsid w:val="00877A11"/>
    <w:rsid w:val="00883457"/>
    <w:rsid w:val="008834D1"/>
    <w:rsid w:val="00884B11"/>
    <w:rsid w:val="00886C16"/>
    <w:rsid w:val="00886DB4"/>
    <w:rsid w:val="00887BE0"/>
    <w:rsid w:val="00891350"/>
    <w:rsid w:val="0089342E"/>
    <w:rsid w:val="00897CCA"/>
    <w:rsid w:val="008A0F49"/>
    <w:rsid w:val="008A3365"/>
    <w:rsid w:val="008A3455"/>
    <w:rsid w:val="008A3BD2"/>
    <w:rsid w:val="008A556A"/>
    <w:rsid w:val="008A619A"/>
    <w:rsid w:val="008B0FBE"/>
    <w:rsid w:val="008B149A"/>
    <w:rsid w:val="008B1E9C"/>
    <w:rsid w:val="008B2E3E"/>
    <w:rsid w:val="008B30E7"/>
    <w:rsid w:val="008B3106"/>
    <w:rsid w:val="008B4D46"/>
    <w:rsid w:val="008B5F8C"/>
    <w:rsid w:val="008B63B8"/>
    <w:rsid w:val="008C3607"/>
    <w:rsid w:val="008C4309"/>
    <w:rsid w:val="008C4650"/>
    <w:rsid w:val="008C782C"/>
    <w:rsid w:val="008D0724"/>
    <w:rsid w:val="008D1F94"/>
    <w:rsid w:val="008D35FC"/>
    <w:rsid w:val="008D53FE"/>
    <w:rsid w:val="008D563C"/>
    <w:rsid w:val="008D62AE"/>
    <w:rsid w:val="008D68EE"/>
    <w:rsid w:val="008D730D"/>
    <w:rsid w:val="008D7852"/>
    <w:rsid w:val="008D7962"/>
    <w:rsid w:val="008E39B7"/>
    <w:rsid w:val="008E5441"/>
    <w:rsid w:val="008E5FAC"/>
    <w:rsid w:val="008F0484"/>
    <w:rsid w:val="008F068B"/>
    <w:rsid w:val="008F193A"/>
    <w:rsid w:val="008F25E9"/>
    <w:rsid w:val="008F3517"/>
    <w:rsid w:val="008F44AD"/>
    <w:rsid w:val="008F5E91"/>
    <w:rsid w:val="008F77FF"/>
    <w:rsid w:val="009032FA"/>
    <w:rsid w:val="009058F1"/>
    <w:rsid w:val="009077DF"/>
    <w:rsid w:val="00910608"/>
    <w:rsid w:val="00910645"/>
    <w:rsid w:val="009111B0"/>
    <w:rsid w:val="00911685"/>
    <w:rsid w:val="00911DAB"/>
    <w:rsid w:val="00912041"/>
    <w:rsid w:val="0091265B"/>
    <w:rsid w:val="0091273E"/>
    <w:rsid w:val="0091295A"/>
    <w:rsid w:val="00916D86"/>
    <w:rsid w:val="009170B8"/>
    <w:rsid w:val="009178A9"/>
    <w:rsid w:val="00920D0B"/>
    <w:rsid w:val="00921766"/>
    <w:rsid w:val="00921D4F"/>
    <w:rsid w:val="009244A7"/>
    <w:rsid w:val="009250BB"/>
    <w:rsid w:val="009314F6"/>
    <w:rsid w:val="00931687"/>
    <w:rsid w:val="00933048"/>
    <w:rsid w:val="0093455F"/>
    <w:rsid w:val="00942CBC"/>
    <w:rsid w:val="00943216"/>
    <w:rsid w:val="00944018"/>
    <w:rsid w:val="00947511"/>
    <w:rsid w:val="00947995"/>
    <w:rsid w:val="0095130B"/>
    <w:rsid w:val="00951CB7"/>
    <w:rsid w:val="00952E1C"/>
    <w:rsid w:val="00954D9A"/>
    <w:rsid w:val="009551A8"/>
    <w:rsid w:val="009563DD"/>
    <w:rsid w:val="00956B3B"/>
    <w:rsid w:val="009605CB"/>
    <w:rsid w:val="00960BDA"/>
    <w:rsid w:val="00962C0C"/>
    <w:rsid w:val="00962F39"/>
    <w:rsid w:val="009633D8"/>
    <w:rsid w:val="00964D08"/>
    <w:rsid w:val="00964F4C"/>
    <w:rsid w:val="00966975"/>
    <w:rsid w:val="00966F8A"/>
    <w:rsid w:val="00967A64"/>
    <w:rsid w:val="00973916"/>
    <w:rsid w:val="00973D2B"/>
    <w:rsid w:val="009756E1"/>
    <w:rsid w:val="00977526"/>
    <w:rsid w:val="00977E74"/>
    <w:rsid w:val="00984A74"/>
    <w:rsid w:val="00984B4C"/>
    <w:rsid w:val="00985838"/>
    <w:rsid w:val="009868C1"/>
    <w:rsid w:val="00986EC3"/>
    <w:rsid w:val="00991DCD"/>
    <w:rsid w:val="0099255C"/>
    <w:rsid w:val="00995202"/>
    <w:rsid w:val="00995831"/>
    <w:rsid w:val="0099629F"/>
    <w:rsid w:val="00996E1E"/>
    <w:rsid w:val="00997B78"/>
    <w:rsid w:val="009A02CD"/>
    <w:rsid w:val="009A03CC"/>
    <w:rsid w:val="009A2420"/>
    <w:rsid w:val="009A5066"/>
    <w:rsid w:val="009A552F"/>
    <w:rsid w:val="009A663E"/>
    <w:rsid w:val="009A6B81"/>
    <w:rsid w:val="009A6EAC"/>
    <w:rsid w:val="009A7D7C"/>
    <w:rsid w:val="009B0119"/>
    <w:rsid w:val="009B214E"/>
    <w:rsid w:val="009B34D7"/>
    <w:rsid w:val="009B3F1C"/>
    <w:rsid w:val="009C0AB2"/>
    <w:rsid w:val="009C1FF4"/>
    <w:rsid w:val="009C25AF"/>
    <w:rsid w:val="009C2F20"/>
    <w:rsid w:val="009C4000"/>
    <w:rsid w:val="009C4DF5"/>
    <w:rsid w:val="009C4F26"/>
    <w:rsid w:val="009C5B69"/>
    <w:rsid w:val="009C77C6"/>
    <w:rsid w:val="009D25EE"/>
    <w:rsid w:val="009E1C13"/>
    <w:rsid w:val="009E5A5C"/>
    <w:rsid w:val="009E6704"/>
    <w:rsid w:val="009F155A"/>
    <w:rsid w:val="009F5C5E"/>
    <w:rsid w:val="009F703C"/>
    <w:rsid w:val="009F716E"/>
    <w:rsid w:val="009F7786"/>
    <w:rsid w:val="00A00CF8"/>
    <w:rsid w:val="00A01ED6"/>
    <w:rsid w:val="00A02B77"/>
    <w:rsid w:val="00A02D86"/>
    <w:rsid w:val="00A04138"/>
    <w:rsid w:val="00A050F3"/>
    <w:rsid w:val="00A06749"/>
    <w:rsid w:val="00A1129E"/>
    <w:rsid w:val="00A154B5"/>
    <w:rsid w:val="00A20426"/>
    <w:rsid w:val="00A20996"/>
    <w:rsid w:val="00A257D1"/>
    <w:rsid w:val="00A27954"/>
    <w:rsid w:val="00A32B15"/>
    <w:rsid w:val="00A34456"/>
    <w:rsid w:val="00A34DD2"/>
    <w:rsid w:val="00A357F5"/>
    <w:rsid w:val="00A37AAD"/>
    <w:rsid w:val="00A37FF2"/>
    <w:rsid w:val="00A40C50"/>
    <w:rsid w:val="00A4239D"/>
    <w:rsid w:val="00A43892"/>
    <w:rsid w:val="00A43A0C"/>
    <w:rsid w:val="00A44A09"/>
    <w:rsid w:val="00A50281"/>
    <w:rsid w:val="00A512DF"/>
    <w:rsid w:val="00A5372F"/>
    <w:rsid w:val="00A549A7"/>
    <w:rsid w:val="00A5747C"/>
    <w:rsid w:val="00A57AA7"/>
    <w:rsid w:val="00A60180"/>
    <w:rsid w:val="00A628B0"/>
    <w:rsid w:val="00A62F73"/>
    <w:rsid w:val="00A642C2"/>
    <w:rsid w:val="00A65BF5"/>
    <w:rsid w:val="00A66C4C"/>
    <w:rsid w:val="00A709E2"/>
    <w:rsid w:val="00A70A30"/>
    <w:rsid w:val="00A72419"/>
    <w:rsid w:val="00A72845"/>
    <w:rsid w:val="00A81550"/>
    <w:rsid w:val="00A87F63"/>
    <w:rsid w:val="00A90A7F"/>
    <w:rsid w:val="00A94D5A"/>
    <w:rsid w:val="00A95F5D"/>
    <w:rsid w:val="00A963D4"/>
    <w:rsid w:val="00A96657"/>
    <w:rsid w:val="00AA0631"/>
    <w:rsid w:val="00AA0C78"/>
    <w:rsid w:val="00AA1A0B"/>
    <w:rsid w:val="00AA2179"/>
    <w:rsid w:val="00AA418C"/>
    <w:rsid w:val="00AA4285"/>
    <w:rsid w:val="00AA472F"/>
    <w:rsid w:val="00AA65A9"/>
    <w:rsid w:val="00AB00F9"/>
    <w:rsid w:val="00AB2C02"/>
    <w:rsid w:val="00AB3D02"/>
    <w:rsid w:val="00AB55B9"/>
    <w:rsid w:val="00AB5BF0"/>
    <w:rsid w:val="00AC041A"/>
    <w:rsid w:val="00AC171D"/>
    <w:rsid w:val="00AC21F3"/>
    <w:rsid w:val="00AC2697"/>
    <w:rsid w:val="00AC3B6B"/>
    <w:rsid w:val="00AC527E"/>
    <w:rsid w:val="00AC6357"/>
    <w:rsid w:val="00AC662E"/>
    <w:rsid w:val="00AD0241"/>
    <w:rsid w:val="00AD4A69"/>
    <w:rsid w:val="00AD523D"/>
    <w:rsid w:val="00AD657F"/>
    <w:rsid w:val="00AD6635"/>
    <w:rsid w:val="00AD7AF4"/>
    <w:rsid w:val="00AE213A"/>
    <w:rsid w:val="00AE2ED5"/>
    <w:rsid w:val="00AE4276"/>
    <w:rsid w:val="00AE4B1D"/>
    <w:rsid w:val="00AE52E7"/>
    <w:rsid w:val="00AF031B"/>
    <w:rsid w:val="00AF35B4"/>
    <w:rsid w:val="00AF4753"/>
    <w:rsid w:val="00AF6C5F"/>
    <w:rsid w:val="00AF7124"/>
    <w:rsid w:val="00B007E3"/>
    <w:rsid w:val="00B0093E"/>
    <w:rsid w:val="00B04808"/>
    <w:rsid w:val="00B04B78"/>
    <w:rsid w:val="00B05E25"/>
    <w:rsid w:val="00B078F4"/>
    <w:rsid w:val="00B11316"/>
    <w:rsid w:val="00B116F8"/>
    <w:rsid w:val="00B124F6"/>
    <w:rsid w:val="00B132DB"/>
    <w:rsid w:val="00B14583"/>
    <w:rsid w:val="00B150A4"/>
    <w:rsid w:val="00B15FE2"/>
    <w:rsid w:val="00B17C08"/>
    <w:rsid w:val="00B20C4E"/>
    <w:rsid w:val="00B2148C"/>
    <w:rsid w:val="00B224BC"/>
    <w:rsid w:val="00B22C96"/>
    <w:rsid w:val="00B264B7"/>
    <w:rsid w:val="00B27D98"/>
    <w:rsid w:val="00B309A3"/>
    <w:rsid w:val="00B31EBD"/>
    <w:rsid w:val="00B322F0"/>
    <w:rsid w:val="00B336A1"/>
    <w:rsid w:val="00B34807"/>
    <w:rsid w:val="00B35C6A"/>
    <w:rsid w:val="00B367AB"/>
    <w:rsid w:val="00B40520"/>
    <w:rsid w:val="00B436BE"/>
    <w:rsid w:val="00B46597"/>
    <w:rsid w:val="00B46E55"/>
    <w:rsid w:val="00B47190"/>
    <w:rsid w:val="00B51F5C"/>
    <w:rsid w:val="00B5294A"/>
    <w:rsid w:val="00B54F0D"/>
    <w:rsid w:val="00B5578A"/>
    <w:rsid w:val="00B57E38"/>
    <w:rsid w:val="00B61851"/>
    <w:rsid w:val="00B61DF1"/>
    <w:rsid w:val="00B62927"/>
    <w:rsid w:val="00B62F42"/>
    <w:rsid w:val="00B63B8C"/>
    <w:rsid w:val="00B6427D"/>
    <w:rsid w:val="00B658AC"/>
    <w:rsid w:val="00B66E72"/>
    <w:rsid w:val="00B70A9B"/>
    <w:rsid w:val="00B7142C"/>
    <w:rsid w:val="00B7219C"/>
    <w:rsid w:val="00B72FE7"/>
    <w:rsid w:val="00B747E4"/>
    <w:rsid w:val="00B76325"/>
    <w:rsid w:val="00B7638E"/>
    <w:rsid w:val="00B77A29"/>
    <w:rsid w:val="00B77F92"/>
    <w:rsid w:val="00B817AC"/>
    <w:rsid w:val="00B829DC"/>
    <w:rsid w:val="00B84B35"/>
    <w:rsid w:val="00B867E3"/>
    <w:rsid w:val="00B901F8"/>
    <w:rsid w:val="00B94487"/>
    <w:rsid w:val="00B96190"/>
    <w:rsid w:val="00B969D7"/>
    <w:rsid w:val="00BA0328"/>
    <w:rsid w:val="00BA118F"/>
    <w:rsid w:val="00BA17C8"/>
    <w:rsid w:val="00BA1D5B"/>
    <w:rsid w:val="00BA2E3D"/>
    <w:rsid w:val="00BA3C35"/>
    <w:rsid w:val="00BA776F"/>
    <w:rsid w:val="00BB16E8"/>
    <w:rsid w:val="00BB201A"/>
    <w:rsid w:val="00BB29F6"/>
    <w:rsid w:val="00BB387B"/>
    <w:rsid w:val="00BC1328"/>
    <w:rsid w:val="00BC3512"/>
    <w:rsid w:val="00BC51D3"/>
    <w:rsid w:val="00BC5D2A"/>
    <w:rsid w:val="00BC7585"/>
    <w:rsid w:val="00BD07CB"/>
    <w:rsid w:val="00BD0F10"/>
    <w:rsid w:val="00BD1727"/>
    <w:rsid w:val="00BD1A46"/>
    <w:rsid w:val="00BD3548"/>
    <w:rsid w:val="00BD4BFE"/>
    <w:rsid w:val="00BD521A"/>
    <w:rsid w:val="00BD5E34"/>
    <w:rsid w:val="00BD650A"/>
    <w:rsid w:val="00BE005F"/>
    <w:rsid w:val="00BE04B4"/>
    <w:rsid w:val="00BE0B49"/>
    <w:rsid w:val="00BE16A2"/>
    <w:rsid w:val="00BE39ED"/>
    <w:rsid w:val="00BE3DD9"/>
    <w:rsid w:val="00BE60CB"/>
    <w:rsid w:val="00BE70DD"/>
    <w:rsid w:val="00BE7FE2"/>
    <w:rsid w:val="00BF21EA"/>
    <w:rsid w:val="00BF3649"/>
    <w:rsid w:val="00BF3BD2"/>
    <w:rsid w:val="00BF59F5"/>
    <w:rsid w:val="00BF65A1"/>
    <w:rsid w:val="00BF6BC5"/>
    <w:rsid w:val="00BF771B"/>
    <w:rsid w:val="00C00700"/>
    <w:rsid w:val="00C03586"/>
    <w:rsid w:val="00C06009"/>
    <w:rsid w:val="00C06CB4"/>
    <w:rsid w:val="00C07E60"/>
    <w:rsid w:val="00C100BB"/>
    <w:rsid w:val="00C10111"/>
    <w:rsid w:val="00C122FD"/>
    <w:rsid w:val="00C13E6B"/>
    <w:rsid w:val="00C14A85"/>
    <w:rsid w:val="00C1517F"/>
    <w:rsid w:val="00C1700A"/>
    <w:rsid w:val="00C1773E"/>
    <w:rsid w:val="00C2121E"/>
    <w:rsid w:val="00C22286"/>
    <w:rsid w:val="00C24586"/>
    <w:rsid w:val="00C2601D"/>
    <w:rsid w:val="00C2761A"/>
    <w:rsid w:val="00C30928"/>
    <w:rsid w:val="00C33062"/>
    <w:rsid w:val="00C34C41"/>
    <w:rsid w:val="00C350A3"/>
    <w:rsid w:val="00C36C37"/>
    <w:rsid w:val="00C420C5"/>
    <w:rsid w:val="00C42345"/>
    <w:rsid w:val="00C443F9"/>
    <w:rsid w:val="00C45BF3"/>
    <w:rsid w:val="00C5003E"/>
    <w:rsid w:val="00C51429"/>
    <w:rsid w:val="00C52140"/>
    <w:rsid w:val="00C52368"/>
    <w:rsid w:val="00C541A8"/>
    <w:rsid w:val="00C55A90"/>
    <w:rsid w:val="00C55DC5"/>
    <w:rsid w:val="00C610FD"/>
    <w:rsid w:val="00C611CF"/>
    <w:rsid w:val="00C614B8"/>
    <w:rsid w:val="00C6231E"/>
    <w:rsid w:val="00C62E4D"/>
    <w:rsid w:val="00C63AC6"/>
    <w:rsid w:val="00C6430F"/>
    <w:rsid w:val="00C75089"/>
    <w:rsid w:val="00C7699B"/>
    <w:rsid w:val="00C807AC"/>
    <w:rsid w:val="00C817DE"/>
    <w:rsid w:val="00C82731"/>
    <w:rsid w:val="00C82F4B"/>
    <w:rsid w:val="00C84632"/>
    <w:rsid w:val="00C85409"/>
    <w:rsid w:val="00C858D8"/>
    <w:rsid w:val="00C90E35"/>
    <w:rsid w:val="00C9138C"/>
    <w:rsid w:val="00C93E1B"/>
    <w:rsid w:val="00C94D60"/>
    <w:rsid w:val="00C95167"/>
    <w:rsid w:val="00C95694"/>
    <w:rsid w:val="00C9636E"/>
    <w:rsid w:val="00CA0A6B"/>
    <w:rsid w:val="00CA5CED"/>
    <w:rsid w:val="00CA6E5C"/>
    <w:rsid w:val="00CA76AB"/>
    <w:rsid w:val="00CA7A26"/>
    <w:rsid w:val="00CB1182"/>
    <w:rsid w:val="00CB1236"/>
    <w:rsid w:val="00CB1C6C"/>
    <w:rsid w:val="00CB214E"/>
    <w:rsid w:val="00CB2377"/>
    <w:rsid w:val="00CB27A1"/>
    <w:rsid w:val="00CB2B40"/>
    <w:rsid w:val="00CB38B9"/>
    <w:rsid w:val="00CB5F0C"/>
    <w:rsid w:val="00CB6A96"/>
    <w:rsid w:val="00CC0C79"/>
    <w:rsid w:val="00CC1ED7"/>
    <w:rsid w:val="00CC3A53"/>
    <w:rsid w:val="00CC5568"/>
    <w:rsid w:val="00CC5F38"/>
    <w:rsid w:val="00CD0FA2"/>
    <w:rsid w:val="00CD3AC9"/>
    <w:rsid w:val="00CD6705"/>
    <w:rsid w:val="00CE0E91"/>
    <w:rsid w:val="00CE2C89"/>
    <w:rsid w:val="00CE4056"/>
    <w:rsid w:val="00CE4365"/>
    <w:rsid w:val="00CE4A7F"/>
    <w:rsid w:val="00CE524F"/>
    <w:rsid w:val="00CE6F3A"/>
    <w:rsid w:val="00CE76DB"/>
    <w:rsid w:val="00CF2D7A"/>
    <w:rsid w:val="00D01A70"/>
    <w:rsid w:val="00D029C2"/>
    <w:rsid w:val="00D02FF8"/>
    <w:rsid w:val="00D03AE8"/>
    <w:rsid w:val="00D04615"/>
    <w:rsid w:val="00D057A8"/>
    <w:rsid w:val="00D07097"/>
    <w:rsid w:val="00D070A8"/>
    <w:rsid w:val="00D07EBA"/>
    <w:rsid w:val="00D1073B"/>
    <w:rsid w:val="00D11178"/>
    <w:rsid w:val="00D14905"/>
    <w:rsid w:val="00D14F27"/>
    <w:rsid w:val="00D17780"/>
    <w:rsid w:val="00D178C4"/>
    <w:rsid w:val="00D242E7"/>
    <w:rsid w:val="00D26283"/>
    <w:rsid w:val="00D325FE"/>
    <w:rsid w:val="00D44E08"/>
    <w:rsid w:val="00D45175"/>
    <w:rsid w:val="00D46C2D"/>
    <w:rsid w:val="00D50B30"/>
    <w:rsid w:val="00D5219F"/>
    <w:rsid w:val="00D53BA6"/>
    <w:rsid w:val="00D53E42"/>
    <w:rsid w:val="00D55D73"/>
    <w:rsid w:val="00D5773E"/>
    <w:rsid w:val="00D605F6"/>
    <w:rsid w:val="00D63695"/>
    <w:rsid w:val="00D64A76"/>
    <w:rsid w:val="00D67F5E"/>
    <w:rsid w:val="00D71246"/>
    <w:rsid w:val="00D73044"/>
    <w:rsid w:val="00D74804"/>
    <w:rsid w:val="00D76DE8"/>
    <w:rsid w:val="00D80B23"/>
    <w:rsid w:val="00D868BC"/>
    <w:rsid w:val="00D873B8"/>
    <w:rsid w:val="00D87FD1"/>
    <w:rsid w:val="00D91954"/>
    <w:rsid w:val="00D91CD8"/>
    <w:rsid w:val="00D9270E"/>
    <w:rsid w:val="00D957AC"/>
    <w:rsid w:val="00D963F1"/>
    <w:rsid w:val="00D96E9D"/>
    <w:rsid w:val="00DA4C9D"/>
    <w:rsid w:val="00DA52BA"/>
    <w:rsid w:val="00DA5B0B"/>
    <w:rsid w:val="00DA636D"/>
    <w:rsid w:val="00DB0BD7"/>
    <w:rsid w:val="00DB40E4"/>
    <w:rsid w:val="00DB6086"/>
    <w:rsid w:val="00DB6C17"/>
    <w:rsid w:val="00DC069E"/>
    <w:rsid w:val="00DC49CE"/>
    <w:rsid w:val="00DC5D53"/>
    <w:rsid w:val="00DD0753"/>
    <w:rsid w:val="00DD0EC4"/>
    <w:rsid w:val="00DD1DEF"/>
    <w:rsid w:val="00DD3174"/>
    <w:rsid w:val="00DD32B2"/>
    <w:rsid w:val="00DD42AE"/>
    <w:rsid w:val="00DD6BC2"/>
    <w:rsid w:val="00DD6C8F"/>
    <w:rsid w:val="00DD731B"/>
    <w:rsid w:val="00DD7DFD"/>
    <w:rsid w:val="00DD7FB7"/>
    <w:rsid w:val="00DE0C0E"/>
    <w:rsid w:val="00DE158A"/>
    <w:rsid w:val="00DE24E9"/>
    <w:rsid w:val="00DE4771"/>
    <w:rsid w:val="00DE4FAB"/>
    <w:rsid w:val="00DE5FB5"/>
    <w:rsid w:val="00DF0C9C"/>
    <w:rsid w:val="00DF0EF6"/>
    <w:rsid w:val="00DF2EE1"/>
    <w:rsid w:val="00DF31AC"/>
    <w:rsid w:val="00DF60D0"/>
    <w:rsid w:val="00DF6413"/>
    <w:rsid w:val="00E01011"/>
    <w:rsid w:val="00E02C2D"/>
    <w:rsid w:val="00E04AEF"/>
    <w:rsid w:val="00E05A92"/>
    <w:rsid w:val="00E07C14"/>
    <w:rsid w:val="00E07FE4"/>
    <w:rsid w:val="00E108AB"/>
    <w:rsid w:val="00E10A77"/>
    <w:rsid w:val="00E10E57"/>
    <w:rsid w:val="00E110D1"/>
    <w:rsid w:val="00E128F3"/>
    <w:rsid w:val="00E1386A"/>
    <w:rsid w:val="00E14D94"/>
    <w:rsid w:val="00E14FDA"/>
    <w:rsid w:val="00E17042"/>
    <w:rsid w:val="00E20981"/>
    <w:rsid w:val="00E20BB7"/>
    <w:rsid w:val="00E21F3E"/>
    <w:rsid w:val="00E2321B"/>
    <w:rsid w:val="00E24EE6"/>
    <w:rsid w:val="00E259DF"/>
    <w:rsid w:val="00E27DB5"/>
    <w:rsid w:val="00E30C7B"/>
    <w:rsid w:val="00E3213D"/>
    <w:rsid w:val="00E3241F"/>
    <w:rsid w:val="00E32DB5"/>
    <w:rsid w:val="00E337D5"/>
    <w:rsid w:val="00E33A9D"/>
    <w:rsid w:val="00E33CDA"/>
    <w:rsid w:val="00E34463"/>
    <w:rsid w:val="00E34F18"/>
    <w:rsid w:val="00E35FFA"/>
    <w:rsid w:val="00E4065C"/>
    <w:rsid w:val="00E40A92"/>
    <w:rsid w:val="00E42D13"/>
    <w:rsid w:val="00E44CD2"/>
    <w:rsid w:val="00E45737"/>
    <w:rsid w:val="00E45B4A"/>
    <w:rsid w:val="00E46B9E"/>
    <w:rsid w:val="00E47057"/>
    <w:rsid w:val="00E50EEC"/>
    <w:rsid w:val="00E50F88"/>
    <w:rsid w:val="00E510E3"/>
    <w:rsid w:val="00E51764"/>
    <w:rsid w:val="00E53B42"/>
    <w:rsid w:val="00E53DB2"/>
    <w:rsid w:val="00E557E4"/>
    <w:rsid w:val="00E56213"/>
    <w:rsid w:val="00E60166"/>
    <w:rsid w:val="00E60781"/>
    <w:rsid w:val="00E60A0F"/>
    <w:rsid w:val="00E60D96"/>
    <w:rsid w:val="00E61B60"/>
    <w:rsid w:val="00E61C89"/>
    <w:rsid w:val="00E65185"/>
    <w:rsid w:val="00E6616B"/>
    <w:rsid w:val="00E6640D"/>
    <w:rsid w:val="00E6670C"/>
    <w:rsid w:val="00E67824"/>
    <w:rsid w:val="00E711A2"/>
    <w:rsid w:val="00E71563"/>
    <w:rsid w:val="00E7367F"/>
    <w:rsid w:val="00E759E1"/>
    <w:rsid w:val="00E772EC"/>
    <w:rsid w:val="00E80804"/>
    <w:rsid w:val="00E80CBA"/>
    <w:rsid w:val="00E81087"/>
    <w:rsid w:val="00E81A55"/>
    <w:rsid w:val="00E82232"/>
    <w:rsid w:val="00E8256B"/>
    <w:rsid w:val="00E8371C"/>
    <w:rsid w:val="00E847E5"/>
    <w:rsid w:val="00E84A74"/>
    <w:rsid w:val="00E85CA7"/>
    <w:rsid w:val="00E87E65"/>
    <w:rsid w:val="00E87ED4"/>
    <w:rsid w:val="00E931C1"/>
    <w:rsid w:val="00E93E70"/>
    <w:rsid w:val="00E95C3B"/>
    <w:rsid w:val="00E96096"/>
    <w:rsid w:val="00E960D6"/>
    <w:rsid w:val="00E96954"/>
    <w:rsid w:val="00EA1337"/>
    <w:rsid w:val="00EA39F5"/>
    <w:rsid w:val="00EA65FD"/>
    <w:rsid w:val="00EA6B96"/>
    <w:rsid w:val="00EA7E25"/>
    <w:rsid w:val="00EB22F0"/>
    <w:rsid w:val="00EB2452"/>
    <w:rsid w:val="00EB327C"/>
    <w:rsid w:val="00EB5B64"/>
    <w:rsid w:val="00EB6067"/>
    <w:rsid w:val="00EB6D76"/>
    <w:rsid w:val="00EC2D4A"/>
    <w:rsid w:val="00ED2D4F"/>
    <w:rsid w:val="00ED47C6"/>
    <w:rsid w:val="00ED4AA9"/>
    <w:rsid w:val="00ED4CAF"/>
    <w:rsid w:val="00ED5A0D"/>
    <w:rsid w:val="00ED677B"/>
    <w:rsid w:val="00ED745D"/>
    <w:rsid w:val="00ED7553"/>
    <w:rsid w:val="00EE1D47"/>
    <w:rsid w:val="00EE29E3"/>
    <w:rsid w:val="00EE3497"/>
    <w:rsid w:val="00EE3EF9"/>
    <w:rsid w:val="00EE5510"/>
    <w:rsid w:val="00EF25A9"/>
    <w:rsid w:val="00EF287C"/>
    <w:rsid w:val="00EF394B"/>
    <w:rsid w:val="00EF42D0"/>
    <w:rsid w:val="00EF5A62"/>
    <w:rsid w:val="00EF664D"/>
    <w:rsid w:val="00F025D1"/>
    <w:rsid w:val="00F03F3B"/>
    <w:rsid w:val="00F04366"/>
    <w:rsid w:val="00F04BC9"/>
    <w:rsid w:val="00F0685E"/>
    <w:rsid w:val="00F06970"/>
    <w:rsid w:val="00F06E98"/>
    <w:rsid w:val="00F072DA"/>
    <w:rsid w:val="00F075EC"/>
    <w:rsid w:val="00F07A83"/>
    <w:rsid w:val="00F125D3"/>
    <w:rsid w:val="00F126C8"/>
    <w:rsid w:val="00F1288A"/>
    <w:rsid w:val="00F13C5D"/>
    <w:rsid w:val="00F14D0D"/>
    <w:rsid w:val="00F15DF8"/>
    <w:rsid w:val="00F16368"/>
    <w:rsid w:val="00F21697"/>
    <w:rsid w:val="00F249DA"/>
    <w:rsid w:val="00F25B61"/>
    <w:rsid w:val="00F2729A"/>
    <w:rsid w:val="00F27E56"/>
    <w:rsid w:val="00F27FC6"/>
    <w:rsid w:val="00F31223"/>
    <w:rsid w:val="00F31ECC"/>
    <w:rsid w:val="00F31F7E"/>
    <w:rsid w:val="00F32A96"/>
    <w:rsid w:val="00F32C53"/>
    <w:rsid w:val="00F33A00"/>
    <w:rsid w:val="00F34F48"/>
    <w:rsid w:val="00F35D08"/>
    <w:rsid w:val="00F400F8"/>
    <w:rsid w:val="00F41B55"/>
    <w:rsid w:val="00F44A3B"/>
    <w:rsid w:val="00F452D2"/>
    <w:rsid w:val="00F464E7"/>
    <w:rsid w:val="00F469BB"/>
    <w:rsid w:val="00F47E01"/>
    <w:rsid w:val="00F55522"/>
    <w:rsid w:val="00F6212D"/>
    <w:rsid w:val="00F62C69"/>
    <w:rsid w:val="00F62EBA"/>
    <w:rsid w:val="00F70ACA"/>
    <w:rsid w:val="00F72D25"/>
    <w:rsid w:val="00F73C69"/>
    <w:rsid w:val="00F73F7E"/>
    <w:rsid w:val="00F740AD"/>
    <w:rsid w:val="00F744FD"/>
    <w:rsid w:val="00F7459D"/>
    <w:rsid w:val="00F75F36"/>
    <w:rsid w:val="00F76107"/>
    <w:rsid w:val="00F7644B"/>
    <w:rsid w:val="00F76627"/>
    <w:rsid w:val="00F80103"/>
    <w:rsid w:val="00F8160B"/>
    <w:rsid w:val="00F8285A"/>
    <w:rsid w:val="00F828E7"/>
    <w:rsid w:val="00F834F6"/>
    <w:rsid w:val="00F8678F"/>
    <w:rsid w:val="00F86A25"/>
    <w:rsid w:val="00F876D9"/>
    <w:rsid w:val="00F928E9"/>
    <w:rsid w:val="00F92993"/>
    <w:rsid w:val="00F94810"/>
    <w:rsid w:val="00F95411"/>
    <w:rsid w:val="00F95CEB"/>
    <w:rsid w:val="00F96509"/>
    <w:rsid w:val="00F96D3A"/>
    <w:rsid w:val="00F96D92"/>
    <w:rsid w:val="00FA15B7"/>
    <w:rsid w:val="00FA1619"/>
    <w:rsid w:val="00FA454E"/>
    <w:rsid w:val="00FA508F"/>
    <w:rsid w:val="00FA567A"/>
    <w:rsid w:val="00FA593C"/>
    <w:rsid w:val="00FB09DB"/>
    <w:rsid w:val="00FB0A96"/>
    <w:rsid w:val="00FB0F08"/>
    <w:rsid w:val="00FB19CA"/>
    <w:rsid w:val="00FB4188"/>
    <w:rsid w:val="00FC120B"/>
    <w:rsid w:val="00FC1F7B"/>
    <w:rsid w:val="00FC54B9"/>
    <w:rsid w:val="00FD1183"/>
    <w:rsid w:val="00FD1DB6"/>
    <w:rsid w:val="00FD55F9"/>
    <w:rsid w:val="00FD6020"/>
    <w:rsid w:val="00FD62CD"/>
    <w:rsid w:val="00FE1AA4"/>
    <w:rsid w:val="00FE2556"/>
    <w:rsid w:val="00FE3D0E"/>
    <w:rsid w:val="00FE63AE"/>
    <w:rsid w:val="00FE7564"/>
    <w:rsid w:val="00FE7709"/>
    <w:rsid w:val="00FF04D6"/>
    <w:rsid w:val="00FF1EA8"/>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119010"/>
  <w15:docId w15:val="{67845E66-888D-4AFD-8EDF-CEFACF0C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aliases w:val="18pt Bold"/>
    <w:basedOn w:val="Normal"/>
    <w:link w:val="HeaderChar"/>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H&amp;P List Paragraph,2,Strip,Colorful List - Accent 12,Akapit z listą BS"/>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H&amp;P List Paragraph Char,2 Char,Strip Char,Colorful List - Accent 12 Char,Akapit z listą BS Char"/>
    <w:link w:val="ListParagraph"/>
    <w:uiPriority w:val="34"/>
    <w:qFormat/>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aliases w:val="18pt Bold Char"/>
    <w:basedOn w:val="DefaultParagraphFont"/>
    <w:link w:val="Header"/>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character" w:styleId="FollowedHyperlink">
    <w:name w:val="FollowedHyperlink"/>
    <w:basedOn w:val="DefaultParagraphFont"/>
    <w:uiPriority w:val="99"/>
    <w:semiHidden/>
    <w:unhideWhenUsed/>
    <w:rsid w:val="00D04615"/>
    <w:rPr>
      <w:color w:val="800080" w:themeColor="followedHyperlink"/>
      <w:u w:val="single"/>
    </w:rPr>
  </w:style>
  <w:style w:type="paragraph" w:styleId="Revision">
    <w:name w:val="Revision"/>
    <w:hidden/>
    <w:uiPriority w:val="99"/>
    <w:semiHidden/>
    <w:rsid w:val="00B078F4"/>
    <w:rPr>
      <w:sz w:val="24"/>
      <w:szCs w:val="24"/>
    </w:rPr>
  </w:style>
  <w:style w:type="paragraph" w:customStyle="1" w:styleId="Normal1">
    <w:name w:val="Normal1"/>
    <w:rsid w:val="006C6038"/>
    <w:rPr>
      <w:rFonts w:ascii="Calibri" w:hAnsi="Calibri" w:cs="Calibri"/>
      <w:color w:val="000000"/>
      <w:sz w:val="22"/>
      <w:szCs w:val="22"/>
    </w:rPr>
  </w:style>
  <w:style w:type="character" w:customStyle="1" w:styleId="st">
    <w:name w:val="st"/>
    <w:rsid w:val="003B11DD"/>
  </w:style>
  <w:style w:type="paragraph" w:styleId="Title">
    <w:name w:val="Title"/>
    <w:basedOn w:val="Normal"/>
    <w:next w:val="Normal"/>
    <w:link w:val="TitleChar"/>
    <w:uiPriority w:val="10"/>
    <w:qFormat/>
    <w:rsid w:val="000C2D4B"/>
    <w:pPr>
      <w:spacing w:after="360"/>
      <w:ind w:firstLine="567"/>
      <w:contextualSpacing/>
      <w:jc w:val="center"/>
    </w:pPr>
    <w:rPr>
      <w:b/>
      <w:spacing w:val="-10"/>
      <w:kern w:val="28"/>
      <w:sz w:val="28"/>
      <w:szCs w:val="56"/>
      <w:lang w:eastAsia="zh-CN"/>
    </w:rPr>
  </w:style>
  <w:style w:type="character" w:customStyle="1" w:styleId="TitleChar">
    <w:name w:val="Title Char"/>
    <w:basedOn w:val="DefaultParagraphFont"/>
    <w:link w:val="Title"/>
    <w:uiPriority w:val="10"/>
    <w:rsid w:val="000C2D4B"/>
    <w:rPr>
      <w:b/>
      <w:spacing w:val="-10"/>
      <w:kern w:val="28"/>
      <w:sz w:val="28"/>
      <w:szCs w:val="56"/>
      <w:lang w:eastAsia="zh-CN"/>
    </w:rPr>
  </w:style>
  <w:style w:type="character" w:customStyle="1" w:styleId="apple-converted-space">
    <w:name w:val="apple-converted-space"/>
    <w:basedOn w:val="DefaultParagraphFont"/>
    <w:rsid w:val="00BF6BC5"/>
  </w:style>
  <w:style w:type="character" w:customStyle="1" w:styleId="FooterChar">
    <w:name w:val="Footer Char"/>
    <w:basedOn w:val="DefaultParagraphFont"/>
    <w:link w:val="Footer"/>
    <w:uiPriority w:val="99"/>
    <w:rsid w:val="00F21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53572">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21632298">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805661133">
      <w:bodyDiv w:val="1"/>
      <w:marLeft w:val="0"/>
      <w:marRight w:val="0"/>
      <w:marTop w:val="0"/>
      <w:marBottom w:val="0"/>
      <w:divBdr>
        <w:top w:val="none" w:sz="0" w:space="0" w:color="auto"/>
        <w:left w:val="none" w:sz="0" w:space="0" w:color="auto"/>
        <w:bottom w:val="none" w:sz="0" w:space="0" w:color="auto"/>
        <w:right w:val="none" w:sz="0" w:space="0" w:color="auto"/>
      </w:divBdr>
    </w:div>
    <w:div w:id="2059469275">
      <w:bodyDiv w:val="1"/>
      <w:marLeft w:val="0"/>
      <w:marRight w:val="0"/>
      <w:marTop w:val="0"/>
      <w:marBottom w:val="0"/>
      <w:divBdr>
        <w:top w:val="none" w:sz="0" w:space="0" w:color="auto"/>
        <w:left w:val="none" w:sz="0" w:space="0" w:color="auto"/>
        <w:bottom w:val="none" w:sz="0" w:space="0" w:color="auto"/>
        <w:right w:val="none" w:sz="0" w:space="0" w:color="auto"/>
      </w:divBdr>
    </w:div>
    <w:div w:id="20956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yperlink" Target="http://eur-lex.europa.eu/eli/reg/2014/316?locale=LV" TargetMode="External"/><Relationship Id="rId18" Type="http://schemas.openxmlformats.org/officeDocument/2006/relationships/hyperlink" Target="http://www.izm.gov.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Vesma.Abizare-Vagre@izm.gov.lv" TargetMode="External"/><Relationship Id="rId7" Type="http://schemas.openxmlformats.org/officeDocument/2006/relationships/endnotes" Target="endnotes.xml"/><Relationship Id="rId12" Type="http://schemas.openxmlformats.org/officeDocument/2006/relationships/hyperlink" Target="http://eur-lex.europa.eu/eli/reg/2006/1083?locale=LV" TargetMode="External"/><Relationship Id="rId17" Type="http://schemas.openxmlformats.org/officeDocument/2006/relationships/hyperlink" Target="http://eur-lex.europa.eu/eli/reg/2014/651?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yperlink" Target="mailto:antra.zilinska@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f.viaa.gov.lv/lat/zinatne/zinatnes_apakshsad/?tl_id=526&amp;tls_id=527" TargetMode="External"/><Relationship Id="rId19"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316?locale=LV" TargetMode="External"/><Relationship Id="rId22" Type="http://schemas.openxmlformats.org/officeDocument/2006/relationships/hyperlink" Target="mailto:Evija.Zaca@izm.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16EF-0DA1-4FE4-B41D-42981730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4843</Words>
  <Characters>36466</Characters>
  <Application>Microsoft Office Word</Application>
  <DocSecurity>4</DocSecurity>
  <Lines>303</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lpstr>Ministru kabineta noteikumu projekts "Dzelzceļa tehniskās ekspluatācijas noteikumi"</vt:lpstr>
    </vt:vector>
  </TitlesOfParts>
  <Company>IZM</Company>
  <LinksUpToDate>false</LinksUpToDate>
  <CharactersWithSpaces>41227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sākotnējās ietekmes novērtējuma ziņojums (anotācija)</dc:title>
  <dc:subject>Anotācija</dc:subject>
  <dc:creator>I.Kalva</dc:creator>
  <cp:keywords>IZM</cp:keywords>
  <dc:description>antra.zilinska@izm.gov.lv</dc:description>
  <cp:lastModifiedBy>Evija Zača</cp:lastModifiedBy>
  <cp:revision>2</cp:revision>
  <cp:lastPrinted>2016-07-25T09:28:00Z</cp:lastPrinted>
  <dcterms:created xsi:type="dcterms:W3CDTF">2016-08-11T10:55:00Z</dcterms:created>
  <dcterms:modified xsi:type="dcterms:W3CDTF">2016-08-11T10:55:00Z</dcterms:modified>
</cp:coreProperties>
</file>