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11" w:rsidRPr="005F0222" w:rsidRDefault="00E37811" w:rsidP="00E37811">
      <w:pPr>
        <w:jc w:val="center"/>
        <w:rPr>
          <w:b/>
          <w:sz w:val="27"/>
          <w:szCs w:val="27"/>
        </w:rPr>
      </w:pPr>
      <w:r w:rsidRPr="005F0222">
        <w:rPr>
          <w:b/>
          <w:sz w:val="27"/>
          <w:szCs w:val="27"/>
        </w:rPr>
        <w:t>Ministru kabineta noteikumu projekta „</w:t>
      </w:r>
      <w:r w:rsidR="00D374A3" w:rsidRPr="005F0222">
        <w:rPr>
          <w:b/>
          <w:sz w:val="27"/>
          <w:szCs w:val="27"/>
        </w:rPr>
        <w:t>Grozījum</w:t>
      </w:r>
      <w:r w:rsidR="00D93814" w:rsidRPr="005F0222">
        <w:rPr>
          <w:b/>
          <w:sz w:val="27"/>
          <w:szCs w:val="27"/>
        </w:rPr>
        <w:t>s</w:t>
      </w:r>
      <w:r w:rsidR="00D374A3" w:rsidRPr="005F0222">
        <w:rPr>
          <w:b/>
          <w:sz w:val="27"/>
          <w:szCs w:val="27"/>
        </w:rPr>
        <w:t xml:space="preserve"> Ministru kabineta 2009.gada 4.augusta noteikumos Nr. 871 „Obligāto izglītības vecumu sasniegušo bērnu uzskaites kārtība”</w:t>
      </w:r>
      <w:r w:rsidRPr="005F0222">
        <w:rPr>
          <w:b/>
          <w:sz w:val="27"/>
          <w:szCs w:val="27"/>
        </w:rPr>
        <w:t>”</w:t>
      </w:r>
      <w:r w:rsidR="00D374A3" w:rsidRPr="005F0222">
        <w:rPr>
          <w:b/>
          <w:sz w:val="27"/>
          <w:szCs w:val="27"/>
        </w:rPr>
        <w:t xml:space="preserve"> </w:t>
      </w:r>
      <w:r w:rsidRPr="005F0222">
        <w:rPr>
          <w:b/>
          <w:sz w:val="27"/>
          <w:szCs w:val="27"/>
        </w:rPr>
        <w:t>sākotnējās ietekmes novērtējuma ziņojums (anotācija)</w:t>
      </w:r>
    </w:p>
    <w:p w:rsidR="00E37811" w:rsidRPr="005F0222" w:rsidRDefault="00E37811" w:rsidP="00E37811">
      <w:pPr>
        <w:jc w:val="center"/>
        <w:rPr>
          <w:sz w:val="27"/>
          <w:szCs w:val="27"/>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76"/>
        <w:gridCol w:w="7000"/>
      </w:tblGrid>
      <w:tr w:rsidR="00E37811" w:rsidRPr="005F0222" w:rsidTr="00790962">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E37811" w:rsidRPr="005F0222" w:rsidRDefault="00E37811" w:rsidP="00790962">
            <w:pPr>
              <w:spacing w:before="100" w:beforeAutospacing="1" w:after="100" w:afterAutospacing="1"/>
              <w:jc w:val="center"/>
              <w:rPr>
                <w:b/>
                <w:bCs/>
                <w:sz w:val="27"/>
                <w:szCs w:val="27"/>
              </w:rPr>
            </w:pPr>
            <w:r w:rsidRPr="005F0222">
              <w:rPr>
                <w:b/>
                <w:bCs/>
                <w:sz w:val="27"/>
                <w:szCs w:val="27"/>
              </w:rPr>
              <w:t>I. Tiesību akta projekta izstrādes nepieciešamība</w:t>
            </w:r>
          </w:p>
        </w:tc>
      </w:tr>
      <w:tr w:rsidR="00E37811" w:rsidRPr="005F0222" w:rsidTr="00790962">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1.</w:t>
            </w:r>
          </w:p>
        </w:tc>
        <w:tc>
          <w:tcPr>
            <w:tcW w:w="1001" w:type="pct"/>
            <w:tcBorders>
              <w:top w:val="outset" w:sz="6" w:space="0" w:color="000000"/>
              <w:left w:val="outset" w:sz="6" w:space="0" w:color="000000"/>
              <w:bottom w:val="outset" w:sz="6" w:space="0" w:color="000000"/>
              <w:right w:val="outset" w:sz="6" w:space="0" w:color="000000"/>
            </w:tcBorders>
          </w:tcPr>
          <w:p w:rsidR="00E37811" w:rsidRPr="005F0222" w:rsidRDefault="00E37811" w:rsidP="00422A41">
            <w:pPr>
              <w:jc w:val="both"/>
              <w:rPr>
                <w:sz w:val="27"/>
                <w:szCs w:val="27"/>
              </w:rPr>
            </w:pPr>
            <w:r w:rsidRPr="005F0222">
              <w:rPr>
                <w:sz w:val="27"/>
                <w:szCs w:val="27"/>
              </w:rPr>
              <w:t>Pamatojums</w:t>
            </w:r>
          </w:p>
        </w:tc>
        <w:tc>
          <w:tcPr>
            <w:tcW w:w="3771" w:type="pct"/>
            <w:tcBorders>
              <w:top w:val="outset" w:sz="6" w:space="0" w:color="000000"/>
              <w:left w:val="outset" w:sz="6" w:space="0" w:color="000000"/>
              <w:bottom w:val="outset" w:sz="6" w:space="0" w:color="000000"/>
              <w:right w:val="outset" w:sz="6" w:space="0" w:color="000000"/>
            </w:tcBorders>
          </w:tcPr>
          <w:p w:rsidR="00E37811" w:rsidRPr="005F0222" w:rsidRDefault="00E37811" w:rsidP="00422A41">
            <w:pPr>
              <w:pStyle w:val="tv20787921"/>
              <w:spacing w:after="0" w:line="240" w:lineRule="auto"/>
              <w:jc w:val="both"/>
              <w:rPr>
                <w:rFonts w:ascii="Times New Roman" w:hAnsi="Times New Roman"/>
                <w:b w:val="0"/>
                <w:sz w:val="27"/>
                <w:szCs w:val="27"/>
              </w:rPr>
            </w:pPr>
            <w:r w:rsidRPr="005F0222">
              <w:rPr>
                <w:rFonts w:ascii="Times New Roman" w:hAnsi="Times New Roman"/>
                <w:b w:val="0"/>
                <w:sz w:val="27"/>
                <w:szCs w:val="27"/>
              </w:rPr>
              <w:t>Ministru kabineta noteikumu projekt</w:t>
            </w:r>
            <w:r w:rsidR="004668A0" w:rsidRPr="005F0222">
              <w:rPr>
                <w:rFonts w:ascii="Times New Roman" w:hAnsi="Times New Roman"/>
                <w:b w:val="0"/>
                <w:sz w:val="27"/>
                <w:szCs w:val="27"/>
              </w:rPr>
              <w:t>s</w:t>
            </w:r>
            <w:r w:rsidRPr="005F0222">
              <w:rPr>
                <w:rFonts w:ascii="Times New Roman" w:hAnsi="Times New Roman"/>
                <w:b w:val="0"/>
                <w:sz w:val="27"/>
                <w:szCs w:val="27"/>
              </w:rPr>
              <w:t xml:space="preserve"> „</w:t>
            </w:r>
            <w:r w:rsidR="0037404F" w:rsidRPr="005F0222">
              <w:rPr>
                <w:rFonts w:ascii="Times New Roman" w:hAnsi="Times New Roman"/>
                <w:b w:val="0"/>
                <w:sz w:val="27"/>
                <w:szCs w:val="27"/>
              </w:rPr>
              <w:t>Grozījums</w:t>
            </w:r>
            <w:r w:rsidR="004668A0" w:rsidRPr="005F0222">
              <w:rPr>
                <w:rFonts w:ascii="Times New Roman" w:hAnsi="Times New Roman"/>
                <w:b w:val="0"/>
                <w:sz w:val="27"/>
                <w:szCs w:val="27"/>
              </w:rPr>
              <w:t xml:space="preserve"> Ministru kabineta 2009.gada 4.augusta noteikumos Nr.871 „Obligāto izglītības vecumu sasniegušo bērnu uzskaites kārtība”</w:t>
            </w:r>
            <w:r w:rsidRPr="005F0222">
              <w:rPr>
                <w:rFonts w:ascii="Times New Roman" w:hAnsi="Times New Roman"/>
                <w:b w:val="0"/>
                <w:bCs w:val="0"/>
                <w:sz w:val="27"/>
                <w:szCs w:val="27"/>
              </w:rPr>
              <w:t xml:space="preserve">” </w:t>
            </w:r>
            <w:r w:rsidRPr="005F0222">
              <w:rPr>
                <w:rFonts w:ascii="Times New Roman" w:hAnsi="Times New Roman"/>
                <w:b w:val="0"/>
                <w:sz w:val="27"/>
                <w:szCs w:val="27"/>
              </w:rPr>
              <w:t>(turpmāk – noteikumu projekts)</w:t>
            </w:r>
            <w:r w:rsidR="004668A0" w:rsidRPr="005F0222">
              <w:rPr>
                <w:rFonts w:ascii="Times New Roman" w:hAnsi="Times New Roman"/>
                <w:b w:val="0"/>
                <w:sz w:val="27"/>
                <w:szCs w:val="27"/>
              </w:rPr>
              <w:t xml:space="preserve"> ir sagatavots</w:t>
            </w:r>
            <w:r w:rsidRPr="005F0222">
              <w:rPr>
                <w:rFonts w:ascii="Times New Roman" w:hAnsi="Times New Roman"/>
                <w:b w:val="0"/>
                <w:sz w:val="27"/>
                <w:szCs w:val="27"/>
              </w:rPr>
              <w:t>:</w:t>
            </w:r>
          </w:p>
          <w:p w:rsidR="00E37811" w:rsidRPr="005F0222" w:rsidRDefault="00E37811" w:rsidP="00422A41">
            <w:pPr>
              <w:pStyle w:val="tv20787921"/>
              <w:spacing w:after="0" w:line="240" w:lineRule="auto"/>
              <w:jc w:val="both"/>
              <w:rPr>
                <w:rFonts w:ascii="Times New Roman" w:hAnsi="Times New Roman"/>
                <w:b w:val="0"/>
                <w:bCs w:val="0"/>
                <w:sz w:val="27"/>
                <w:szCs w:val="27"/>
              </w:rPr>
            </w:pPr>
            <w:r w:rsidRPr="005F0222">
              <w:rPr>
                <w:rFonts w:ascii="Times New Roman" w:hAnsi="Times New Roman"/>
                <w:b w:val="0"/>
                <w:sz w:val="27"/>
                <w:szCs w:val="27"/>
              </w:rPr>
              <w:t xml:space="preserve">1) saskaņā ar Izglītības likuma 14.panta </w:t>
            </w:r>
            <w:r w:rsidR="004668A0" w:rsidRPr="005F0222">
              <w:rPr>
                <w:rFonts w:ascii="Times New Roman" w:hAnsi="Times New Roman"/>
                <w:b w:val="0"/>
                <w:sz w:val="27"/>
                <w:szCs w:val="27"/>
              </w:rPr>
              <w:t>5</w:t>
            </w:r>
            <w:r w:rsidRPr="005F0222">
              <w:rPr>
                <w:rFonts w:ascii="Times New Roman" w:hAnsi="Times New Roman"/>
                <w:b w:val="0"/>
                <w:sz w:val="27"/>
                <w:szCs w:val="27"/>
              </w:rPr>
              <w:t xml:space="preserve">.punktā noteikto deleģējumu, </w:t>
            </w:r>
            <w:r w:rsidRPr="005F0222">
              <w:rPr>
                <w:rFonts w:ascii="Times New Roman" w:hAnsi="Times New Roman"/>
                <w:b w:val="0"/>
                <w:bCs w:val="0"/>
                <w:sz w:val="27"/>
                <w:szCs w:val="27"/>
              </w:rPr>
              <w:t xml:space="preserve">kas paredz Ministru kabinetam noteikt </w:t>
            </w:r>
            <w:r w:rsidR="004668A0" w:rsidRPr="005F0222">
              <w:rPr>
                <w:rFonts w:ascii="Times New Roman" w:hAnsi="Times New Roman"/>
                <w:b w:val="0"/>
                <w:bCs w:val="0"/>
                <w:sz w:val="27"/>
                <w:szCs w:val="27"/>
              </w:rPr>
              <w:t>obligāto izglītības vecumu sasniegušo bērnu uzskaites kārtību</w:t>
            </w:r>
            <w:r w:rsidRPr="005F0222">
              <w:rPr>
                <w:rFonts w:ascii="Times New Roman" w:hAnsi="Times New Roman"/>
                <w:b w:val="0"/>
                <w:bCs w:val="0"/>
                <w:sz w:val="27"/>
                <w:szCs w:val="27"/>
              </w:rPr>
              <w:t>;</w:t>
            </w:r>
          </w:p>
          <w:p w:rsidR="008F1F80" w:rsidRPr="005F0222" w:rsidRDefault="002274F6" w:rsidP="00422A41">
            <w:pPr>
              <w:pStyle w:val="tv20787921"/>
              <w:spacing w:after="0" w:line="240" w:lineRule="auto"/>
              <w:jc w:val="both"/>
              <w:rPr>
                <w:rFonts w:ascii="Times New Roman" w:hAnsi="Times New Roman"/>
                <w:b w:val="0"/>
                <w:bCs w:val="0"/>
                <w:sz w:val="27"/>
                <w:szCs w:val="27"/>
              </w:rPr>
            </w:pPr>
            <w:r w:rsidRPr="005F0222">
              <w:rPr>
                <w:rFonts w:ascii="Times New Roman" w:hAnsi="Times New Roman"/>
                <w:b w:val="0"/>
                <w:sz w:val="27"/>
                <w:szCs w:val="27"/>
              </w:rPr>
              <w:t>2) lai nodrošinātu 10.1.</w:t>
            </w:r>
            <w:r w:rsidRPr="005F0222">
              <w:rPr>
                <w:rFonts w:ascii="Times New Roman" w:hAnsi="Times New Roman"/>
                <w:b w:val="0"/>
                <w:i/>
                <w:sz w:val="27"/>
                <w:szCs w:val="27"/>
              </w:rPr>
              <w:t>ex-ante</w:t>
            </w:r>
            <w:r w:rsidRPr="005F0222">
              <w:rPr>
                <w:rFonts w:ascii="Times New Roman" w:hAnsi="Times New Roman"/>
                <w:b w:val="0"/>
                <w:sz w:val="27"/>
                <w:szCs w:val="27"/>
              </w:rPr>
              <w:t xml:space="preserve"> nosacījuma izpildi atbilstoši </w:t>
            </w:r>
            <w:r w:rsidRPr="005F0222">
              <w:rPr>
                <w:rFonts w:ascii="Times New Roman" w:hAnsi="Times New Roman"/>
                <w:b w:val="0"/>
                <w:i/>
                <w:sz w:val="27"/>
                <w:szCs w:val="27"/>
              </w:rPr>
              <w:t>Partnerības līgumā Eiropas Savienības investīciju fondu 2014.–2020.gada plānošanas periodam</w:t>
            </w:r>
            <w:r w:rsidRPr="005F0222">
              <w:rPr>
                <w:rFonts w:ascii="Times New Roman" w:hAnsi="Times New Roman"/>
                <w:b w:val="0"/>
                <w:sz w:val="27"/>
                <w:szCs w:val="27"/>
              </w:rPr>
              <w:t xml:space="preserve"> noteiktajam un uzsāktu 8.3.4.specifiskā atbalsta mērķa „Samazināt priekšlaicīgu mācību pārtraukšanu</w:t>
            </w:r>
            <w:r w:rsidR="00DE415E" w:rsidRPr="005F0222">
              <w:rPr>
                <w:rFonts w:ascii="Times New Roman" w:hAnsi="Times New Roman"/>
                <w:b w:val="0"/>
                <w:sz w:val="27"/>
                <w:szCs w:val="27"/>
              </w:rPr>
              <w:t xml:space="preserve"> (turpmāk – PMP)</w:t>
            </w:r>
            <w:r w:rsidRPr="005F0222">
              <w:rPr>
                <w:rFonts w:ascii="Times New Roman" w:hAnsi="Times New Roman"/>
                <w:b w:val="0"/>
                <w:sz w:val="27"/>
                <w:szCs w:val="27"/>
              </w:rPr>
              <w:t xml:space="preserve">, īstenojot preventīvus un intervences pasākumus” īstenošanu atbilstoši Ministru kabinetā apstiprinātajam laika grafikam (2016.gada 22.marta protokols Nr.14, 34.§ un 37. §), kā arī atbilstoši š.g. 15.marta sanāksmē ar Eiropas Komisiju panāktajai vienošanās un atbilstoši </w:t>
            </w:r>
            <w:r w:rsidRPr="005F0222">
              <w:rPr>
                <w:rFonts w:ascii="Times New Roman" w:hAnsi="Times New Roman"/>
                <w:b w:val="0"/>
                <w:i/>
                <w:sz w:val="27"/>
                <w:szCs w:val="27"/>
              </w:rPr>
              <w:t>konceptuālajam ziņojumam „Par politikas alternatīvu veidošanu priekšlaicīgas mācību pārtraukšanas problēmas risināšanai, lai nodrošinātu 8.3.4.specifiskā atbalsta mērķa „Samazināt priekšlaicīgu mācību pārtraukšanu, īstenojot preventīvus un intervences pasākumus” ieviešanu”</w:t>
            </w:r>
            <w:r w:rsidR="00422A41" w:rsidRPr="005F0222">
              <w:rPr>
                <w:rFonts w:ascii="Times New Roman" w:hAnsi="Times New Roman"/>
                <w:b w:val="0"/>
                <w:i/>
                <w:sz w:val="27"/>
                <w:szCs w:val="27"/>
              </w:rPr>
              <w:t xml:space="preserve"> </w:t>
            </w:r>
            <w:r w:rsidR="00422A41" w:rsidRPr="005F0222">
              <w:rPr>
                <w:rFonts w:ascii="Times New Roman" w:hAnsi="Times New Roman"/>
                <w:b w:val="0"/>
                <w:sz w:val="27"/>
                <w:szCs w:val="27"/>
              </w:rPr>
              <w:t>(atbalstīts ar Ministru kabineta 2016. gada 5. maija rīkojumu Nr.286 (prot. Nr.21 34.§))</w:t>
            </w:r>
            <w:r w:rsidRPr="005F0222">
              <w:rPr>
                <w:rFonts w:ascii="Times New Roman" w:hAnsi="Times New Roman"/>
                <w:b w:val="0"/>
                <w:sz w:val="27"/>
                <w:szCs w:val="27"/>
              </w:rPr>
              <w:t>.</w:t>
            </w:r>
          </w:p>
        </w:tc>
      </w:tr>
      <w:tr w:rsidR="00E37811" w:rsidRPr="005F0222" w:rsidTr="00790962">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2.</w:t>
            </w:r>
          </w:p>
        </w:tc>
        <w:tc>
          <w:tcPr>
            <w:tcW w:w="1001"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rsidR="006B6378" w:rsidRPr="005F0222" w:rsidRDefault="006D38C3" w:rsidP="00422A41">
            <w:pPr>
              <w:jc w:val="both"/>
              <w:rPr>
                <w:sz w:val="27"/>
                <w:szCs w:val="27"/>
              </w:rPr>
            </w:pPr>
            <w:r w:rsidRPr="005F0222">
              <w:rPr>
                <w:sz w:val="27"/>
                <w:szCs w:val="27"/>
              </w:rPr>
              <w:t xml:space="preserve">Šobrīd </w:t>
            </w:r>
            <w:r w:rsidR="003A0838" w:rsidRPr="005F0222">
              <w:rPr>
                <w:sz w:val="27"/>
                <w:szCs w:val="27"/>
              </w:rPr>
              <w:t>Ministru kabineta 2009.gada 4.augusta noteikum</w:t>
            </w:r>
            <w:r w:rsidRPr="005F0222">
              <w:rPr>
                <w:sz w:val="27"/>
                <w:szCs w:val="27"/>
              </w:rPr>
              <w:t>u</w:t>
            </w:r>
            <w:r w:rsidR="003A0838" w:rsidRPr="005F0222">
              <w:rPr>
                <w:sz w:val="27"/>
                <w:szCs w:val="27"/>
              </w:rPr>
              <w:t xml:space="preserve"> Nr.871 „Obligāto izglītības vecumu sasniegušo bērnu uzskaites kārtība”</w:t>
            </w:r>
            <w:r w:rsidR="00422A41" w:rsidRPr="005F0222">
              <w:rPr>
                <w:sz w:val="27"/>
                <w:szCs w:val="27"/>
              </w:rPr>
              <w:t xml:space="preserve"> (turpmāk – noteikumi Nr.871)</w:t>
            </w:r>
            <w:r w:rsidRPr="005F0222">
              <w:rPr>
                <w:sz w:val="27"/>
                <w:szCs w:val="27"/>
              </w:rPr>
              <w:t xml:space="preserve"> 4.punkts paredz Pilsonības un migrācijas lietu pārvaldei reizi ceturksnī (līdz 1.janvārim, 1.aprīlim, 1.jūlijam, 1.oktobrim) elektroniski sniegt Izglītības kvalitātes valsts dienesta</w:t>
            </w:r>
            <w:r w:rsidR="00EC14DC" w:rsidRPr="005F0222">
              <w:rPr>
                <w:sz w:val="27"/>
                <w:szCs w:val="27"/>
              </w:rPr>
              <w:t>m</w:t>
            </w:r>
            <w:r w:rsidRPr="005F0222">
              <w:rPr>
                <w:sz w:val="27"/>
                <w:szCs w:val="27"/>
              </w:rPr>
              <w:t xml:space="preserve"> (turpmāk – kvalitātes dienests) informāciju par visiem bērniem vecumā </w:t>
            </w:r>
            <w:r w:rsidRPr="005F0222">
              <w:rPr>
                <w:sz w:val="27"/>
                <w:szCs w:val="27"/>
                <w:u w:val="single"/>
              </w:rPr>
              <w:t>no septiņiem</w:t>
            </w:r>
            <w:r w:rsidRPr="005F0222">
              <w:rPr>
                <w:sz w:val="27"/>
                <w:szCs w:val="27"/>
              </w:rPr>
              <w:t xml:space="preserve"> līdz </w:t>
            </w:r>
            <w:r w:rsidR="006C378F" w:rsidRPr="005F0222">
              <w:rPr>
                <w:sz w:val="27"/>
                <w:szCs w:val="27"/>
              </w:rPr>
              <w:t>18</w:t>
            </w:r>
            <w:r w:rsidRPr="005F0222">
              <w:rPr>
                <w:sz w:val="27"/>
                <w:szCs w:val="27"/>
              </w:rPr>
              <w:t xml:space="preserve"> gadiem. Saskaņā ar Izglītības likuma 4.pantā noteikto obligāta ir no piecu gadu vecuma bērnu sagatavošana pamatizglītības ieguvei un pamatizglītības iegūšana vai pamatizglītības iegūšanas turpināšana līdz 18 gadu vecuma sasniegšanai. </w:t>
            </w:r>
            <w:r w:rsidR="00EC14DC" w:rsidRPr="005F0222">
              <w:rPr>
                <w:sz w:val="27"/>
                <w:szCs w:val="27"/>
              </w:rPr>
              <w:t>Ievērojot minēto,</w:t>
            </w:r>
            <w:r w:rsidRPr="005F0222">
              <w:rPr>
                <w:sz w:val="27"/>
                <w:szCs w:val="27"/>
              </w:rPr>
              <w:t xml:space="preserve"> nepieciešama uzskaite par visiem obligāto izglītības vecumu sasniegušajiem bērniem, t.i., no piecu gadu vecuma. Līdz ar to </w:t>
            </w:r>
            <w:r w:rsidR="00422A41" w:rsidRPr="005F0222">
              <w:rPr>
                <w:sz w:val="27"/>
                <w:szCs w:val="27"/>
              </w:rPr>
              <w:t xml:space="preserve">ar noteikumu projektu tiek </w:t>
            </w:r>
            <w:r w:rsidR="00422A41" w:rsidRPr="005F0222">
              <w:rPr>
                <w:sz w:val="27"/>
                <w:szCs w:val="27"/>
              </w:rPr>
              <w:lastRenderedPageBreak/>
              <w:t xml:space="preserve">grozīts </w:t>
            </w:r>
            <w:r w:rsidRPr="005F0222">
              <w:rPr>
                <w:sz w:val="27"/>
                <w:szCs w:val="27"/>
              </w:rPr>
              <w:t>noteikumu</w:t>
            </w:r>
            <w:r w:rsidR="00422A41" w:rsidRPr="005F0222">
              <w:rPr>
                <w:sz w:val="27"/>
                <w:szCs w:val="27"/>
              </w:rPr>
              <w:t xml:space="preserve"> Nr.871 4.punkts,</w:t>
            </w:r>
            <w:r w:rsidRPr="005F0222">
              <w:rPr>
                <w:sz w:val="27"/>
                <w:szCs w:val="27"/>
              </w:rPr>
              <w:t xml:space="preserve"> paredz</w:t>
            </w:r>
            <w:r w:rsidR="00422A41" w:rsidRPr="005F0222">
              <w:rPr>
                <w:sz w:val="27"/>
                <w:szCs w:val="27"/>
              </w:rPr>
              <w:t>ot</w:t>
            </w:r>
            <w:r w:rsidRPr="005F0222">
              <w:rPr>
                <w:sz w:val="27"/>
                <w:szCs w:val="27"/>
              </w:rPr>
              <w:t xml:space="preserve">, ka Pilsonības un migrācijas lietu pārvalde sniegs kvalitātes dienestam informāciju par bērniem no piecu gadu </w:t>
            </w:r>
            <w:r w:rsidR="00DE415E" w:rsidRPr="005F0222">
              <w:rPr>
                <w:sz w:val="27"/>
                <w:szCs w:val="27"/>
              </w:rPr>
              <w:t>vecuma, tādejādi nodrošinot papildu iespējas PMP riska novēršanai</w:t>
            </w:r>
            <w:r w:rsidR="00455E52" w:rsidRPr="005F0222">
              <w:rPr>
                <w:sz w:val="27"/>
                <w:szCs w:val="27"/>
              </w:rPr>
              <w:t>.</w:t>
            </w:r>
          </w:p>
        </w:tc>
      </w:tr>
      <w:tr w:rsidR="00E37811" w:rsidRPr="005F0222" w:rsidTr="00790962">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rsidR="00E37811" w:rsidRPr="005F0222" w:rsidRDefault="00E37811" w:rsidP="00877BA4">
            <w:pPr>
              <w:spacing w:before="100" w:beforeAutospacing="1" w:after="100" w:afterAutospacing="1"/>
              <w:jc w:val="both"/>
              <w:rPr>
                <w:sz w:val="27"/>
                <w:szCs w:val="27"/>
              </w:rPr>
            </w:pPr>
            <w:r w:rsidRPr="005F0222">
              <w:rPr>
                <w:sz w:val="27"/>
                <w:szCs w:val="27"/>
              </w:rPr>
              <w:t>Izglītības un zinātnes ministrija, kvalitātes dienests</w:t>
            </w:r>
            <w:r w:rsidR="002274F6" w:rsidRPr="005F0222">
              <w:rPr>
                <w:sz w:val="27"/>
                <w:szCs w:val="27"/>
              </w:rPr>
              <w:t>, Pilsonības un migrācijas lietu pārvalde</w:t>
            </w:r>
            <w:r w:rsidRPr="005F0222">
              <w:rPr>
                <w:sz w:val="27"/>
                <w:szCs w:val="27"/>
              </w:rPr>
              <w:t>.</w:t>
            </w:r>
          </w:p>
        </w:tc>
      </w:tr>
      <w:tr w:rsidR="00E37811" w:rsidRPr="005F0222" w:rsidTr="00790962">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4.</w:t>
            </w:r>
          </w:p>
        </w:tc>
        <w:tc>
          <w:tcPr>
            <w:tcW w:w="1001"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Cita informācija</w:t>
            </w:r>
          </w:p>
        </w:tc>
        <w:tc>
          <w:tcPr>
            <w:tcW w:w="3771"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jc w:val="both"/>
              <w:rPr>
                <w:sz w:val="27"/>
                <w:szCs w:val="27"/>
              </w:rPr>
            </w:pPr>
            <w:r w:rsidRPr="005F0222">
              <w:rPr>
                <w:sz w:val="27"/>
                <w:szCs w:val="27"/>
              </w:rPr>
              <w:t>Nav.</w:t>
            </w:r>
          </w:p>
        </w:tc>
      </w:tr>
    </w:tbl>
    <w:p w:rsidR="00CD0B31" w:rsidRPr="005F0222" w:rsidRDefault="00CD0B31" w:rsidP="00E37811">
      <w:pPr>
        <w:spacing w:before="100" w:beforeAutospacing="1" w:after="100" w:afterAutospacing="1"/>
        <w:jc w:val="both"/>
        <w:rPr>
          <w:sz w:val="27"/>
          <w:szCs w:val="27"/>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E37811" w:rsidRPr="005F0222" w:rsidTr="00790962">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E37811" w:rsidRPr="005F0222" w:rsidRDefault="00E37811" w:rsidP="00790962">
            <w:pPr>
              <w:spacing w:before="100" w:beforeAutospacing="1" w:after="100" w:afterAutospacing="1"/>
              <w:jc w:val="center"/>
              <w:rPr>
                <w:b/>
                <w:bCs/>
                <w:sz w:val="27"/>
                <w:szCs w:val="27"/>
              </w:rPr>
            </w:pPr>
            <w:r w:rsidRPr="005F0222">
              <w:rPr>
                <w:b/>
                <w:bCs/>
                <w:sz w:val="27"/>
                <w:szCs w:val="27"/>
              </w:rPr>
              <w:t>II. Tiesību akta projekta ietekme uz sabiedrību, tautsaimniecības attīstību un administratīvo slogu</w:t>
            </w:r>
          </w:p>
        </w:tc>
      </w:tr>
      <w:tr w:rsidR="00E37811" w:rsidRPr="005F0222" w:rsidTr="00790962">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1.</w:t>
            </w:r>
          </w:p>
        </w:tc>
        <w:tc>
          <w:tcPr>
            <w:tcW w:w="1089"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Sabiedrības mērķgrupas,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jc w:val="both"/>
              <w:rPr>
                <w:sz w:val="27"/>
                <w:szCs w:val="27"/>
              </w:rPr>
            </w:pPr>
            <w:r w:rsidRPr="005F0222">
              <w:rPr>
                <w:sz w:val="27"/>
                <w:szCs w:val="27"/>
              </w:rPr>
              <w:t xml:space="preserve">1) </w:t>
            </w:r>
            <w:r w:rsidR="001C6400" w:rsidRPr="005F0222">
              <w:rPr>
                <w:sz w:val="27"/>
                <w:szCs w:val="27"/>
              </w:rPr>
              <w:t>I</w:t>
            </w:r>
            <w:r w:rsidRPr="005F0222">
              <w:rPr>
                <w:sz w:val="27"/>
                <w:szCs w:val="27"/>
              </w:rPr>
              <w:t xml:space="preserve">zglītības iestādes (apmēram </w:t>
            </w:r>
            <w:r w:rsidR="001C6400" w:rsidRPr="005F0222">
              <w:rPr>
                <w:sz w:val="27"/>
                <w:szCs w:val="27"/>
              </w:rPr>
              <w:t>2</w:t>
            </w:r>
            <w:r w:rsidRPr="005F0222">
              <w:rPr>
                <w:sz w:val="27"/>
                <w:szCs w:val="27"/>
              </w:rPr>
              <w:t>000)</w:t>
            </w:r>
            <w:r w:rsidR="00BC7E2F" w:rsidRPr="005F0222">
              <w:rPr>
                <w:sz w:val="27"/>
                <w:szCs w:val="27"/>
              </w:rPr>
              <w:t>, kuras nodrošina obligāto izglītības vecumu (5 – 18 gadi) sasniegušo bērnu izglītošanu</w:t>
            </w:r>
            <w:r w:rsidR="00C55424" w:rsidRPr="005F0222">
              <w:rPr>
                <w:sz w:val="27"/>
                <w:szCs w:val="27"/>
              </w:rPr>
              <w:t>;</w:t>
            </w:r>
            <w:r w:rsidRPr="005F0222">
              <w:rPr>
                <w:sz w:val="27"/>
                <w:szCs w:val="27"/>
              </w:rPr>
              <w:t xml:space="preserve"> </w:t>
            </w:r>
          </w:p>
          <w:p w:rsidR="00E37811" w:rsidRPr="005F0222" w:rsidRDefault="004A758C" w:rsidP="00790962">
            <w:pPr>
              <w:jc w:val="both"/>
              <w:rPr>
                <w:sz w:val="27"/>
                <w:szCs w:val="27"/>
              </w:rPr>
            </w:pPr>
            <w:r w:rsidRPr="005F0222">
              <w:rPr>
                <w:sz w:val="27"/>
                <w:szCs w:val="27"/>
              </w:rPr>
              <w:t>2</w:t>
            </w:r>
            <w:r w:rsidR="00BC7E2F" w:rsidRPr="005F0222">
              <w:rPr>
                <w:sz w:val="27"/>
                <w:szCs w:val="27"/>
              </w:rPr>
              <w:t xml:space="preserve">) </w:t>
            </w:r>
            <w:r w:rsidR="00C55424" w:rsidRPr="005F0222">
              <w:rPr>
                <w:sz w:val="27"/>
                <w:szCs w:val="27"/>
                <w:u w:val="single"/>
              </w:rPr>
              <w:t>p</w:t>
            </w:r>
            <w:r w:rsidR="00E37811" w:rsidRPr="005F0222">
              <w:rPr>
                <w:sz w:val="27"/>
                <w:szCs w:val="27"/>
                <w:u w:val="single"/>
              </w:rPr>
              <w:t>otenciālie</w:t>
            </w:r>
            <w:r w:rsidR="00E37811" w:rsidRPr="005F0222">
              <w:rPr>
                <w:sz w:val="27"/>
                <w:szCs w:val="27"/>
              </w:rPr>
              <w:t xml:space="preserve"> izglītības iestāžu dibinātāji</w:t>
            </w:r>
            <w:r w:rsidRPr="005F0222">
              <w:rPr>
                <w:sz w:val="27"/>
                <w:szCs w:val="27"/>
              </w:rPr>
              <w:t xml:space="preserve">, kas </w:t>
            </w:r>
            <w:r w:rsidR="006C378F" w:rsidRPr="005F0222">
              <w:rPr>
                <w:sz w:val="27"/>
                <w:szCs w:val="27"/>
              </w:rPr>
              <w:t>plāno uzsākt</w:t>
            </w:r>
            <w:r w:rsidRPr="005F0222">
              <w:rPr>
                <w:sz w:val="27"/>
                <w:szCs w:val="27"/>
              </w:rPr>
              <w:t xml:space="preserve"> obligāto izglītības vecumu (5 – 18 gadi) sasniegušo bērnu izglītošanu</w:t>
            </w:r>
            <w:r w:rsidR="00C55424" w:rsidRPr="005F0222">
              <w:rPr>
                <w:sz w:val="27"/>
                <w:szCs w:val="27"/>
              </w:rPr>
              <w:t>;</w:t>
            </w:r>
          </w:p>
          <w:p w:rsidR="00E37811" w:rsidRPr="005F0222" w:rsidRDefault="004A758C" w:rsidP="00D93814">
            <w:pPr>
              <w:jc w:val="both"/>
              <w:rPr>
                <w:sz w:val="27"/>
                <w:szCs w:val="27"/>
              </w:rPr>
            </w:pPr>
            <w:r w:rsidRPr="005F0222">
              <w:rPr>
                <w:sz w:val="27"/>
                <w:szCs w:val="27"/>
              </w:rPr>
              <w:t>3) pašvaldības, kuru pienākums</w:t>
            </w:r>
            <w:r w:rsidR="00877BA4" w:rsidRPr="005F0222">
              <w:rPr>
                <w:sz w:val="27"/>
                <w:szCs w:val="27"/>
              </w:rPr>
              <w:t xml:space="preserve"> saņemto informāciju par obligāto izglītības vecumu (5 – 18 gadi) sasniegušajiem bērniem, kuri neapmeklē izglītības iestādes, pārbaudīt sadarbībā ar Valsts sociālās apdrošināšanas aģentūras filiāli, pašvaldības dzimtsarakstu nodaļu un policijas nodaļu, kā arī pēc bērnu atrašanās vietas noskaidrošanas kārtot jautājumu par viņu mācībām izglītības iestādēs.</w:t>
            </w:r>
          </w:p>
        </w:tc>
      </w:tr>
      <w:tr w:rsidR="00E37811" w:rsidRPr="005F0222" w:rsidTr="00790962">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2.</w:t>
            </w:r>
          </w:p>
        </w:tc>
        <w:tc>
          <w:tcPr>
            <w:tcW w:w="1089"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rsidR="00140A1E" w:rsidRPr="005F0222" w:rsidRDefault="00E37811" w:rsidP="001C6400">
            <w:pPr>
              <w:jc w:val="both"/>
              <w:rPr>
                <w:sz w:val="27"/>
                <w:szCs w:val="27"/>
              </w:rPr>
            </w:pPr>
            <w:r w:rsidRPr="005F0222">
              <w:rPr>
                <w:sz w:val="27"/>
                <w:szCs w:val="27"/>
              </w:rPr>
              <w:t>Noteikumu projekta ietekme uz sabiedrību, tautsaimniecības attīstību un administratīvo slogu ir saistāma ar</w:t>
            </w:r>
            <w:r w:rsidR="00140A1E" w:rsidRPr="005F0222">
              <w:rPr>
                <w:sz w:val="27"/>
                <w:szCs w:val="27"/>
              </w:rPr>
              <w:t>:</w:t>
            </w:r>
          </w:p>
          <w:p w:rsidR="00E37811" w:rsidRPr="005F0222" w:rsidRDefault="00140A1E" w:rsidP="001C6400">
            <w:pPr>
              <w:jc w:val="both"/>
              <w:rPr>
                <w:sz w:val="27"/>
                <w:szCs w:val="27"/>
              </w:rPr>
            </w:pPr>
            <w:r w:rsidRPr="005F0222">
              <w:rPr>
                <w:sz w:val="27"/>
                <w:szCs w:val="27"/>
              </w:rPr>
              <w:t>-</w:t>
            </w:r>
            <w:r w:rsidR="00E37811" w:rsidRPr="005F0222">
              <w:rPr>
                <w:sz w:val="27"/>
                <w:szCs w:val="27"/>
              </w:rPr>
              <w:t xml:space="preserve"> </w:t>
            </w:r>
            <w:r w:rsidR="004A758C" w:rsidRPr="005F0222">
              <w:rPr>
                <w:sz w:val="27"/>
                <w:szCs w:val="27"/>
                <w:u w:val="single"/>
              </w:rPr>
              <w:t>visu obligāto izglītības vecumu sasniegušo bērnu</w:t>
            </w:r>
            <w:r w:rsidR="004A758C" w:rsidRPr="005F0222">
              <w:rPr>
                <w:sz w:val="27"/>
                <w:szCs w:val="27"/>
              </w:rPr>
              <w:t xml:space="preserve"> uzskaites nodrošināšanu, t.i.</w:t>
            </w:r>
            <w:r w:rsidR="00F64B83" w:rsidRPr="005F0222">
              <w:rPr>
                <w:sz w:val="27"/>
                <w:szCs w:val="27"/>
              </w:rPr>
              <w:t>,</w:t>
            </w:r>
            <w:r w:rsidR="004A758C" w:rsidRPr="005F0222">
              <w:rPr>
                <w:sz w:val="27"/>
                <w:szCs w:val="27"/>
              </w:rPr>
              <w:t xml:space="preserve"> no </w:t>
            </w:r>
            <w:r w:rsidR="006C378F" w:rsidRPr="005F0222">
              <w:rPr>
                <w:sz w:val="27"/>
                <w:szCs w:val="27"/>
              </w:rPr>
              <w:t>pieciem</w:t>
            </w:r>
            <w:r w:rsidR="004A758C" w:rsidRPr="005F0222">
              <w:rPr>
                <w:sz w:val="27"/>
                <w:szCs w:val="27"/>
              </w:rPr>
              <w:t xml:space="preserve"> </w:t>
            </w:r>
            <w:r w:rsidR="006C378F" w:rsidRPr="005F0222">
              <w:rPr>
                <w:sz w:val="27"/>
                <w:szCs w:val="27"/>
              </w:rPr>
              <w:t>līdz</w:t>
            </w:r>
            <w:r w:rsidR="004A758C" w:rsidRPr="005F0222">
              <w:rPr>
                <w:sz w:val="27"/>
                <w:szCs w:val="27"/>
              </w:rPr>
              <w:t xml:space="preserve"> 18 gadiem, šajā procesā iesaist</w:t>
            </w:r>
            <w:r w:rsidR="00F64B83" w:rsidRPr="005F0222">
              <w:rPr>
                <w:sz w:val="27"/>
                <w:szCs w:val="27"/>
              </w:rPr>
              <w:t>ot gan izglītības iestādes, kurā</w:t>
            </w:r>
            <w:r w:rsidR="004A758C" w:rsidRPr="005F0222">
              <w:rPr>
                <w:sz w:val="27"/>
                <w:szCs w:val="27"/>
              </w:rPr>
              <w:t xml:space="preserve">s </w:t>
            </w:r>
            <w:r w:rsidR="001C6400" w:rsidRPr="005F0222">
              <w:rPr>
                <w:sz w:val="27"/>
                <w:szCs w:val="27"/>
              </w:rPr>
              <w:t>izglīto</w:t>
            </w:r>
            <w:r w:rsidR="00F64B83" w:rsidRPr="005F0222">
              <w:rPr>
                <w:sz w:val="27"/>
                <w:szCs w:val="27"/>
              </w:rPr>
              <w:t>jas</w:t>
            </w:r>
            <w:r w:rsidR="001C6400" w:rsidRPr="005F0222">
              <w:rPr>
                <w:sz w:val="27"/>
                <w:szCs w:val="27"/>
              </w:rPr>
              <w:t xml:space="preserve"> bērn</w:t>
            </w:r>
            <w:r w:rsidR="00F64B83" w:rsidRPr="005F0222">
              <w:rPr>
                <w:sz w:val="27"/>
                <w:szCs w:val="27"/>
              </w:rPr>
              <w:t>i</w:t>
            </w:r>
            <w:r w:rsidR="004A758C" w:rsidRPr="005F0222">
              <w:rPr>
                <w:sz w:val="27"/>
                <w:szCs w:val="27"/>
              </w:rPr>
              <w:t xml:space="preserve"> obligāt</w:t>
            </w:r>
            <w:r w:rsidR="001C6400" w:rsidRPr="005F0222">
              <w:rPr>
                <w:sz w:val="27"/>
                <w:szCs w:val="27"/>
              </w:rPr>
              <w:t>ajā</w:t>
            </w:r>
            <w:r w:rsidR="004A758C" w:rsidRPr="005F0222">
              <w:rPr>
                <w:sz w:val="27"/>
                <w:szCs w:val="27"/>
              </w:rPr>
              <w:t xml:space="preserve"> izglītības vecum</w:t>
            </w:r>
            <w:r w:rsidR="001C6400" w:rsidRPr="005F0222">
              <w:rPr>
                <w:sz w:val="27"/>
                <w:szCs w:val="27"/>
              </w:rPr>
              <w:t>ā</w:t>
            </w:r>
            <w:r w:rsidR="004A758C" w:rsidRPr="005F0222">
              <w:rPr>
                <w:sz w:val="27"/>
                <w:szCs w:val="27"/>
              </w:rPr>
              <w:t xml:space="preserve"> (5 – 18 gadi)</w:t>
            </w:r>
            <w:r w:rsidR="006C046D" w:rsidRPr="005F0222">
              <w:rPr>
                <w:sz w:val="27"/>
                <w:szCs w:val="27"/>
              </w:rPr>
              <w:t>, gan pašvaldības</w:t>
            </w:r>
            <w:r w:rsidR="003666F3" w:rsidRPr="005F0222">
              <w:rPr>
                <w:sz w:val="27"/>
                <w:szCs w:val="27"/>
              </w:rPr>
              <w:t xml:space="preserve">, gan valsts pārvaldes institūcijas, kuru rīcībā ir informācija par minētajiem </w:t>
            </w:r>
            <w:r w:rsidR="00F64B83" w:rsidRPr="005F0222">
              <w:rPr>
                <w:sz w:val="27"/>
                <w:szCs w:val="27"/>
              </w:rPr>
              <w:t>bērn</w:t>
            </w:r>
            <w:r w:rsidR="003666F3" w:rsidRPr="005F0222">
              <w:rPr>
                <w:sz w:val="27"/>
                <w:szCs w:val="27"/>
              </w:rPr>
              <w:t>iem</w:t>
            </w:r>
            <w:r w:rsidRPr="005F0222">
              <w:rPr>
                <w:sz w:val="27"/>
                <w:szCs w:val="27"/>
              </w:rPr>
              <w:t>;</w:t>
            </w:r>
          </w:p>
          <w:p w:rsidR="00140A1E" w:rsidRPr="005F0222" w:rsidRDefault="00140A1E" w:rsidP="006F7080">
            <w:pPr>
              <w:jc w:val="both"/>
              <w:rPr>
                <w:sz w:val="27"/>
                <w:szCs w:val="27"/>
              </w:rPr>
            </w:pPr>
            <w:r w:rsidRPr="005F0222">
              <w:rPr>
                <w:sz w:val="27"/>
                <w:szCs w:val="27"/>
              </w:rPr>
              <w:t>- V</w:t>
            </w:r>
            <w:r w:rsidR="006F7080" w:rsidRPr="005F0222">
              <w:rPr>
                <w:sz w:val="27"/>
                <w:szCs w:val="27"/>
              </w:rPr>
              <w:t>alsts izglītības informācijas sistēmas (turpmāk – VIIS)</w:t>
            </w:r>
            <w:r w:rsidRPr="005F0222">
              <w:rPr>
                <w:sz w:val="27"/>
                <w:szCs w:val="27"/>
              </w:rPr>
              <w:t xml:space="preserve"> funkcionalitātes paplašināšanu, nodrošinot papildu iespējas PMP riska novēršanai, kā arī </w:t>
            </w:r>
            <w:r w:rsidRPr="005F0222">
              <w:rPr>
                <w:sz w:val="27"/>
                <w:szCs w:val="27"/>
              </w:rPr>
              <w:lastRenderedPageBreak/>
              <w:t>atvieglojot normatīvajos aktos, piemēram, likumā “Par pašvaldībām” un Ministru kabineta 2014.gada 25.marta noteikumos Nr.157 “Nepilngadīgo personu atbalsta informācijas sistēmas noteikumi” noteiktā izpildi.</w:t>
            </w:r>
          </w:p>
        </w:tc>
      </w:tr>
      <w:tr w:rsidR="00E37811" w:rsidRPr="005F0222" w:rsidTr="00790962">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lastRenderedPageBreak/>
              <w:t>3.</w:t>
            </w:r>
          </w:p>
        </w:tc>
        <w:tc>
          <w:tcPr>
            <w:tcW w:w="1089"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rsidR="00E37811" w:rsidRPr="005F0222" w:rsidRDefault="00E37811" w:rsidP="00140A1E">
            <w:pPr>
              <w:spacing w:before="100" w:beforeAutospacing="1" w:after="100" w:afterAutospacing="1"/>
              <w:jc w:val="both"/>
              <w:rPr>
                <w:sz w:val="27"/>
                <w:szCs w:val="27"/>
              </w:rPr>
            </w:pPr>
            <w:r w:rsidRPr="005F0222">
              <w:rPr>
                <w:sz w:val="27"/>
                <w:szCs w:val="27"/>
              </w:rPr>
              <w:t xml:space="preserve">Nav aprēķināms pēc Ministru kabineta 2009.gada 15.decembra instrukcijā Nr.19 „Tiesību akta projekta sākotnējās ietekmes izvērtēšanas kārtība” 25.punktā noteiktās metodikas, jo informācijas ievades un atjaunošanas regularitāte un apjoms ir dažādi atkarībā no </w:t>
            </w:r>
            <w:r w:rsidR="003666F3" w:rsidRPr="005F0222">
              <w:rPr>
                <w:sz w:val="27"/>
                <w:szCs w:val="27"/>
              </w:rPr>
              <w:t>izglītības iestādes neapmeklēšanas cēloņiem u.tml.</w:t>
            </w:r>
          </w:p>
        </w:tc>
      </w:tr>
      <w:tr w:rsidR="00E37811" w:rsidRPr="005F0222" w:rsidTr="00790962">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4.</w:t>
            </w:r>
          </w:p>
        </w:tc>
        <w:tc>
          <w:tcPr>
            <w:tcW w:w="1089"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Cita informācija</w:t>
            </w:r>
          </w:p>
        </w:tc>
        <w:tc>
          <w:tcPr>
            <w:tcW w:w="3193" w:type="pct"/>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jc w:val="both"/>
              <w:rPr>
                <w:sz w:val="27"/>
                <w:szCs w:val="27"/>
              </w:rPr>
            </w:pPr>
            <w:r w:rsidRPr="005F0222">
              <w:rPr>
                <w:sz w:val="27"/>
                <w:szCs w:val="27"/>
              </w:rPr>
              <w:t xml:space="preserve"> Nav.</w:t>
            </w:r>
          </w:p>
        </w:tc>
      </w:tr>
    </w:tbl>
    <w:p w:rsidR="00E37811" w:rsidRPr="005F0222" w:rsidRDefault="00E37811" w:rsidP="00E37811">
      <w:pPr>
        <w:spacing w:before="100" w:beforeAutospacing="1" w:after="100" w:afterAutospacing="1"/>
        <w:rPr>
          <w:sz w:val="27"/>
          <w:szCs w:val="27"/>
        </w:rPr>
      </w:pPr>
    </w:p>
    <w:tbl>
      <w:tblPr>
        <w:tblW w:w="4997"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88"/>
        <w:gridCol w:w="1227"/>
        <w:gridCol w:w="1335"/>
        <w:gridCol w:w="1420"/>
        <w:gridCol w:w="1420"/>
        <w:gridCol w:w="1891"/>
      </w:tblGrid>
      <w:tr w:rsidR="00E37811" w:rsidRPr="005F0222" w:rsidTr="00790962">
        <w:trPr>
          <w:trHeight w:val="652"/>
          <w:jc w:val="center"/>
        </w:trPr>
        <w:tc>
          <w:tcPr>
            <w:tcW w:w="5000" w:type="pct"/>
            <w:gridSpan w:val="6"/>
          </w:tcPr>
          <w:p w:rsidR="00E37811" w:rsidRPr="005F0222" w:rsidRDefault="00E37811" w:rsidP="00790962">
            <w:pPr>
              <w:pStyle w:val="naisnod"/>
              <w:spacing w:before="0" w:after="0"/>
              <w:rPr>
                <w:b w:val="0"/>
                <w:i/>
                <w:sz w:val="27"/>
                <w:szCs w:val="27"/>
                <w:lang w:eastAsia="en-GB"/>
              </w:rPr>
            </w:pPr>
            <w:r w:rsidRPr="005F0222">
              <w:rPr>
                <w:sz w:val="27"/>
                <w:szCs w:val="27"/>
              </w:rPr>
              <w:br w:type="page"/>
            </w:r>
            <w:r w:rsidRPr="005F0222">
              <w:rPr>
                <w:sz w:val="27"/>
                <w:szCs w:val="27"/>
                <w:lang w:eastAsia="en-GB"/>
              </w:rPr>
              <w:t>III. Tiesību  akta projekta ietekme uz valsts budžetu un pašvaldību budžetiem</w:t>
            </w:r>
          </w:p>
        </w:tc>
      </w:tr>
      <w:tr w:rsidR="00E37811" w:rsidRPr="005F0222" w:rsidTr="00790962">
        <w:trPr>
          <w:trHeight w:val="652"/>
          <w:jc w:val="center"/>
        </w:trPr>
        <w:tc>
          <w:tcPr>
            <w:tcW w:w="5000" w:type="pct"/>
            <w:gridSpan w:val="6"/>
          </w:tcPr>
          <w:p w:rsidR="00E37811" w:rsidRPr="005F0222" w:rsidRDefault="00E37811" w:rsidP="00790962">
            <w:pPr>
              <w:pStyle w:val="naisnod"/>
              <w:spacing w:before="0" w:after="0"/>
              <w:jc w:val="left"/>
              <w:rPr>
                <w:sz w:val="27"/>
                <w:szCs w:val="27"/>
              </w:rPr>
            </w:pPr>
          </w:p>
        </w:tc>
      </w:tr>
      <w:tr w:rsidR="00E37811" w:rsidRPr="005F0222" w:rsidTr="00790962">
        <w:trPr>
          <w:jc w:val="center"/>
        </w:trPr>
        <w:tc>
          <w:tcPr>
            <w:tcW w:w="1071" w:type="pct"/>
            <w:vMerge w:val="restart"/>
            <w:vAlign w:val="center"/>
          </w:tcPr>
          <w:p w:rsidR="00E37811" w:rsidRPr="005F0222" w:rsidRDefault="00E37811" w:rsidP="00790962">
            <w:pPr>
              <w:pStyle w:val="naisf"/>
              <w:spacing w:before="0" w:after="0"/>
              <w:jc w:val="center"/>
              <w:rPr>
                <w:b/>
                <w:sz w:val="27"/>
                <w:szCs w:val="27"/>
                <w:lang w:eastAsia="en-GB"/>
              </w:rPr>
            </w:pPr>
            <w:r w:rsidRPr="005F0222">
              <w:rPr>
                <w:b/>
                <w:sz w:val="27"/>
                <w:szCs w:val="27"/>
                <w:lang w:eastAsia="en-GB"/>
              </w:rPr>
              <w:t>Rādītāji</w:t>
            </w:r>
          </w:p>
        </w:tc>
        <w:tc>
          <w:tcPr>
            <w:tcW w:w="1380" w:type="pct"/>
            <w:gridSpan w:val="2"/>
            <w:vMerge w:val="restart"/>
            <w:vAlign w:val="center"/>
          </w:tcPr>
          <w:p w:rsidR="00E37811" w:rsidRPr="005F0222" w:rsidRDefault="00E37811" w:rsidP="00E04DFF">
            <w:pPr>
              <w:pStyle w:val="naisf"/>
              <w:spacing w:before="0" w:after="0"/>
              <w:jc w:val="center"/>
              <w:rPr>
                <w:b/>
                <w:sz w:val="27"/>
                <w:szCs w:val="27"/>
                <w:lang w:eastAsia="en-GB"/>
              </w:rPr>
            </w:pPr>
            <w:r w:rsidRPr="005F0222">
              <w:rPr>
                <w:b/>
                <w:sz w:val="27"/>
                <w:szCs w:val="27"/>
                <w:lang w:eastAsia="en-GB"/>
              </w:rPr>
              <w:t>201</w:t>
            </w:r>
            <w:r w:rsidR="00E04DFF" w:rsidRPr="005F0222">
              <w:rPr>
                <w:b/>
                <w:sz w:val="27"/>
                <w:szCs w:val="27"/>
                <w:lang w:eastAsia="en-GB"/>
              </w:rPr>
              <w:t>6</w:t>
            </w:r>
            <w:r w:rsidRPr="005F0222">
              <w:rPr>
                <w:b/>
                <w:sz w:val="27"/>
                <w:szCs w:val="27"/>
                <w:lang w:eastAsia="en-GB"/>
              </w:rPr>
              <w:t>.gads</w:t>
            </w:r>
          </w:p>
        </w:tc>
        <w:tc>
          <w:tcPr>
            <w:tcW w:w="2530" w:type="pct"/>
            <w:gridSpan w:val="3"/>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Turpmākie trīs gadi (</w:t>
            </w:r>
            <w:r w:rsidRPr="005F0222">
              <w:rPr>
                <w:i/>
                <w:sz w:val="27"/>
                <w:szCs w:val="27"/>
                <w:lang w:eastAsia="en-GB"/>
              </w:rPr>
              <w:t>euro</w:t>
            </w:r>
            <w:r w:rsidRPr="005F0222">
              <w:rPr>
                <w:sz w:val="27"/>
                <w:szCs w:val="27"/>
                <w:lang w:eastAsia="en-GB"/>
              </w:rPr>
              <w:t>)</w:t>
            </w:r>
          </w:p>
        </w:tc>
      </w:tr>
      <w:tr w:rsidR="00E37811" w:rsidRPr="005F0222" w:rsidTr="00790962">
        <w:trPr>
          <w:jc w:val="center"/>
        </w:trPr>
        <w:tc>
          <w:tcPr>
            <w:tcW w:w="1071" w:type="pct"/>
            <w:vMerge/>
            <w:vAlign w:val="center"/>
          </w:tcPr>
          <w:p w:rsidR="00E37811" w:rsidRPr="005F0222" w:rsidRDefault="00E37811" w:rsidP="00790962">
            <w:pPr>
              <w:rPr>
                <w:b/>
                <w:sz w:val="27"/>
                <w:szCs w:val="27"/>
                <w:lang w:eastAsia="en-GB"/>
              </w:rPr>
            </w:pPr>
          </w:p>
        </w:tc>
        <w:tc>
          <w:tcPr>
            <w:tcW w:w="1380" w:type="pct"/>
            <w:gridSpan w:val="2"/>
            <w:vMerge/>
            <w:vAlign w:val="center"/>
          </w:tcPr>
          <w:p w:rsidR="00E37811" w:rsidRPr="005F0222" w:rsidRDefault="00E37811" w:rsidP="00790962">
            <w:pPr>
              <w:rPr>
                <w:b/>
                <w:sz w:val="27"/>
                <w:szCs w:val="27"/>
                <w:lang w:eastAsia="en-GB"/>
              </w:rPr>
            </w:pPr>
          </w:p>
        </w:tc>
        <w:tc>
          <w:tcPr>
            <w:tcW w:w="765" w:type="pct"/>
            <w:vAlign w:val="center"/>
          </w:tcPr>
          <w:p w:rsidR="00E37811" w:rsidRPr="005F0222" w:rsidRDefault="00E37811" w:rsidP="00E04DFF">
            <w:pPr>
              <w:pStyle w:val="naisf"/>
              <w:spacing w:before="0" w:after="0"/>
              <w:jc w:val="center"/>
              <w:rPr>
                <w:b/>
                <w:i/>
                <w:sz w:val="27"/>
                <w:szCs w:val="27"/>
                <w:lang w:eastAsia="en-GB"/>
              </w:rPr>
            </w:pPr>
            <w:r w:rsidRPr="005F0222">
              <w:rPr>
                <w:b/>
                <w:sz w:val="27"/>
                <w:szCs w:val="27"/>
                <w:lang w:eastAsia="en-GB"/>
              </w:rPr>
              <w:t>201</w:t>
            </w:r>
            <w:r w:rsidR="00E04DFF" w:rsidRPr="005F0222">
              <w:rPr>
                <w:b/>
                <w:sz w:val="27"/>
                <w:szCs w:val="27"/>
                <w:lang w:eastAsia="en-GB"/>
              </w:rPr>
              <w:t>7</w:t>
            </w:r>
            <w:r w:rsidRPr="005F0222">
              <w:rPr>
                <w:b/>
                <w:sz w:val="27"/>
                <w:szCs w:val="27"/>
                <w:lang w:eastAsia="en-GB"/>
              </w:rPr>
              <w:t>.gads</w:t>
            </w:r>
          </w:p>
        </w:tc>
        <w:tc>
          <w:tcPr>
            <w:tcW w:w="765" w:type="pct"/>
            <w:vAlign w:val="center"/>
          </w:tcPr>
          <w:p w:rsidR="00E37811" w:rsidRPr="005F0222" w:rsidRDefault="00E37811" w:rsidP="00E04DFF">
            <w:pPr>
              <w:pStyle w:val="naisf"/>
              <w:spacing w:before="0" w:after="0"/>
              <w:jc w:val="center"/>
              <w:rPr>
                <w:b/>
                <w:i/>
                <w:sz w:val="27"/>
                <w:szCs w:val="27"/>
                <w:lang w:eastAsia="en-GB"/>
              </w:rPr>
            </w:pPr>
            <w:r w:rsidRPr="005F0222">
              <w:rPr>
                <w:b/>
                <w:sz w:val="27"/>
                <w:szCs w:val="27"/>
                <w:lang w:eastAsia="en-GB"/>
              </w:rPr>
              <w:t>201</w:t>
            </w:r>
            <w:r w:rsidR="00E04DFF" w:rsidRPr="005F0222">
              <w:rPr>
                <w:b/>
                <w:sz w:val="27"/>
                <w:szCs w:val="27"/>
                <w:lang w:eastAsia="en-GB"/>
              </w:rPr>
              <w:t>8</w:t>
            </w:r>
            <w:r w:rsidRPr="005F0222">
              <w:rPr>
                <w:b/>
                <w:sz w:val="27"/>
                <w:szCs w:val="27"/>
                <w:lang w:eastAsia="en-GB"/>
              </w:rPr>
              <w:t>.gads</w:t>
            </w:r>
          </w:p>
        </w:tc>
        <w:tc>
          <w:tcPr>
            <w:tcW w:w="999" w:type="pct"/>
            <w:vAlign w:val="center"/>
          </w:tcPr>
          <w:p w:rsidR="00E37811" w:rsidRPr="005F0222" w:rsidRDefault="00E37811" w:rsidP="00E04DFF">
            <w:pPr>
              <w:pStyle w:val="naisf"/>
              <w:spacing w:before="0" w:after="0"/>
              <w:jc w:val="center"/>
              <w:rPr>
                <w:b/>
                <w:i/>
                <w:sz w:val="27"/>
                <w:szCs w:val="27"/>
                <w:lang w:eastAsia="en-GB"/>
              </w:rPr>
            </w:pPr>
            <w:r w:rsidRPr="005F0222">
              <w:rPr>
                <w:b/>
                <w:sz w:val="27"/>
                <w:szCs w:val="27"/>
                <w:lang w:eastAsia="en-GB"/>
              </w:rPr>
              <w:t>201</w:t>
            </w:r>
            <w:r w:rsidR="00E04DFF" w:rsidRPr="005F0222">
              <w:rPr>
                <w:b/>
                <w:sz w:val="27"/>
                <w:szCs w:val="27"/>
                <w:lang w:eastAsia="en-GB"/>
              </w:rPr>
              <w:t>9</w:t>
            </w:r>
            <w:r w:rsidRPr="005F0222">
              <w:rPr>
                <w:b/>
                <w:sz w:val="27"/>
                <w:szCs w:val="27"/>
                <w:lang w:eastAsia="en-GB"/>
              </w:rPr>
              <w:t>.gads</w:t>
            </w:r>
          </w:p>
        </w:tc>
      </w:tr>
      <w:tr w:rsidR="00E37811" w:rsidRPr="005F0222" w:rsidTr="00790962">
        <w:trPr>
          <w:jc w:val="center"/>
        </w:trPr>
        <w:tc>
          <w:tcPr>
            <w:tcW w:w="1071" w:type="pct"/>
            <w:vMerge/>
            <w:vAlign w:val="center"/>
          </w:tcPr>
          <w:p w:rsidR="00E37811" w:rsidRPr="005F0222" w:rsidRDefault="00E37811" w:rsidP="00790962">
            <w:pPr>
              <w:rPr>
                <w:b/>
                <w:sz w:val="27"/>
                <w:szCs w:val="27"/>
                <w:lang w:eastAsia="en-GB"/>
              </w:rPr>
            </w:pPr>
          </w:p>
        </w:tc>
        <w:tc>
          <w:tcPr>
            <w:tcW w:w="661" w:type="pct"/>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Saskaņā ar valsts budžetu kārtējam gadam</w:t>
            </w:r>
          </w:p>
        </w:tc>
        <w:tc>
          <w:tcPr>
            <w:tcW w:w="719" w:type="pct"/>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Izmaiņas kārtējā gadā, salīdzinot ar budžetu kārtējam gadam</w:t>
            </w:r>
          </w:p>
        </w:tc>
        <w:tc>
          <w:tcPr>
            <w:tcW w:w="765" w:type="pct"/>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Izmaiņas, salīdzinot ar kārtējo 2015.gadu</w:t>
            </w:r>
          </w:p>
        </w:tc>
        <w:tc>
          <w:tcPr>
            <w:tcW w:w="765" w:type="pct"/>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Izmaiņas, salīdzinot ar kārtējo 2015.gadu</w:t>
            </w:r>
          </w:p>
        </w:tc>
        <w:tc>
          <w:tcPr>
            <w:tcW w:w="999" w:type="pct"/>
            <w:vAlign w:val="center"/>
          </w:tcPr>
          <w:p w:rsidR="00E37811" w:rsidRPr="005F0222" w:rsidRDefault="00E37811" w:rsidP="00790962">
            <w:pPr>
              <w:pStyle w:val="naisf"/>
              <w:spacing w:before="0" w:after="0"/>
              <w:jc w:val="center"/>
              <w:rPr>
                <w:b/>
                <w:i/>
                <w:sz w:val="27"/>
                <w:szCs w:val="27"/>
                <w:lang w:eastAsia="en-GB"/>
              </w:rPr>
            </w:pPr>
            <w:r w:rsidRPr="005F0222">
              <w:rPr>
                <w:sz w:val="27"/>
                <w:szCs w:val="27"/>
                <w:lang w:eastAsia="en-GB"/>
              </w:rPr>
              <w:t>Izmaiņas, salīdzinot ar kārtējo 2015.gadu</w:t>
            </w:r>
          </w:p>
        </w:tc>
      </w:tr>
      <w:tr w:rsidR="00E37811" w:rsidRPr="005F0222" w:rsidTr="00790962">
        <w:trPr>
          <w:jc w:val="center"/>
        </w:trPr>
        <w:tc>
          <w:tcPr>
            <w:tcW w:w="1071"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1</w:t>
            </w:r>
          </w:p>
        </w:tc>
        <w:tc>
          <w:tcPr>
            <w:tcW w:w="661"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2</w:t>
            </w:r>
          </w:p>
        </w:tc>
        <w:tc>
          <w:tcPr>
            <w:tcW w:w="719"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3</w:t>
            </w:r>
          </w:p>
        </w:tc>
        <w:tc>
          <w:tcPr>
            <w:tcW w:w="765"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4</w:t>
            </w:r>
          </w:p>
        </w:tc>
        <w:tc>
          <w:tcPr>
            <w:tcW w:w="765"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5</w:t>
            </w:r>
          </w:p>
        </w:tc>
        <w:tc>
          <w:tcPr>
            <w:tcW w:w="999" w:type="pct"/>
            <w:vAlign w:val="center"/>
          </w:tcPr>
          <w:p w:rsidR="00E37811" w:rsidRPr="005F0222" w:rsidRDefault="00E37811" w:rsidP="00790962">
            <w:pPr>
              <w:pStyle w:val="naisf"/>
              <w:spacing w:before="0" w:after="0"/>
              <w:jc w:val="center"/>
              <w:rPr>
                <w:bCs/>
                <w:sz w:val="27"/>
                <w:szCs w:val="27"/>
                <w:lang w:eastAsia="en-GB"/>
              </w:rPr>
            </w:pPr>
            <w:r w:rsidRPr="005F0222">
              <w:rPr>
                <w:bCs/>
                <w:sz w:val="27"/>
                <w:szCs w:val="27"/>
                <w:lang w:eastAsia="en-GB"/>
              </w:rPr>
              <w:t>6</w:t>
            </w:r>
          </w:p>
        </w:tc>
      </w:tr>
      <w:tr w:rsidR="00E37811" w:rsidRPr="005F0222" w:rsidTr="00790962">
        <w:trPr>
          <w:jc w:val="center"/>
        </w:trPr>
        <w:tc>
          <w:tcPr>
            <w:tcW w:w="1071" w:type="pct"/>
          </w:tcPr>
          <w:p w:rsidR="00E37811" w:rsidRPr="005F0222" w:rsidRDefault="00E37811" w:rsidP="00790962">
            <w:pPr>
              <w:pStyle w:val="naisf"/>
              <w:spacing w:before="0" w:after="0"/>
              <w:jc w:val="left"/>
              <w:rPr>
                <w:i/>
                <w:sz w:val="27"/>
                <w:szCs w:val="27"/>
                <w:lang w:eastAsia="en-GB"/>
              </w:rPr>
            </w:pPr>
            <w:r w:rsidRPr="005F0222">
              <w:rPr>
                <w:sz w:val="27"/>
                <w:szCs w:val="27"/>
                <w:lang w:eastAsia="en-GB"/>
              </w:rPr>
              <w:t>1. Budžeta ieņēmumi:</w:t>
            </w:r>
          </w:p>
        </w:tc>
        <w:tc>
          <w:tcPr>
            <w:tcW w:w="661" w:type="pct"/>
          </w:tcPr>
          <w:p w:rsidR="00E37811" w:rsidRPr="005F0222" w:rsidRDefault="00140A1E" w:rsidP="00790962">
            <w:pPr>
              <w:pStyle w:val="naisf"/>
              <w:spacing w:before="0" w:after="0"/>
              <w:jc w:val="center"/>
              <w:rPr>
                <w:b/>
                <w:i/>
                <w:sz w:val="27"/>
                <w:szCs w:val="27"/>
                <w:lang w:eastAsia="en-GB"/>
              </w:rPr>
            </w:pPr>
            <w:r w:rsidRPr="005F0222">
              <w:rPr>
                <w:b/>
                <w:i/>
                <w:sz w:val="27"/>
                <w:szCs w:val="27"/>
                <w:lang w:eastAsia="en-GB"/>
              </w:rPr>
              <w:t>0</w:t>
            </w:r>
          </w:p>
        </w:tc>
        <w:tc>
          <w:tcPr>
            <w:tcW w:w="71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99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r>
      <w:tr w:rsidR="00E37811" w:rsidRPr="005F0222" w:rsidTr="00790962">
        <w:trPr>
          <w:jc w:val="center"/>
        </w:trPr>
        <w:tc>
          <w:tcPr>
            <w:tcW w:w="1071" w:type="pct"/>
          </w:tcPr>
          <w:p w:rsidR="00E37811" w:rsidRPr="005F0222" w:rsidRDefault="00E37811" w:rsidP="00790962">
            <w:pPr>
              <w:pStyle w:val="naisf"/>
              <w:spacing w:before="0" w:after="0"/>
              <w:jc w:val="left"/>
              <w:rPr>
                <w:i/>
                <w:sz w:val="27"/>
                <w:szCs w:val="27"/>
                <w:lang w:eastAsia="en-GB"/>
              </w:rPr>
            </w:pPr>
            <w:r w:rsidRPr="005F0222">
              <w:rPr>
                <w:sz w:val="27"/>
                <w:szCs w:val="27"/>
                <w:lang w:eastAsia="en-GB"/>
              </w:rPr>
              <w:t>1.1. valsts pamatbudžets, tai skaitā ieņēmumi no maksas pakalpojumiem un citi pašu ieņēmumi</w:t>
            </w:r>
          </w:p>
        </w:tc>
        <w:tc>
          <w:tcPr>
            <w:tcW w:w="661" w:type="pct"/>
          </w:tcPr>
          <w:p w:rsidR="00E37811" w:rsidRPr="005F0222" w:rsidRDefault="00140A1E"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pStyle w:val="naisf"/>
              <w:spacing w:before="0" w:after="0"/>
              <w:jc w:val="left"/>
              <w:rPr>
                <w:i/>
                <w:sz w:val="27"/>
                <w:szCs w:val="27"/>
                <w:lang w:eastAsia="en-GB"/>
              </w:rPr>
            </w:pPr>
            <w:r w:rsidRPr="005F0222">
              <w:rPr>
                <w:sz w:val="27"/>
                <w:szCs w:val="27"/>
                <w:lang w:eastAsia="en-GB"/>
              </w:rPr>
              <w:lastRenderedPageBreak/>
              <w:t>1.2. valsts speciālais budžets</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pStyle w:val="naisf"/>
              <w:spacing w:before="0" w:after="0"/>
              <w:jc w:val="left"/>
              <w:rPr>
                <w:i/>
                <w:sz w:val="27"/>
                <w:szCs w:val="27"/>
                <w:lang w:eastAsia="en-GB"/>
              </w:rPr>
            </w:pPr>
            <w:r w:rsidRPr="005F0222">
              <w:rPr>
                <w:sz w:val="27"/>
                <w:szCs w:val="27"/>
                <w:lang w:eastAsia="en-GB"/>
              </w:rPr>
              <w:t>1.3. pašvaldību budžets</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2. Budžeta izdevumi:</w:t>
            </w:r>
          </w:p>
        </w:tc>
        <w:tc>
          <w:tcPr>
            <w:tcW w:w="661"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1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c>
          <w:tcPr>
            <w:tcW w:w="999"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2.1. valsts pamatbudžets</w:t>
            </w:r>
          </w:p>
        </w:tc>
        <w:tc>
          <w:tcPr>
            <w:tcW w:w="661" w:type="pct"/>
          </w:tcPr>
          <w:p w:rsidR="00E37811" w:rsidRPr="005F0222" w:rsidRDefault="00140A1E"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r w:rsidR="006E2FD1" w:rsidRPr="005F0222">
              <w:rPr>
                <w:sz w:val="27"/>
                <w:szCs w:val="27"/>
                <w:lang w:eastAsia="en-GB"/>
              </w:rPr>
              <w:t xml:space="preserve"> </w:t>
            </w:r>
          </w:p>
        </w:tc>
        <w:tc>
          <w:tcPr>
            <w:tcW w:w="765"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2.2. valsts speciālais budžets</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 xml:space="preserve">2.3. pašvaldību budžets </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3. Finansiālā ietekme:</w:t>
            </w:r>
          </w:p>
        </w:tc>
        <w:tc>
          <w:tcPr>
            <w:tcW w:w="661"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1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c>
          <w:tcPr>
            <w:tcW w:w="999" w:type="pct"/>
          </w:tcPr>
          <w:p w:rsidR="00E37811" w:rsidRPr="005F0222" w:rsidRDefault="00B72B27" w:rsidP="00790962">
            <w:pPr>
              <w:pStyle w:val="naisf"/>
              <w:spacing w:before="0" w:after="0"/>
              <w:jc w:val="center"/>
              <w:rPr>
                <w:b/>
                <w:i/>
                <w:sz w:val="27"/>
                <w:szCs w:val="27"/>
                <w:lang w:eastAsia="en-GB"/>
              </w:rPr>
            </w:pPr>
            <w:r w:rsidRPr="005F0222">
              <w:rPr>
                <w:b/>
                <w:i/>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3.1. valsts pamatbudžets</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r w:rsidR="006E2FD1" w:rsidRPr="005F0222">
              <w:rPr>
                <w:sz w:val="27"/>
                <w:szCs w:val="27"/>
                <w:lang w:eastAsia="en-GB"/>
              </w:rPr>
              <w:t xml:space="preserve"> </w:t>
            </w:r>
          </w:p>
        </w:tc>
        <w:tc>
          <w:tcPr>
            <w:tcW w:w="765"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B72B27"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3.2. speciālais budžets</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 xml:space="preserve">3.3. pašvaldību budžets </w:t>
            </w:r>
          </w:p>
        </w:tc>
        <w:tc>
          <w:tcPr>
            <w:tcW w:w="661"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vMerge w:val="restart"/>
          </w:tcPr>
          <w:p w:rsidR="00E37811" w:rsidRPr="005F0222" w:rsidRDefault="00E37811" w:rsidP="00790962">
            <w:pPr>
              <w:rPr>
                <w:sz w:val="27"/>
                <w:szCs w:val="27"/>
              </w:rPr>
            </w:pPr>
            <w:r w:rsidRPr="005F0222">
              <w:rPr>
                <w:sz w:val="27"/>
                <w:szCs w:val="27"/>
              </w:rPr>
              <w:t>4. Finanšu līdzekļi papildu izde</w:t>
            </w:r>
            <w:r w:rsidRPr="005F0222">
              <w:rPr>
                <w:sz w:val="27"/>
                <w:szCs w:val="27"/>
              </w:rPr>
              <w:softHyphen/>
              <w:t>vumu finansēšanai (kompensējošu izdevumu samazinājumu norāda ar "+" zīmi)</w:t>
            </w:r>
          </w:p>
        </w:tc>
        <w:tc>
          <w:tcPr>
            <w:tcW w:w="661" w:type="pct"/>
            <w:vMerge w:val="restart"/>
          </w:tcPr>
          <w:p w:rsidR="00E37811" w:rsidRPr="005F0222" w:rsidRDefault="00E37811" w:rsidP="00790962">
            <w:pPr>
              <w:pStyle w:val="naisf"/>
              <w:spacing w:before="0" w:after="0"/>
              <w:jc w:val="center"/>
              <w:rPr>
                <w:i/>
                <w:sz w:val="27"/>
                <w:szCs w:val="27"/>
                <w:lang w:eastAsia="en-GB"/>
              </w:rPr>
            </w:pPr>
            <w:r w:rsidRPr="005F0222">
              <w:rPr>
                <w:sz w:val="27"/>
                <w:szCs w:val="27"/>
                <w:lang w:eastAsia="en-GB"/>
              </w:rPr>
              <w:t>X</w:t>
            </w:r>
          </w:p>
        </w:tc>
        <w:tc>
          <w:tcPr>
            <w:tcW w:w="71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99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r>
      <w:tr w:rsidR="00E37811" w:rsidRPr="005F0222" w:rsidTr="00790962">
        <w:trPr>
          <w:jc w:val="center"/>
        </w:trPr>
        <w:tc>
          <w:tcPr>
            <w:tcW w:w="1071" w:type="pct"/>
            <w:vMerge/>
            <w:vAlign w:val="center"/>
          </w:tcPr>
          <w:p w:rsidR="00E37811" w:rsidRPr="005F0222" w:rsidRDefault="00E37811" w:rsidP="00790962">
            <w:pPr>
              <w:rPr>
                <w:sz w:val="27"/>
                <w:szCs w:val="27"/>
              </w:rPr>
            </w:pPr>
          </w:p>
        </w:tc>
        <w:tc>
          <w:tcPr>
            <w:tcW w:w="661" w:type="pct"/>
            <w:vMerge/>
            <w:vAlign w:val="center"/>
          </w:tcPr>
          <w:p w:rsidR="00E37811" w:rsidRPr="005F0222" w:rsidRDefault="00E37811" w:rsidP="00790962">
            <w:pPr>
              <w:rPr>
                <w:i/>
                <w:sz w:val="27"/>
                <w:szCs w:val="27"/>
                <w:lang w:eastAsia="en-GB"/>
              </w:rPr>
            </w:pP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vMerge/>
            <w:vAlign w:val="center"/>
          </w:tcPr>
          <w:p w:rsidR="00E37811" w:rsidRPr="005F0222" w:rsidRDefault="00E37811" w:rsidP="00790962">
            <w:pPr>
              <w:rPr>
                <w:sz w:val="27"/>
                <w:szCs w:val="27"/>
              </w:rPr>
            </w:pPr>
          </w:p>
        </w:tc>
        <w:tc>
          <w:tcPr>
            <w:tcW w:w="661" w:type="pct"/>
            <w:vMerge/>
            <w:vAlign w:val="center"/>
          </w:tcPr>
          <w:p w:rsidR="00E37811" w:rsidRPr="005F0222" w:rsidRDefault="00E37811" w:rsidP="00790962">
            <w:pPr>
              <w:rPr>
                <w:i/>
                <w:sz w:val="27"/>
                <w:szCs w:val="27"/>
                <w:lang w:eastAsia="en-GB"/>
              </w:rPr>
            </w:pP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5. Precizēta finansiālā ietekme:</w:t>
            </w:r>
          </w:p>
        </w:tc>
        <w:tc>
          <w:tcPr>
            <w:tcW w:w="661" w:type="pct"/>
            <w:vMerge w:val="restart"/>
          </w:tcPr>
          <w:p w:rsidR="00E37811" w:rsidRPr="005F0222" w:rsidRDefault="00E37811" w:rsidP="00790962">
            <w:pPr>
              <w:pStyle w:val="naisf"/>
              <w:spacing w:before="0" w:after="0"/>
              <w:jc w:val="center"/>
              <w:rPr>
                <w:i/>
                <w:sz w:val="27"/>
                <w:szCs w:val="27"/>
                <w:lang w:eastAsia="en-GB"/>
              </w:rPr>
            </w:pPr>
            <w:r w:rsidRPr="005F0222">
              <w:rPr>
                <w:sz w:val="27"/>
                <w:szCs w:val="27"/>
                <w:lang w:eastAsia="en-GB"/>
              </w:rPr>
              <w:t>X</w:t>
            </w:r>
          </w:p>
        </w:tc>
        <w:tc>
          <w:tcPr>
            <w:tcW w:w="71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765"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c>
          <w:tcPr>
            <w:tcW w:w="999" w:type="pct"/>
          </w:tcPr>
          <w:p w:rsidR="00E37811" w:rsidRPr="005F0222" w:rsidRDefault="00E37811" w:rsidP="00790962">
            <w:pPr>
              <w:pStyle w:val="naisf"/>
              <w:spacing w:before="0" w:after="0"/>
              <w:jc w:val="center"/>
              <w:rPr>
                <w:b/>
                <w:i/>
                <w:sz w:val="27"/>
                <w:szCs w:val="27"/>
                <w:lang w:eastAsia="en-GB"/>
              </w:rPr>
            </w:pPr>
            <w:r w:rsidRPr="005F0222">
              <w:rPr>
                <w:b/>
                <w:i/>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5.1. valsts pamatbudžets</w:t>
            </w:r>
          </w:p>
        </w:tc>
        <w:tc>
          <w:tcPr>
            <w:tcW w:w="661" w:type="pct"/>
            <w:vMerge/>
            <w:vAlign w:val="center"/>
          </w:tcPr>
          <w:p w:rsidR="00E37811" w:rsidRPr="005F0222" w:rsidRDefault="00E37811" w:rsidP="00790962">
            <w:pPr>
              <w:rPr>
                <w:i/>
                <w:sz w:val="27"/>
                <w:szCs w:val="27"/>
                <w:lang w:eastAsia="en-GB"/>
              </w:rPr>
            </w:pP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5.2. speciālais budžets</w:t>
            </w:r>
          </w:p>
        </w:tc>
        <w:tc>
          <w:tcPr>
            <w:tcW w:w="661" w:type="pct"/>
            <w:vMerge/>
            <w:vAlign w:val="center"/>
          </w:tcPr>
          <w:p w:rsidR="00E37811" w:rsidRPr="005F0222" w:rsidRDefault="00E37811" w:rsidP="00790962">
            <w:pPr>
              <w:rPr>
                <w:i/>
                <w:sz w:val="27"/>
                <w:szCs w:val="27"/>
                <w:lang w:eastAsia="en-GB"/>
              </w:rPr>
            </w:pP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 xml:space="preserve">5.3. pašvaldību budžets </w:t>
            </w:r>
          </w:p>
        </w:tc>
        <w:tc>
          <w:tcPr>
            <w:tcW w:w="661" w:type="pct"/>
            <w:vMerge/>
            <w:vAlign w:val="center"/>
          </w:tcPr>
          <w:p w:rsidR="00E37811" w:rsidRPr="005F0222" w:rsidRDefault="00E37811" w:rsidP="00790962">
            <w:pPr>
              <w:rPr>
                <w:i/>
                <w:sz w:val="27"/>
                <w:szCs w:val="27"/>
                <w:lang w:eastAsia="en-GB"/>
              </w:rPr>
            </w:pPr>
          </w:p>
        </w:tc>
        <w:tc>
          <w:tcPr>
            <w:tcW w:w="71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765"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c>
          <w:tcPr>
            <w:tcW w:w="999" w:type="pct"/>
          </w:tcPr>
          <w:p w:rsidR="00E37811" w:rsidRPr="005F0222" w:rsidRDefault="00E37811" w:rsidP="00790962">
            <w:pPr>
              <w:pStyle w:val="naisf"/>
              <w:spacing w:before="0" w:after="0"/>
              <w:jc w:val="center"/>
              <w:rPr>
                <w:sz w:val="27"/>
                <w:szCs w:val="27"/>
                <w:lang w:eastAsia="en-GB"/>
              </w:rPr>
            </w:pPr>
            <w:r w:rsidRPr="005F0222">
              <w:rPr>
                <w:sz w:val="27"/>
                <w:szCs w:val="27"/>
                <w:lang w:eastAsia="en-GB"/>
              </w:rPr>
              <w:t>0</w:t>
            </w: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 xml:space="preserve">6. Detalizēts ieņēmumu un </w:t>
            </w:r>
            <w:r w:rsidRPr="005F0222">
              <w:rPr>
                <w:sz w:val="27"/>
                <w:szCs w:val="27"/>
              </w:rPr>
              <w:lastRenderedPageBreak/>
              <w:t>izdevu</w:t>
            </w:r>
            <w:r w:rsidRPr="005F0222">
              <w:rPr>
                <w:sz w:val="27"/>
                <w:szCs w:val="27"/>
              </w:rPr>
              <w:softHyphen/>
              <w:t>mu aprēķins (ja nepieciešams, detalizētu ieņēmumu un izdevumu aprēķinu var pievienot anotācijas pielikumā):</w:t>
            </w:r>
          </w:p>
        </w:tc>
        <w:tc>
          <w:tcPr>
            <w:tcW w:w="3910" w:type="pct"/>
            <w:gridSpan w:val="5"/>
            <w:vMerge w:val="restart"/>
          </w:tcPr>
          <w:p w:rsidR="00E37811" w:rsidRPr="005F0222" w:rsidRDefault="00E37811" w:rsidP="00254A80">
            <w:pPr>
              <w:pStyle w:val="naisf"/>
              <w:spacing w:before="0" w:after="0"/>
              <w:rPr>
                <w:sz w:val="27"/>
                <w:szCs w:val="27"/>
                <w:lang w:eastAsia="en-GB"/>
              </w:rPr>
            </w:pPr>
          </w:p>
        </w:tc>
      </w:tr>
      <w:tr w:rsidR="00E37811" w:rsidRPr="005F0222" w:rsidTr="00790962">
        <w:trPr>
          <w:jc w:val="center"/>
        </w:trPr>
        <w:tc>
          <w:tcPr>
            <w:tcW w:w="1071" w:type="pct"/>
          </w:tcPr>
          <w:p w:rsidR="00E37811" w:rsidRPr="005F0222" w:rsidRDefault="00E37811" w:rsidP="00790962">
            <w:pPr>
              <w:rPr>
                <w:sz w:val="27"/>
                <w:szCs w:val="27"/>
              </w:rPr>
            </w:pPr>
            <w:r w:rsidRPr="005F0222">
              <w:rPr>
                <w:sz w:val="27"/>
                <w:szCs w:val="27"/>
              </w:rPr>
              <w:t>6.1. detalizēts ieņēmumu aprēķins</w:t>
            </w:r>
          </w:p>
        </w:tc>
        <w:tc>
          <w:tcPr>
            <w:tcW w:w="3910" w:type="pct"/>
            <w:gridSpan w:val="5"/>
            <w:vMerge/>
            <w:vAlign w:val="center"/>
          </w:tcPr>
          <w:p w:rsidR="00E37811" w:rsidRPr="005F0222" w:rsidRDefault="00E37811" w:rsidP="00790962">
            <w:pPr>
              <w:rPr>
                <w:sz w:val="27"/>
                <w:szCs w:val="27"/>
                <w:lang w:eastAsia="en-GB"/>
              </w:rPr>
            </w:pPr>
          </w:p>
        </w:tc>
      </w:tr>
      <w:tr w:rsidR="00E37811" w:rsidRPr="005F0222" w:rsidTr="00790962">
        <w:trPr>
          <w:trHeight w:val="1041"/>
          <w:jc w:val="center"/>
        </w:trPr>
        <w:tc>
          <w:tcPr>
            <w:tcW w:w="1071" w:type="pct"/>
          </w:tcPr>
          <w:p w:rsidR="00E37811" w:rsidRPr="005F0222" w:rsidRDefault="00E37811" w:rsidP="00790962">
            <w:pPr>
              <w:rPr>
                <w:sz w:val="27"/>
                <w:szCs w:val="27"/>
              </w:rPr>
            </w:pPr>
            <w:r w:rsidRPr="005F0222">
              <w:rPr>
                <w:sz w:val="27"/>
                <w:szCs w:val="27"/>
              </w:rPr>
              <w:t>6.2. detalizēts izdevumu aprēķins</w:t>
            </w:r>
          </w:p>
        </w:tc>
        <w:tc>
          <w:tcPr>
            <w:tcW w:w="3910" w:type="pct"/>
            <w:gridSpan w:val="5"/>
            <w:vMerge/>
            <w:vAlign w:val="center"/>
          </w:tcPr>
          <w:p w:rsidR="00E37811" w:rsidRPr="005F0222" w:rsidRDefault="00E37811" w:rsidP="00790962">
            <w:pPr>
              <w:rPr>
                <w:sz w:val="27"/>
                <w:szCs w:val="27"/>
                <w:lang w:eastAsia="en-GB"/>
              </w:rPr>
            </w:pPr>
          </w:p>
        </w:tc>
      </w:tr>
      <w:tr w:rsidR="00E37811" w:rsidRPr="005F0222" w:rsidTr="00790962">
        <w:trPr>
          <w:trHeight w:val="814"/>
          <w:jc w:val="center"/>
        </w:trPr>
        <w:tc>
          <w:tcPr>
            <w:tcW w:w="1071" w:type="pct"/>
          </w:tcPr>
          <w:p w:rsidR="00E37811" w:rsidRPr="005F0222" w:rsidRDefault="00E37811" w:rsidP="00790962">
            <w:pPr>
              <w:rPr>
                <w:sz w:val="27"/>
                <w:szCs w:val="27"/>
              </w:rPr>
            </w:pPr>
            <w:r w:rsidRPr="005F0222">
              <w:rPr>
                <w:sz w:val="27"/>
                <w:szCs w:val="27"/>
              </w:rPr>
              <w:t>7. Cita informācija</w:t>
            </w:r>
          </w:p>
        </w:tc>
        <w:tc>
          <w:tcPr>
            <w:tcW w:w="3910" w:type="pct"/>
            <w:gridSpan w:val="5"/>
          </w:tcPr>
          <w:p w:rsidR="00267EAC" w:rsidRPr="005F0222" w:rsidRDefault="00B72B27" w:rsidP="00B70CC6">
            <w:pPr>
              <w:pStyle w:val="NormalWeb"/>
              <w:spacing w:before="0" w:beforeAutospacing="0" w:after="0" w:afterAutospacing="0"/>
              <w:jc w:val="both"/>
              <w:rPr>
                <w:sz w:val="27"/>
                <w:szCs w:val="27"/>
              </w:rPr>
            </w:pPr>
            <w:r w:rsidRPr="005F0222">
              <w:rPr>
                <w:sz w:val="27"/>
                <w:szCs w:val="27"/>
              </w:rPr>
              <w:t>Noteikumu projekta izpilde</w:t>
            </w:r>
            <w:r w:rsidR="00140A1E" w:rsidRPr="005F0222">
              <w:rPr>
                <w:sz w:val="27"/>
                <w:szCs w:val="27"/>
              </w:rPr>
              <w:t xml:space="preserve"> </w:t>
            </w:r>
            <w:r w:rsidRPr="005F0222">
              <w:rPr>
                <w:sz w:val="27"/>
                <w:szCs w:val="27"/>
              </w:rPr>
              <w:t>notiks</w:t>
            </w:r>
            <w:r w:rsidR="00140A1E" w:rsidRPr="005F0222">
              <w:rPr>
                <w:sz w:val="27"/>
                <w:szCs w:val="27"/>
              </w:rPr>
              <w:t xml:space="preserve"> Izglītības un zinātnes ministrijas valsts budžeta programmā 07.00.00 „Informācijas tehnoloģiju attīstība un uzturēšana izglītīb</w:t>
            </w:r>
            <w:r w:rsidR="00B70CC6" w:rsidRPr="005F0222">
              <w:rPr>
                <w:sz w:val="27"/>
                <w:szCs w:val="27"/>
              </w:rPr>
              <w:t>ā</w:t>
            </w:r>
            <w:r w:rsidR="00140A1E" w:rsidRPr="005F0222">
              <w:rPr>
                <w:sz w:val="27"/>
                <w:szCs w:val="27"/>
              </w:rPr>
              <w:t>, Microsoft līguma un projektu nodrošināšana” piešķirto līdzekļu ietvaros, kā arī budžeta programmas „Padotības iestādes un to pasākumi</w:t>
            </w:r>
            <w:r w:rsidR="00233428" w:rsidRPr="005F0222">
              <w:rPr>
                <w:sz w:val="27"/>
                <w:szCs w:val="27"/>
              </w:rPr>
              <w:t xml:space="preserve"> 42.00.00</w:t>
            </w:r>
            <w:r w:rsidR="00140A1E" w:rsidRPr="005F0222">
              <w:rPr>
                <w:sz w:val="27"/>
                <w:szCs w:val="27"/>
              </w:rPr>
              <w:t>” apakšprogrammā 42.01.00 „Iestāžu darbības nodrošināšana” piešķirto valsts budžeta līdzekļu ietvaros.</w:t>
            </w:r>
          </w:p>
        </w:tc>
      </w:tr>
    </w:tbl>
    <w:p w:rsidR="00E37811" w:rsidRPr="005F0222" w:rsidRDefault="00E37811" w:rsidP="00E37811">
      <w:pPr>
        <w:spacing w:before="100" w:beforeAutospacing="1" w:after="100" w:afterAutospacing="1"/>
        <w:rPr>
          <w:sz w:val="27"/>
          <w:szCs w:val="27"/>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E37811" w:rsidRPr="005F0222" w:rsidTr="00790962">
        <w:tc>
          <w:tcPr>
            <w:tcW w:w="9287" w:type="dxa"/>
            <w:gridSpan w:val="3"/>
          </w:tcPr>
          <w:p w:rsidR="00E37811" w:rsidRPr="005F0222" w:rsidRDefault="00E37811" w:rsidP="00790962">
            <w:pPr>
              <w:jc w:val="center"/>
              <w:rPr>
                <w:bCs/>
                <w:sz w:val="27"/>
                <w:szCs w:val="27"/>
              </w:rPr>
            </w:pPr>
            <w:r w:rsidRPr="005F0222">
              <w:rPr>
                <w:b/>
                <w:bCs/>
                <w:sz w:val="27"/>
                <w:szCs w:val="27"/>
              </w:rPr>
              <w:t>VI. Sabiedrības līdzdalība un komunikācijas aktivitātes</w:t>
            </w:r>
          </w:p>
        </w:tc>
      </w:tr>
      <w:tr w:rsidR="00E37811" w:rsidRPr="005F0222" w:rsidTr="00790962">
        <w:tc>
          <w:tcPr>
            <w:tcW w:w="534" w:type="dxa"/>
          </w:tcPr>
          <w:p w:rsidR="00E37811" w:rsidRPr="005F0222" w:rsidRDefault="00E37811" w:rsidP="00790962">
            <w:pPr>
              <w:spacing w:before="100" w:beforeAutospacing="1" w:after="100" w:afterAutospacing="1"/>
              <w:rPr>
                <w:bCs/>
                <w:sz w:val="27"/>
                <w:szCs w:val="27"/>
              </w:rPr>
            </w:pPr>
            <w:r w:rsidRPr="005F0222">
              <w:rPr>
                <w:bCs/>
                <w:sz w:val="27"/>
                <w:szCs w:val="27"/>
              </w:rPr>
              <w:t>1.</w:t>
            </w:r>
          </w:p>
        </w:tc>
        <w:tc>
          <w:tcPr>
            <w:tcW w:w="1865" w:type="dxa"/>
          </w:tcPr>
          <w:p w:rsidR="00E37811" w:rsidRPr="005F0222" w:rsidRDefault="00E37811" w:rsidP="00790962">
            <w:pPr>
              <w:spacing w:before="100" w:beforeAutospacing="1" w:after="100" w:afterAutospacing="1"/>
              <w:rPr>
                <w:bCs/>
                <w:sz w:val="27"/>
                <w:szCs w:val="27"/>
              </w:rPr>
            </w:pPr>
            <w:r w:rsidRPr="005F0222">
              <w:rPr>
                <w:sz w:val="27"/>
                <w:szCs w:val="27"/>
              </w:rPr>
              <w:t>Plānotās sabiedrības līdzdalības un komunikācijas aktivitātes saistībā ar projektu</w:t>
            </w:r>
          </w:p>
        </w:tc>
        <w:tc>
          <w:tcPr>
            <w:tcW w:w="6888" w:type="dxa"/>
          </w:tcPr>
          <w:p w:rsidR="00E37811" w:rsidRPr="005F0222" w:rsidRDefault="00E37811" w:rsidP="000B7BE1">
            <w:pPr>
              <w:jc w:val="both"/>
              <w:rPr>
                <w:sz w:val="27"/>
                <w:szCs w:val="27"/>
              </w:rPr>
            </w:pPr>
            <w:r w:rsidRPr="005F0222">
              <w:rPr>
                <w:sz w:val="27"/>
                <w:szCs w:val="27"/>
              </w:rPr>
              <w:t>Informācija par noteikumu projektu ievietota tīmekļa vietnē</w:t>
            </w:r>
            <w:r w:rsidR="000B7BE1" w:rsidRPr="005F0222">
              <w:rPr>
                <w:sz w:val="27"/>
                <w:szCs w:val="27"/>
              </w:rPr>
              <w:t xml:space="preserve"> </w:t>
            </w:r>
            <w:hyperlink r:id="rId7" w:history="1">
              <w:r w:rsidRPr="005F0222">
                <w:rPr>
                  <w:rStyle w:val="Hyperlink"/>
                  <w:sz w:val="27"/>
                  <w:szCs w:val="27"/>
                </w:rPr>
                <w:t>www.ikvd.gov.lv</w:t>
              </w:r>
            </w:hyperlink>
            <w:r w:rsidRPr="005F0222">
              <w:rPr>
                <w:sz w:val="27"/>
                <w:szCs w:val="27"/>
              </w:rPr>
              <w:t>.</w:t>
            </w:r>
          </w:p>
        </w:tc>
      </w:tr>
      <w:tr w:rsidR="00E37811" w:rsidRPr="005F0222" w:rsidTr="00790962">
        <w:tc>
          <w:tcPr>
            <w:tcW w:w="534" w:type="dxa"/>
          </w:tcPr>
          <w:p w:rsidR="00E37811" w:rsidRPr="005F0222" w:rsidRDefault="00E37811" w:rsidP="00790962">
            <w:pPr>
              <w:spacing w:before="100" w:beforeAutospacing="1" w:after="100" w:afterAutospacing="1"/>
              <w:rPr>
                <w:bCs/>
                <w:sz w:val="27"/>
                <w:szCs w:val="27"/>
              </w:rPr>
            </w:pPr>
            <w:r w:rsidRPr="005F0222">
              <w:rPr>
                <w:bCs/>
                <w:sz w:val="27"/>
                <w:szCs w:val="27"/>
              </w:rPr>
              <w:t>2.</w:t>
            </w:r>
          </w:p>
        </w:tc>
        <w:tc>
          <w:tcPr>
            <w:tcW w:w="1865" w:type="dxa"/>
          </w:tcPr>
          <w:p w:rsidR="00E37811" w:rsidRPr="005F0222" w:rsidRDefault="00E37811" w:rsidP="00790962">
            <w:pPr>
              <w:spacing w:before="100" w:beforeAutospacing="1" w:after="100" w:afterAutospacing="1"/>
              <w:rPr>
                <w:bCs/>
                <w:sz w:val="27"/>
                <w:szCs w:val="27"/>
              </w:rPr>
            </w:pPr>
            <w:r w:rsidRPr="005F0222">
              <w:rPr>
                <w:sz w:val="27"/>
                <w:szCs w:val="27"/>
              </w:rPr>
              <w:t>Sabiedrības līdzdalība projekta izstrādē</w:t>
            </w:r>
          </w:p>
        </w:tc>
        <w:tc>
          <w:tcPr>
            <w:tcW w:w="6888" w:type="dxa"/>
          </w:tcPr>
          <w:p w:rsidR="007D2C1A" w:rsidRPr="005F0222" w:rsidRDefault="007D2C1A" w:rsidP="007D2C1A">
            <w:pPr>
              <w:jc w:val="both"/>
              <w:rPr>
                <w:bCs/>
                <w:sz w:val="27"/>
                <w:szCs w:val="27"/>
              </w:rPr>
            </w:pPr>
            <w:r w:rsidRPr="005F0222">
              <w:rPr>
                <w:bCs/>
                <w:sz w:val="27"/>
                <w:szCs w:val="27"/>
              </w:rPr>
              <w:t>Sabiedrības iesaiste nodrošināta, informējot par noteikumu projektu un šobrīd aktuālo mērķi mazināt PMP risku, kas ietver nepieciešamību nodrošināt visaptverošu un regulāru informācijas apmaiņu izglītības iestādes, pašvaldības un valsts līmenī par visiem obligāto izglītības vecumu sasniegušajiem bērniem, kas neapmeklē izglītības iestādi.</w:t>
            </w:r>
          </w:p>
          <w:p w:rsidR="000E3225" w:rsidRPr="005F0222" w:rsidRDefault="00073E9E" w:rsidP="00703166">
            <w:pPr>
              <w:jc w:val="both"/>
              <w:rPr>
                <w:sz w:val="27"/>
                <w:szCs w:val="27"/>
              </w:rPr>
            </w:pPr>
            <w:r w:rsidRPr="005F0222">
              <w:rPr>
                <w:bCs/>
                <w:sz w:val="27"/>
                <w:szCs w:val="27"/>
              </w:rPr>
              <w:t>N</w:t>
            </w:r>
            <w:r w:rsidR="00E37811" w:rsidRPr="005F0222">
              <w:rPr>
                <w:bCs/>
                <w:sz w:val="27"/>
                <w:szCs w:val="27"/>
              </w:rPr>
              <w:t xml:space="preserve">oteikumu projekts kvalitātes dienesta tīmekļa vietnē </w:t>
            </w:r>
            <w:hyperlink r:id="rId8" w:history="1">
              <w:r w:rsidR="00E37811" w:rsidRPr="005F0222">
                <w:rPr>
                  <w:rStyle w:val="Hyperlink"/>
                  <w:bCs/>
                  <w:sz w:val="27"/>
                  <w:szCs w:val="27"/>
                </w:rPr>
                <w:t>www.ikvd.gov.lv</w:t>
              </w:r>
            </w:hyperlink>
            <w:r w:rsidR="00E37811" w:rsidRPr="005F0222">
              <w:rPr>
                <w:bCs/>
                <w:sz w:val="27"/>
                <w:szCs w:val="27"/>
              </w:rPr>
              <w:t xml:space="preserve"> publicēts </w:t>
            </w:r>
            <w:r w:rsidRPr="005F0222">
              <w:rPr>
                <w:sz w:val="27"/>
                <w:szCs w:val="27"/>
              </w:rPr>
              <w:t>2016</w:t>
            </w:r>
            <w:r w:rsidR="00E37811" w:rsidRPr="005F0222">
              <w:rPr>
                <w:sz w:val="27"/>
                <w:szCs w:val="27"/>
              </w:rPr>
              <w:t xml:space="preserve">.gada </w:t>
            </w:r>
            <w:r w:rsidR="000B7BE1" w:rsidRPr="005F0222">
              <w:rPr>
                <w:sz w:val="27"/>
                <w:szCs w:val="27"/>
              </w:rPr>
              <w:t>3.jūnijā</w:t>
            </w:r>
            <w:r w:rsidR="00703166" w:rsidRPr="005F0222">
              <w:rPr>
                <w:sz w:val="27"/>
                <w:szCs w:val="27"/>
              </w:rPr>
              <w:t>.</w:t>
            </w:r>
          </w:p>
        </w:tc>
      </w:tr>
      <w:tr w:rsidR="00E37811" w:rsidRPr="005F0222" w:rsidTr="00790962">
        <w:tc>
          <w:tcPr>
            <w:tcW w:w="534" w:type="dxa"/>
          </w:tcPr>
          <w:p w:rsidR="00E37811" w:rsidRPr="005F0222" w:rsidRDefault="00E37811" w:rsidP="00790962">
            <w:pPr>
              <w:spacing w:before="100" w:beforeAutospacing="1" w:after="100" w:afterAutospacing="1"/>
              <w:rPr>
                <w:bCs/>
                <w:sz w:val="27"/>
                <w:szCs w:val="27"/>
              </w:rPr>
            </w:pPr>
            <w:r w:rsidRPr="005F0222">
              <w:rPr>
                <w:bCs/>
                <w:sz w:val="27"/>
                <w:szCs w:val="27"/>
              </w:rPr>
              <w:t>3.</w:t>
            </w:r>
          </w:p>
        </w:tc>
        <w:tc>
          <w:tcPr>
            <w:tcW w:w="1865" w:type="dxa"/>
          </w:tcPr>
          <w:p w:rsidR="00E37811" w:rsidRPr="005F0222" w:rsidRDefault="00E37811" w:rsidP="00790962">
            <w:pPr>
              <w:spacing w:before="100" w:beforeAutospacing="1" w:after="100" w:afterAutospacing="1"/>
              <w:rPr>
                <w:bCs/>
                <w:sz w:val="27"/>
                <w:szCs w:val="27"/>
              </w:rPr>
            </w:pPr>
            <w:r w:rsidRPr="005F0222">
              <w:rPr>
                <w:sz w:val="27"/>
                <w:szCs w:val="27"/>
              </w:rPr>
              <w:t xml:space="preserve">Sabiedrības līdzdalības </w:t>
            </w:r>
            <w:r w:rsidRPr="005F0222">
              <w:rPr>
                <w:sz w:val="27"/>
                <w:szCs w:val="27"/>
              </w:rPr>
              <w:lastRenderedPageBreak/>
              <w:t>rezultāti</w:t>
            </w:r>
          </w:p>
        </w:tc>
        <w:tc>
          <w:tcPr>
            <w:tcW w:w="6888" w:type="dxa"/>
          </w:tcPr>
          <w:p w:rsidR="00800DDA" w:rsidRPr="005F0222" w:rsidRDefault="00E37811" w:rsidP="00790962">
            <w:pPr>
              <w:jc w:val="both"/>
              <w:rPr>
                <w:sz w:val="27"/>
                <w:szCs w:val="27"/>
              </w:rPr>
            </w:pPr>
            <w:r w:rsidRPr="005F0222">
              <w:rPr>
                <w:sz w:val="27"/>
                <w:szCs w:val="27"/>
              </w:rPr>
              <w:lastRenderedPageBreak/>
              <w:t xml:space="preserve">Noteikumu projekts ir izstrādāts, </w:t>
            </w:r>
            <w:r w:rsidR="00800DDA" w:rsidRPr="005F0222">
              <w:rPr>
                <w:sz w:val="27"/>
                <w:szCs w:val="27"/>
              </w:rPr>
              <w:t>lai nodrošinātu uzskaiti par visiem obligāto izglītību sasniegušajiem bērniem</w:t>
            </w:r>
            <w:r w:rsidR="00BF5720" w:rsidRPr="005F0222">
              <w:rPr>
                <w:sz w:val="27"/>
                <w:szCs w:val="27"/>
              </w:rPr>
              <w:t xml:space="preserve"> no piecu </w:t>
            </w:r>
            <w:r w:rsidR="00BF5720" w:rsidRPr="005F0222">
              <w:rPr>
                <w:sz w:val="27"/>
                <w:szCs w:val="27"/>
              </w:rPr>
              <w:lastRenderedPageBreak/>
              <w:t>līdz 18 gadu vecumam, paredzot pašvaldībām informāciju par obligāto izglītības vecumu sasniegušo bērnu, kuri neapmeklē izglītības iestādes, statusu regulāri aktualizēt VIIS.</w:t>
            </w:r>
          </w:p>
          <w:p w:rsidR="00E37811" w:rsidRPr="005F0222" w:rsidRDefault="00E37811" w:rsidP="000B7BE1">
            <w:pPr>
              <w:jc w:val="both"/>
              <w:rPr>
                <w:bCs/>
                <w:sz w:val="27"/>
                <w:szCs w:val="27"/>
              </w:rPr>
            </w:pPr>
            <w:r w:rsidRPr="005F0222">
              <w:rPr>
                <w:sz w:val="27"/>
                <w:szCs w:val="27"/>
              </w:rPr>
              <w:t xml:space="preserve">Par </w:t>
            </w:r>
            <w:r w:rsidR="000B7BE1" w:rsidRPr="005F0222">
              <w:rPr>
                <w:sz w:val="27"/>
                <w:szCs w:val="27"/>
              </w:rPr>
              <w:t>kvalitātes dienesta tīmekļa vietnē</w:t>
            </w:r>
            <w:r w:rsidRPr="005F0222">
              <w:rPr>
                <w:sz w:val="27"/>
                <w:szCs w:val="27"/>
              </w:rPr>
              <w:t xml:space="preserve"> ievietoto noteikumu projektu sabiedrības viedokļi nav saņemti.</w:t>
            </w:r>
          </w:p>
        </w:tc>
      </w:tr>
      <w:tr w:rsidR="00E37811" w:rsidRPr="005F0222" w:rsidTr="00790962">
        <w:tc>
          <w:tcPr>
            <w:tcW w:w="534" w:type="dxa"/>
          </w:tcPr>
          <w:p w:rsidR="00E37811" w:rsidRPr="005F0222" w:rsidRDefault="00E37811" w:rsidP="00790962">
            <w:pPr>
              <w:spacing w:before="100" w:beforeAutospacing="1" w:after="100" w:afterAutospacing="1"/>
              <w:rPr>
                <w:bCs/>
                <w:sz w:val="27"/>
                <w:szCs w:val="27"/>
              </w:rPr>
            </w:pPr>
            <w:r w:rsidRPr="005F0222">
              <w:rPr>
                <w:bCs/>
                <w:sz w:val="27"/>
                <w:szCs w:val="27"/>
              </w:rPr>
              <w:lastRenderedPageBreak/>
              <w:t xml:space="preserve">4. </w:t>
            </w:r>
          </w:p>
        </w:tc>
        <w:tc>
          <w:tcPr>
            <w:tcW w:w="1865" w:type="dxa"/>
          </w:tcPr>
          <w:p w:rsidR="00E37811" w:rsidRPr="005F0222" w:rsidRDefault="00E37811" w:rsidP="00790962">
            <w:pPr>
              <w:spacing w:before="100" w:beforeAutospacing="1" w:after="100" w:afterAutospacing="1"/>
              <w:rPr>
                <w:sz w:val="27"/>
                <w:szCs w:val="27"/>
              </w:rPr>
            </w:pPr>
            <w:r w:rsidRPr="005F0222">
              <w:rPr>
                <w:sz w:val="27"/>
                <w:szCs w:val="27"/>
              </w:rPr>
              <w:t>Cita informācija</w:t>
            </w:r>
          </w:p>
        </w:tc>
        <w:tc>
          <w:tcPr>
            <w:tcW w:w="6888" w:type="dxa"/>
          </w:tcPr>
          <w:p w:rsidR="00E37811" w:rsidRPr="005F0222" w:rsidRDefault="00E37811" w:rsidP="00790962">
            <w:pPr>
              <w:spacing w:before="100" w:beforeAutospacing="1" w:after="100" w:afterAutospacing="1"/>
              <w:jc w:val="both"/>
              <w:rPr>
                <w:sz w:val="27"/>
                <w:szCs w:val="27"/>
              </w:rPr>
            </w:pPr>
            <w:r w:rsidRPr="005F0222">
              <w:rPr>
                <w:sz w:val="27"/>
                <w:szCs w:val="27"/>
              </w:rPr>
              <w:t>Nav.</w:t>
            </w:r>
          </w:p>
        </w:tc>
      </w:tr>
    </w:tbl>
    <w:p w:rsidR="00E37811" w:rsidRPr="005F0222" w:rsidRDefault="00E37811" w:rsidP="00E37811">
      <w:pPr>
        <w:spacing w:before="100" w:beforeAutospacing="1" w:after="100" w:afterAutospacing="1"/>
        <w:rPr>
          <w:sz w:val="27"/>
          <w:szCs w:val="27"/>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8"/>
        <w:gridCol w:w="4843"/>
        <w:gridCol w:w="4040"/>
      </w:tblGrid>
      <w:tr w:rsidR="00E37811" w:rsidRPr="005F0222" w:rsidTr="00790962">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jc w:val="center"/>
              <w:rPr>
                <w:b/>
                <w:bCs/>
                <w:sz w:val="27"/>
                <w:szCs w:val="27"/>
              </w:rPr>
            </w:pPr>
            <w:r w:rsidRPr="005F0222">
              <w:rPr>
                <w:b/>
                <w:bCs/>
                <w:sz w:val="27"/>
                <w:szCs w:val="27"/>
              </w:rPr>
              <w:t>VII. Tiesību akta projekta izpildes nodrošināšana un tās ietekme uz institūcijām</w:t>
            </w:r>
          </w:p>
        </w:tc>
      </w:tr>
      <w:tr w:rsidR="000E3225" w:rsidRPr="005F0222" w:rsidTr="00790962">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1.</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BF5720" w:rsidP="00D93814">
            <w:pPr>
              <w:spacing w:before="100" w:beforeAutospacing="1" w:after="100" w:afterAutospacing="1"/>
              <w:jc w:val="both"/>
              <w:rPr>
                <w:sz w:val="27"/>
                <w:szCs w:val="27"/>
              </w:rPr>
            </w:pPr>
            <w:r w:rsidRPr="005F0222">
              <w:rPr>
                <w:sz w:val="27"/>
                <w:szCs w:val="27"/>
              </w:rPr>
              <w:t xml:space="preserve">Izglītības un zinātnes ministrija, </w:t>
            </w:r>
            <w:r w:rsidR="00D93814" w:rsidRPr="005F0222">
              <w:rPr>
                <w:sz w:val="27"/>
                <w:szCs w:val="27"/>
              </w:rPr>
              <w:t>k</w:t>
            </w:r>
            <w:r w:rsidR="00E37811" w:rsidRPr="005F0222">
              <w:rPr>
                <w:sz w:val="27"/>
                <w:szCs w:val="27"/>
              </w:rPr>
              <w:t>valitātes dienests</w:t>
            </w:r>
            <w:r w:rsidR="00141A30" w:rsidRPr="005F0222">
              <w:rPr>
                <w:sz w:val="27"/>
                <w:szCs w:val="27"/>
              </w:rPr>
              <w:t>, Pilsonības un migrācijas lietu pārvalde.</w:t>
            </w:r>
          </w:p>
        </w:tc>
      </w:tr>
      <w:tr w:rsidR="000E3225" w:rsidRPr="005F0222" w:rsidTr="00790962">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2.</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Projekta izpildes ietekme uz pārvaldes funkcijām un institucionālo struktūru.</w:t>
            </w:r>
          </w:p>
          <w:p w:rsidR="00E37811" w:rsidRPr="005F0222" w:rsidRDefault="00E37811" w:rsidP="00790962">
            <w:pPr>
              <w:spacing w:before="100" w:beforeAutospacing="1" w:after="100" w:afterAutospacing="1"/>
              <w:rPr>
                <w:sz w:val="27"/>
                <w:szCs w:val="27"/>
              </w:rPr>
            </w:pPr>
            <w:r w:rsidRPr="005F0222">
              <w:rPr>
                <w:sz w:val="27"/>
                <w:szCs w:val="27"/>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jc w:val="both"/>
              <w:rPr>
                <w:sz w:val="27"/>
                <w:szCs w:val="27"/>
              </w:rPr>
            </w:pPr>
            <w:r w:rsidRPr="005F0222">
              <w:rPr>
                <w:sz w:val="27"/>
                <w:szCs w:val="27"/>
              </w:rPr>
              <w:t>Noteikumu projekta izpilde notiks esošo resursu ietvaros, nepalielinot nodarbināto skaitu.</w:t>
            </w:r>
          </w:p>
          <w:p w:rsidR="00E37811" w:rsidRPr="005F0222" w:rsidRDefault="00E37811" w:rsidP="00790962">
            <w:pPr>
              <w:jc w:val="both"/>
              <w:rPr>
                <w:sz w:val="27"/>
                <w:szCs w:val="27"/>
              </w:rPr>
            </w:pPr>
            <w:r w:rsidRPr="005F0222">
              <w:rPr>
                <w:sz w:val="27"/>
                <w:szCs w:val="27"/>
              </w:rPr>
              <w:t>Jaunu institūciju izveide, esošu institūciju likvidācija vai reorganizācija nav nepieciešama.</w:t>
            </w:r>
          </w:p>
        </w:tc>
      </w:tr>
      <w:tr w:rsidR="000E3225" w:rsidRPr="005F0222" w:rsidTr="00790962">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3.</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rPr>
                <w:sz w:val="27"/>
                <w:szCs w:val="27"/>
              </w:rPr>
            </w:pPr>
            <w:r w:rsidRPr="005F0222">
              <w:rPr>
                <w:sz w:val="27"/>
                <w:szCs w:val="27"/>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E37811" w:rsidRPr="005F0222" w:rsidRDefault="00E37811" w:rsidP="00790962">
            <w:pPr>
              <w:spacing w:before="100" w:beforeAutospacing="1" w:after="100" w:afterAutospacing="1"/>
              <w:jc w:val="both"/>
              <w:rPr>
                <w:sz w:val="27"/>
                <w:szCs w:val="27"/>
              </w:rPr>
            </w:pPr>
            <w:r w:rsidRPr="005F0222">
              <w:rPr>
                <w:sz w:val="27"/>
                <w:szCs w:val="27"/>
              </w:rPr>
              <w:t>Nav.</w:t>
            </w:r>
          </w:p>
        </w:tc>
      </w:tr>
    </w:tbl>
    <w:p w:rsidR="00D03EB6" w:rsidRPr="005F0222" w:rsidRDefault="00D03EB6" w:rsidP="00E37811">
      <w:pPr>
        <w:jc w:val="center"/>
        <w:rPr>
          <w:i/>
          <w:sz w:val="27"/>
          <w:szCs w:val="27"/>
        </w:rPr>
      </w:pPr>
    </w:p>
    <w:p w:rsidR="00E37811" w:rsidRPr="005F0222" w:rsidRDefault="00E37811" w:rsidP="00E37811">
      <w:pPr>
        <w:jc w:val="center"/>
        <w:rPr>
          <w:i/>
          <w:sz w:val="27"/>
          <w:szCs w:val="27"/>
        </w:rPr>
      </w:pPr>
      <w:r w:rsidRPr="005F0222">
        <w:rPr>
          <w:i/>
          <w:sz w:val="27"/>
          <w:szCs w:val="27"/>
        </w:rPr>
        <w:t xml:space="preserve">Anotācijas </w:t>
      </w:r>
      <w:r w:rsidR="00877BA4" w:rsidRPr="005F0222">
        <w:rPr>
          <w:i/>
          <w:sz w:val="27"/>
          <w:szCs w:val="27"/>
        </w:rPr>
        <w:t xml:space="preserve">IV, </w:t>
      </w:r>
      <w:r w:rsidRPr="005F0222">
        <w:rPr>
          <w:i/>
          <w:sz w:val="27"/>
          <w:szCs w:val="27"/>
        </w:rPr>
        <w:t>V sadaļa – noteikumu projekts šo jomu neskar.</w:t>
      </w:r>
    </w:p>
    <w:p w:rsidR="00D03EB6" w:rsidRPr="005F0222" w:rsidRDefault="00D03EB6" w:rsidP="00E61953">
      <w:pPr>
        <w:rPr>
          <w:sz w:val="27"/>
          <w:szCs w:val="27"/>
        </w:rPr>
      </w:pPr>
    </w:p>
    <w:p w:rsidR="00D03EB6" w:rsidRPr="005F0222" w:rsidRDefault="00D03EB6" w:rsidP="00E61953">
      <w:pPr>
        <w:rPr>
          <w:sz w:val="27"/>
          <w:szCs w:val="27"/>
        </w:rPr>
      </w:pPr>
    </w:p>
    <w:p w:rsidR="00E61953" w:rsidRPr="005F0222" w:rsidRDefault="00822767" w:rsidP="00822767">
      <w:pPr>
        <w:rPr>
          <w:sz w:val="27"/>
          <w:szCs w:val="27"/>
        </w:rPr>
      </w:pPr>
      <w:r>
        <w:rPr>
          <w:sz w:val="27"/>
          <w:szCs w:val="27"/>
        </w:rPr>
        <w:t xml:space="preserve">Izglītības un zinātnes ministrs </w:t>
      </w:r>
      <w:r>
        <w:rPr>
          <w:sz w:val="27"/>
          <w:szCs w:val="27"/>
        </w:rPr>
        <w:tab/>
      </w:r>
      <w:r>
        <w:rPr>
          <w:sz w:val="27"/>
          <w:szCs w:val="27"/>
        </w:rPr>
        <w:tab/>
      </w:r>
      <w:r>
        <w:rPr>
          <w:sz w:val="27"/>
          <w:szCs w:val="27"/>
        </w:rPr>
        <w:tab/>
      </w:r>
      <w:r>
        <w:rPr>
          <w:sz w:val="27"/>
          <w:szCs w:val="27"/>
        </w:rPr>
        <w:tab/>
      </w:r>
      <w:r>
        <w:rPr>
          <w:sz w:val="27"/>
          <w:szCs w:val="27"/>
        </w:rPr>
        <w:tab/>
      </w:r>
      <w:r>
        <w:rPr>
          <w:sz w:val="27"/>
          <w:szCs w:val="27"/>
        </w:rPr>
        <w:tab/>
        <w:t>K.Šadurskis</w:t>
      </w:r>
    </w:p>
    <w:p w:rsidR="00D823E5" w:rsidRPr="005F0222" w:rsidRDefault="00D823E5" w:rsidP="00E37811">
      <w:pPr>
        <w:pStyle w:val="Title"/>
        <w:jc w:val="both"/>
        <w:rPr>
          <w:b w:val="0"/>
          <w:sz w:val="27"/>
          <w:szCs w:val="27"/>
          <w:lang w:val="lv-LV"/>
        </w:rPr>
      </w:pPr>
    </w:p>
    <w:p w:rsidR="00D03EB6" w:rsidRPr="005F0222" w:rsidRDefault="00D03EB6" w:rsidP="00E37811">
      <w:pPr>
        <w:pStyle w:val="Title"/>
        <w:jc w:val="both"/>
        <w:rPr>
          <w:b w:val="0"/>
          <w:sz w:val="27"/>
          <w:szCs w:val="27"/>
          <w:lang w:val="lv-LV"/>
        </w:rPr>
      </w:pPr>
    </w:p>
    <w:p w:rsidR="00E37811" w:rsidRPr="005F0222" w:rsidRDefault="00E37811" w:rsidP="00E37811">
      <w:pPr>
        <w:pStyle w:val="Title"/>
        <w:jc w:val="both"/>
        <w:rPr>
          <w:b w:val="0"/>
          <w:sz w:val="27"/>
          <w:szCs w:val="27"/>
          <w:lang w:val="lv-LV"/>
        </w:rPr>
      </w:pPr>
      <w:r w:rsidRPr="005F0222">
        <w:rPr>
          <w:b w:val="0"/>
          <w:sz w:val="27"/>
          <w:szCs w:val="27"/>
          <w:lang w:val="lv-LV"/>
        </w:rPr>
        <w:t>Vīza:</w:t>
      </w:r>
    </w:p>
    <w:p w:rsidR="00E37811" w:rsidRPr="005F0222" w:rsidRDefault="00E37811" w:rsidP="00E37811">
      <w:pPr>
        <w:pStyle w:val="Title"/>
        <w:tabs>
          <w:tab w:val="left" w:pos="7230"/>
        </w:tabs>
        <w:jc w:val="both"/>
        <w:rPr>
          <w:b w:val="0"/>
          <w:sz w:val="27"/>
          <w:szCs w:val="27"/>
          <w:lang w:val="lv-LV"/>
        </w:rPr>
      </w:pPr>
      <w:r w:rsidRPr="005F0222">
        <w:rPr>
          <w:b w:val="0"/>
          <w:sz w:val="27"/>
          <w:szCs w:val="27"/>
          <w:lang w:val="lv-LV"/>
        </w:rPr>
        <w:t>Valsts sekretāre</w:t>
      </w:r>
      <w:r w:rsidRPr="005F0222">
        <w:rPr>
          <w:b w:val="0"/>
          <w:sz w:val="27"/>
          <w:szCs w:val="27"/>
          <w:lang w:val="lv-LV"/>
        </w:rPr>
        <w:tab/>
        <w:t>L.Lejiņa</w:t>
      </w:r>
    </w:p>
    <w:p w:rsidR="00877BA4" w:rsidRPr="005F0222" w:rsidRDefault="00877BA4" w:rsidP="00E37811">
      <w:pPr>
        <w:pStyle w:val="Title"/>
        <w:tabs>
          <w:tab w:val="left" w:pos="7230"/>
        </w:tabs>
        <w:jc w:val="both"/>
        <w:rPr>
          <w:b w:val="0"/>
          <w:sz w:val="27"/>
          <w:szCs w:val="27"/>
          <w:lang w:val="lv-LV"/>
        </w:rPr>
      </w:pPr>
    </w:p>
    <w:p w:rsidR="00D03EB6" w:rsidRPr="005F0222" w:rsidRDefault="00D03EB6" w:rsidP="00E37811">
      <w:pPr>
        <w:pStyle w:val="Title"/>
        <w:tabs>
          <w:tab w:val="left" w:pos="7230"/>
        </w:tabs>
        <w:jc w:val="both"/>
        <w:rPr>
          <w:b w:val="0"/>
          <w:sz w:val="27"/>
          <w:szCs w:val="27"/>
          <w:lang w:val="lv-LV"/>
        </w:rPr>
      </w:pPr>
    </w:p>
    <w:p w:rsidR="00E37811" w:rsidRPr="005F0222" w:rsidRDefault="00E37811" w:rsidP="00E37811">
      <w:pPr>
        <w:jc w:val="both"/>
        <w:rPr>
          <w:color w:val="000000"/>
          <w:sz w:val="20"/>
          <w:szCs w:val="20"/>
        </w:rPr>
      </w:pPr>
      <w:r w:rsidRPr="005F0222">
        <w:rPr>
          <w:color w:val="000000"/>
          <w:sz w:val="20"/>
          <w:szCs w:val="20"/>
        </w:rPr>
        <w:fldChar w:fldCharType="begin"/>
      </w:r>
      <w:r w:rsidRPr="005F0222">
        <w:rPr>
          <w:color w:val="000000"/>
          <w:sz w:val="20"/>
          <w:szCs w:val="20"/>
        </w:rPr>
        <w:instrText xml:space="preserve"> DATE  \@ "dd.MM.yyyy HH:mm"  \* MERGEFORMAT </w:instrText>
      </w:r>
      <w:r w:rsidRPr="005F0222">
        <w:rPr>
          <w:color w:val="000000"/>
          <w:sz w:val="20"/>
          <w:szCs w:val="20"/>
        </w:rPr>
        <w:fldChar w:fldCharType="separate"/>
      </w:r>
      <w:r w:rsidR="00822767">
        <w:rPr>
          <w:noProof/>
          <w:color w:val="000000"/>
          <w:sz w:val="20"/>
          <w:szCs w:val="20"/>
        </w:rPr>
        <w:t>2</w:t>
      </w:r>
      <w:r w:rsidR="00822767">
        <w:rPr>
          <w:noProof/>
          <w:color w:val="000000"/>
          <w:sz w:val="20"/>
          <w:szCs w:val="20"/>
        </w:rPr>
        <w:t>1</w:t>
      </w:r>
      <w:r w:rsidR="00822767">
        <w:rPr>
          <w:noProof/>
          <w:color w:val="000000"/>
          <w:sz w:val="20"/>
          <w:szCs w:val="20"/>
        </w:rPr>
        <w:t>.07.2016 1</w:t>
      </w:r>
      <w:r w:rsidR="00822767">
        <w:rPr>
          <w:noProof/>
          <w:color w:val="000000"/>
          <w:sz w:val="20"/>
          <w:szCs w:val="20"/>
        </w:rPr>
        <w:t>6</w:t>
      </w:r>
      <w:r w:rsidR="00822767">
        <w:rPr>
          <w:noProof/>
          <w:color w:val="000000"/>
          <w:sz w:val="20"/>
          <w:szCs w:val="20"/>
        </w:rPr>
        <w:t>:5</w:t>
      </w:r>
      <w:r w:rsidR="00822767">
        <w:rPr>
          <w:noProof/>
          <w:color w:val="000000"/>
          <w:sz w:val="20"/>
          <w:szCs w:val="20"/>
        </w:rPr>
        <w:t>2</w:t>
      </w:r>
      <w:r w:rsidRPr="005F0222">
        <w:rPr>
          <w:color w:val="000000"/>
          <w:sz w:val="20"/>
          <w:szCs w:val="20"/>
        </w:rPr>
        <w:fldChar w:fldCharType="end"/>
      </w:r>
    </w:p>
    <w:p w:rsidR="00E37811" w:rsidRPr="005F0222" w:rsidRDefault="00D6584E" w:rsidP="00E37811">
      <w:pPr>
        <w:jc w:val="both"/>
        <w:rPr>
          <w:color w:val="000000"/>
          <w:sz w:val="20"/>
          <w:szCs w:val="20"/>
        </w:rPr>
      </w:pPr>
      <w:r w:rsidRPr="005F0222">
        <w:rPr>
          <w:color w:val="000000"/>
          <w:sz w:val="20"/>
          <w:szCs w:val="20"/>
        </w:rPr>
        <w:t>1</w:t>
      </w:r>
      <w:r w:rsidR="00861553">
        <w:rPr>
          <w:color w:val="000000"/>
          <w:sz w:val="20"/>
          <w:szCs w:val="20"/>
        </w:rPr>
        <w:t>12</w:t>
      </w:r>
      <w:r w:rsidR="00822767">
        <w:rPr>
          <w:color w:val="000000"/>
          <w:sz w:val="20"/>
          <w:szCs w:val="20"/>
        </w:rPr>
        <w:t>2</w:t>
      </w:r>
    </w:p>
    <w:p w:rsidR="00E37811" w:rsidRPr="005F0222" w:rsidRDefault="00E37811" w:rsidP="00E37811">
      <w:pPr>
        <w:tabs>
          <w:tab w:val="left" w:pos="6663"/>
        </w:tabs>
        <w:jc w:val="both"/>
        <w:rPr>
          <w:color w:val="000000"/>
          <w:sz w:val="20"/>
          <w:szCs w:val="20"/>
        </w:rPr>
      </w:pPr>
      <w:r w:rsidRPr="005F0222">
        <w:rPr>
          <w:color w:val="000000"/>
          <w:sz w:val="20"/>
          <w:szCs w:val="20"/>
        </w:rPr>
        <w:t>I.J.Mihailovs</w:t>
      </w:r>
    </w:p>
    <w:p w:rsidR="00E37811" w:rsidRPr="005F0222" w:rsidRDefault="00E37811" w:rsidP="00E37811">
      <w:pPr>
        <w:tabs>
          <w:tab w:val="left" w:pos="6663"/>
        </w:tabs>
        <w:jc w:val="both"/>
        <w:rPr>
          <w:sz w:val="20"/>
          <w:szCs w:val="20"/>
        </w:rPr>
      </w:pPr>
      <w:r w:rsidRPr="005F0222">
        <w:rPr>
          <w:sz w:val="20"/>
          <w:szCs w:val="20"/>
        </w:rPr>
        <w:t xml:space="preserve">67507833; </w:t>
      </w:r>
      <w:hyperlink r:id="rId9" w:history="1">
        <w:r w:rsidRPr="005F0222">
          <w:rPr>
            <w:rStyle w:val="Hyperlink"/>
            <w:color w:val="auto"/>
            <w:sz w:val="20"/>
            <w:szCs w:val="20"/>
            <w:u w:val="none"/>
          </w:rPr>
          <w:t>Janis.Mihailovs@ikvd.gov.lv</w:t>
        </w:r>
      </w:hyperlink>
      <w:r w:rsidRPr="005F0222">
        <w:rPr>
          <w:sz w:val="20"/>
          <w:szCs w:val="20"/>
        </w:rPr>
        <w:t xml:space="preserve"> </w:t>
      </w:r>
    </w:p>
    <w:p w:rsidR="00E37811" w:rsidRPr="005F0222" w:rsidRDefault="00E37811" w:rsidP="00E37811">
      <w:pPr>
        <w:spacing w:line="276" w:lineRule="auto"/>
        <w:ind w:right="-766"/>
        <w:jc w:val="both"/>
        <w:rPr>
          <w:color w:val="000000"/>
          <w:sz w:val="20"/>
          <w:szCs w:val="20"/>
        </w:rPr>
      </w:pPr>
      <w:r w:rsidRPr="005F0222">
        <w:rPr>
          <w:color w:val="000000"/>
          <w:sz w:val="20"/>
          <w:szCs w:val="20"/>
        </w:rPr>
        <w:t>A.Lasmane</w:t>
      </w:r>
    </w:p>
    <w:p w:rsidR="00B41FE9" w:rsidRDefault="00E37811" w:rsidP="00800DDA">
      <w:pPr>
        <w:spacing w:line="276" w:lineRule="auto"/>
        <w:ind w:right="-766"/>
        <w:jc w:val="both"/>
      </w:pPr>
      <w:r w:rsidRPr="005F0222">
        <w:rPr>
          <w:color w:val="000000"/>
          <w:sz w:val="20"/>
          <w:szCs w:val="20"/>
        </w:rPr>
        <w:t xml:space="preserve">67367202; </w:t>
      </w:r>
      <w:hyperlink r:id="rId10" w:history="1">
        <w:r w:rsidRPr="005F0222">
          <w:rPr>
            <w:color w:val="000000"/>
            <w:sz w:val="20"/>
            <w:szCs w:val="20"/>
          </w:rPr>
          <w:t>Agnese.Lasmane@ikvd.gov.lv</w:t>
        </w:r>
      </w:hyperlink>
      <w:bookmarkStart w:id="0" w:name="_GoBack"/>
      <w:bookmarkEnd w:id="0"/>
    </w:p>
    <w:sectPr w:rsidR="00B41FE9" w:rsidSect="00A711FE">
      <w:headerReference w:type="even" r:id="rId11"/>
      <w:headerReference w:type="default" r:id="rId12"/>
      <w:footerReference w:type="default" r:id="rId13"/>
      <w:footerReference w:type="first" r:id="rId14"/>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98" w:rsidRDefault="00275498">
      <w:r>
        <w:separator/>
      </w:r>
    </w:p>
  </w:endnote>
  <w:endnote w:type="continuationSeparator" w:id="0">
    <w:p w:rsidR="00275498" w:rsidRDefault="002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Pr="009B36E3" w:rsidRDefault="006916DA" w:rsidP="009B36E3">
    <w:pPr>
      <w:pStyle w:val="Footer"/>
      <w:jc w:val="both"/>
      <w:rPr>
        <w:sz w:val="20"/>
        <w:szCs w:val="20"/>
      </w:rPr>
    </w:pPr>
    <w:r>
      <w:rPr>
        <w:sz w:val="20"/>
        <w:szCs w:val="20"/>
      </w:rPr>
      <w:t>IZMAnot_</w:t>
    </w:r>
    <w:r w:rsidR="00B419BB">
      <w:rPr>
        <w:sz w:val="20"/>
        <w:szCs w:val="20"/>
      </w:rPr>
      <w:t>18</w:t>
    </w:r>
    <w:r w:rsidR="00144D5C">
      <w:rPr>
        <w:sz w:val="20"/>
        <w:szCs w:val="20"/>
      </w:rPr>
      <w:t>07</w:t>
    </w:r>
    <w:r w:rsidR="007B7187" w:rsidRPr="007B7187">
      <w:rPr>
        <w:sz w:val="20"/>
        <w:szCs w:val="20"/>
      </w:rPr>
      <w:t>16_Groz871</w:t>
    </w:r>
    <w:r w:rsidR="006E15B1" w:rsidRPr="006E15B1">
      <w:rPr>
        <w:sz w:val="20"/>
        <w:szCs w:val="20"/>
      </w:rPr>
      <w:t>; Ministru kabineta noteikumu projekta „Grozījum</w:t>
    </w:r>
    <w:r w:rsidR="0037404F">
      <w:rPr>
        <w:sz w:val="20"/>
        <w:szCs w:val="20"/>
      </w:rPr>
      <w:t>s</w:t>
    </w:r>
    <w:r w:rsidR="006E15B1" w:rsidRPr="006E15B1">
      <w:rPr>
        <w:sz w:val="20"/>
        <w:szCs w:val="20"/>
      </w:rPr>
      <w:t xml:space="preserve"> Ministru kabineta 2009.gada 4.augusta noteikumos Nr. 871 „Obligāto izglītības vecumu sasniegušo bērnu uzskaites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Pr="009B36E3" w:rsidRDefault="006916DA" w:rsidP="009B36E3">
    <w:pPr>
      <w:pStyle w:val="Footer"/>
      <w:jc w:val="both"/>
      <w:rPr>
        <w:sz w:val="20"/>
        <w:szCs w:val="20"/>
      </w:rPr>
    </w:pPr>
    <w:r>
      <w:rPr>
        <w:sz w:val="20"/>
        <w:szCs w:val="20"/>
      </w:rPr>
      <w:t>IZMAnot_</w:t>
    </w:r>
    <w:r w:rsidR="00B419BB">
      <w:rPr>
        <w:sz w:val="20"/>
        <w:szCs w:val="20"/>
      </w:rPr>
      <w:t>18</w:t>
    </w:r>
    <w:r w:rsidR="00144D5C">
      <w:rPr>
        <w:sz w:val="20"/>
        <w:szCs w:val="20"/>
      </w:rPr>
      <w:t>07</w:t>
    </w:r>
    <w:r w:rsidR="007B7187" w:rsidRPr="007B7187">
      <w:rPr>
        <w:sz w:val="20"/>
        <w:szCs w:val="20"/>
      </w:rPr>
      <w:t>16_Groz871</w:t>
    </w:r>
    <w:r w:rsidR="00FF2B8A" w:rsidRPr="00B14729">
      <w:rPr>
        <w:sz w:val="20"/>
        <w:szCs w:val="20"/>
      </w:rPr>
      <w:t>;</w:t>
    </w:r>
    <w:r w:rsidR="00FF2B8A" w:rsidRPr="00BD29EA">
      <w:rPr>
        <w:sz w:val="20"/>
        <w:szCs w:val="20"/>
      </w:rPr>
      <w:t xml:space="preserve"> </w:t>
    </w:r>
    <w:r w:rsidR="00FF2B8A" w:rsidRPr="009B36E3">
      <w:rPr>
        <w:sz w:val="20"/>
        <w:szCs w:val="20"/>
      </w:rPr>
      <w:t>Mini</w:t>
    </w:r>
    <w:r w:rsidR="00FF2B8A">
      <w:rPr>
        <w:sz w:val="20"/>
        <w:szCs w:val="20"/>
      </w:rPr>
      <w:t>stru kabineta noteikumu projekta</w:t>
    </w:r>
    <w:r w:rsidR="00FF2B8A" w:rsidRPr="009B36E3">
      <w:rPr>
        <w:sz w:val="20"/>
        <w:szCs w:val="20"/>
      </w:rPr>
      <w:t xml:space="preserve"> „</w:t>
    </w:r>
    <w:r w:rsidR="0037404F">
      <w:rPr>
        <w:sz w:val="20"/>
        <w:szCs w:val="20"/>
      </w:rPr>
      <w:t>Grozījums</w:t>
    </w:r>
    <w:r w:rsidR="006E15B1" w:rsidRPr="006E15B1">
      <w:rPr>
        <w:sz w:val="20"/>
        <w:szCs w:val="20"/>
      </w:rPr>
      <w:t xml:space="preserve"> Ministru kabineta 2009.gada 4.augusta noteikumos Nr. 871 „Obligāto izglītības vecumu sasniegušo bērnu uzskaites kārtība”</w:t>
    </w:r>
    <w:r w:rsidR="00FF2B8A">
      <w:rPr>
        <w:sz w:val="20"/>
        <w:szCs w:val="20"/>
      </w:rPr>
      <w:t xml:space="preserve">” </w:t>
    </w:r>
    <w:r w:rsidR="00FF2B8A"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98" w:rsidRDefault="00275498">
      <w:r>
        <w:separator/>
      </w:r>
    </w:p>
  </w:footnote>
  <w:footnote w:type="continuationSeparator" w:id="0">
    <w:p w:rsidR="00275498" w:rsidRDefault="0027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Default="00FF2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1FE" w:rsidRDefault="00275498">
    <w:pPr>
      <w:pStyle w:val="Header"/>
    </w:pPr>
  </w:p>
  <w:p w:rsidR="00A711FE" w:rsidRDefault="00275498"/>
  <w:p w:rsidR="00A711FE" w:rsidRDefault="00275498"/>
  <w:p w:rsidR="00A711FE" w:rsidRDefault="00275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Default="00FF2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767">
      <w:rPr>
        <w:rStyle w:val="PageNumber"/>
        <w:noProof/>
      </w:rPr>
      <w:t>6</w:t>
    </w:r>
    <w:r>
      <w:rPr>
        <w:rStyle w:val="PageNumber"/>
      </w:rPr>
      <w:fldChar w:fldCharType="end"/>
    </w:r>
  </w:p>
  <w:p w:rsidR="00A711FE" w:rsidRDefault="002754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11"/>
    <w:rsid w:val="00055723"/>
    <w:rsid w:val="00067CF0"/>
    <w:rsid w:val="00073E9E"/>
    <w:rsid w:val="000B7BE1"/>
    <w:rsid w:val="000D14DD"/>
    <w:rsid w:val="000E3225"/>
    <w:rsid w:val="000F4543"/>
    <w:rsid w:val="001129A1"/>
    <w:rsid w:val="00140A1E"/>
    <w:rsid w:val="00141A30"/>
    <w:rsid w:val="00144D5C"/>
    <w:rsid w:val="001C6400"/>
    <w:rsid w:val="001F3F3F"/>
    <w:rsid w:val="002274F6"/>
    <w:rsid w:val="00230AD7"/>
    <w:rsid w:val="00233428"/>
    <w:rsid w:val="00254A80"/>
    <w:rsid w:val="00267EAC"/>
    <w:rsid w:val="00275498"/>
    <w:rsid w:val="002D2B43"/>
    <w:rsid w:val="003666F3"/>
    <w:rsid w:val="0037404F"/>
    <w:rsid w:val="003A0838"/>
    <w:rsid w:val="00406142"/>
    <w:rsid w:val="004112B4"/>
    <w:rsid w:val="004121A4"/>
    <w:rsid w:val="00422A41"/>
    <w:rsid w:val="00427F3C"/>
    <w:rsid w:val="00455E52"/>
    <w:rsid w:val="004666BC"/>
    <w:rsid w:val="004668A0"/>
    <w:rsid w:val="004770D9"/>
    <w:rsid w:val="00493027"/>
    <w:rsid w:val="004A758C"/>
    <w:rsid w:val="004B1078"/>
    <w:rsid w:val="004D1CB9"/>
    <w:rsid w:val="004F7215"/>
    <w:rsid w:val="00515040"/>
    <w:rsid w:val="005B4D8E"/>
    <w:rsid w:val="005D628C"/>
    <w:rsid w:val="005F0222"/>
    <w:rsid w:val="00633BF7"/>
    <w:rsid w:val="006916DA"/>
    <w:rsid w:val="00691E3C"/>
    <w:rsid w:val="006B6378"/>
    <w:rsid w:val="006C046D"/>
    <w:rsid w:val="006C378F"/>
    <w:rsid w:val="006D38C3"/>
    <w:rsid w:val="006E15B1"/>
    <w:rsid w:val="006E2FD1"/>
    <w:rsid w:val="006F7080"/>
    <w:rsid w:val="00703166"/>
    <w:rsid w:val="00715B3B"/>
    <w:rsid w:val="00730FBC"/>
    <w:rsid w:val="00784BC0"/>
    <w:rsid w:val="00797F63"/>
    <w:rsid w:val="007B4E78"/>
    <w:rsid w:val="007B7187"/>
    <w:rsid w:val="007B71A1"/>
    <w:rsid w:val="007D2C1A"/>
    <w:rsid w:val="007D4F07"/>
    <w:rsid w:val="00800DDA"/>
    <w:rsid w:val="008156ED"/>
    <w:rsid w:val="00822767"/>
    <w:rsid w:val="00856F8A"/>
    <w:rsid w:val="00861553"/>
    <w:rsid w:val="00877BA4"/>
    <w:rsid w:val="00884CC0"/>
    <w:rsid w:val="008F1F80"/>
    <w:rsid w:val="0094318E"/>
    <w:rsid w:val="00977F27"/>
    <w:rsid w:val="00A224CE"/>
    <w:rsid w:val="00A50714"/>
    <w:rsid w:val="00AB199B"/>
    <w:rsid w:val="00B053AB"/>
    <w:rsid w:val="00B419BB"/>
    <w:rsid w:val="00B41FE9"/>
    <w:rsid w:val="00B70CC6"/>
    <w:rsid w:val="00B72B27"/>
    <w:rsid w:val="00BA547A"/>
    <w:rsid w:val="00BB6F7C"/>
    <w:rsid w:val="00BC7E2F"/>
    <w:rsid w:val="00BF5720"/>
    <w:rsid w:val="00C16A04"/>
    <w:rsid w:val="00C55424"/>
    <w:rsid w:val="00C62842"/>
    <w:rsid w:val="00C71AA4"/>
    <w:rsid w:val="00C769AB"/>
    <w:rsid w:val="00CC4BE8"/>
    <w:rsid w:val="00CD0B31"/>
    <w:rsid w:val="00CF2213"/>
    <w:rsid w:val="00D03EB6"/>
    <w:rsid w:val="00D10D7F"/>
    <w:rsid w:val="00D374A3"/>
    <w:rsid w:val="00D541F0"/>
    <w:rsid w:val="00D6584E"/>
    <w:rsid w:val="00D823E5"/>
    <w:rsid w:val="00D93814"/>
    <w:rsid w:val="00DE415E"/>
    <w:rsid w:val="00E04A81"/>
    <w:rsid w:val="00E04DFF"/>
    <w:rsid w:val="00E0641F"/>
    <w:rsid w:val="00E37811"/>
    <w:rsid w:val="00E45B8E"/>
    <w:rsid w:val="00E61953"/>
    <w:rsid w:val="00EB7B53"/>
    <w:rsid w:val="00EC14DC"/>
    <w:rsid w:val="00ED29A1"/>
    <w:rsid w:val="00F50C4D"/>
    <w:rsid w:val="00F64B83"/>
    <w:rsid w:val="00FE16EA"/>
    <w:rsid w:val="00FF2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BE953-B382-4D59-9A50-C8E4FD8B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37811"/>
    <w:rPr>
      <w:color w:val="0000FF"/>
      <w:u w:val="single"/>
    </w:rPr>
  </w:style>
  <w:style w:type="paragraph" w:styleId="Header">
    <w:name w:val="header"/>
    <w:basedOn w:val="Normal"/>
    <w:link w:val="HeaderChar"/>
    <w:semiHidden/>
    <w:rsid w:val="00E37811"/>
    <w:pPr>
      <w:tabs>
        <w:tab w:val="center" w:pos="4153"/>
        <w:tab w:val="right" w:pos="8306"/>
      </w:tabs>
    </w:pPr>
  </w:style>
  <w:style w:type="character" w:customStyle="1" w:styleId="HeaderChar">
    <w:name w:val="Header Char"/>
    <w:basedOn w:val="DefaultParagraphFont"/>
    <w:link w:val="Header"/>
    <w:semiHidden/>
    <w:rsid w:val="00E37811"/>
    <w:rPr>
      <w:rFonts w:ascii="Times New Roman" w:eastAsia="Times New Roman" w:hAnsi="Times New Roman" w:cs="Times New Roman"/>
      <w:sz w:val="24"/>
      <w:szCs w:val="24"/>
      <w:lang w:eastAsia="lv-LV"/>
    </w:rPr>
  </w:style>
  <w:style w:type="paragraph" w:styleId="Footer">
    <w:name w:val="footer"/>
    <w:basedOn w:val="Normal"/>
    <w:link w:val="FooterChar"/>
    <w:rsid w:val="00E37811"/>
    <w:pPr>
      <w:tabs>
        <w:tab w:val="center" w:pos="4153"/>
        <w:tab w:val="right" w:pos="8306"/>
      </w:tabs>
    </w:pPr>
  </w:style>
  <w:style w:type="character" w:customStyle="1" w:styleId="FooterChar">
    <w:name w:val="Footer Char"/>
    <w:basedOn w:val="DefaultParagraphFont"/>
    <w:link w:val="Footer"/>
    <w:rsid w:val="00E37811"/>
    <w:rPr>
      <w:rFonts w:ascii="Times New Roman" w:eastAsia="Times New Roman" w:hAnsi="Times New Roman" w:cs="Times New Roman"/>
      <w:sz w:val="24"/>
      <w:szCs w:val="24"/>
      <w:lang w:eastAsia="lv-LV"/>
    </w:rPr>
  </w:style>
  <w:style w:type="character" w:styleId="PageNumber">
    <w:name w:val="page number"/>
    <w:basedOn w:val="DefaultParagraphFont"/>
    <w:semiHidden/>
    <w:rsid w:val="00E37811"/>
  </w:style>
  <w:style w:type="paragraph" w:styleId="Title">
    <w:name w:val="Title"/>
    <w:basedOn w:val="Normal"/>
    <w:link w:val="TitleChar"/>
    <w:uiPriority w:val="99"/>
    <w:qFormat/>
    <w:rsid w:val="00E37811"/>
    <w:pPr>
      <w:jc w:val="center"/>
    </w:pPr>
    <w:rPr>
      <w:b/>
      <w:szCs w:val="20"/>
      <w:lang w:val="x-none" w:eastAsia="x-none"/>
    </w:rPr>
  </w:style>
  <w:style w:type="character" w:customStyle="1" w:styleId="TitleChar">
    <w:name w:val="Title Char"/>
    <w:basedOn w:val="DefaultParagraphFont"/>
    <w:link w:val="Title"/>
    <w:uiPriority w:val="99"/>
    <w:rsid w:val="00E37811"/>
    <w:rPr>
      <w:rFonts w:ascii="Times New Roman" w:eastAsia="Times New Roman" w:hAnsi="Times New Roman" w:cs="Times New Roman"/>
      <w:b/>
      <w:sz w:val="24"/>
      <w:szCs w:val="20"/>
      <w:lang w:val="x-none" w:eastAsia="x-none"/>
    </w:rPr>
  </w:style>
  <w:style w:type="table" w:styleId="TableGrid">
    <w:name w:val="Table Grid"/>
    <w:basedOn w:val="TableNormal"/>
    <w:rsid w:val="00E3781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E37811"/>
    <w:pPr>
      <w:spacing w:before="100" w:after="100"/>
      <w:jc w:val="both"/>
    </w:pPr>
    <w:rPr>
      <w:szCs w:val="20"/>
      <w:lang w:eastAsia="en-US"/>
    </w:rPr>
  </w:style>
  <w:style w:type="character" w:customStyle="1" w:styleId="naisfChar">
    <w:name w:val="naisf Char"/>
    <w:link w:val="naisf"/>
    <w:uiPriority w:val="99"/>
    <w:locked/>
    <w:rsid w:val="00E37811"/>
    <w:rPr>
      <w:rFonts w:ascii="Times New Roman" w:eastAsia="Times New Roman" w:hAnsi="Times New Roman" w:cs="Times New Roman"/>
      <w:sz w:val="24"/>
      <w:szCs w:val="20"/>
    </w:rPr>
  </w:style>
  <w:style w:type="paragraph" w:customStyle="1" w:styleId="naisnod">
    <w:name w:val="naisnod"/>
    <w:basedOn w:val="Normal"/>
    <w:uiPriority w:val="99"/>
    <w:rsid w:val="00E37811"/>
    <w:pPr>
      <w:spacing w:before="150" w:after="150"/>
      <w:jc w:val="center"/>
    </w:pPr>
    <w:rPr>
      <w:b/>
      <w:bCs/>
    </w:rPr>
  </w:style>
  <w:style w:type="paragraph" w:styleId="NormalWeb">
    <w:name w:val="Normal (Web)"/>
    <w:basedOn w:val="Normal"/>
    <w:uiPriority w:val="99"/>
    <w:unhideWhenUsed/>
    <w:rsid w:val="00E37811"/>
    <w:pPr>
      <w:spacing w:before="100" w:beforeAutospacing="1" w:after="100" w:afterAutospacing="1"/>
    </w:pPr>
  </w:style>
  <w:style w:type="paragraph" w:customStyle="1" w:styleId="tv20787921">
    <w:name w:val="tv207_87_921"/>
    <w:basedOn w:val="Normal"/>
    <w:rsid w:val="00E37811"/>
    <w:pPr>
      <w:spacing w:after="567" w:line="360" w:lineRule="auto"/>
      <w:jc w:val="center"/>
    </w:pPr>
    <w:rPr>
      <w:rFonts w:ascii="Verdana" w:hAnsi="Verdana"/>
      <w:b/>
      <w:bCs/>
      <w:sz w:val="28"/>
      <w:szCs w:val="28"/>
    </w:rPr>
  </w:style>
  <w:style w:type="paragraph" w:customStyle="1" w:styleId="naiskr">
    <w:name w:val="naiskr"/>
    <w:basedOn w:val="Normal"/>
    <w:uiPriority w:val="99"/>
    <w:rsid w:val="00E37811"/>
    <w:pPr>
      <w:spacing w:before="75" w:after="75"/>
    </w:pPr>
  </w:style>
  <w:style w:type="paragraph" w:styleId="BalloonText">
    <w:name w:val="Balloon Text"/>
    <w:basedOn w:val="Normal"/>
    <w:link w:val="BalloonTextChar"/>
    <w:uiPriority w:val="99"/>
    <w:semiHidden/>
    <w:unhideWhenUsed/>
    <w:rsid w:val="00E37811"/>
    <w:rPr>
      <w:rFonts w:ascii="Tahoma" w:hAnsi="Tahoma" w:cs="Tahoma"/>
      <w:sz w:val="16"/>
      <w:szCs w:val="16"/>
    </w:rPr>
  </w:style>
  <w:style w:type="character" w:customStyle="1" w:styleId="BalloonTextChar">
    <w:name w:val="Balloon Text Char"/>
    <w:basedOn w:val="DefaultParagraphFont"/>
    <w:link w:val="BalloonText"/>
    <w:uiPriority w:val="99"/>
    <w:semiHidden/>
    <w:rsid w:val="00E37811"/>
    <w:rPr>
      <w:rFonts w:ascii="Tahoma" w:eastAsia="Times New Roman" w:hAnsi="Tahoma" w:cs="Tahoma"/>
      <w:sz w:val="16"/>
      <w:szCs w:val="16"/>
      <w:lang w:eastAsia="lv-LV"/>
    </w:rPr>
  </w:style>
  <w:style w:type="paragraph" w:styleId="ListParagraph">
    <w:name w:val="List Paragraph"/>
    <w:basedOn w:val="Normal"/>
    <w:uiPriority w:val="34"/>
    <w:qFormat/>
    <w:rsid w:val="00D1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93231">
      <w:bodyDiv w:val="1"/>
      <w:marLeft w:val="0"/>
      <w:marRight w:val="0"/>
      <w:marTop w:val="0"/>
      <w:marBottom w:val="0"/>
      <w:divBdr>
        <w:top w:val="none" w:sz="0" w:space="0" w:color="auto"/>
        <w:left w:val="none" w:sz="0" w:space="0" w:color="auto"/>
        <w:bottom w:val="none" w:sz="0" w:space="0" w:color="auto"/>
        <w:right w:val="none" w:sz="0" w:space="0" w:color="auto"/>
      </w:divBdr>
    </w:div>
    <w:div w:id="18507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kvd.gov.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nese.Lasmane@ikvd.gov.lv" TargetMode="External"/><Relationship Id="rId4" Type="http://schemas.openxmlformats.org/officeDocument/2006/relationships/webSettings" Target="webSettings.xml"/><Relationship Id="rId9" Type="http://schemas.openxmlformats.org/officeDocument/2006/relationships/hyperlink" Target="mailto:Janis.Mihailovs@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A769-737E-4739-B563-3A291A65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5835</Words>
  <Characters>3327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Ginta Grīnvalde</cp:lastModifiedBy>
  <cp:revision>34</cp:revision>
  <cp:lastPrinted>2016-04-27T08:23:00Z</cp:lastPrinted>
  <dcterms:created xsi:type="dcterms:W3CDTF">2016-06-17T10:44:00Z</dcterms:created>
  <dcterms:modified xsi:type="dcterms:W3CDTF">2016-07-25T08:51:00Z</dcterms:modified>
</cp:coreProperties>
</file>